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42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409700" cy="2667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266700"/>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sz w:val="36"/>
          <w:szCs w:val="36"/>
        </w:rPr>
        <w:t>北京数字认证股份有限公司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0" w:right="980" w:firstLine="0"/>
        <w:jc w:val="center"/>
        <w:rPr>
          <w:rFonts w:ascii="Times New Roman" w:hAnsi="Times New Roman" w:cs="Times New Roman" w:eastAsia="Times New Roman" w:hint="default"/>
          <w:sz w:val="28"/>
          <w:szCs w:val="28"/>
        </w:rPr>
      </w:pPr>
      <w:r>
        <w:rPr>
          <w:rFonts w:ascii="Times New Roman"/>
          <w:b/>
          <w:sz w:val="28"/>
        </w:rPr>
        <w:t>2019-020</w:t>
      </w:r>
      <w:r>
        <w:rPr>
          <w:rFonts w:ascii="Times New Roman"/>
          <w:sz w:val="28"/>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6"/>
        <w:rPr>
          <w:rFonts w:ascii="Times New Roman" w:hAnsi="Times New Roman" w:cs="Times New Roman" w:eastAsia="Times New Roman" w:hint="default"/>
          <w:b/>
          <w:bCs/>
          <w:sz w:val="41"/>
          <w:szCs w:val="41"/>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9"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982"/>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公司负责人詹榜华、主管会计工作负责人林雪焰及会计机构负责人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高青山声明：保证年度报告中财务报告的真实、准确、完整。</w:t>
      </w:r>
      <w:r>
        <w:rPr>
          <w:rFonts w:ascii="宋体" w:hAnsi="宋体" w:cs="宋体" w:eastAsia="宋体" w:hint="default"/>
          <w:sz w:val="28"/>
          <w:szCs w:val="28"/>
        </w:rPr>
      </w:r>
    </w:p>
    <w:p>
      <w:pPr>
        <w:spacing w:line="472" w:lineRule="auto"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本报告中涉及的未来计划等前瞻性陈述，不构成公司对投资者的实质承诺，</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投资者及相关人士均应当对此保持足够的风险认识，并且应当理解计划、预测</w:t>
      </w:r>
      <w:r>
        <w:rPr>
          <w:rFonts w:ascii="宋体" w:hAnsi="宋体" w:cs="宋体" w:eastAsia="宋体" w:hint="default"/>
          <w:b/>
          <w:bCs/>
          <w:w w:val="99"/>
          <w:sz w:val="28"/>
          <w:szCs w:val="28"/>
        </w:rPr>
        <w:t> </w:t>
      </w:r>
      <w:r>
        <w:rPr>
          <w:rFonts w:ascii="宋体" w:hAnsi="宋体" w:cs="宋体" w:eastAsia="宋体" w:hint="default"/>
          <w:b/>
          <w:bCs/>
          <w:sz w:val="28"/>
          <w:szCs w:val="28"/>
        </w:rPr>
        <w:t>与承诺之间的差异，请投资者注意投资风险。</w:t>
      </w:r>
      <w:r>
        <w:rPr>
          <w:rFonts w:ascii="宋体" w:hAnsi="宋体" w:cs="宋体" w:eastAsia="宋体" w:hint="default"/>
          <w:sz w:val="28"/>
          <w:szCs w:val="28"/>
        </w:rPr>
      </w:r>
    </w:p>
    <w:p>
      <w:pPr>
        <w:spacing w:line="386" w:lineRule="auto" w:before="162"/>
        <w:ind w:left="152" w:right="1074" w:firstLine="562"/>
        <w:jc w:val="right"/>
        <w:rPr>
          <w:rFonts w:ascii="宋体" w:hAnsi="宋体" w:cs="宋体" w:eastAsia="宋体" w:hint="default"/>
          <w:sz w:val="28"/>
          <w:szCs w:val="28"/>
        </w:rPr>
      </w:pPr>
      <w:r>
        <w:rPr>
          <w:rFonts w:ascii="宋体" w:hAnsi="宋体" w:cs="宋体" w:eastAsia="宋体" w:hint="default"/>
          <w:b/>
          <w:bCs/>
          <w:spacing w:val="2"/>
          <w:sz w:val="28"/>
          <w:szCs w:val="28"/>
        </w:rPr>
        <w:t>公司存在</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北京市法人一证通</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项目风险、信息技术快速进步风险、业务收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入季节性波动风险、应收账款较高风险，具体内容详见本报告中第四节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w:t>
      </w:r>
      <w:r>
        <w:rPr>
          <w:rFonts w:ascii="宋体" w:hAnsi="宋体" w:cs="宋体" w:eastAsia="宋体" w:hint="default"/>
          <w:b/>
          <w:bCs/>
          <w:w w:val="99"/>
          <w:sz w:val="28"/>
          <w:szCs w:val="28"/>
        </w:rPr>
        <w:t> </w:t>
      </w:r>
      <w:r>
        <w:rPr>
          <w:rFonts w:ascii="宋体" w:hAnsi="宋体" w:cs="宋体" w:eastAsia="宋体" w:hint="default"/>
          <w:b/>
          <w:bCs/>
          <w:w w:val="95"/>
          <w:sz w:val="28"/>
          <w:szCs w:val="28"/>
        </w:rPr>
        <w:t>况讨论与分析</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中</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九、公司未来发展的展望</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部分，敬请投资者关注相关内容。</w:t>
      </w:r>
      <w:r>
        <w:rPr>
          <w:rFonts w:ascii="宋体" w:hAnsi="宋体" w:cs="宋体" w:eastAsia="宋体" w:hint="default"/>
          <w:sz w:val="28"/>
          <w:szCs w:val="28"/>
        </w:rPr>
      </w:r>
    </w:p>
    <w:p>
      <w:pPr>
        <w:spacing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12,000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万股为基数，向</w:t>
      </w:r>
      <w:r>
        <w:rPr>
          <w:rFonts w:ascii="宋体" w:hAnsi="宋体" w:cs="宋体" w:eastAsia="宋体" w:hint="default"/>
          <w:sz w:val="28"/>
          <w:szCs w:val="28"/>
        </w:rPr>
      </w:r>
    </w:p>
    <w:p>
      <w:pPr>
        <w:spacing w:before="237"/>
        <w:ind w:left="0" w:right="1131" w:firstLine="0"/>
        <w:jc w:val="righ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982"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159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8" w:footer="979" w:top="1060" w:bottom="1160" w:left="980" w:right="0"/>
        </w:sectPr>
      </w:pPr>
    </w:p>
    <w:p>
      <w:pPr>
        <w:spacing w:before="942"/>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公司、本公司、数字认证、北京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北京数字认证股份有限公司及其子公司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北京国资公司、国资公司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上海市数字证书认证中心有限公司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科桥投资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北京科桥创业投资中心（有限合伙）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北京安信天行科技有限公司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数字医信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北京数字医信科技有限公司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北京版信通技术有限公司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982"/>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pict>
          <v:shape style="position:absolute;margin-left:138pt;margin-top:114.585602pt;width:396.95pt;height:19.7pt;mso-position-horizontal-relative:page;mso-position-vertical-relative:paragraph;z-index:-772528"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300579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CERTIFICATE </w:t>
            </w:r>
            <w:r>
              <w:rPr>
                <w:rFonts w:ascii="Times New Roman"/>
                <w:sz w:val="18"/>
              </w:rPr>
              <w:t>AUTHORITY Co.,</w:t>
            </w:r>
            <w:r>
              <w:rPr>
                <w:rFonts w:ascii="Times New Roman"/>
                <w:spacing w:val="-24"/>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BJCA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www.bjca.org.cn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齐秀彬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杨萍</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010-58045602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010-58045836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北京数字认证股份有限公司董事会办公室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公司聘请的会计师事务所</w:t>
      </w:r>
    </w:p>
    <w:p>
      <w:pPr>
        <w:spacing w:after="0" w:line="240" w:lineRule="auto"/>
        <w:jc w:val="lef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中国北京朝阳区建国门外大街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pStyle w:val="BodyText"/>
        <w:spacing w:line="240" w:lineRule="auto" w:before="49"/>
        <w:ind w:right="982"/>
        <w:jc w:val="left"/>
      </w:pPr>
      <w:r>
        <w:rPr/>
        <w:t>公司聘请的报告期内履行持续督导职责的保荐机构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01" w:right="17" w:hanging="378"/>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 恒中心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朱明强、李华筠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2016.12.23--2019.12.31</w:t>
            </w:r>
          </w:p>
        </w:tc>
      </w:tr>
    </w:tbl>
    <w:p>
      <w:pPr>
        <w:pStyle w:val="BodyText"/>
        <w:spacing w:line="240" w:lineRule="auto" w:before="49"/>
        <w:ind w:right="982"/>
        <w:jc w:val="left"/>
      </w:pPr>
      <w:r>
        <w:rPr/>
        <w:t>公司聘请的报告期内履行持续督导职责的财务顾问</w:t>
      </w:r>
    </w:p>
    <w:p>
      <w:pPr>
        <w:pStyle w:val="BodyText"/>
        <w:spacing w:line="240" w:lineRule="auto" w:before="118"/>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公司是否需追溯调整或重述以前年度会计数据</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1649"/>
        <w:gridCol w:w="1649"/>
        <w:gridCol w:w="1949"/>
        <w:gridCol w:w="1346"/>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667,720,172.71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519,848,359.34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445,515,080.90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84,245,509.94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59,960,793.41</w:t>
            </w: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75,767,544.20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63,684,619.43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57,656,114.30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127,963,062.02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115,323,351.32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40,171,267.53</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0.7205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0.7020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0.6662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0.7205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0.7020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0.6662</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1,125,408,339.49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931,346,063.07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740,949,173.15</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612,316,987.75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545,429,675.01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485,184,165.07</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85,143,073.21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122,447,301.65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118,585,373.66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341,544,424.19</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6,086,000.62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18,109,549.11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14,968,938.98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47,290,911.98</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4,794,692.84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15,407,700.60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13,361,266.92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42,203,883.84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-97,969,558.91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-5,618,438.77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122,779,797.12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108,771,262.58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上述财务指标或其加总数是否与公司已披露季度报告、半年度报告相关财务指标存在重大差异</w:t>
      </w:r>
    </w:p>
    <w:p>
      <w:pPr>
        <w:pStyle w:val="BodyText"/>
        <w:spacing w:line="240" w:lineRule="auto" w:before="119"/>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-15,547.14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-21,846.96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181,135.08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5,950,553.03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5,470,413.43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2,537,741.22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-7,246.96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13,442,480.47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6,638,942.92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1,886,092.32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1,256,190.00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406,788.43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10,687,856.49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20,560,890.51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2,304,679.11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1"/>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240" w:lineRule="auto" w:before="117"/>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432" w:lineRule="exact" w:before="62"/>
        <w:ind w:left="573" w:right="982" w:firstLine="2"/>
        <w:jc w:val="left"/>
      </w:pPr>
      <w:r>
        <w:rPr>
          <w:rFonts w:ascii="宋体" w:hAnsi="宋体" w:cs="宋体" w:eastAsia="宋体" w:hint="default"/>
          <w:b/>
          <w:bCs/>
        </w:rPr>
        <w:t>（一）公司的主要业务</w:t>
      </w:r>
      <w:r>
        <w:rPr>
          <w:rFonts w:ascii="宋体" w:hAnsi="宋体" w:cs="宋体" w:eastAsia="宋体" w:hint="default"/>
          <w:b/>
          <w:bCs/>
          <w:w w:val="100"/>
        </w:rPr>
        <w:t> </w:t>
      </w:r>
      <w:r>
        <w:rPr>
          <w:spacing w:val="-4"/>
        </w:rPr>
        <w:t>公司是领先的网络安全解决方案提供商，坚持</w:t>
      </w:r>
      <w:r>
        <w:rPr>
          <w:rFonts w:ascii="Times New Roman" w:hAnsi="Times New Roman" w:cs="Times New Roman" w:eastAsia="Times New Roman" w:hint="default"/>
          <w:spacing w:val="-4"/>
        </w:rPr>
        <w:t>“</w:t>
      </w:r>
      <w:r>
        <w:rPr>
          <w:spacing w:val="-4"/>
        </w:rPr>
        <w:t>共建可信任的数字世界</w:t>
      </w:r>
      <w:r>
        <w:rPr>
          <w:rFonts w:ascii="Times New Roman" w:hAnsi="Times New Roman" w:cs="Times New Roman" w:eastAsia="Times New Roman" w:hint="default"/>
          <w:spacing w:val="-4"/>
        </w:rPr>
        <w:t>”</w:t>
      </w:r>
      <w:r>
        <w:rPr>
          <w:spacing w:val="-4"/>
        </w:rPr>
        <w:t>的企业愿景、以</w:t>
      </w:r>
      <w:r>
        <w:rPr>
          <w:rFonts w:ascii="Times New Roman" w:hAnsi="Times New Roman" w:cs="Times New Roman" w:eastAsia="Times New Roman" w:hint="default"/>
          <w:spacing w:val="-4"/>
        </w:rPr>
        <w:t>“</w:t>
      </w:r>
      <w:r>
        <w:rPr>
          <w:spacing w:val="-4"/>
        </w:rPr>
        <w:t>提供高品质的</w:t>
      </w:r>
    </w:p>
    <w:p>
      <w:pPr>
        <w:pStyle w:val="Heading4"/>
        <w:spacing w:line="271" w:lineRule="exact"/>
        <w:ind w:right="0"/>
        <w:jc w:val="both"/>
      </w:pPr>
      <w:r>
        <w:rPr/>
        <w:t>网络安全服务，帮助用户构建安全可信的网络空间</w:t>
      </w:r>
      <w:r>
        <w:rPr>
          <w:rFonts w:ascii="Times New Roman" w:hAnsi="Times New Roman" w:cs="Times New Roman" w:eastAsia="Times New Roman" w:hint="default"/>
        </w:rPr>
        <w:t>”</w:t>
      </w:r>
      <w:r>
        <w:rPr/>
        <w:t>作为公司使命，始终致力于保障用户信息基础设施安</w:t>
      </w:r>
    </w:p>
    <w:p>
      <w:pPr>
        <w:pStyle w:val="Heading4"/>
        <w:spacing w:line="273" w:lineRule="auto" w:before="21"/>
        <w:ind w:right="1126"/>
        <w:jc w:val="both"/>
      </w:pPr>
      <w:r>
        <w:rPr>
          <w:spacing w:val="-2"/>
        </w:rPr>
        <w:t>全可靠运行、保护用户信息化业务安全可信开展、保卫用户数字资产。公司面向全国客户提供电子认证服</w:t>
      </w:r>
      <w:r>
        <w:rPr>
          <w:spacing w:val="-42"/>
        </w:rPr>
        <w:t> </w:t>
      </w:r>
      <w:r>
        <w:rPr>
          <w:spacing w:val="-42"/>
        </w:rPr>
      </w:r>
      <w:r>
        <w:rPr>
          <w:spacing w:val="-2"/>
        </w:rPr>
        <w:t>务、安全集成、安全咨询与运维服务，并在政务、金融、医疗卫生、电信、教育、交通等领域建立领先优</w:t>
      </w:r>
      <w:r>
        <w:rPr>
          <w:spacing w:val="-49"/>
        </w:rPr>
        <w:t> </w:t>
      </w:r>
      <w:r>
        <w:rPr>
          <w:spacing w:val="-49"/>
        </w:rPr>
      </w:r>
      <w:r>
        <w:rPr/>
        <w:t>势。报告期内公司业务持续稳定增长，</w:t>
      </w:r>
      <w:r>
        <w:rPr>
          <w:rFonts w:ascii="Times New Roman" w:hAnsi="Times New Roman" w:cs="Times New Roman" w:eastAsia="Times New Roman" w:hint="default"/>
        </w:rPr>
        <w:t>2018 </w:t>
      </w:r>
      <w:r>
        <w:rPr/>
        <w:t>年营业收入同比增长</w:t>
      </w:r>
      <w:r>
        <w:rPr>
          <w:spacing w:val="-61"/>
        </w:rPr>
        <w:t> </w:t>
      </w:r>
      <w:r>
        <w:rPr>
          <w:rFonts w:ascii="Times New Roman" w:hAnsi="Times New Roman" w:cs="Times New Roman" w:eastAsia="Times New Roman" w:hint="default"/>
        </w:rPr>
        <w:t>28.45%</w:t>
      </w:r>
      <w:r>
        <w:rPr/>
        <w:t>。</w:t>
      </w:r>
    </w:p>
    <w:p>
      <w:pPr>
        <w:pStyle w:val="Heading3"/>
        <w:spacing w:line="357" w:lineRule="auto" w:before="108"/>
        <w:ind w:left="575" w:right="2114"/>
        <w:jc w:val="left"/>
        <w:rPr>
          <w:b w:val="0"/>
          <w:bCs w:val="0"/>
        </w:rPr>
      </w:pPr>
      <w:r>
        <w:rPr>
          <w:rFonts w:ascii="Times New Roman" w:hAnsi="Times New Roman" w:cs="Times New Roman" w:eastAsia="Times New Roman" w:hint="default"/>
        </w:rPr>
        <w:t>1</w:t>
      </w:r>
      <w:r>
        <w:rPr/>
        <w:t>、主要产品和服务</w:t>
      </w:r>
      <w:r>
        <w:rPr>
          <w:spacing w:val="-103"/>
        </w:rPr>
        <w:t> </w:t>
      </w:r>
      <w:r>
        <w:rPr>
          <w:spacing w:val="-1"/>
        </w:rPr>
        <w:t>公司主要产品和服务：电子认证服务、安全集成、安全咨询与运维服务。</w:t>
      </w:r>
      <w:r>
        <w:rPr>
          <w:b w:val="0"/>
          <w:bCs w:val="0"/>
          <w:spacing w:val="-1"/>
        </w:rPr>
      </w:r>
    </w:p>
    <w:p>
      <w:pPr>
        <w:spacing w:line="357" w:lineRule="auto" w:before="54"/>
        <w:ind w:left="573" w:right="463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）电子认证服务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公司电子认证服务主要包括数字证书和电子签名两类服务。</w:t>
      </w:r>
    </w:p>
    <w:p>
      <w:pPr>
        <w:pStyle w:val="Heading4"/>
        <w:spacing w:line="264" w:lineRule="auto" w:before="54"/>
        <w:ind w:right="1126" w:firstLine="420"/>
        <w:jc w:val="both"/>
      </w:pPr>
      <w:r>
        <w:rPr>
          <w:spacing w:val="-2"/>
        </w:rPr>
        <w:t>公司的数字证书服务是为用户提供数字证书的生产和管理。数字证书是基于密码技术生成的一种电子</w:t>
      </w:r>
      <w:r>
        <w:rPr>
          <w:w w:val="100"/>
        </w:rPr>
        <w:t> </w:t>
      </w:r>
      <w:r>
        <w:rPr>
          <w:spacing w:val="-2"/>
        </w:rPr>
        <w:t>文件，在网络世界中作为身份认证、电子签名和信息保护的基础。公司签发数字证书前需要对用户身份进</w:t>
      </w:r>
      <w:r>
        <w:rPr>
          <w:spacing w:val="-45"/>
        </w:rPr>
        <w:t> </w:t>
      </w:r>
      <w:r>
        <w:rPr>
          <w:spacing w:val="-45"/>
        </w:rPr>
      </w:r>
      <w:r>
        <w:rPr/>
        <w:t>行鉴别，数字证书的有效期一般为</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年，用户应在到期前更新。公司在用户新办数字证书和每年更新数字</w:t>
      </w:r>
      <w:r>
        <w:rPr>
          <w:w w:val="100"/>
        </w:rPr>
        <w:t> </w:t>
      </w:r>
      <w:r>
        <w:rPr/>
        <w:t>证书时收取数字证书年服务费，对于存放在 </w:t>
      </w:r>
      <w:r>
        <w:rPr>
          <w:rFonts w:ascii="Times New Roman" w:hAnsi="Times New Roman" w:cs="Times New Roman" w:eastAsia="Times New Roman" w:hint="default"/>
        </w:rPr>
        <w:t>USBKEY</w:t>
      </w:r>
      <w:r>
        <w:rPr>
          <w:rFonts w:ascii="Times New Roman" w:hAnsi="Times New Roman" w:cs="Times New Roman" w:eastAsia="Times New Roman" w:hint="default"/>
          <w:spacing w:val="22"/>
        </w:rPr>
        <w:t> </w:t>
      </w:r>
      <w:r>
        <w:rPr/>
        <w:t>等证书介质中的数字证书，公司在用户新办数字证</w:t>
      </w:r>
      <w:r>
        <w:rPr>
          <w:w w:val="100"/>
        </w:rPr>
        <w:t> </w:t>
      </w:r>
      <w:r>
        <w:rPr/>
        <w:t>书时同时收取证书介质费用。</w:t>
      </w:r>
    </w:p>
    <w:p>
      <w:pPr>
        <w:pStyle w:val="Heading4"/>
        <w:spacing w:line="268" w:lineRule="auto" w:before="136"/>
        <w:ind w:right="1126" w:firstLine="420"/>
        <w:jc w:val="both"/>
      </w:pPr>
      <w:r>
        <w:rPr>
          <w:spacing w:val="-2"/>
        </w:rPr>
        <w:t>公司的电子签名服务主要向客户提供电子签名生成、电子签名验证、电子签名信息管理等服务，并在</w:t>
      </w:r>
      <w:r>
        <w:rPr>
          <w:w w:val="100"/>
        </w:rPr>
        <w:t> </w:t>
      </w:r>
      <w:r>
        <w:rPr>
          <w:spacing w:val="-2"/>
        </w:rPr>
        <w:t>此基础上向用户提供电子合同管理、证据保全、司法鉴定等解决方案。电子签名是一种在电子文件中起到</w:t>
      </w:r>
      <w:r>
        <w:rPr>
          <w:spacing w:val="-43"/>
        </w:rPr>
        <w:t> </w:t>
      </w:r>
      <w:r>
        <w:rPr>
          <w:spacing w:val="-43"/>
        </w:rPr>
      </w:r>
      <w:r>
        <w:rPr>
          <w:spacing w:val="-2"/>
        </w:rPr>
        <w:t>表明签名人身份和签名人对电子文件内容认可的电子技术手段，是一类反映电子交易事件事实的关键电子</w:t>
      </w:r>
      <w:r>
        <w:rPr>
          <w:spacing w:val="-43"/>
        </w:rPr>
        <w:t> </w:t>
      </w:r>
      <w:r>
        <w:rPr>
          <w:spacing w:val="-43"/>
        </w:rPr>
      </w:r>
      <w:r>
        <w:rPr/>
        <w:t>证据，在《中华人民共和国电子签名法》中规定：</w:t>
      </w:r>
      <w:r>
        <w:rPr>
          <w:rFonts w:ascii="Times New Roman" w:hAnsi="Times New Roman" w:cs="Times New Roman" w:eastAsia="Times New Roman" w:hint="default"/>
        </w:rPr>
        <w:t>“</w:t>
      </w:r>
      <w:r>
        <w:rPr/>
        <w:t>可靠的电子签名与手写签名或者盖章具有同等的法律</w:t>
      </w:r>
      <w:r>
        <w:rPr>
          <w:spacing w:val="-15"/>
        </w:rPr>
        <w:t> </w:t>
      </w:r>
      <w:r>
        <w:rPr>
          <w:spacing w:val="-15"/>
        </w:rPr>
      </w:r>
      <w:r>
        <w:rPr/>
        <w:t>效力</w:t>
      </w:r>
      <w:r>
        <w:rPr>
          <w:rFonts w:ascii="Times New Roman" w:hAnsi="Times New Roman" w:cs="Times New Roman" w:eastAsia="Times New Roman" w:hint="default"/>
        </w:rPr>
        <w:t>”</w:t>
      </w:r>
      <w:r>
        <w:rPr/>
        <w:t>。目前公司基于密码技术构建了可靠电子签名服务体系，向用户提供可靠电子签名服务，客户不需</w:t>
      </w:r>
      <w:r>
        <w:rPr>
          <w:spacing w:val="-12"/>
        </w:rPr>
        <w:t> </w:t>
      </w:r>
      <w:r>
        <w:rPr>
          <w:spacing w:val="-12"/>
        </w:rPr>
      </w:r>
      <w:r>
        <w:rPr>
          <w:spacing w:val="-2"/>
        </w:rPr>
        <w:t>要建设自己的电子签名系统，就可直接使用公司的服务来满足电子签名生成及相关管理需求。公司的电子</w:t>
      </w:r>
      <w:r>
        <w:rPr>
          <w:spacing w:val="-44"/>
        </w:rPr>
        <w:t> </w:t>
      </w:r>
      <w:r>
        <w:rPr>
          <w:spacing w:val="-44"/>
        </w:rPr>
      </w:r>
      <w:r>
        <w:rPr>
          <w:spacing w:val="-2"/>
        </w:rPr>
        <w:t>签名服务业务已面向全国进行推广，开始进入快速发展阶段。根据应用领域及具体项目情况，收费方式有</w:t>
      </w:r>
      <w:r>
        <w:rPr>
          <w:spacing w:val="-45"/>
        </w:rPr>
        <w:t> </w:t>
      </w:r>
      <w:r>
        <w:rPr>
          <w:spacing w:val="-45"/>
        </w:rPr>
      </w:r>
      <w:r>
        <w:rPr/>
        <w:t>按签名次数、包年、阶梯式定价等不同的模式。</w:t>
      </w:r>
    </w:p>
    <w:p>
      <w:pPr>
        <w:pStyle w:val="Heading4"/>
        <w:spacing w:line="240" w:lineRule="auto" w:before="132"/>
        <w:ind w:left="573"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年公司电子认证服务营业收入较</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年增长约</w:t>
      </w:r>
      <w:r>
        <w:rPr>
          <w:spacing w:val="-53"/>
        </w:rPr>
        <w:t> </w:t>
      </w:r>
      <w:r>
        <w:rPr>
          <w:rFonts w:ascii="Times New Roman" w:hAnsi="Times New Roman" w:cs="Times New Roman" w:eastAsia="Times New Roman" w:hint="default"/>
        </w:rPr>
        <w:t>3,284</w:t>
      </w:r>
      <w:r>
        <w:rPr>
          <w:rFonts w:ascii="Times New Roman" w:hAnsi="Times New Roman" w:cs="Times New Roman" w:eastAsia="Times New Roman" w:hint="default"/>
          <w:spacing w:val="-1"/>
        </w:rPr>
        <w:t> </w:t>
      </w:r>
      <w:r>
        <w:rPr/>
        <w:t>万元，同比增长</w:t>
      </w:r>
      <w:r>
        <w:rPr>
          <w:spacing w:val="-56"/>
        </w:rPr>
        <w:t> </w:t>
      </w:r>
      <w:r>
        <w:rPr>
          <w:rFonts w:ascii="Times New Roman" w:hAnsi="Times New Roman" w:cs="Times New Roman" w:eastAsia="Times New Roman" w:hint="default"/>
        </w:rPr>
        <w:t>14.18%</w:t>
      </w:r>
      <w:r>
        <w:rPr/>
        <w:t>。</w:t>
      </w:r>
    </w:p>
    <w:p>
      <w:pPr>
        <w:pStyle w:val="Heading4"/>
        <w:spacing w:line="357" w:lineRule="auto" w:before="141"/>
        <w:ind w:left="573" w:right="982"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）安全集成</w:t>
      </w:r>
      <w:r>
        <w:rPr>
          <w:rFonts w:ascii="宋体" w:hAnsi="宋体" w:cs="宋体" w:eastAsia="宋体" w:hint="default"/>
          <w:b/>
          <w:bCs/>
          <w:w w:val="100"/>
        </w:rPr>
        <w:t> </w:t>
      </w:r>
      <w:r>
        <w:rPr>
          <w:spacing w:val="-2"/>
        </w:rPr>
        <w:t>公司安全集成业务是根据客户自身需求，为客户提供适合其信息系统特点的网络安全保障解决方案。</w:t>
      </w:r>
    </w:p>
    <w:p>
      <w:pPr>
        <w:pStyle w:val="Heading4"/>
        <w:spacing w:line="209" w:lineRule="exact"/>
        <w:ind w:right="0"/>
        <w:jc w:val="both"/>
      </w:pPr>
      <w:r>
        <w:rPr>
          <w:w w:val="100"/>
        </w:rPr>
        <w:t>公司</w:t>
      </w:r>
      <w:r>
        <w:rPr>
          <w:spacing w:val="-3"/>
          <w:w w:val="100"/>
        </w:rPr>
        <w:t>的</w:t>
      </w:r>
      <w:r>
        <w:rPr>
          <w:w w:val="100"/>
        </w:rPr>
        <w:t>解</w:t>
      </w:r>
      <w:r>
        <w:rPr>
          <w:spacing w:val="-3"/>
          <w:w w:val="100"/>
        </w:rPr>
        <w:t>决</w:t>
      </w:r>
      <w:r>
        <w:rPr>
          <w:w w:val="100"/>
        </w:rPr>
        <w:t>方</w:t>
      </w:r>
      <w:r>
        <w:rPr>
          <w:spacing w:val="-3"/>
          <w:w w:val="100"/>
        </w:rPr>
        <w:t>案</w:t>
      </w:r>
      <w:r>
        <w:rPr>
          <w:w w:val="100"/>
        </w:rPr>
        <w:t>是</w:t>
      </w:r>
      <w:r>
        <w:rPr>
          <w:spacing w:val="-3"/>
          <w:w w:val="100"/>
        </w:rPr>
        <w:t>将</w:t>
      </w:r>
      <w:r>
        <w:rPr>
          <w:w w:val="100"/>
        </w:rPr>
        <w:t>自</w:t>
      </w:r>
      <w:r>
        <w:rPr>
          <w:spacing w:val="-3"/>
          <w:w w:val="100"/>
        </w:rPr>
        <w:t>有</w:t>
      </w:r>
      <w:r>
        <w:rPr>
          <w:w w:val="100"/>
        </w:rPr>
        <w:t>产</w:t>
      </w:r>
      <w:r>
        <w:rPr>
          <w:spacing w:val="-48"/>
          <w:w w:val="100"/>
        </w:rPr>
        <w:t>品</w:t>
      </w:r>
      <w:r>
        <w:rPr>
          <w:w w:val="100"/>
        </w:rPr>
        <w:t>（</w:t>
      </w:r>
      <w:r>
        <w:rPr>
          <w:spacing w:val="-3"/>
          <w:w w:val="100"/>
        </w:rPr>
        <w:t>如</w:t>
      </w:r>
      <w:r>
        <w:rPr>
          <w:spacing w:val="-48"/>
          <w:w w:val="100"/>
        </w:rPr>
        <w:t>：</w:t>
      </w:r>
      <w:r>
        <w:rPr>
          <w:w w:val="100"/>
        </w:rPr>
        <w:t>身</w:t>
      </w:r>
      <w:r>
        <w:rPr>
          <w:spacing w:val="-3"/>
          <w:w w:val="100"/>
        </w:rPr>
        <w:t>份</w:t>
      </w:r>
      <w:r>
        <w:rPr>
          <w:w w:val="100"/>
        </w:rPr>
        <w:t>管</w:t>
      </w:r>
      <w:r>
        <w:rPr>
          <w:spacing w:val="-3"/>
          <w:w w:val="100"/>
        </w:rPr>
        <w:t>理</w:t>
      </w:r>
      <w:r>
        <w:rPr>
          <w:w w:val="100"/>
        </w:rPr>
        <w:t>产</w:t>
      </w:r>
      <w:r>
        <w:rPr>
          <w:spacing w:val="-3"/>
          <w:w w:val="100"/>
        </w:rPr>
        <w:t>品</w:t>
      </w:r>
      <w:r>
        <w:rPr>
          <w:spacing w:val="-48"/>
          <w:w w:val="100"/>
        </w:rPr>
        <w:t>、</w:t>
      </w:r>
      <w:r>
        <w:rPr>
          <w:w w:val="100"/>
        </w:rPr>
        <w:t>电子</w:t>
      </w:r>
      <w:r>
        <w:rPr>
          <w:spacing w:val="-3"/>
          <w:w w:val="100"/>
        </w:rPr>
        <w:t>签</w:t>
      </w:r>
      <w:r>
        <w:rPr>
          <w:w w:val="100"/>
        </w:rPr>
        <w:t>名</w:t>
      </w:r>
      <w:r>
        <w:rPr>
          <w:spacing w:val="-3"/>
          <w:w w:val="100"/>
        </w:rPr>
        <w:t>产</w:t>
      </w:r>
      <w:r>
        <w:rPr>
          <w:w w:val="100"/>
        </w:rPr>
        <w:t>品</w:t>
      </w:r>
      <w:r>
        <w:rPr>
          <w:spacing w:val="-108"/>
          <w:w w:val="100"/>
        </w:rPr>
        <w:t>）</w:t>
      </w:r>
      <w:r>
        <w:rPr>
          <w:spacing w:val="-48"/>
          <w:w w:val="100"/>
        </w:rPr>
        <w:t>、</w:t>
      </w:r>
      <w:r>
        <w:rPr>
          <w:w w:val="100"/>
        </w:rPr>
        <w:t>第</w:t>
      </w:r>
      <w:r>
        <w:rPr>
          <w:spacing w:val="-3"/>
          <w:w w:val="100"/>
        </w:rPr>
        <w:t>三</w:t>
      </w:r>
      <w:r>
        <w:rPr>
          <w:w w:val="100"/>
        </w:rPr>
        <w:t>方</w:t>
      </w:r>
      <w:r>
        <w:rPr>
          <w:spacing w:val="-3"/>
          <w:w w:val="100"/>
        </w:rPr>
        <w:t>信</w:t>
      </w:r>
      <w:r>
        <w:rPr>
          <w:w w:val="100"/>
        </w:rPr>
        <w:t>息系</w:t>
      </w:r>
      <w:r>
        <w:rPr>
          <w:spacing w:val="-3"/>
          <w:w w:val="100"/>
        </w:rPr>
        <w:t>统</w:t>
      </w:r>
      <w:r>
        <w:rPr>
          <w:w w:val="100"/>
        </w:rPr>
        <w:t>和</w:t>
      </w:r>
      <w:r>
        <w:rPr>
          <w:spacing w:val="-3"/>
          <w:w w:val="100"/>
        </w:rPr>
        <w:t>网</w:t>
      </w:r>
      <w:r>
        <w:rPr>
          <w:w w:val="100"/>
        </w:rPr>
        <w:t>络</w:t>
      </w:r>
      <w:r>
        <w:rPr>
          <w:spacing w:val="-2"/>
          <w:w w:val="100"/>
        </w:rPr>
        <w:t>安</w:t>
      </w:r>
      <w:r>
        <w:rPr>
          <w:w w:val="100"/>
        </w:rPr>
        <w:t>全</w:t>
      </w:r>
      <w:r>
        <w:rPr>
          <w:spacing w:val="-3"/>
          <w:w w:val="100"/>
        </w:rPr>
        <w:t>产</w:t>
      </w:r>
      <w:r>
        <w:rPr>
          <w:spacing w:val="-48"/>
          <w:w w:val="100"/>
        </w:rPr>
        <w:t>品</w:t>
      </w:r>
      <w:r>
        <w:rPr>
          <w:spacing w:val="-3"/>
          <w:w w:val="100"/>
        </w:rPr>
        <w:t>（</w:t>
      </w:r>
      <w:r>
        <w:rPr>
          <w:w w:val="100"/>
        </w:rPr>
        <w:t>如：</w:t>
      </w:r>
    </w:p>
    <w:p>
      <w:pPr>
        <w:pStyle w:val="Heading4"/>
        <w:spacing w:line="273" w:lineRule="auto" w:before="37"/>
        <w:ind w:right="982"/>
        <w:jc w:val="left"/>
      </w:pPr>
      <w:r>
        <w:rPr>
          <w:spacing w:val="-2"/>
        </w:rPr>
        <w:t>防火墙产品、入侵检测与入侵防御产品、统一威胁管理产品等）有效的与客户信息系统集成，从而提高客</w:t>
      </w:r>
      <w:r>
        <w:rPr>
          <w:spacing w:val="-50"/>
        </w:rPr>
        <w:t> </w:t>
      </w:r>
      <w:r>
        <w:rPr>
          <w:spacing w:val="-50"/>
        </w:rPr>
      </w:r>
      <w:r>
        <w:rPr>
          <w:spacing w:val="-2"/>
        </w:rPr>
        <w:t>户信息系统的安全保障能力。安全集成业务的销售模式分为直销和与渠道商合作两种模式，其中自有产品</w:t>
      </w:r>
    </w:p>
    <w:p>
      <w:pPr>
        <w:spacing w:after="0" w:line="273"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jc w:val="both"/>
      </w:pPr>
      <w:r>
        <w:rPr>
          <w:spacing w:val="-2"/>
        </w:rPr>
        <w:t>定价采用生产成本加上合理利润方式，第三方软硬件产品定价方式为采购成本加上合理利润，集成服务费</w:t>
      </w:r>
      <w:r>
        <w:rPr>
          <w:spacing w:val="-44"/>
        </w:rPr>
        <w:t> </w:t>
      </w:r>
      <w:r>
        <w:rPr>
          <w:spacing w:val="-44"/>
        </w:rPr>
      </w:r>
      <w:r>
        <w:rPr>
          <w:spacing w:val="-2"/>
        </w:rPr>
        <w:t>按照项目总金额一定比例收取。安全集成业务一般按照合同约定进度收款，在合同签署、产品到货、初验</w:t>
      </w:r>
      <w:r>
        <w:rPr>
          <w:spacing w:val="-47"/>
        </w:rPr>
        <w:t> </w:t>
      </w:r>
      <w:r>
        <w:rPr>
          <w:spacing w:val="-47"/>
        </w:rPr>
      </w:r>
      <w:r>
        <w:rPr/>
        <w:t>和终验等环节约定不同收款比例。</w:t>
      </w:r>
    </w:p>
    <w:p>
      <w:pPr>
        <w:pStyle w:val="Heading4"/>
        <w:spacing w:line="256" w:lineRule="auto" w:before="127"/>
        <w:ind w:right="1126" w:firstLine="420"/>
        <w:jc w:val="both"/>
      </w:pPr>
      <w:r>
        <w:rPr>
          <w:spacing w:val="-4"/>
        </w:rPr>
        <w:t>报告期内公司积极响应网络安全市场需求，承接了更多项目，完成项目数同比增长</w:t>
      </w:r>
      <w:r>
        <w:rPr>
          <w:spacing w:val="12"/>
        </w:rPr>
        <w:t> </w:t>
      </w:r>
      <w:r>
        <w:rPr>
          <w:rFonts w:ascii="Times New Roman" w:hAnsi="Times New Roman" w:cs="Times New Roman" w:eastAsia="Times New Roman" w:hint="default"/>
          <w:spacing w:val="-4"/>
        </w:rPr>
        <w:t>26.69%</w:t>
      </w:r>
      <w:r>
        <w:rPr>
          <w:spacing w:val="-4"/>
        </w:rPr>
        <w:t>；同时公司</w:t>
      </w:r>
      <w:r>
        <w:rPr>
          <w:w w:val="100"/>
        </w:rPr>
        <w:t> </w:t>
      </w:r>
      <w:r>
        <w:rPr>
          <w:spacing w:val="-4"/>
        </w:rPr>
        <w:t>不断丰富和完善自有产品和服务，得到市场认可，自有产品收入同比增长 </w:t>
      </w:r>
      <w:r>
        <w:rPr>
          <w:rFonts w:ascii="Times New Roman" w:hAnsi="Times New Roman" w:cs="Times New Roman" w:eastAsia="Times New Roman" w:hint="default"/>
          <w:spacing w:val="-4"/>
        </w:rPr>
        <w:t>50%</w:t>
      </w:r>
      <w:r>
        <w:rPr>
          <w:spacing w:val="-4"/>
        </w:rPr>
        <w:t>以上。</w:t>
      </w:r>
      <w:r>
        <w:rPr>
          <w:rFonts w:ascii="Times New Roman" w:hAnsi="Times New Roman" w:cs="Times New Roman" w:eastAsia="Times New Roman" w:hint="default"/>
          <w:spacing w:val="-4"/>
        </w:rPr>
        <w:t>2018 </w:t>
      </w:r>
      <w:r>
        <w:rPr/>
        <w:t>年公司安全集成</w:t>
      </w:r>
      <w:r>
        <w:rPr>
          <w:spacing w:val="-83"/>
        </w:rPr>
        <w:t> </w:t>
      </w:r>
      <w:r>
        <w:rPr>
          <w:spacing w:val="-83"/>
        </w:rPr>
      </w:r>
      <w:r>
        <w:rPr/>
        <w:t>业务营业收入较</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年增长约</w:t>
      </w:r>
      <w:r>
        <w:rPr>
          <w:spacing w:val="-53"/>
        </w:rPr>
        <w:t> </w:t>
      </w:r>
      <w:r>
        <w:rPr>
          <w:rFonts w:ascii="Times New Roman" w:hAnsi="Times New Roman" w:cs="Times New Roman" w:eastAsia="Times New Roman" w:hint="default"/>
        </w:rPr>
        <w:t>8,158</w:t>
      </w:r>
      <w:r>
        <w:rPr>
          <w:rFonts w:ascii="Times New Roman" w:hAnsi="Times New Roman" w:cs="Times New Roman" w:eastAsia="Times New Roman" w:hint="default"/>
          <w:spacing w:val="-4"/>
        </w:rPr>
        <w:t> </w:t>
      </w:r>
      <w:r>
        <w:rPr/>
        <w:t>万元，同比增长</w:t>
      </w:r>
      <w:r>
        <w:rPr>
          <w:spacing w:val="-54"/>
        </w:rPr>
        <w:t> </w:t>
      </w:r>
      <w:r>
        <w:rPr>
          <w:rFonts w:ascii="Times New Roman" w:hAnsi="Times New Roman" w:cs="Times New Roman" w:eastAsia="Times New Roman" w:hint="default"/>
        </w:rPr>
        <w:t>46.04%</w:t>
      </w:r>
      <w:r>
        <w:rPr/>
        <w:t>。</w:t>
      </w:r>
    </w:p>
    <w:p>
      <w:pPr>
        <w:spacing w:line="357" w:lineRule="auto" w:before="125"/>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）安全咨询与运维服务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公司的安全咨询与运维服务包括：风险评估、合规性咨询、代码审计、脆弱性检查、渗透测试、安全</w:t>
      </w:r>
    </w:p>
    <w:p>
      <w:pPr>
        <w:pStyle w:val="Heading4"/>
        <w:spacing w:line="209" w:lineRule="exact"/>
        <w:ind w:right="0"/>
        <w:jc w:val="both"/>
      </w:pPr>
      <w:r>
        <w:rPr/>
        <w:t>巡检等多项专业安全服务，相关服务按照不同内容、频次与工作量收取服务费。业务收入受项目数量、项</w:t>
      </w:r>
    </w:p>
    <w:p>
      <w:pPr>
        <w:pStyle w:val="Heading4"/>
        <w:spacing w:line="256" w:lineRule="auto" w:before="37"/>
        <w:ind w:right="982"/>
        <w:jc w:val="left"/>
      </w:pPr>
      <w:r>
        <w:rPr>
          <w:spacing w:val="-5"/>
        </w:rPr>
        <w:t>目规模以及实施周期等因素影响，存在一定波动。安全咨询与运维服务通常以年度（</w:t>
      </w:r>
      <w:r>
        <w:rPr>
          <w:rFonts w:ascii="Times New Roman" w:hAnsi="Times New Roman" w:cs="Times New Roman" w:eastAsia="Times New Roman" w:hint="default"/>
          <w:spacing w:val="-5"/>
        </w:rPr>
        <w:t>12 </w:t>
      </w:r>
      <w:r>
        <w:rPr>
          <w:spacing w:val="-7"/>
        </w:rPr>
        <w:t>个月）为服务周期，</w:t>
      </w:r>
      <w:r>
        <w:rPr>
          <w:spacing w:val="-77"/>
        </w:rPr>
        <w:t> </w:t>
      </w:r>
      <w:r>
        <w:rPr>
          <w:spacing w:val="-77"/>
        </w:rPr>
      </w:r>
      <w:r>
        <w:rPr/>
        <w:t>合同款项通常分两次收取，首次收款在合同签订时，尾款在服务结束时收取。</w:t>
      </w:r>
    </w:p>
    <w:p>
      <w:pPr>
        <w:pStyle w:val="Heading4"/>
        <w:spacing w:line="264" w:lineRule="auto" w:before="142"/>
        <w:ind w:right="1126" w:firstLine="420"/>
        <w:jc w:val="both"/>
      </w:pPr>
      <w:r>
        <w:rPr>
          <w:spacing w:val="-2"/>
        </w:rPr>
        <w:t>报告期内公司进一步增强安全咨询与运维服务能力，通过深度挖掘客户需求为原有客户提供更多高质</w:t>
      </w:r>
      <w:r>
        <w:rPr>
          <w:w w:val="100"/>
        </w:rPr>
        <w:t> </w:t>
      </w:r>
      <w:r>
        <w:rPr>
          <w:spacing w:val="-11"/>
          <w:w w:val="100"/>
        </w:rPr>
        <w:t>量服务，并进一步积极开拓新的优质客户，</w:t>
      </w:r>
      <w:r>
        <w:rPr>
          <w:rFonts w:ascii="Times New Roman" w:hAnsi="Times New Roman" w:cs="Times New Roman" w:eastAsia="Times New Roman" w:hint="default"/>
          <w:spacing w:val="-11"/>
          <w:w w:val="100"/>
        </w:rPr>
        <w:t>2018</w:t>
      </w:r>
      <w:r>
        <w:rPr>
          <w:rFonts w:ascii="Times New Roman" w:hAnsi="Times New Roman" w:cs="Times New Roman" w:eastAsia="Times New Roman" w:hint="default"/>
          <w:spacing w:val="-16"/>
          <w:w w:val="100"/>
        </w:rPr>
        <w:t> </w:t>
      </w:r>
      <w:r>
        <w:rPr>
          <w:spacing w:val="-2"/>
          <w:w w:val="100"/>
        </w:rPr>
        <w:t>年公司安全咨询与运维服务营业收入较</w:t>
      </w:r>
      <w:r>
        <w:rPr>
          <w:spacing w:val="-69"/>
          <w:w w:val="100"/>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6"/>
          <w:w w:val="100"/>
        </w:rPr>
        <w:t> </w:t>
      </w:r>
      <w:r>
        <w:rPr>
          <w:spacing w:val="-1"/>
          <w:w w:val="100"/>
        </w:rPr>
        <w:t>年增长约</w:t>
      </w:r>
      <w:r>
        <w:rPr>
          <w:spacing w:val="-66"/>
          <w:w w:val="100"/>
        </w:rPr>
        <w:t> </w:t>
      </w:r>
      <w:r>
        <w:rPr>
          <w:rFonts w:ascii="Times New Roman" w:hAnsi="Times New Roman" w:cs="Times New Roman" w:eastAsia="Times New Roman" w:hint="default"/>
          <w:spacing w:val="-2"/>
          <w:w w:val="100"/>
        </w:rPr>
        <w:t>3,345</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t>万元，同比增长</w:t>
      </w:r>
      <w:r>
        <w:rPr>
          <w:spacing w:val="-43"/>
        </w:rPr>
        <w:t> </w:t>
      </w:r>
      <w:r>
        <w:rPr>
          <w:rFonts w:ascii="Times New Roman" w:hAnsi="Times New Roman" w:cs="Times New Roman" w:eastAsia="Times New Roman" w:hint="default"/>
          <w:spacing w:val="-3"/>
        </w:rPr>
        <w:t>30.11%</w:t>
      </w:r>
      <w:r>
        <w:rPr>
          <w:spacing w:val="-3"/>
        </w:rPr>
        <w:t>。</w:t>
      </w:r>
    </w:p>
    <w:p>
      <w:pPr>
        <w:spacing w:line="357" w:lineRule="auto" w:before="118"/>
        <w:ind w:left="573" w:right="463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、主要的业绩驱动因素</w:t>
      </w:r>
      <w:r>
        <w:rPr>
          <w:rFonts w:ascii="宋体" w:hAnsi="宋体" w:cs="宋体" w:eastAsia="宋体" w:hint="default"/>
          <w:b/>
          <w:bCs/>
          <w:w w:val="100"/>
          <w:sz w:val="21"/>
          <w:szCs w:val="21"/>
        </w:rPr>
        <w:t> </w:t>
      </w:r>
      <w:r>
        <w:rPr>
          <w:rFonts w:ascii="宋体" w:hAnsi="宋体" w:cs="宋体" w:eastAsia="宋体" w:hint="default"/>
          <w:spacing w:val="-2"/>
          <w:sz w:val="21"/>
          <w:szCs w:val="21"/>
        </w:rPr>
        <w:t>业绩增长的主要因素包括如下两个方面：</w:t>
      </w:r>
    </w:p>
    <w:p>
      <w:pPr>
        <w:pStyle w:val="Heading4"/>
        <w:spacing w:line="264" w:lineRule="auto" w:before="54"/>
        <w:ind w:right="1126" w:firstLine="420"/>
        <w:jc w:val="both"/>
      </w:pPr>
      <w:r>
        <w:rPr>
          <w:rFonts w:ascii="Times New Roman" w:hAnsi="Times New Roman" w:cs="Times New Roman" w:eastAsia="Times New Roman" w:hint="default"/>
          <w:spacing w:val="-7"/>
          <w:w w:val="100"/>
        </w:rPr>
        <w:t>(1)</w:t>
      </w:r>
      <w:r>
        <w:rPr>
          <w:spacing w:val="-7"/>
          <w:w w:val="100"/>
        </w:rPr>
        <w:t>市场需求增长。一是建设网络强国成为国家战略，《中华人民共和国网络安全法》、《网络安全等级</w:t>
      </w:r>
      <w:r>
        <w:rPr>
          <w:w w:val="100"/>
        </w:rPr>
        <w:t> </w:t>
      </w:r>
      <w:r>
        <w:rPr/>
        <w:t>保护条例</w:t>
      </w:r>
      <w:r>
        <w:rPr>
          <w:rFonts w:ascii="Times New Roman" w:hAnsi="Times New Roman" w:cs="Times New Roman" w:eastAsia="Times New Roman" w:hint="default"/>
        </w:rPr>
        <w:t>(</w:t>
      </w:r>
      <w:r>
        <w:rPr/>
        <w:t>征求意见稿</w:t>
      </w:r>
      <w:r>
        <w:rPr>
          <w:rFonts w:ascii="Times New Roman" w:hAnsi="Times New Roman" w:cs="Times New Roman" w:eastAsia="Times New Roman" w:hint="default"/>
        </w:rPr>
        <w:t>)</w:t>
      </w:r>
      <w:r>
        <w:rPr/>
        <w:t>》的推出，使得网络安全上升到法律层面，网络安全在深度、广度、策略、保护手</w:t>
      </w:r>
      <w:r>
        <w:rPr>
          <w:spacing w:val="-60"/>
        </w:rPr>
        <w:t> </w:t>
      </w:r>
      <w:r>
        <w:rPr>
          <w:spacing w:val="-60"/>
        </w:rPr>
      </w:r>
      <w:r>
        <w:rPr>
          <w:spacing w:val="-2"/>
        </w:rPr>
        <w:t>段和法律法规五个方面更为完善，国内各行业的网络安全意识得到了进一步的加强，趋严的网络安全监管</w:t>
      </w:r>
      <w:r>
        <w:rPr>
          <w:spacing w:val="-44"/>
        </w:rPr>
        <w:t> </w:t>
      </w:r>
      <w:r>
        <w:rPr>
          <w:spacing w:val="-44"/>
        </w:rPr>
      </w:r>
      <w:r>
        <w:rPr>
          <w:spacing w:val="-2"/>
        </w:rPr>
        <w:t>环境导致各行业对网络安全投入的持续增长得到保证。二是新技术广泛应用推动网络安全需求增长。随着</w:t>
      </w:r>
      <w:r>
        <w:rPr>
          <w:spacing w:val="-43"/>
        </w:rPr>
        <w:t> </w:t>
      </w:r>
      <w:r>
        <w:rPr>
          <w:spacing w:val="-43"/>
        </w:rPr>
      </w:r>
      <w:r>
        <w:rPr/>
        <w:t>新兴技术的发展和智能移动终端的普及，</w:t>
      </w:r>
      <w:r>
        <w:rPr>
          <w:rFonts w:ascii="Times New Roman" w:hAnsi="Times New Roman" w:cs="Times New Roman" w:eastAsia="Times New Roman" w:hint="default"/>
        </w:rPr>
        <w:t>“</w:t>
      </w:r>
      <w:r>
        <w:rPr/>
        <w:t>无纸化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移动化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自动化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智能化</w:t>
      </w:r>
      <w:r>
        <w:rPr>
          <w:rFonts w:ascii="Times New Roman" w:hAnsi="Times New Roman" w:cs="Times New Roman" w:eastAsia="Times New Roman" w:hint="default"/>
        </w:rPr>
        <w:t>”</w:t>
      </w:r>
      <w:r>
        <w:rPr/>
        <w:t>等技术的广泛应用，</w:t>
      </w:r>
      <w:r>
        <w:rPr>
          <w:spacing w:val="-40"/>
        </w:rPr>
        <w:t> </w:t>
      </w:r>
      <w:r>
        <w:rPr>
          <w:spacing w:val="-40"/>
        </w:rPr>
      </w:r>
      <w:r>
        <w:rPr/>
        <w:t>社会各界产生了大量的</w:t>
      </w:r>
      <w:r>
        <w:rPr>
          <w:rFonts w:ascii="Times New Roman" w:hAnsi="Times New Roman" w:cs="Times New Roman" w:eastAsia="Times New Roman" w:hint="default"/>
        </w:rPr>
        <w:t>“</w:t>
      </w:r>
      <w:r>
        <w:rPr/>
        <w:t>自发性</w:t>
      </w:r>
      <w:r>
        <w:rPr>
          <w:rFonts w:ascii="Times New Roman" w:hAnsi="Times New Roman" w:cs="Times New Roman" w:eastAsia="Times New Roman" w:hint="default"/>
        </w:rPr>
        <w:t>”</w:t>
      </w:r>
      <w:r>
        <w:rPr/>
        <w:t>网络安全需求。</w:t>
      </w:r>
    </w:p>
    <w:p>
      <w:pPr>
        <w:pStyle w:val="Heading4"/>
        <w:spacing w:line="268" w:lineRule="auto" w:before="118"/>
        <w:ind w:right="1126" w:firstLine="420"/>
        <w:jc w:val="both"/>
      </w:pPr>
      <w:r>
        <w:rPr>
          <w:rFonts w:ascii="Times New Roman" w:hAnsi="Times New Roman" w:cs="Times New Roman" w:eastAsia="Times New Roman" w:hint="default"/>
          <w:spacing w:val="-3"/>
        </w:rPr>
        <w:t>(2)</w:t>
      </w:r>
      <w:r>
        <w:rPr>
          <w:spacing w:val="-3"/>
        </w:rPr>
        <w:t>公司核心竞争力提升。公司借助深厚的行业积累、强大的品牌影响力、创新的解决方案、高质量的</w:t>
      </w:r>
      <w:r>
        <w:rPr>
          <w:w w:val="100"/>
        </w:rPr>
        <w:t> </w:t>
      </w:r>
      <w:r>
        <w:rPr>
          <w:spacing w:val="-2"/>
        </w:rPr>
        <w:t>产品和优质的服务，有效推动公司业务发展。一是公司投入大量资源，不断完善产品、优化系统平台、提</w:t>
      </w:r>
      <w:r>
        <w:rPr>
          <w:spacing w:val="-43"/>
        </w:rPr>
        <w:t> </w:t>
      </w:r>
      <w:r>
        <w:rPr>
          <w:spacing w:val="-43"/>
        </w:rPr>
      </w:r>
      <w:r>
        <w:rPr>
          <w:spacing w:val="-2"/>
        </w:rPr>
        <w:t>升服务质量，保持竞争中的优势地位。二是通过全国营销体系，将先进经验和成功案例在全国范围内进行</w:t>
      </w:r>
      <w:r>
        <w:rPr>
          <w:spacing w:val="-42"/>
        </w:rPr>
        <w:t> </w:t>
      </w:r>
      <w:r>
        <w:rPr>
          <w:spacing w:val="-42"/>
        </w:rPr>
      </w:r>
      <w:r>
        <w:rPr>
          <w:spacing w:val="-2"/>
        </w:rPr>
        <w:t>复制和推广。三是勇于进行业务创新，公司深入研究各项政策、钻研重点行业业务应用，新增了互联网医</w:t>
      </w:r>
      <w:r>
        <w:rPr>
          <w:spacing w:val="-50"/>
        </w:rPr>
        <w:t> </w:t>
      </w:r>
      <w:r>
        <w:rPr>
          <w:spacing w:val="-50"/>
        </w:rPr>
      </w:r>
      <w:r>
        <w:rPr/>
        <w:t>疗监管、电商、非税等新的解决方案，不断迎合新的市场需求。</w:t>
      </w:r>
    </w:p>
    <w:p>
      <w:pPr>
        <w:spacing w:line="432" w:lineRule="exact" w:before="31"/>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（二）报告期内公司所处行业情况说明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公司主营业务属于网络安全行业，国家、政府、企业面临的网络安全威胁日益增加，国家对网络安全</w:t>
      </w:r>
    </w:p>
    <w:p>
      <w:pPr>
        <w:pStyle w:val="Heading4"/>
        <w:spacing w:line="255" w:lineRule="exact"/>
        <w:ind w:right="0"/>
        <w:jc w:val="both"/>
      </w:pPr>
      <w:r>
        <w:rPr/>
        <w:t>重视程度逐渐提升，网络安全是经济全球化和社会信息化的前提，是国家安全和社会稳定的基础。面对日</w:t>
      </w:r>
    </w:p>
    <w:p>
      <w:pPr>
        <w:pStyle w:val="Heading4"/>
        <w:spacing w:line="273" w:lineRule="auto" w:before="37"/>
        <w:ind w:right="1126"/>
        <w:jc w:val="both"/>
      </w:pPr>
      <w:r>
        <w:rPr>
          <w:spacing w:val="-7"/>
          <w:w w:val="100"/>
        </w:rPr>
        <w:t>益严峻的网络安全形势，近年来针对网络安全的政策、法规、指导意见不断推出，《网络安全法》、《国家</w:t>
      </w:r>
      <w:r>
        <w:rPr>
          <w:spacing w:val="-65"/>
          <w:w w:val="100"/>
        </w:rPr>
        <w:t> </w:t>
      </w:r>
      <w:r>
        <w:rPr>
          <w:spacing w:val="-65"/>
          <w:w w:val="100"/>
        </w:rPr>
      </w:r>
      <w:r>
        <w:rPr>
          <w:spacing w:val="-11"/>
          <w:w w:val="100"/>
        </w:rPr>
        <w:t>网络空间安全战略》、《关于推动资本市场服务网络强国建设的指导意见》、《网络安全等级保护条例（征求</w:t>
      </w:r>
      <w:r>
        <w:rPr>
          <w:spacing w:val="-87"/>
          <w:w w:val="100"/>
        </w:rPr>
        <w:t> </w:t>
      </w:r>
      <w:r>
        <w:rPr>
          <w:spacing w:val="-87"/>
          <w:w w:val="100"/>
        </w:rPr>
      </w:r>
      <w:r>
        <w:rPr>
          <w:spacing w:val="-2"/>
          <w:w w:val="100"/>
        </w:rPr>
        <w:t>意见稿）》等法律法规和配套文件陆续出台，网络安全建设受到政策大力支持，行业呈现出加速发展的趋</w:t>
      </w:r>
      <w:r>
        <w:rPr>
          <w:spacing w:val="-94"/>
          <w:w w:val="100"/>
        </w:rPr>
        <w:t> </w:t>
      </w:r>
      <w:r>
        <w:rPr>
          <w:spacing w:val="-94"/>
          <w:w w:val="100"/>
        </w:rPr>
      </w:r>
      <w:r>
        <w:rPr/>
        <w:t>势。</w:t>
      </w:r>
    </w:p>
    <w:p>
      <w:pPr>
        <w:pStyle w:val="Heading4"/>
        <w:spacing w:line="256" w:lineRule="auto" w:before="127"/>
        <w:ind w:right="982" w:firstLine="420"/>
        <w:jc w:val="left"/>
      </w:pPr>
      <w:r>
        <w:rPr>
          <w:spacing w:val="-4"/>
        </w:rPr>
        <w:t>公司的客户主要为政府、企事业单位、医院、金融企业等。在政务方面，</w:t>
      </w:r>
      <w:r>
        <w:rPr>
          <w:rFonts w:ascii="Times New Roman" w:hAnsi="Times New Roman" w:cs="Times New Roman" w:eastAsia="Times New Roman" w:hint="default"/>
          <w:spacing w:val="-4"/>
        </w:rPr>
        <w:t>2018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月国务院办公厅发</w:t>
      </w:r>
      <w:r>
        <w:rPr>
          <w:w w:val="100"/>
        </w:rPr>
        <w:t> </w:t>
      </w:r>
      <w:r>
        <w:rPr/>
        <w:t>布国办发〔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45</w:t>
      </w:r>
      <w:r>
        <w:rPr>
          <w:rFonts w:ascii="Times New Roman" w:hAnsi="Times New Roman" w:cs="Times New Roman" w:eastAsia="Times New Roman" w:hint="default"/>
          <w:spacing w:val="51"/>
        </w:rPr>
        <w:t> </w:t>
      </w:r>
      <w:r>
        <w:rPr/>
        <w:t>号文《进一步深化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推进政务服务</w:t>
      </w:r>
      <w:r>
        <w:rPr>
          <w:rFonts w:ascii="Times New Roman" w:hAnsi="Times New Roman" w:cs="Times New Roman" w:eastAsia="Times New Roman" w:hint="default"/>
        </w:rPr>
        <w:t>“</w:t>
      </w:r>
      <w:r>
        <w:rPr/>
        <w:t>一网、一门、一次</w:t>
      </w:r>
      <w:r>
        <w:rPr>
          <w:rFonts w:ascii="Times New Roman" w:hAnsi="Times New Roman" w:cs="Times New Roman" w:eastAsia="Times New Roman" w:hint="default"/>
        </w:rPr>
        <w:t>”</w:t>
      </w:r>
      <w:r>
        <w:rPr/>
        <w:t>改革实施方</w:t>
      </w:r>
      <w:r>
        <w:rPr>
          <w:w w:val="100"/>
        </w:rPr>
        <w:t> </w:t>
      </w:r>
      <w:r>
        <w:rPr>
          <w:spacing w:val="-5"/>
          <w:w w:val="100"/>
        </w:rPr>
        <w:t>案》，提出</w:t>
      </w:r>
      <w:r>
        <w:rPr>
          <w:rFonts w:ascii="Times New Roman" w:hAnsi="Times New Roman" w:cs="Times New Roman" w:eastAsia="Times New Roman" w:hint="default"/>
          <w:spacing w:val="-5"/>
          <w:w w:val="100"/>
        </w:rPr>
        <w:t>“</w:t>
      </w:r>
      <w:r>
        <w:rPr>
          <w:spacing w:val="-5"/>
          <w:w w:val="100"/>
        </w:rPr>
        <w:t>进一步深化</w:t>
      </w:r>
      <w:r>
        <w:rPr>
          <w:rFonts w:ascii="Times New Roman" w:hAnsi="Times New Roman" w:cs="Times New Roman" w:eastAsia="Times New Roman" w:hint="default"/>
          <w:spacing w:val="-5"/>
          <w:w w:val="100"/>
        </w:rPr>
        <w:t>‘</w:t>
      </w:r>
      <w:r>
        <w:rPr>
          <w:spacing w:val="-5"/>
          <w:w w:val="100"/>
        </w:rPr>
        <w:t>互联网</w:t>
      </w:r>
      <w:r>
        <w:rPr>
          <w:rFonts w:ascii="Times New Roman" w:hAnsi="Times New Roman" w:cs="Times New Roman" w:eastAsia="Times New Roman" w:hint="default"/>
          <w:spacing w:val="-5"/>
          <w:w w:val="100"/>
        </w:rPr>
        <w:t>+</w:t>
      </w:r>
      <w:r>
        <w:rPr>
          <w:spacing w:val="-5"/>
          <w:w w:val="100"/>
        </w:rPr>
        <w:t>政务服务</w:t>
      </w:r>
      <w:r>
        <w:rPr>
          <w:rFonts w:ascii="Times New Roman" w:hAnsi="Times New Roman" w:cs="Times New Roman" w:eastAsia="Times New Roman" w:hint="default"/>
          <w:spacing w:val="-5"/>
          <w:w w:val="100"/>
        </w:rPr>
        <w:t>’</w:t>
      </w:r>
      <w:r>
        <w:rPr>
          <w:spacing w:val="-5"/>
          <w:w w:val="100"/>
        </w:rPr>
        <w:t>，充分运用信息化手段解决企业和群众反映强烈的办事难、办事</w:t>
      </w:r>
      <w:r>
        <w:rPr>
          <w:spacing w:val="-94"/>
          <w:w w:val="100"/>
        </w:rPr>
        <w:t> </w:t>
      </w:r>
      <w:r>
        <w:rPr>
          <w:spacing w:val="-94"/>
          <w:w w:val="100"/>
        </w:rPr>
      </w:r>
      <w:r>
        <w:rPr/>
        <w:t>慢、办事繁的问题</w:t>
      </w:r>
      <w:r>
        <w:rPr>
          <w:rFonts w:ascii="Times New Roman" w:hAnsi="Times New Roman" w:cs="Times New Roman" w:eastAsia="Times New Roman" w:hint="default"/>
        </w:rPr>
        <w:t>”</w:t>
      </w:r>
      <w:r>
        <w:rPr/>
        <w:t>，将有利于公司业务的推广和应用。在医疗卫生方面，</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月国务院办公厅发布</w:t>
      </w:r>
      <w:r>
        <w:rPr>
          <w:w w:val="100"/>
        </w:rPr>
        <w:t> </w:t>
      </w:r>
      <w:r>
        <w:rPr>
          <w:spacing w:val="-4"/>
          <w:w w:val="100"/>
        </w:rPr>
        <w:t>国办发〔</w:t>
      </w:r>
      <w:r>
        <w:rPr>
          <w:rFonts w:ascii="Times New Roman" w:hAnsi="Times New Roman" w:cs="Times New Roman" w:eastAsia="Times New Roman" w:hint="default"/>
          <w:spacing w:val="-4"/>
          <w:w w:val="100"/>
        </w:rPr>
        <w:t>2018</w:t>
      </w:r>
      <w:r>
        <w:rPr>
          <w:spacing w:val="-4"/>
          <w:w w:val="100"/>
        </w:rPr>
        <w:t>〕</w:t>
      </w:r>
      <w:r>
        <w:rPr>
          <w:rFonts w:ascii="Times New Roman" w:hAnsi="Times New Roman" w:cs="Times New Roman" w:eastAsia="Times New Roman" w:hint="default"/>
          <w:spacing w:val="-4"/>
          <w:w w:val="100"/>
        </w:rPr>
        <w:t>26</w:t>
      </w:r>
      <w:r>
        <w:rPr>
          <w:rFonts w:ascii="Times New Roman" w:hAnsi="Times New Roman" w:cs="Times New Roman" w:eastAsia="Times New Roman" w:hint="default"/>
          <w:w w:val="100"/>
        </w:rPr>
        <w:t> </w:t>
      </w:r>
      <w:r>
        <w:rPr>
          <w:spacing w:val="-5"/>
          <w:w w:val="100"/>
        </w:rPr>
        <w:t>号文《关于促进</w:t>
      </w:r>
      <w:r>
        <w:rPr>
          <w:rFonts w:ascii="Times New Roman" w:hAnsi="Times New Roman" w:cs="Times New Roman" w:eastAsia="Times New Roman" w:hint="default"/>
          <w:spacing w:val="-5"/>
          <w:w w:val="100"/>
        </w:rPr>
        <w:t>“</w:t>
      </w:r>
      <w:r>
        <w:rPr>
          <w:spacing w:val="-5"/>
          <w:w w:val="100"/>
        </w:rPr>
        <w:t>互联网</w:t>
      </w:r>
      <w:r>
        <w:rPr>
          <w:rFonts w:ascii="Times New Roman" w:hAnsi="Times New Roman" w:cs="Times New Roman" w:eastAsia="Times New Roman" w:hint="default"/>
          <w:spacing w:val="-5"/>
          <w:w w:val="100"/>
        </w:rPr>
        <w:t>+</w:t>
      </w:r>
      <w:r>
        <w:rPr>
          <w:spacing w:val="-5"/>
          <w:w w:val="100"/>
        </w:rPr>
        <w:t>医疗健康</w:t>
      </w:r>
      <w:r>
        <w:rPr>
          <w:rFonts w:ascii="Times New Roman" w:hAnsi="Times New Roman" w:cs="Times New Roman" w:eastAsia="Times New Roman" w:hint="default"/>
          <w:spacing w:val="-5"/>
          <w:w w:val="100"/>
        </w:rPr>
        <w:t>”</w:t>
      </w:r>
      <w:r>
        <w:rPr>
          <w:spacing w:val="-5"/>
          <w:w w:val="100"/>
        </w:rPr>
        <w:t>发展的意见》，指出</w:t>
      </w:r>
      <w:r>
        <w:rPr>
          <w:rFonts w:ascii="Times New Roman" w:hAnsi="Times New Roman" w:cs="Times New Roman" w:eastAsia="Times New Roman" w:hint="default"/>
          <w:spacing w:val="-5"/>
          <w:w w:val="100"/>
        </w:rPr>
        <w:t>“</w:t>
      </w:r>
      <w:r>
        <w:rPr>
          <w:spacing w:val="-5"/>
          <w:w w:val="100"/>
        </w:rPr>
        <w:t>加快建设基础资源信息数据库，</w:t>
      </w:r>
      <w:r>
        <w:rPr>
          <w:spacing w:val="-83"/>
          <w:w w:val="100"/>
        </w:rPr>
        <w:t> </w:t>
      </w:r>
      <w:r>
        <w:rPr>
          <w:spacing w:val="-83"/>
          <w:w w:val="100"/>
        </w:rPr>
      </w:r>
      <w:r>
        <w:rPr/>
        <w:t>完善全员人口、电子健康档案、电子病历等数据库。大力提升医疗机构信息化应用水平</w:t>
      </w:r>
      <w:r>
        <w:rPr>
          <w:rFonts w:ascii="Times New Roman" w:hAnsi="Times New Roman" w:cs="Times New Roman" w:eastAsia="Times New Roman" w:hint="default"/>
        </w:rPr>
        <w:t>”</w:t>
      </w:r>
      <w:r>
        <w:rPr/>
        <w:t>，国家卫健委发</w:t>
      </w:r>
    </w:p>
    <w:p>
      <w:pPr>
        <w:spacing w:after="0" w:line="256"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61" w:lineRule="auto" w:before="36"/>
        <w:ind w:right="1126"/>
        <w:jc w:val="both"/>
      </w:pPr>
      <w:r>
        <w:rPr/>
        <w:t>布的《医疗质量安全核心制度要点》明确</w:t>
      </w:r>
      <w:r>
        <w:rPr>
          <w:rFonts w:ascii="Times New Roman" w:hAnsi="Times New Roman" w:cs="Times New Roman" w:eastAsia="Times New Roman" w:hint="default"/>
        </w:rPr>
        <w:t>“</w:t>
      </w:r>
      <w:r>
        <w:rPr/>
        <w:t>病历应准确反映医疗活动全过程，实现医疗服务行为可追溯，</w:t>
      </w:r>
      <w:r>
        <w:rPr>
          <w:spacing w:val="-14"/>
        </w:rPr>
        <w:t> </w:t>
      </w:r>
      <w:r>
        <w:rPr>
          <w:spacing w:val="-14"/>
        </w:rPr>
      </w:r>
      <w:r>
        <w:rPr/>
        <w:t>维护医患双方合法权益，保障医疗质量和医疗安全</w:t>
      </w:r>
      <w:r>
        <w:rPr>
          <w:rFonts w:ascii="Times New Roman" w:hAnsi="Times New Roman" w:cs="Times New Roman" w:eastAsia="Times New Roman" w:hint="default"/>
        </w:rPr>
        <w:t>”</w:t>
      </w:r>
      <w:r>
        <w:rPr/>
        <w:t>，这些政策的推出更有利于公司产品和服务在医疗卫</w:t>
      </w:r>
      <w:r>
        <w:rPr>
          <w:spacing w:val="-15"/>
        </w:rPr>
        <w:t> </w:t>
      </w:r>
      <w:r>
        <w:rPr>
          <w:spacing w:val="-15"/>
        </w:rPr>
      </w:r>
      <w:r>
        <w:rPr>
          <w:spacing w:val="-2"/>
        </w:rPr>
        <w:t>生领域的推广。在金融方面，中国证监会《证券期货投资者适当性管理办法》和中国银保监会《保险电子</w:t>
      </w:r>
      <w:r>
        <w:rPr>
          <w:spacing w:val="-42"/>
        </w:rPr>
        <w:t> </w:t>
      </w:r>
      <w:r>
        <w:rPr>
          <w:spacing w:val="-42"/>
        </w:rPr>
      </w:r>
      <w:r>
        <w:rPr/>
        <w:t>签名技术应用规范》的发布均对公司电子认证业务起到推动作用。</w:t>
      </w:r>
    </w:p>
    <w:p>
      <w:pPr>
        <w:pStyle w:val="Heading4"/>
        <w:spacing w:line="273" w:lineRule="auto" w:before="138"/>
        <w:ind w:right="982" w:firstLine="420"/>
        <w:jc w:val="left"/>
      </w:pPr>
      <w:r>
        <w:rPr>
          <w:spacing w:val="-5"/>
        </w:rPr>
        <w:t>经过十多年的创新发展，公司成为以自主知识产权技术为核心、国内领先的网络安全解决方案提供商。</w:t>
      </w:r>
      <w:r>
        <w:rPr>
          <w:w w:val="100"/>
        </w:rPr>
        <w:t> </w:t>
      </w:r>
      <w:r>
        <w:rPr/>
        <w:t>公司是网络信任与数字安全领域标准规范的倡导者，也是行业应用的引领者。随着公司全国化业务拓展，</w:t>
      </w:r>
      <w:r>
        <w:rPr>
          <w:w w:val="100"/>
        </w:rPr>
        <w:t> </w:t>
      </w:r>
      <w:r>
        <w:rPr>
          <w:spacing w:val="-2"/>
        </w:rPr>
        <w:t>公司凭借优良的产品质量、良好的售后服务及不断扩大的市场占有率，成功树立并享有较高的品牌知名度</w:t>
      </w:r>
      <w:r>
        <w:rPr>
          <w:spacing w:val="-43"/>
        </w:rPr>
        <w:t> </w:t>
      </w:r>
      <w:r>
        <w:rPr>
          <w:spacing w:val="-43"/>
        </w:rPr>
      </w:r>
      <w:r>
        <w:rPr>
          <w:spacing w:val="-2"/>
        </w:rPr>
        <w:t>和信誉度。随着公司业务的不断拓展，新技术的不断应用，新产品的不断推出，公司行业领先地位进一步</w:t>
      </w:r>
      <w:r>
        <w:rPr>
          <w:spacing w:val="-50"/>
        </w:rPr>
        <w:t> </w:t>
      </w:r>
      <w:r>
        <w:rPr>
          <w:spacing w:val="-50"/>
        </w:rPr>
      </w:r>
      <w:r>
        <w:rPr/>
        <w:t>巩固。</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w:t>
      </w:r>
      <w:r>
        <w:rPr>
          <w:spacing w:val="-2"/>
        </w:rPr>
        <w:t> </w:t>
      </w:r>
      <w:r>
        <w:rPr/>
        <w:t>重大变化情况</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7019"/>
      </w:tblGrid>
      <w:tr>
        <w:trPr>
          <w:trHeight w:val="187"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主要为公司联营企业版信通增资导致的其他权益增加和公司对中天信安新增投资所致</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主要为本期数字认证（武汉）购买土地增加所致</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软件与信息技术服务业</w:t>
      </w:r>
    </w:p>
    <w:p>
      <w:pPr>
        <w:spacing w:line="430" w:lineRule="atLeast" w:before="20"/>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（一）一体化的网络安全解决方案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公司是国内为数不多的既可以保障用户信息系统可靠运行，又可以保护业务可信开展，还可以保卫用</w:t>
      </w:r>
    </w:p>
    <w:p>
      <w:pPr>
        <w:pStyle w:val="Heading4"/>
        <w:spacing w:line="273" w:lineRule="auto" w:before="37"/>
        <w:ind w:right="1126"/>
        <w:jc w:val="both"/>
      </w:pPr>
      <w:r>
        <w:rPr>
          <w:spacing w:val="-2"/>
        </w:rPr>
        <w:t>户数字资产安全的综合性网络安全解决方案提供商，能结合客户业务信息系统特点，将公司自有产品、第</w:t>
      </w:r>
      <w:r>
        <w:rPr>
          <w:spacing w:val="-43"/>
        </w:rPr>
        <w:t> </w:t>
      </w:r>
      <w:r>
        <w:rPr>
          <w:spacing w:val="-43"/>
        </w:rPr>
      </w:r>
      <w:r>
        <w:rPr>
          <w:spacing w:val="-2"/>
        </w:rPr>
        <w:t>三方信息系统和网络安全产品有效集成到用户业务系统中，为不同行业客户提供全方位一体化的网络安全</w:t>
      </w:r>
      <w:r>
        <w:rPr>
          <w:spacing w:val="-43"/>
        </w:rPr>
        <w:t> </w:t>
      </w:r>
      <w:r>
        <w:rPr>
          <w:spacing w:val="-43"/>
        </w:rPr>
      </w:r>
      <w:r>
        <w:rPr>
          <w:spacing w:val="-2"/>
        </w:rPr>
        <w:t>解决方案。公司通过收购密码终端安全解决方案提供商，有利于公司形成终端密码设备和后端服务器的整</w:t>
      </w:r>
      <w:r>
        <w:rPr>
          <w:spacing w:val="-42"/>
        </w:rPr>
        <w:t> </w:t>
      </w:r>
      <w:r>
        <w:rPr>
          <w:spacing w:val="-42"/>
        </w:rPr>
      </w:r>
      <w:r>
        <w:rPr/>
        <w:t>体密码解决方案，为用户构建</w:t>
      </w:r>
      <w:r>
        <w:rPr>
          <w:rFonts w:ascii="Times New Roman" w:hAnsi="Times New Roman" w:cs="Times New Roman" w:eastAsia="Times New Roman" w:hint="default"/>
        </w:rPr>
        <w:t>“</w:t>
      </w:r>
      <w:r>
        <w:rPr/>
        <w:t>软硬一体、前后协同</w:t>
      </w:r>
      <w:r>
        <w:rPr>
          <w:rFonts w:ascii="Times New Roman" w:hAnsi="Times New Roman" w:cs="Times New Roman" w:eastAsia="Times New Roman" w:hint="default"/>
        </w:rPr>
        <w:t>”</w:t>
      </w:r>
      <w:r>
        <w:rPr/>
        <w:t>完整的密码技术生态系统。</w:t>
      </w:r>
    </w:p>
    <w:p>
      <w:pPr>
        <w:spacing w:line="432" w:lineRule="exact" w:before="8"/>
        <w:ind w:left="573" w:right="1018" w:firstLine="2"/>
        <w:jc w:val="left"/>
        <w:rPr>
          <w:rFonts w:ascii="宋体" w:hAnsi="宋体" w:cs="宋体" w:eastAsia="宋体" w:hint="default"/>
          <w:sz w:val="21"/>
          <w:szCs w:val="21"/>
        </w:rPr>
      </w:pPr>
      <w:r>
        <w:rPr>
          <w:rFonts w:ascii="宋体" w:hAnsi="宋体" w:cs="宋体" w:eastAsia="宋体" w:hint="default"/>
          <w:b/>
          <w:bCs/>
          <w:sz w:val="21"/>
          <w:szCs w:val="21"/>
        </w:rPr>
        <w:t>（二）行业领先的技术水平</w:t>
      </w:r>
      <w:r>
        <w:rPr>
          <w:rFonts w:ascii="宋体" w:hAnsi="宋体" w:cs="宋体" w:eastAsia="宋体" w:hint="default"/>
          <w:b/>
          <w:bCs/>
          <w:w w:val="100"/>
          <w:sz w:val="21"/>
          <w:szCs w:val="21"/>
        </w:rPr>
        <w:t> </w:t>
      </w:r>
      <w:r>
        <w:rPr>
          <w:rFonts w:ascii="宋体" w:hAnsi="宋体" w:cs="宋体" w:eastAsia="宋体" w:hint="default"/>
          <w:spacing w:val="-5"/>
          <w:sz w:val="21"/>
          <w:szCs w:val="21"/>
        </w:rPr>
        <w:t>公司全面掌握电子认证领域相关技术，积极进行技术研究工作。报告期内，公司新取得发明专利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项，</w:t>
      </w:r>
    </w:p>
    <w:p>
      <w:pPr>
        <w:pStyle w:val="Heading4"/>
        <w:spacing w:line="271" w:lineRule="exact"/>
        <w:ind w:right="0"/>
        <w:jc w:val="both"/>
      </w:pPr>
      <w:r>
        <w:rPr/>
        <w:t>软件著作权多项，另有</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项发明专利在审。截至报告期末公司共拥有发明专利</w:t>
      </w:r>
      <w:r>
        <w:rPr>
          <w:spacing w:val="-53"/>
        </w:rPr>
        <w:t> </w:t>
      </w:r>
      <w:r>
        <w:rPr>
          <w:rFonts w:ascii="Times New Roman" w:hAnsi="Times New Roman" w:cs="Times New Roman" w:eastAsia="Times New Roman" w:hint="default"/>
        </w:rPr>
        <w:t>9 </w:t>
      </w:r>
      <w:r>
        <w:rPr/>
        <w:t>项，软件著作权</w:t>
      </w:r>
      <w:r>
        <w:rPr>
          <w:spacing w:val="-52"/>
        </w:rPr>
        <w:t> </w:t>
      </w:r>
      <w:r>
        <w:rPr>
          <w:rFonts w:ascii="Times New Roman" w:hAnsi="Times New Roman" w:cs="Times New Roman" w:eastAsia="Times New Roman" w:hint="default"/>
        </w:rPr>
        <w:t>109</w:t>
      </w:r>
      <w:r>
        <w:rPr>
          <w:rFonts w:ascii="Times New Roman" w:hAnsi="Times New Roman" w:cs="Times New Roman" w:eastAsia="Times New Roman" w:hint="default"/>
          <w:spacing w:val="-3"/>
        </w:rPr>
        <w:t> </w:t>
      </w:r>
      <w:r>
        <w:rPr>
          <w:spacing w:val="-3"/>
        </w:rPr>
        <w:t>项，</w:t>
      </w:r>
      <w:r>
        <w:rPr/>
      </w:r>
    </w:p>
    <w:p>
      <w:pPr>
        <w:pStyle w:val="Heading4"/>
        <w:spacing w:line="240" w:lineRule="auto" w:before="21"/>
        <w:ind w:right="0"/>
        <w:jc w:val="both"/>
      </w:pPr>
      <w:r>
        <w:rPr/>
        <w:t>技术水平不断提升。</w:t>
      </w:r>
    </w:p>
    <w:p>
      <w:pPr>
        <w:spacing w:after="0" w:line="240"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982" w:firstLine="420"/>
        <w:jc w:val="left"/>
      </w:pPr>
      <w:r>
        <w:rPr>
          <w:spacing w:val="-5"/>
        </w:rPr>
        <w:t>公司重视前沿技术研发，是行业技术创新的重要参与者。报告期内，公司牵头和参与制定国家、行业、</w:t>
      </w:r>
      <w:r>
        <w:rPr>
          <w:w w:val="100"/>
        </w:rPr>
        <w:t> </w:t>
      </w:r>
      <w:r>
        <w:rPr/>
        <w:t>地方、团体标准</w:t>
      </w:r>
      <w:r>
        <w:rPr>
          <w:spacing w:val="-55"/>
        </w:rPr>
        <w:t> </w:t>
      </w:r>
      <w:r>
        <w:rPr>
          <w:rFonts w:ascii="Times New Roman" w:hAnsi="Times New Roman" w:cs="Times New Roman" w:eastAsia="Times New Roman" w:hint="default"/>
        </w:rPr>
        <w:t>47</w:t>
      </w:r>
      <w:r>
        <w:rPr>
          <w:rFonts w:ascii="Times New Roman" w:hAnsi="Times New Roman" w:cs="Times New Roman" w:eastAsia="Times New Roman" w:hint="default"/>
          <w:spacing w:val="-5"/>
        </w:rPr>
        <w:t> </w:t>
      </w:r>
      <w:r>
        <w:rPr/>
        <w:t>项，其中牵头编写的密码行业标准《</w:t>
      </w:r>
      <w:r>
        <w:rPr>
          <w:rFonts w:ascii="Times New Roman" w:hAnsi="Times New Roman" w:cs="Times New Roman" w:eastAsia="Times New Roman" w:hint="default"/>
        </w:rPr>
        <w:t>GM/T</w:t>
      </w:r>
      <w:r>
        <w:rPr>
          <w:rFonts w:ascii="Times New Roman" w:hAnsi="Times New Roman" w:cs="Times New Roman" w:eastAsia="Times New Roman" w:hint="default"/>
          <w:spacing w:val="9"/>
        </w:rPr>
        <w:t> </w:t>
      </w:r>
      <w:r>
        <w:rPr>
          <w:rFonts w:ascii="Times New Roman" w:hAnsi="Times New Roman" w:cs="Times New Roman" w:eastAsia="Times New Roman" w:hint="default"/>
        </w:rPr>
        <w:t>0054-2018</w:t>
      </w:r>
      <w:r>
        <w:rPr>
          <w:rFonts w:ascii="Times New Roman" w:hAnsi="Times New Roman" w:cs="Times New Roman" w:eastAsia="Times New Roman" w:hint="default"/>
          <w:spacing w:val="-2"/>
        </w:rPr>
        <w:t> </w:t>
      </w:r>
      <w:r>
        <w:rPr/>
        <w:t>信息系统密码应用基本要求》已</w:t>
      </w:r>
    </w:p>
    <w:p>
      <w:pPr>
        <w:pStyle w:val="Heading4"/>
        <w:spacing w:line="279" w:lineRule="exact"/>
        <w:ind w:right="982"/>
        <w:jc w:val="left"/>
      </w:pPr>
      <w:r>
        <w:rPr/>
        <w:t>成为公司所处行业的系统设计、建设、测试的重要依据。公司承担研究的国家级和省部级课题共 </w:t>
      </w:r>
      <w:r>
        <w:rPr>
          <w:rFonts w:ascii="Times New Roman" w:hAnsi="Times New Roman" w:cs="Times New Roman" w:eastAsia="Times New Roman" w:hint="default"/>
        </w:rPr>
        <w:t>24</w:t>
      </w:r>
      <w:r>
        <w:rPr>
          <w:rFonts w:ascii="Times New Roman" w:hAnsi="Times New Roman" w:cs="Times New Roman" w:eastAsia="Times New Roman" w:hint="default"/>
          <w:spacing w:val="24"/>
        </w:rPr>
        <w:t> </w:t>
      </w:r>
      <w:r>
        <w:rPr/>
        <w:t>项，</w:t>
      </w:r>
    </w:p>
    <w:p>
      <w:pPr>
        <w:pStyle w:val="Heading4"/>
        <w:spacing w:line="256" w:lineRule="auto" w:before="21"/>
        <w:ind w:right="982"/>
        <w:jc w:val="left"/>
      </w:pPr>
      <w:r>
        <w:rPr>
          <w:w w:val="100"/>
        </w:rPr>
        <w:t>其中</w:t>
      </w:r>
      <w:r>
        <w:rPr>
          <w:spacing w:val="-50"/>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3"/>
          <w:w w:val="100"/>
        </w:rPr>
        <w:t> </w:t>
      </w:r>
      <w:r>
        <w:rPr>
          <w:spacing w:val="-4"/>
          <w:w w:val="100"/>
        </w:rPr>
        <w:t>项为科技部下发的十三五国家重点研发计划</w:t>
      </w:r>
      <w:r>
        <w:rPr>
          <w:rFonts w:ascii="Times New Roman" w:hAnsi="Times New Roman" w:cs="Times New Roman" w:eastAsia="Times New Roman" w:hint="default"/>
          <w:spacing w:val="-4"/>
          <w:w w:val="100"/>
        </w:rPr>
        <w:t>“</w:t>
      </w:r>
      <w:r>
        <w:rPr>
          <w:spacing w:val="-4"/>
          <w:w w:val="100"/>
        </w:rPr>
        <w:t>网络空间安全专项</w:t>
      </w:r>
      <w:r>
        <w:rPr>
          <w:rFonts w:ascii="Times New Roman" w:hAnsi="Times New Roman" w:cs="Times New Roman" w:eastAsia="Times New Roman" w:hint="default"/>
          <w:spacing w:val="-4"/>
          <w:w w:val="100"/>
        </w:rPr>
        <w:t>”</w:t>
      </w:r>
      <w:r>
        <w:rPr>
          <w:spacing w:val="-4"/>
          <w:w w:val="100"/>
        </w:rPr>
        <w:t>相关课题。国家级重点课题详细情</w:t>
      </w:r>
      <w:r>
        <w:rPr>
          <w:w w:val="100"/>
        </w:rPr>
        <w:t> </w:t>
      </w:r>
      <w:r>
        <w:rPr/>
        <w:t>况如下：</w:t>
      </w:r>
    </w:p>
    <w:p>
      <w:pPr>
        <w:spacing w:line="240" w:lineRule="auto" w:before="11"/>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994"/>
        <w:gridCol w:w="4537"/>
        <w:gridCol w:w="4129"/>
      </w:tblGrid>
      <w:tr>
        <w:trPr>
          <w:trHeight w:val="42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78" w:right="0"/>
              <w:jc w:val="left"/>
              <w:rPr>
                <w:rFonts w:ascii="宋体" w:hAnsi="宋体" w:cs="宋体" w:eastAsia="宋体" w:hint="default"/>
                <w:sz w:val="21"/>
                <w:szCs w:val="21"/>
              </w:rPr>
            </w:pPr>
            <w:r>
              <w:rPr>
                <w:rFonts w:ascii="宋体" w:hAnsi="宋体" w:cs="宋体" w:eastAsia="宋体" w:hint="default"/>
                <w:b/>
                <w:bCs/>
                <w:sz w:val="21"/>
                <w:szCs w:val="21"/>
              </w:rPr>
              <w:t>门类</w:t>
            </w:r>
            <w:r>
              <w:rPr>
                <w:rFonts w:ascii="宋体" w:hAnsi="宋体" w:cs="宋体" w:eastAsia="宋体" w:hint="default"/>
                <w:sz w:val="21"/>
                <w:szCs w:val="21"/>
              </w:rPr>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b/>
                <w:bCs/>
                <w:sz w:val="21"/>
                <w:szCs w:val="21"/>
              </w:rPr>
              <w:t>课题名称</w:t>
            </w:r>
            <w:r>
              <w:rPr>
                <w:rFonts w:ascii="宋体" w:hAnsi="宋体" w:cs="宋体" w:eastAsia="宋体" w:hint="default"/>
                <w:sz w:val="21"/>
                <w:szCs w:val="21"/>
              </w:rPr>
            </w:r>
          </w:p>
        </w:tc>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b/>
                <w:bCs/>
                <w:sz w:val="21"/>
                <w:szCs w:val="21"/>
              </w:rPr>
              <w:t>牵头</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参与项目主要负责内容</w:t>
            </w:r>
            <w:r>
              <w:rPr>
                <w:rFonts w:ascii="宋体" w:hAnsi="宋体" w:cs="宋体" w:eastAsia="宋体" w:hint="default"/>
                <w:sz w:val="21"/>
                <w:szCs w:val="21"/>
              </w:rPr>
            </w:r>
          </w:p>
        </w:tc>
      </w:tr>
      <w:tr>
        <w:trPr>
          <w:trHeight w:val="1988"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07" w:lineRule="auto"/>
              <w:ind w:left="70" w:right="62" w:firstLine="103"/>
              <w:jc w:val="left"/>
              <w:rPr>
                <w:rFonts w:ascii="宋体" w:hAnsi="宋体" w:cs="宋体" w:eastAsia="宋体" w:hint="default"/>
                <w:sz w:val="21"/>
                <w:szCs w:val="21"/>
              </w:rPr>
            </w:pPr>
            <w:r>
              <w:rPr>
                <w:rFonts w:ascii="宋体" w:hAnsi="宋体" w:cs="宋体" w:eastAsia="宋体" w:hint="default"/>
                <w:b/>
                <w:bCs/>
                <w:sz w:val="21"/>
                <w:szCs w:val="21"/>
              </w:rPr>
              <w:t>国家级</w:t>
            </w:r>
            <w:r>
              <w:rPr>
                <w:rFonts w:ascii="宋体" w:hAnsi="宋体" w:cs="宋体" w:eastAsia="宋体" w:hint="default"/>
                <w:b/>
                <w:bCs/>
                <w:w w:val="100"/>
                <w:sz w:val="21"/>
                <w:szCs w:val="21"/>
              </w:rPr>
              <w:t> </w:t>
            </w:r>
            <w:r>
              <w:rPr>
                <w:rFonts w:ascii="宋体" w:hAnsi="宋体" w:cs="宋体" w:eastAsia="宋体" w:hint="default"/>
                <w:b/>
                <w:bCs/>
                <w:sz w:val="21"/>
                <w:szCs w:val="21"/>
              </w:rPr>
              <w:t>重点课题</w:t>
            </w:r>
            <w:r>
              <w:rPr>
                <w:rFonts w:ascii="宋体" w:hAnsi="宋体" w:cs="宋体" w:eastAsia="宋体" w:hint="default"/>
                <w:sz w:val="21"/>
                <w:szCs w:val="21"/>
              </w:rPr>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40"/>
              <w:ind w:left="2" w:right="1"/>
              <w:jc w:val="both"/>
              <w:rPr>
                <w:rFonts w:ascii="宋体" w:hAnsi="宋体" w:cs="宋体" w:eastAsia="宋体" w:hint="default"/>
                <w:sz w:val="21"/>
                <w:szCs w:val="21"/>
              </w:rPr>
            </w:pPr>
            <w:r>
              <w:rPr>
                <w:rFonts w:ascii="宋体" w:hAnsi="宋体" w:cs="宋体" w:eastAsia="宋体" w:hint="default"/>
                <w:spacing w:val="2"/>
                <w:sz w:val="21"/>
                <w:szCs w:val="21"/>
              </w:rPr>
              <w:t>牵头承担十三五国家重点研发计划网络空间安全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专项</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基于国产密码算法的服务认证与证明关键技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术</w:t>
            </w:r>
            <w:r>
              <w:rPr>
                <w:rFonts w:ascii="Times New Roman" w:hAnsi="Times New Roman" w:cs="Times New Roman" w:eastAsia="Times New Roman" w:hint="default"/>
                <w:sz w:val="21"/>
                <w:szCs w:val="21"/>
              </w:rPr>
              <w:t>”</w:t>
            </w:r>
            <w:r>
              <w:rPr>
                <w:rFonts w:ascii="宋体" w:hAnsi="宋体" w:cs="宋体" w:eastAsia="宋体" w:hint="default"/>
                <w:sz w:val="21"/>
                <w:szCs w:val="21"/>
              </w:rPr>
              <w:t>项目，其中公司牵头负责</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信息服务可信管理</w:t>
            </w:r>
            <w:r>
              <w:rPr>
                <w:rFonts w:ascii="宋体" w:hAnsi="宋体" w:cs="宋体" w:eastAsia="宋体" w:hint="default"/>
                <w:spacing w:val="-102"/>
                <w:sz w:val="21"/>
                <w:szCs w:val="21"/>
              </w:rPr>
              <w:t> </w:t>
            </w:r>
            <w:r>
              <w:rPr>
                <w:rFonts w:ascii="宋体" w:hAnsi="宋体" w:cs="宋体" w:eastAsia="宋体" w:hint="default"/>
                <w:spacing w:val="-5"/>
                <w:sz w:val="21"/>
                <w:szCs w:val="21"/>
              </w:rPr>
              <w:t>平台研制及应用示范</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课题，参与研究</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信息服务可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信管理分级分类体系研究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信息服务实体管理</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及身份鉴别体系研究</w:t>
            </w:r>
            <w:r>
              <w:rPr>
                <w:rFonts w:ascii="Times New Roman" w:hAnsi="Times New Roman" w:cs="Times New Roman" w:eastAsia="Times New Roman" w:hint="default"/>
                <w:sz w:val="21"/>
                <w:szCs w:val="21"/>
              </w:rPr>
              <w:t>”</w:t>
            </w:r>
            <w:r>
              <w:rPr>
                <w:rFonts w:ascii="宋体" w:hAnsi="宋体" w:cs="宋体" w:eastAsia="宋体" w:hint="default"/>
                <w:sz w:val="21"/>
                <w:szCs w:val="21"/>
              </w:rPr>
              <w:t>课题。</w:t>
            </w:r>
          </w:p>
        </w:tc>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3"/>
                <w:sz w:val="21"/>
                <w:szCs w:val="21"/>
              </w:rPr>
              <w:t>整合信息服务认证和证明各节点的安全行为</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数据，研究信息服务行为监管及追溯技术体</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系，构建基于国产密码算法的信息服务可信管</w:t>
            </w:r>
            <w:r>
              <w:rPr>
                <w:rFonts w:ascii="宋体" w:hAnsi="宋体" w:cs="宋体" w:eastAsia="宋体" w:hint="default"/>
                <w:w w:val="100"/>
                <w:sz w:val="21"/>
                <w:szCs w:val="21"/>
              </w:rPr>
              <w:t> </w:t>
            </w:r>
            <w:r>
              <w:rPr>
                <w:rFonts w:ascii="宋体" w:hAnsi="宋体" w:cs="宋体" w:eastAsia="宋体" w:hint="default"/>
                <w:sz w:val="21"/>
                <w:szCs w:val="21"/>
              </w:rPr>
              <w:t>理平台。</w:t>
            </w:r>
          </w:p>
        </w:tc>
      </w:tr>
      <w:tr>
        <w:trPr>
          <w:trHeight w:val="1987" w:hRule="exact"/>
        </w:trPr>
        <w:tc>
          <w:tcPr>
            <w:tcW w:w="994"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40"/>
              <w:ind w:left="2" w:right="0"/>
              <w:jc w:val="both"/>
              <w:rPr>
                <w:rFonts w:ascii="宋体" w:hAnsi="宋体" w:cs="宋体" w:eastAsia="宋体" w:hint="default"/>
                <w:sz w:val="21"/>
                <w:szCs w:val="21"/>
              </w:rPr>
            </w:pPr>
            <w:r>
              <w:rPr>
                <w:rFonts w:ascii="宋体" w:hAnsi="宋体" w:cs="宋体" w:eastAsia="宋体" w:hint="default"/>
                <w:spacing w:val="2"/>
                <w:sz w:val="21"/>
                <w:szCs w:val="21"/>
              </w:rPr>
              <w:t>参与实施十三五国家重点研发计划网络空间安全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专项</w:t>
            </w:r>
            <w:r>
              <w:rPr>
                <w:rFonts w:ascii="宋体" w:hAnsi="宋体" w:cs="宋体" w:eastAsia="宋体" w:hint="default"/>
                <w:spacing w:val="56"/>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基于国产密码算法的移动互联网密码服务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支撑基础设施关键技术</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项目，其中公司牵头负责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移动互联网电子认证服务技术研究</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课题，参与研</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究</w:t>
            </w:r>
            <w:r>
              <w:rPr>
                <w:rFonts w:ascii="Times New Roman" w:hAnsi="Times New Roman" w:cs="Times New Roman" w:eastAsia="Times New Roman" w:hint="default"/>
                <w:sz w:val="21"/>
                <w:szCs w:val="21"/>
              </w:rPr>
              <w:t>“</w:t>
            </w:r>
            <w:r>
              <w:rPr>
                <w:rFonts w:ascii="宋体" w:hAnsi="宋体" w:cs="宋体" w:eastAsia="宋体" w:hint="default"/>
                <w:sz w:val="21"/>
                <w:szCs w:val="21"/>
              </w:rPr>
              <w:t>移动终端软件生态体系安全技术研究</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移动</w:t>
            </w:r>
            <w:r>
              <w:rPr>
                <w:rFonts w:ascii="宋体" w:hAnsi="宋体" w:cs="宋体" w:eastAsia="宋体" w:hint="default"/>
                <w:spacing w:val="-69"/>
                <w:sz w:val="21"/>
                <w:szCs w:val="21"/>
              </w:rPr>
              <w:t> </w:t>
            </w:r>
            <w:r>
              <w:rPr>
                <w:rFonts w:ascii="宋体" w:hAnsi="宋体" w:cs="宋体" w:eastAsia="宋体" w:hint="default"/>
                <w:sz w:val="21"/>
                <w:szCs w:val="21"/>
              </w:rPr>
              <w:t>互联网密码服务示范应用</w:t>
            </w:r>
            <w:r>
              <w:rPr>
                <w:rFonts w:ascii="Times New Roman" w:hAnsi="Times New Roman" w:cs="Times New Roman" w:eastAsia="Times New Roman" w:hint="default"/>
                <w:sz w:val="21"/>
                <w:szCs w:val="21"/>
              </w:rPr>
              <w:t>”</w:t>
            </w:r>
            <w:r>
              <w:rPr>
                <w:rFonts w:ascii="宋体" w:hAnsi="宋体" w:cs="宋体" w:eastAsia="宋体" w:hint="default"/>
                <w:sz w:val="21"/>
                <w:szCs w:val="21"/>
              </w:rPr>
              <w:t>课题。</w:t>
            </w:r>
          </w:p>
        </w:tc>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3"/>
                <w:sz w:val="21"/>
                <w:szCs w:val="21"/>
              </w:rPr>
              <w:t>负责研究支持基于行为、多级安全的证书签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发、零延迟撤销技术和基于风险评估的动态多</w:t>
            </w:r>
            <w:r>
              <w:rPr>
                <w:rFonts w:ascii="宋体" w:hAnsi="宋体" w:cs="宋体" w:eastAsia="宋体" w:hint="default"/>
                <w:w w:val="100"/>
                <w:sz w:val="21"/>
                <w:szCs w:val="21"/>
              </w:rPr>
              <w:t> </w:t>
            </w:r>
            <w:r>
              <w:rPr>
                <w:rFonts w:ascii="宋体" w:hAnsi="宋体" w:cs="宋体" w:eastAsia="宋体" w:hint="default"/>
                <w:spacing w:val="-6"/>
                <w:w w:val="100"/>
                <w:sz w:val="21"/>
                <w:szCs w:val="21"/>
              </w:rPr>
              <w:t>级安全的电子认证技术，完成适应移动互联网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动态安全属性的证书服务系统。</w:t>
            </w:r>
          </w:p>
        </w:tc>
      </w:tr>
      <w:tr>
        <w:trPr>
          <w:trHeight w:val="1364" w:hRule="exact"/>
        </w:trPr>
        <w:tc>
          <w:tcPr>
            <w:tcW w:w="994"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40"/>
              <w:ind w:left="2" w:right="0"/>
              <w:jc w:val="both"/>
              <w:rPr>
                <w:rFonts w:ascii="宋体" w:hAnsi="宋体" w:cs="宋体" w:eastAsia="宋体" w:hint="default"/>
                <w:sz w:val="21"/>
                <w:szCs w:val="21"/>
              </w:rPr>
            </w:pPr>
            <w:r>
              <w:rPr>
                <w:rFonts w:ascii="宋体" w:hAnsi="宋体" w:cs="宋体" w:eastAsia="宋体" w:hint="default"/>
                <w:spacing w:val="2"/>
                <w:sz w:val="21"/>
                <w:szCs w:val="21"/>
              </w:rPr>
              <w:t>参与实施十三五国家重点研发计划网络空间安全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w w:val="100"/>
                <w:sz w:val="21"/>
                <w:szCs w:val="21"/>
              </w:rPr>
              <w:t>专项 </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网络可信身份管理技术研究</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15"/>
                <w:w w:val="100"/>
                <w:sz w:val="21"/>
                <w:szCs w:val="21"/>
              </w:rPr>
              <w:t>项目，其中公</w:t>
            </w:r>
            <w:r>
              <w:rPr>
                <w:rFonts w:ascii="宋体" w:hAnsi="宋体" w:cs="宋体" w:eastAsia="宋体" w:hint="default"/>
                <w:w w:val="100"/>
                <w:sz w:val="21"/>
                <w:szCs w:val="21"/>
              </w:rPr>
              <w:t> </w:t>
            </w:r>
            <w:r>
              <w:rPr>
                <w:rFonts w:ascii="宋体" w:hAnsi="宋体" w:cs="宋体" w:eastAsia="宋体" w:hint="default"/>
                <w:spacing w:val="2"/>
                <w:sz w:val="21"/>
                <w:szCs w:val="21"/>
              </w:rPr>
              <w:t>司参与研究</w:t>
            </w:r>
            <w:r>
              <w:rPr>
                <w:rFonts w:ascii="宋体" w:hAnsi="宋体" w:cs="宋体" w:eastAsia="宋体" w:hint="default"/>
                <w:spacing w:val="52"/>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亿级规模网络身份管理与服务系统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技术</w:t>
            </w:r>
            <w:r>
              <w:rPr>
                <w:rFonts w:ascii="Times New Roman" w:hAnsi="Times New Roman" w:cs="Times New Roman" w:eastAsia="Times New Roman" w:hint="default"/>
                <w:sz w:val="21"/>
                <w:szCs w:val="21"/>
              </w:rPr>
              <w:t>”</w:t>
            </w:r>
            <w:r>
              <w:rPr>
                <w:rFonts w:ascii="宋体" w:hAnsi="宋体" w:cs="宋体" w:eastAsia="宋体" w:hint="default"/>
                <w:sz w:val="21"/>
                <w:szCs w:val="21"/>
              </w:rPr>
              <w:t>课题。</w:t>
            </w:r>
          </w:p>
        </w:tc>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0"/>
              <w:ind w:left="2" w:right="-3"/>
              <w:jc w:val="both"/>
              <w:rPr>
                <w:rFonts w:ascii="宋体" w:hAnsi="宋体" w:cs="宋体" w:eastAsia="宋体" w:hint="default"/>
                <w:sz w:val="21"/>
                <w:szCs w:val="21"/>
              </w:rPr>
            </w:pPr>
            <w:r>
              <w:rPr>
                <w:rFonts w:ascii="宋体" w:hAnsi="宋体" w:cs="宋体" w:eastAsia="宋体" w:hint="default"/>
                <w:spacing w:val="3"/>
                <w:sz w:val="21"/>
                <w:szCs w:val="21"/>
              </w:rPr>
              <w:t>研究基于用户真实身份证明及核验的网络可</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信身份数字证书管理技术，研发基于真实身份</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w w:val="100"/>
                <w:sz w:val="21"/>
                <w:szCs w:val="21"/>
              </w:rPr>
              <w:t>的云认证和数字签名服务系统，为亿级规模网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络身份管理与服务提供技术支撑。</w:t>
            </w:r>
          </w:p>
        </w:tc>
      </w:tr>
      <w:tr>
        <w:trPr>
          <w:trHeight w:val="739" w:hRule="exact"/>
        </w:trPr>
        <w:tc>
          <w:tcPr>
            <w:tcW w:w="994" w:type="dxa"/>
            <w:vMerge/>
            <w:tcBorders>
              <w:left w:val="single" w:sz="6" w:space="0" w:color="000000"/>
              <w:bottom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0"/>
              <w:ind w:left="2" w:right="2"/>
              <w:jc w:val="left"/>
              <w:rPr>
                <w:rFonts w:ascii="宋体" w:hAnsi="宋体" w:cs="宋体" w:eastAsia="宋体" w:hint="default"/>
                <w:sz w:val="21"/>
                <w:szCs w:val="21"/>
              </w:rPr>
            </w:pPr>
            <w:r>
              <w:rPr>
                <w:rFonts w:ascii="宋体" w:hAnsi="宋体" w:cs="宋体" w:eastAsia="宋体" w:hint="default"/>
                <w:spacing w:val="2"/>
                <w:sz w:val="21"/>
                <w:szCs w:val="21"/>
              </w:rPr>
              <w:t>参与实施十三五国家重点研发计划网络空间安全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专项某项目的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项课题。</w:t>
            </w:r>
          </w:p>
        </w:tc>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spacing w:line="240" w:lineRule="auto" w:before="10"/>
        <w:rPr>
          <w:rFonts w:ascii="宋体" w:hAnsi="宋体" w:cs="宋体" w:eastAsia="宋体" w:hint="default"/>
          <w:sz w:val="14"/>
          <w:szCs w:val="14"/>
        </w:rPr>
      </w:pPr>
    </w:p>
    <w:p>
      <w:pPr>
        <w:pStyle w:val="Heading4"/>
        <w:spacing w:line="256" w:lineRule="auto" w:before="36"/>
        <w:ind w:right="1104" w:firstLine="420"/>
        <w:jc w:val="both"/>
      </w:pPr>
      <w:r>
        <w:rPr/>
        <w:t>报告期内，公司荣获各级荣誉奖励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余项，奖项包括：公司被评为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政务服务科技创新优秀</w:t>
      </w:r>
      <w:r>
        <w:rPr>
          <w:w w:val="100"/>
        </w:rPr>
        <w:t> </w:t>
      </w:r>
      <w:r>
        <w:rPr>
          <w:spacing w:val="-5"/>
        </w:rPr>
        <w:t>企业</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海关信息中心</w:t>
      </w:r>
      <w:r>
        <w:rPr>
          <w:spacing w:val="-43"/>
        </w:rPr>
        <w:t> </w:t>
      </w:r>
      <w:r>
        <w:rPr>
          <w:rFonts w:ascii="Times New Roman" w:hAnsi="Times New Roman" w:cs="Times New Roman" w:eastAsia="Times New Roman" w:hint="default"/>
          <w:spacing w:val="-7"/>
        </w:rPr>
        <w:t>WAPI</w:t>
      </w:r>
      <w:r>
        <w:rPr>
          <w:rFonts w:ascii="Times New Roman" w:hAnsi="Times New Roman" w:cs="Times New Roman" w:eastAsia="Times New Roman" w:hint="default"/>
          <w:spacing w:val="7"/>
        </w:rPr>
        <w:t> </w:t>
      </w:r>
      <w:r>
        <w:rPr/>
        <w:t>应用示范项目</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w:t>
      </w:r>
      <w:r>
        <w:rPr>
          <w:spacing w:val="-46"/>
        </w:rPr>
        <w:t> </w:t>
      </w:r>
      <w:r>
        <w:rPr>
          <w:rFonts w:ascii="Times New Roman" w:hAnsi="Times New Roman" w:cs="Times New Roman" w:eastAsia="Times New Roman" w:hint="default"/>
          <w:spacing w:val="-7"/>
        </w:rPr>
        <w:t>WAPI</w:t>
      </w:r>
      <w:r>
        <w:rPr>
          <w:rFonts w:ascii="Times New Roman" w:hAnsi="Times New Roman" w:cs="Times New Roman" w:eastAsia="Times New Roman" w:hint="default"/>
          <w:spacing w:val="6"/>
        </w:rPr>
        <w:t> </w:t>
      </w:r>
      <w:r>
        <w:rPr>
          <w:spacing w:val="-4"/>
        </w:rPr>
        <w:t>标准产业促进奖</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统一认证管理系统</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3"/>
        </w:rPr>
        <w:t> </w:t>
      </w:r>
      <w:r>
        <w:rPr/>
        <w:t>荣获</w:t>
      </w:r>
      <w:r>
        <w:rPr>
          <w:rFonts w:ascii="Times New Roman" w:hAnsi="Times New Roman" w:cs="Times New Roman" w:eastAsia="Times New Roman" w:hint="default"/>
        </w:rPr>
        <w:t>“2018 </w:t>
      </w:r>
      <w:r>
        <w:rPr/>
        <w:t>年度中国信息化智慧政务最佳实践奖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电子合同签署系统</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年优秀网络安全解决方</w:t>
      </w:r>
      <w:r>
        <w:rPr>
          <w:w w:val="100"/>
        </w:rPr>
        <w:t> </w:t>
      </w:r>
      <w:r>
        <w:rPr/>
        <w:t>案和网络安全创新产品</w:t>
      </w:r>
      <w:r>
        <w:rPr>
          <w:rFonts w:ascii="Times New Roman" w:hAnsi="Times New Roman" w:cs="Times New Roman" w:eastAsia="Times New Roman" w:hint="default"/>
        </w:rPr>
        <w:t>”</w:t>
      </w:r>
      <w:r>
        <w:rPr/>
        <w:t>奖，</w:t>
      </w:r>
      <w:r>
        <w:rPr>
          <w:rFonts w:ascii="Times New Roman" w:hAnsi="Times New Roman" w:cs="Times New Roman" w:eastAsia="Times New Roman" w:hint="default"/>
        </w:rPr>
        <w:t>“</w:t>
      </w:r>
      <w:r>
        <w:rPr/>
        <w:t>中国残联电子化残疾人证解决方案</w:t>
      </w:r>
      <w:r>
        <w:rPr>
          <w:rFonts w:ascii="Times New Roman" w:hAnsi="Times New Roman" w:cs="Times New Roman" w:eastAsia="Times New Roman" w:hint="default"/>
        </w:rPr>
        <w:t>”</w:t>
      </w:r>
      <w:r>
        <w:rPr/>
        <w:t>荣获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年关键信息基础设施</w:t>
      </w:r>
      <w:r>
        <w:rPr>
          <w:rFonts w:ascii="Times New Roman" w:hAnsi="Times New Roman" w:cs="Times New Roman" w:eastAsia="Times New Roman" w:hint="default"/>
        </w:rPr>
        <w:t>“</w:t>
      </w:r>
      <w:r>
        <w:rPr/>
        <w:t>龙门奖</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优秀解决方案之应用前景奖，</w:t>
      </w:r>
      <w:r>
        <w:rPr>
          <w:rFonts w:ascii="Times New Roman" w:hAnsi="Times New Roman" w:cs="Times New Roman" w:eastAsia="Times New Roman" w:hint="default"/>
          <w:spacing w:val="-2"/>
        </w:rPr>
        <w:t>“</w:t>
      </w:r>
      <w:r>
        <w:rPr>
          <w:spacing w:val="-2"/>
        </w:rPr>
        <w:t>运维安全审计和政务云监管</w:t>
      </w:r>
      <w:r>
        <w:rPr>
          <w:rFonts w:ascii="Times New Roman" w:hAnsi="Times New Roman" w:cs="Times New Roman" w:eastAsia="Times New Roman" w:hint="default"/>
          <w:spacing w:val="-2"/>
        </w:rPr>
        <w:t>”</w:t>
      </w:r>
      <w:r>
        <w:rPr>
          <w:spacing w:val="-2"/>
        </w:rPr>
        <w:t>荣获</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spacing w:val="-2"/>
        </w:rPr>
        <w:t>中国信息创新发展明星三等奖</w:t>
      </w:r>
      <w:r>
        <w:rPr>
          <w:rFonts w:ascii="Times New Roman" w:hAnsi="Times New Roman" w:cs="Times New Roman" w:eastAsia="Times New Roman" w:hint="default"/>
          <w:spacing w:val="-2"/>
        </w:rPr>
        <w:t>”</w:t>
      </w:r>
      <w:r>
        <w:rPr>
          <w:spacing w:val="-2"/>
        </w:rPr>
        <w:t>等。</w:t>
      </w:r>
      <w:r>
        <w:rPr/>
      </w:r>
    </w:p>
    <w:p>
      <w:pPr>
        <w:pStyle w:val="Heading4"/>
        <w:spacing w:line="434" w:lineRule="exact" w:before="20"/>
        <w:ind w:left="573" w:right="982" w:firstLine="2"/>
        <w:jc w:val="left"/>
      </w:pPr>
      <w:r>
        <w:rPr>
          <w:rFonts w:ascii="宋体" w:hAnsi="宋体" w:cs="宋体" w:eastAsia="宋体" w:hint="default"/>
          <w:b/>
          <w:bCs/>
        </w:rPr>
        <w:t>（三）业务创新能力</w:t>
      </w:r>
      <w:r>
        <w:rPr>
          <w:rFonts w:ascii="宋体" w:hAnsi="宋体" w:cs="宋体" w:eastAsia="宋体" w:hint="default"/>
          <w:b/>
          <w:bCs/>
          <w:w w:val="100"/>
        </w:rPr>
        <w:t> </w:t>
      </w:r>
      <w:r>
        <w:rPr>
          <w:spacing w:val="-2"/>
        </w:rPr>
        <w:t>持续高效的创新是公司业务发展的重要推动力。多年来，公司积极拥抱市场变化，不断强化创新能力</w:t>
      </w:r>
    </w:p>
    <w:p>
      <w:pPr>
        <w:pStyle w:val="Heading4"/>
        <w:spacing w:line="255" w:lineRule="exact"/>
        <w:ind w:right="0"/>
        <w:jc w:val="both"/>
      </w:pPr>
      <w:r>
        <w:rPr/>
        <w:t>建设，在医疗、保险、交通等行业推出了众多创新解决方案，解决行业业务不断涌现的网络安全问题，满</w:t>
      </w:r>
    </w:p>
    <w:p>
      <w:pPr>
        <w:pStyle w:val="Heading4"/>
        <w:spacing w:line="273" w:lineRule="auto" w:before="37"/>
        <w:ind w:right="1126"/>
        <w:jc w:val="both"/>
      </w:pPr>
      <w:r>
        <w:rPr>
          <w:spacing w:val="-2"/>
        </w:rPr>
        <w:t>足客户需求，积极推动网络安全在重点行业业务应用领域的发展。目前为顺应无纸化发展趋势，公司全力</w:t>
      </w:r>
      <w:r>
        <w:rPr>
          <w:spacing w:val="-43"/>
        </w:rPr>
        <w:t> </w:t>
      </w:r>
      <w:r>
        <w:rPr>
          <w:spacing w:val="-43"/>
        </w:rPr>
      </w:r>
      <w:r>
        <w:rPr>
          <w:spacing w:val="-2"/>
        </w:rPr>
        <w:t>打造电子签名、电子合同、电子保全等产品和服务，面对不同应用场景形成了多个可靠可信并具有法律效</w:t>
      </w:r>
      <w:r>
        <w:rPr>
          <w:spacing w:val="-45"/>
        </w:rPr>
        <w:t> </w:t>
      </w:r>
      <w:r>
        <w:rPr>
          <w:spacing w:val="-45"/>
        </w:rPr>
      </w:r>
      <w:r>
        <w:rPr/>
        <w:t>力的网络安全解决方案，并已在金融、教育、企业信息化等领域的知名企业得到广泛使用。</w:t>
      </w:r>
    </w:p>
    <w:p>
      <w:pPr>
        <w:spacing w:line="434" w:lineRule="exact" w:before="23"/>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（四）有效的全国营销体系</w:t>
      </w:r>
      <w:r>
        <w:rPr>
          <w:rFonts w:ascii="宋体" w:hAnsi="宋体" w:cs="宋体" w:eastAsia="宋体" w:hint="default"/>
          <w:b/>
          <w:bCs/>
          <w:w w:val="100"/>
          <w:sz w:val="21"/>
          <w:szCs w:val="21"/>
        </w:rPr>
        <w:t> </w:t>
      </w:r>
      <w:r>
        <w:rPr>
          <w:rFonts w:ascii="宋体" w:hAnsi="宋体" w:cs="宋体" w:eastAsia="宋体" w:hint="default"/>
          <w:spacing w:val="-2"/>
          <w:sz w:val="21"/>
          <w:szCs w:val="21"/>
        </w:rPr>
        <w:t>网络安全业务多以行业解决方案模式在市场推广，具备全国服务能力成为客户选择的关键因素。公司</w:t>
      </w:r>
    </w:p>
    <w:p>
      <w:pPr>
        <w:pStyle w:val="Heading4"/>
        <w:spacing w:line="271" w:lineRule="exact"/>
        <w:ind w:right="0"/>
        <w:jc w:val="both"/>
      </w:pPr>
      <w:r>
        <w:rPr/>
        <w:t>多年来一直坚持</w:t>
      </w:r>
      <w:r>
        <w:rPr>
          <w:rFonts w:ascii="Times New Roman" w:hAnsi="Times New Roman" w:cs="Times New Roman" w:eastAsia="Times New Roman" w:hint="default"/>
        </w:rPr>
        <w:t>“</w:t>
      </w:r>
      <w:r>
        <w:rPr/>
        <w:t>行业引领、区域落实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立足北京，服务全国</w:t>
      </w:r>
      <w:r>
        <w:rPr>
          <w:rFonts w:ascii="Times New Roman" w:hAnsi="Times New Roman" w:cs="Times New Roman" w:eastAsia="Times New Roman" w:hint="default"/>
        </w:rPr>
        <w:t>”</w:t>
      </w:r>
      <w:r>
        <w:rPr/>
        <w:t>发展战略，在业务模式上通过调研行业需</w:t>
      </w:r>
    </w:p>
    <w:p>
      <w:pPr>
        <w:pStyle w:val="Heading4"/>
        <w:spacing w:line="240" w:lineRule="auto" w:before="21"/>
        <w:ind w:right="0"/>
        <w:jc w:val="both"/>
      </w:pPr>
      <w:r>
        <w:rPr/>
        <w:t>求，形成行业解决方案，树立样本工程，在全国范围进行推广。按照此业务推进模式，公司构建了总部、</w:t>
      </w:r>
    </w:p>
    <w:p>
      <w:pPr>
        <w:spacing w:after="0" w:line="240"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982"/>
        <w:jc w:val="left"/>
      </w:pPr>
      <w:r>
        <w:rPr>
          <w:spacing w:val="-2"/>
        </w:rPr>
        <w:t>大区、重点城市为一体的营销体系，在重点区域市场组建销售、咨询、交付铁三角，建立了以客户为中心</w:t>
      </w:r>
      <w:r>
        <w:rPr>
          <w:spacing w:val="-43"/>
        </w:rPr>
        <w:t> </w:t>
      </w:r>
      <w:r>
        <w:rPr>
          <w:spacing w:val="-43"/>
        </w:rPr>
      </w:r>
      <w:r>
        <w:rPr/>
        <w:t>强有力的服务团队。目前业务范围覆盖全国</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多个省市自治区。</w:t>
      </w:r>
    </w:p>
    <w:p>
      <w:pPr>
        <w:pStyle w:val="Heading4"/>
        <w:spacing w:line="432" w:lineRule="exact" w:before="8"/>
        <w:ind w:left="573" w:right="982" w:firstLine="2"/>
        <w:jc w:val="left"/>
      </w:pPr>
      <w:r>
        <w:rPr>
          <w:rFonts w:ascii="宋体" w:hAnsi="宋体" w:cs="宋体" w:eastAsia="宋体" w:hint="default"/>
          <w:b/>
          <w:bCs/>
        </w:rPr>
        <w:t>（五）优质的客户群体</w:t>
      </w:r>
      <w:r>
        <w:rPr>
          <w:rFonts w:ascii="宋体" w:hAnsi="宋体" w:cs="宋体" w:eastAsia="宋体" w:hint="default"/>
          <w:b/>
          <w:bCs/>
          <w:w w:val="100"/>
        </w:rPr>
        <w:t> </w:t>
      </w:r>
      <w:r>
        <w:rPr>
          <w:spacing w:val="-2"/>
        </w:rPr>
        <w:t>公司用户群体广泛，覆盖政府机构、金融、医疗卫生、大型企业等多个领域。优质的客户资源不仅为</w:t>
      </w:r>
    </w:p>
    <w:p>
      <w:pPr>
        <w:pStyle w:val="Heading4"/>
        <w:spacing w:line="255" w:lineRule="exact"/>
        <w:ind w:right="982"/>
        <w:jc w:val="left"/>
      </w:pPr>
      <w:r>
        <w:rPr/>
        <w:t>公司提供新业务拓展机遇，还可以利用客户行业影响力，降低同类型企业推广难度，是公司稳定、可持续</w:t>
      </w:r>
    </w:p>
    <w:p>
      <w:pPr>
        <w:pStyle w:val="Heading4"/>
        <w:spacing w:line="240" w:lineRule="auto" w:before="37"/>
        <w:ind w:right="982"/>
        <w:jc w:val="left"/>
      </w:pPr>
      <w:r>
        <w:rPr/>
        <w:t>发展的基础。</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2964" w:right="982"/>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Heading4"/>
        <w:spacing w:line="266" w:lineRule="auto"/>
        <w:ind w:right="1105" w:firstLine="420"/>
        <w:jc w:val="both"/>
      </w:pPr>
      <w:r>
        <w:rPr>
          <w:spacing w:val="-3"/>
        </w:rPr>
        <w:t>报告期内，公司实现营业收入</w:t>
      </w:r>
      <w:r>
        <w:rPr>
          <w:spacing w:val="-44"/>
        </w:rPr>
        <w:t> </w:t>
      </w:r>
      <w:r>
        <w:rPr>
          <w:rFonts w:ascii="Times New Roman" w:hAnsi="Times New Roman" w:cs="Times New Roman" w:eastAsia="Times New Roman" w:hint="default"/>
        </w:rPr>
        <w:t>6.68</w:t>
      </w:r>
      <w:r>
        <w:rPr>
          <w:rFonts w:ascii="Times New Roman" w:hAnsi="Times New Roman" w:cs="Times New Roman" w:eastAsia="Times New Roman" w:hint="default"/>
          <w:spacing w:val="16"/>
        </w:rPr>
        <w:t> </w:t>
      </w:r>
      <w:r>
        <w:rPr>
          <w:spacing w:val="-3"/>
        </w:rPr>
        <w:t>亿元，较上年同期增长</w:t>
      </w:r>
      <w:r>
        <w:rPr>
          <w:spacing w:val="-44"/>
        </w:rPr>
        <w:t> </w:t>
      </w:r>
      <w:r>
        <w:rPr>
          <w:rFonts w:ascii="Times New Roman" w:hAnsi="Times New Roman" w:cs="Times New Roman" w:eastAsia="Times New Roman" w:hint="default"/>
          <w:spacing w:val="-3"/>
        </w:rPr>
        <w:t>28.45%</w:t>
      </w:r>
      <w:r>
        <w:rPr>
          <w:spacing w:val="-3"/>
        </w:rPr>
        <w:t>；营业利润</w:t>
      </w:r>
      <w:r>
        <w:rPr>
          <w:spacing w:val="-46"/>
        </w:rPr>
        <w:t> </w:t>
      </w:r>
      <w:r>
        <w:rPr>
          <w:rFonts w:ascii="Times New Roman" w:hAnsi="Times New Roman" w:cs="Times New Roman" w:eastAsia="Times New Roman" w:hint="default"/>
        </w:rPr>
        <w:t>9,891.29</w:t>
      </w:r>
      <w:r>
        <w:rPr>
          <w:rFonts w:ascii="Times New Roman" w:hAnsi="Times New Roman" w:cs="Times New Roman" w:eastAsia="Times New Roman" w:hint="default"/>
          <w:spacing w:val="20"/>
        </w:rPr>
        <w:t> </w:t>
      </w:r>
      <w:r>
        <w:rPr>
          <w:spacing w:val="-4"/>
        </w:rPr>
        <w:t>万元、较上年</w:t>
      </w:r>
      <w:r>
        <w:rPr>
          <w:w w:val="100"/>
        </w:rPr>
        <w:t> </w:t>
      </w:r>
      <w:r>
        <w:rPr/>
        <w:t>同期增长</w:t>
      </w:r>
      <w:r>
        <w:rPr>
          <w:spacing w:val="-42"/>
        </w:rPr>
        <w:t> </w:t>
      </w:r>
      <w:r>
        <w:rPr>
          <w:rFonts w:ascii="Times New Roman" w:hAnsi="Times New Roman" w:cs="Times New Roman" w:eastAsia="Times New Roman" w:hint="default"/>
        </w:rPr>
        <w:t>2.85%</w:t>
      </w:r>
      <w:r>
        <w:rPr/>
        <w:t>；归属于上市公司股东的净利润为</w:t>
      </w:r>
      <w:r>
        <w:rPr>
          <w:spacing w:val="-45"/>
        </w:rPr>
        <w:t> </w:t>
      </w:r>
      <w:r>
        <w:rPr>
          <w:rFonts w:ascii="Times New Roman" w:hAnsi="Times New Roman" w:cs="Times New Roman" w:eastAsia="Times New Roman" w:hint="default"/>
        </w:rPr>
        <w:t>8,645.54</w:t>
      </w:r>
      <w:r>
        <w:rPr>
          <w:rFonts w:ascii="Times New Roman" w:hAnsi="Times New Roman" w:cs="Times New Roman" w:eastAsia="Times New Roman" w:hint="default"/>
          <w:spacing w:val="10"/>
        </w:rPr>
        <w:t> </w:t>
      </w:r>
      <w:r>
        <w:rPr/>
        <w:t>万元，较上年同期增长</w:t>
      </w:r>
      <w:r>
        <w:rPr>
          <w:spacing w:val="-43"/>
        </w:rPr>
        <w:t> </w:t>
      </w:r>
      <w:r>
        <w:rPr>
          <w:rFonts w:ascii="Times New Roman" w:hAnsi="Times New Roman" w:cs="Times New Roman" w:eastAsia="Times New Roman" w:hint="default"/>
        </w:rPr>
        <w:t>2.62%</w:t>
      </w:r>
      <w:r>
        <w:rPr/>
        <w:t>；归属于上市公</w:t>
      </w:r>
      <w:r>
        <w:rPr>
          <w:w w:val="100"/>
        </w:rPr>
        <w:t> </w:t>
      </w:r>
      <w:r>
        <w:rPr/>
        <w:t>司股东的扣除非经常性损益的净利润</w:t>
      </w:r>
      <w:r>
        <w:rPr>
          <w:spacing w:val="-37"/>
        </w:rPr>
        <w:t> </w:t>
      </w:r>
      <w:r>
        <w:rPr>
          <w:rFonts w:ascii="Times New Roman" w:hAnsi="Times New Roman" w:cs="Times New Roman" w:eastAsia="Times New Roman" w:hint="default"/>
        </w:rPr>
        <w:t>7,576.75</w:t>
      </w:r>
      <w:r>
        <w:rPr>
          <w:rFonts w:ascii="Times New Roman" w:hAnsi="Times New Roman" w:cs="Times New Roman" w:eastAsia="Times New Roman" w:hint="default"/>
          <w:spacing w:val="11"/>
        </w:rPr>
        <w:t> </w:t>
      </w:r>
      <w:r>
        <w:rPr>
          <w:spacing w:val="-6"/>
        </w:rPr>
        <w:t>万元，同比增长</w:t>
      </w:r>
      <w:r>
        <w:rPr>
          <w:spacing w:val="-41"/>
        </w:rPr>
        <w:t> </w:t>
      </w:r>
      <w:r>
        <w:rPr>
          <w:rFonts w:ascii="Times New Roman" w:hAnsi="Times New Roman" w:cs="Times New Roman" w:eastAsia="Times New Roman" w:hint="default"/>
          <w:spacing w:val="-5"/>
        </w:rPr>
        <w:t>18.97%</w:t>
      </w:r>
      <w:r>
        <w:rPr>
          <w:spacing w:val="-5"/>
        </w:rPr>
        <w:t>。公司业绩快速增长的主要原因：一</w:t>
      </w:r>
      <w:r>
        <w:rPr>
          <w:spacing w:val="-93"/>
        </w:rPr>
        <w:t> </w:t>
      </w:r>
      <w:r>
        <w:rPr>
          <w:spacing w:val="-93"/>
        </w:rPr>
      </w:r>
      <w:r>
        <w:rPr>
          <w:spacing w:val="-2"/>
        </w:rPr>
        <w:t>是公司优质的网络信任体系建设和电子签名应用解决方案得到了市场认可，报告期内公司在卫生、金融、</w:t>
      </w:r>
      <w:r>
        <w:rPr>
          <w:spacing w:val="-21"/>
        </w:rPr>
        <w:t> </w:t>
      </w:r>
      <w:r>
        <w:rPr>
          <w:spacing w:val="-21"/>
        </w:rPr>
      </w:r>
      <w:r>
        <w:rPr>
          <w:spacing w:val="-2"/>
        </w:rPr>
        <w:t>企业信息化行业的业务均持续稳定增长。二是借助强大的营销网络，快速复制推广成熟解决方案。报告期</w:t>
      </w:r>
      <w:r>
        <w:rPr>
          <w:spacing w:val="-45"/>
        </w:rPr>
        <w:t> </w:t>
      </w:r>
      <w:r>
        <w:rPr>
          <w:spacing w:val="-45"/>
        </w:rPr>
      </w:r>
      <w:r>
        <w:rPr>
          <w:spacing w:val="-2"/>
        </w:rPr>
        <w:t>内随着外地信息化建设提速，公司网络安全解决方案在外地市场得以有效落地，公司各个区域业务均取得</w:t>
      </w:r>
      <w:r>
        <w:rPr>
          <w:spacing w:val="-44"/>
        </w:rPr>
        <w:t> </w:t>
      </w:r>
      <w:r>
        <w:rPr>
          <w:spacing w:val="-44"/>
        </w:rPr>
      </w:r>
      <w:r>
        <w:rPr>
          <w:spacing w:val="-3"/>
        </w:rPr>
        <w:t>持续稳定增长，其中华南、华中、东北、西部区域业务收入同比增长均超过</w:t>
      </w:r>
      <w:r>
        <w:rPr>
          <w:spacing w:val="-30"/>
        </w:rPr>
        <w:t> </w:t>
      </w:r>
      <w:r>
        <w:rPr>
          <w:rFonts w:ascii="Times New Roman" w:hAnsi="Times New Roman" w:cs="Times New Roman" w:eastAsia="Times New Roman" w:hint="default"/>
        </w:rPr>
        <w:t>40%</w:t>
      </w:r>
      <w:r>
        <w:rPr/>
        <w:t>。三是充分发挥公司作为</w:t>
      </w:r>
      <w:r>
        <w:rPr>
          <w:spacing w:val="-81"/>
        </w:rPr>
        <w:t> </w:t>
      </w:r>
      <w:r>
        <w:rPr>
          <w:spacing w:val="-81"/>
        </w:rPr>
      </w:r>
      <w:r>
        <w:rPr>
          <w:spacing w:val="-2"/>
        </w:rPr>
        <w:t>北京市网络安全基础设施的作用，积极参与北京市网络安全建设，承担了北京市城市副中心网络安全建设</w:t>
      </w:r>
      <w:r>
        <w:rPr>
          <w:spacing w:val="-43"/>
        </w:rPr>
        <w:t> </w:t>
      </w:r>
      <w:r>
        <w:rPr>
          <w:spacing w:val="-43"/>
        </w:rPr>
      </w:r>
      <w:r>
        <w:rPr>
          <w:spacing w:val="-2"/>
        </w:rPr>
        <w:t>工作。四是公司积极提升管理水平，以业务开拓为出发点，优化公司流程，推进各项制度有效落地，激发</w:t>
      </w:r>
      <w:r>
        <w:rPr>
          <w:spacing w:val="-43"/>
        </w:rPr>
        <w:t> </w:t>
      </w:r>
      <w:r>
        <w:rPr>
          <w:spacing w:val="-43"/>
        </w:rPr>
      </w:r>
      <w:r>
        <w:rPr>
          <w:spacing w:val="-2"/>
        </w:rPr>
        <w:t>各职能部门活力，为公司业务的开拓提供有力保证。同时进一步完善公司内部控制体系建设，有效防范经</w:t>
      </w:r>
      <w:r>
        <w:rPr>
          <w:spacing w:val="-45"/>
        </w:rPr>
        <w:t> </w:t>
      </w:r>
      <w:r>
        <w:rPr>
          <w:spacing w:val="-45"/>
        </w:rPr>
      </w:r>
      <w:r>
        <w:rPr/>
        <w:t>营风险。</w:t>
      </w:r>
    </w:p>
    <w:p>
      <w:pPr>
        <w:pStyle w:val="Heading3"/>
        <w:spacing w:line="240" w:lineRule="auto" w:before="131"/>
        <w:ind w:left="575" w:right="982"/>
        <w:jc w:val="left"/>
        <w:rPr>
          <w:b w:val="0"/>
          <w:bCs w:val="0"/>
        </w:rPr>
      </w:pPr>
      <w:r>
        <w:rPr/>
        <w:t>报告期内公司的重点工作：</w:t>
      </w:r>
      <w:r>
        <w:rPr>
          <w:b w:val="0"/>
          <w:bCs w:val="0"/>
        </w:rPr>
      </w:r>
    </w:p>
    <w:p>
      <w:pPr>
        <w:pStyle w:val="Heading4"/>
        <w:spacing w:line="430" w:lineRule="atLeast" w:before="4"/>
        <w:ind w:left="573" w:right="982" w:firstLine="2"/>
        <w:jc w:val="left"/>
      </w:pPr>
      <w:r>
        <w:rPr>
          <w:rFonts w:ascii="宋体" w:hAnsi="宋体" w:cs="宋体" w:eastAsia="宋体" w:hint="default"/>
          <w:b/>
          <w:bCs/>
        </w:rPr>
        <w:t>（一）重点营销工作</w:t>
      </w:r>
      <w:r>
        <w:rPr>
          <w:rFonts w:ascii="宋体" w:hAnsi="宋体" w:cs="宋体" w:eastAsia="宋体" w:hint="default"/>
          <w:b/>
          <w:bCs/>
          <w:w w:val="100"/>
        </w:rPr>
        <w:t> </w:t>
      </w:r>
      <w:r>
        <w:rPr>
          <w:spacing w:val="-2"/>
        </w:rPr>
        <w:t>主要业务快速拓展。报告期内公司针对重点行业的实际需求，将网络安全技术与各行业应用特点相结</w:t>
      </w:r>
    </w:p>
    <w:p>
      <w:pPr>
        <w:pStyle w:val="Heading4"/>
        <w:spacing w:line="268" w:lineRule="auto" w:before="37"/>
        <w:ind w:right="982"/>
        <w:jc w:val="left"/>
      </w:pPr>
      <w:r>
        <w:rPr>
          <w:spacing w:val="-5"/>
        </w:rPr>
        <w:t>合，不断优化和丰富公司在各行业的网络安全解决方案。在政务行业，积极推进现有解决方案在行业落地， </w:t>
      </w:r>
      <w:r>
        <w:rPr/>
        <w:t>不断探索新的业务方向。公司的统一身份认证、电子签章、电子证照等网络安全解决方案得到广泛应用，</w:t>
      </w:r>
      <w:r>
        <w:rPr>
          <w:w w:val="100"/>
        </w:rPr>
        <w:t> </w:t>
      </w:r>
      <w:r>
        <w:rPr/>
        <w:t>同时还在互联网</w:t>
      </w:r>
      <w:r>
        <w:rPr>
          <w:rFonts w:ascii="Times New Roman" w:hAnsi="Times New Roman" w:cs="Times New Roman" w:eastAsia="Times New Roman" w:hint="default"/>
        </w:rPr>
        <w:t>+</w:t>
      </w:r>
      <w:r>
        <w:rPr/>
        <w:t>政务领域的网络信任体系建设方案展开积极探索。在医疗卫生行业，公司围绕医院开展</w:t>
      </w:r>
      <w:r>
        <w:rPr>
          <w:spacing w:val="-38"/>
        </w:rPr>
        <w:t> </w:t>
      </w:r>
      <w:r>
        <w:rPr>
          <w:spacing w:val="-38"/>
        </w:rPr>
      </w:r>
      <w:r>
        <w:rPr/>
        <w:t>医疗信息网络安全建设，持续推进网络安全解决方案在医院医疗信息系统、区域医疗平台等领域的应用，</w:t>
      </w:r>
      <w:r>
        <w:rPr>
          <w:w w:val="100"/>
        </w:rPr>
        <w:t> </w:t>
      </w:r>
      <w:r>
        <w:rPr/>
        <w:t>新增签约客户数超过 </w:t>
      </w:r>
      <w:r>
        <w:rPr>
          <w:rFonts w:ascii="Times New Roman" w:hAnsi="Times New Roman" w:cs="Times New Roman" w:eastAsia="Times New Roman" w:hint="default"/>
        </w:rPr>
        <w:t>150 </w:t>
      </w:r>
      <w:r>
        <w:rPr>
          <w:spacing w:val="-3"/>
        </w:rPr>
        <w:t>家。此外公司进一步进行业务拓展，在互联网医疗方面，公司积极参与全国互联</w:t>
      </w:r>
      <w:r>
        <w:rPr>
          <w:spacing w:val="-85"/>
        </w:rPr>
        <w:t> </w:t>
      </w:r>
      <w:r>
        <w:rPr>
          <w:spacing w:val="-85"/>
        </w:rPr>
      </w:r>
      <w:r>
        <w:rPr>
          <w:spacing w:val="-2"/>
        </w:rPr>
        <w:t>网医疗监管平台系统建设，已为四川和青海两个省级互联网医疗监管平台系统提供服务，在区域平台、疾</w:t>
      </w:r>
      <w:r>
        <w:rPr>
          <w:spacing w:val="-43"/>
        </w:rPr>
        <w:t> </w:t>
      </w:r>
      <w:r>
        <w:rPr>
          <w:spacing w:val="-43"/>
        </w:rPr>
      </w:r>
      <w:r>
        <w:rPr>
          <w:spacing w:val="-2"/>
        </w:rPr>
        <w:t>控、卫生监督执法、食药监等领域进行了业务探索。在金融行业，公司持续优化保险行业解决方案，新签</w:t>
      </w:r>
      <w:r>
        <w:rPr>
          <w:spacing w:val="-43"/>
        </w:rPr>
        <w:t> </w:t>
      </w:r>
      <w:r>
        <w:rPr>
          <w:spacing w:val="-43"/>
        </w:rPr>
      </w:r>
      <w:r>
        <w:rPr/>
        <w:t>约保险类客户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多家，进一步提升公司在保险领域的领先地位；在银行业务领域，公司进一步优化了解</w:t>
      </w:r>
    </w:p>
    <w:p>
      <w:pPr>
        <w:pStyle w:val="Heading4"/>
        <w:spacing w:line="256" w:lineRule="auto"/>
        <w:ind w:right="1123"/>
        <w:jc w:val="left"/>
      </w:pPr>
      <w:r>
        <w:rPr/>
        <w:t>决方案，签约客户超过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家，提升了公司在银行领域的品牌知名度。报告期内公司还在民航、海事、教</w:t>
      </w:r>
      <w:r>
        <w:rPr>
          <w:w w:val="100"/>
        </w:rPr>
        <w:t> </w:t>
      </w:r>
      <w:r>
        <w:rPr/>
        <w:t>育等行业树立行业标杆，进行方案落地。</w:t>
      </w:r>
    </w:p>
    <w:p>
      <w:pPr>
        <w:pStyle w:val="Heading4"/>
        <w:spacing w:line="266" w:lineRule="auto" w:before="140"/>
        <w:ind w:right="982" w:firstLine="420"/>
        <w:jc w:val="left"/>
      </w:pPr>
      <w:r>
        <w:rPr>
          <w:spacing w:val="-5"/>
        </w:rPr>
        <w:t>新业务应用范围不断延伸，规模效应渐显。公司面对不同应用场景形成了多种可靠电子签名解决方案，</w:t>
      </w:r>
      <w:r>
        <w:rPr>
          <w:w w:val="100"/>
        </w:rPr>
        <w:t> </w:t>
      </w:r>
      <w:r>
        <w:rPr/>
        <w:t>业务应用接入数快速提升，签名次数显著增长，规模效应渐显。报告期内，为解决合同签约过程成本高、</w:t>
      </w:r>
      <w:r>
        <w:rPr>
          <w:w w:val="100"/>
        </w:rPr>
        <w:t> </w:t>
      </w:r>
      <w:r>
        <w:rPr/>
        <w:t>效率低和合同归档复杂等问题，公司基于可靠电子签名技术，设计开发了具有法律效力的电子合同签署系</w:t>
      </w:r>
      <w:r>
        <w:rPr>
          <w:w w:val="100"/>
        </w:rPr>
        <w:t> </w:t>
      </w:r>
      <w:r>
        <w:rPr>
          <w:spacing w:val="-2"/>
        </w:rPr>
        <w:t>统，专门应用于企业与企业、企业与个人之间协议</w:t>
      </w:r>
      <w:r>
        <w:rPr>
          <w:rFonts w:ascii="Times New Roman" w:hAnsi="Times New Roman" w:cs="Times New Roman" w:eastAsia="Times New Roman" w:hint="default"/>
          <w:spacing w:val="-2"/>
        </w:rPr>
        <w:t>/</w:t>
      </w:r>
      <w:r>
        <w:rPr>
          <w:spacing w:val="-2"/>
        </w:rPr>
        <w:t>合同电子签署，电子合同产品逐渐进入全面应用阶段，</w:t>
      </w:r>
      <w:r>
        <w:rPr>
          <w:spacing w:val="-20"/>
        </w:rPr>
        <w:t> </w:t>
      </w:r>
      <w:r>
        <w:rPr>
          <w:spacing w:val="-20"/>
        </w:rPr>
      </w:r>
      <w:r>
        <w:rPr>
          <w:spacing w:val="-6"/>
        </w:rPr>
        <w:t>应用范围不断延伸，目前已广泛应用于能源、房地产、互联网、汽车金融等领域知名企业，初步树立了</w:t>
      </w:r>
      <w:r>
        <w:rPr>
          <w:rFonts w:ascii="Times New Roman" w:hAnsi="Times New Roman" w:cs="Times New Roman" w:eastAsia="Times New Roman" w:hint="default"/>
          <w:spacing w:val="-6"/>
        </w:rPr>
        <w:t>“500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强企业信任之选</w:t>
      </w:r>
      <w:r>
        <w:rPr>
          <w:rFonts w:ascii="Times New Roman" w:hAnsi="Times New Roman" w:cs="Times New Roman" w:eastAsia="Times New Roman" w:hint="default"/>
        </w:rPr>
        <w:t>”</w:t>
      </w:r>
      <w:r>
        <w:rPr/>
        <w:t>的品牌形象。</w:t>
      </w:r>
    </w:p>
    <w:p>
      <w:pPr>
        <w:pStyle w:val="Heading4"/>
        <w:spacing w:line="273" w:lineRule="auto" w:before="113"/>
        <w:ind w:right="1126" w:firstLine="420"/>
        <w:jc w:val="both"/>
      </w:pPr>
      <w:r>
        <w:rPr>
          <w:spacing w:val="-2"/>
        </w:rPr>
        <w:t>积极保障重大项目，服务北京城市建设。公司积极参与城市副中心网络安全建设工作，为客户提供网</w:t>
      </w:r>
      <w:r>
        <w:rPr>
          <w:w w:val="100"/>
        </w:rPr>
        <w:t> </w:t>
      </w:r>
      <w:r>
        <w:rPr>
          <w:spacing w:val="-2"/>
        </w:rPr>
        <w:t>络安全咨询、运维服务，保护关键信息基础设施；承担了电子政务内网、行政办公系统移动化、部分楼体</w:t>
      </w:r>
      <w:r>
        <w:rPr>
          <w:spacing w:val="-43"/>
        </w:rPr>
        <w:t> </w:t>
      </w:r>
      <w:r>
        <w:rPr>
          <w:spacing w:val="-43"/>
        </w:rPr>
      </w:r>
      <w:r>
        <w:rPr/>
        <w:t>网络、安防专网等网络安全建设工作，为各政府单位顺利入驻提供重要的技术支撑。</w:t>
      </w:r>
    </w:p>
    <w:p>
      <w:pPr>
        <w:pStyle w:val="Heading4"/>
        <w:spacing w:line="379" w:lineRule="auto" w:before="125"/>
        <w:ind w:left="573" w:right="982" w:firstLine="2"/>
        <w:jc w:val="left"/>
      </w:pPr>
      <w:r>
        <w:rPr>
          <w:rFonts w:ascii="宋体" w:hAnsi="宋体" w:cs="宋体" w:eastAsia="宋体" w:hint="default"/>
          <w:b/>
          <w:bCs/>
        </w:rPr>
        <w:t>（二）重点研发工作</w:t>
      </w:r>
      <w:r>
        <w:rPr>
          <w:rFonts w:ascii="宋体" w:hAnsi="宋体" w:cs="宋体" w:eastAsia="宋体" w:hint="default"/>
          <w:b/>
          <w:bCs/>
          <w:w w:val="100"/>
        </w:rPr>
        <w:t> </w:t>
      </w:r>
      <w:r>
        <w:rPr>
          <w:spacing w:val="-2"/>
        </w:rPr>
        <w:t>产品不断完善创新。报告期内公司不断优化完善现有产品，持续增强产品的适应性和易用性。</w:t>
      </w:r>
    </w:p>
    <w:p>
      <w:pPr>
        <w:spacing w:after="0" w:line="379"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firstLine="420"/>
        <w:jc w:val="both"/>
      </w:pPr>
      <w:r>
        <w:rPr>
          <w:spacing w:val="-2"/>
        </w:rPr>
        <w:t>积极推进云战略。公司优化签名云的云端架构，持续增加功能和提升性能。公司丰富云签名的终端功</w:t>
      </w:r>
      <w:r>
        <w:rPr>
          <w:w w:val="100"/>
        </w:rPr>
        <w:t> </w:t>
      </w:r>
      <w:r>
        <w:rPr>
          <w:spacing w:val="-2"/>
        </w:rPr>
        <w:t>能，增加了协同签名、托管签名、事件型签名、云签名验签等功能，并与微信、支付宝、钉钉等平台进行</w:t>
      </w:r>
      <w:r>
        <w:rPr>
          <w:spacing w:val="-47"/>
        </w:rPr>
        <w:t> </w:t>
      </w:r>
      <w:r>
        <w:rPr>
          <w:spacing w:val="-47"/>
        </w:rPr>
      </w:r>
      <w:r>
        <w:rPr/>
        <w:t>了对接。公司的云安全服务增加了日志存管、威胁监测等诸多业务功能，不断满足监管和客户需求。</w:t>
      </w:r>
    </w:p>
    <w:p>
      <w:pPr>
        <w:pStyle w:val="Heading4"/>
        <w:spacing w:line="273" w:lineRule="auto" w:before="48"/>
        <w:ind w:right="1020" w:firstLine="420"/>
        <w:jc w:val="both"/>
      </w:pPr>
      <w:r>
        <w:rPr/>
        <w:t>开展安全可信领域产品研发。公司对产品和平台系统进行国产化升级改造，对国产硬件、操作系统、</w:t>
      </w:r>
      <w:r>
        <w:rPr>
          <w:w w:val="100"/>
        </w:rPr>
        <w:t> </w:t>
      </w:r>
      <w:r>
        <w:rPr>
          <w:spacing w:val="-7"/>
          <w:w w:val="100"/>
        </w:rPr>
        <w:t>数据库等进行全面的适配。目前已有</w:t>
      </w:r>
      <w:r>
        <w:rPr>
          <w:spacing w:val="-42"/>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7"/>
          <w:w w:val="100"/>
        </w:rPr>
        <w:t> </w:t>
      </w:r>
      <w:r>
        <w:rPr>
          <w:spacing w:val="-10"/>
          <w:w w:val="100"/>
        </w:rPr>
        <w:t>款产品通过了国密局安可适配检测，获得《商用密码产品型号证书》。</w:t>
      </w:r>
    </w:p>
    <w:p>
      <w:pPr>
        <w:pStyle w:val="Heading4"/>
        <w:spacing w:line="268" w:lineRule="auto" w:before="27"/>
        <w:ind w:right="1105" w:firstLine="420"/>
        <w:jc w:val="both"/>
      </w:pPr>
      <w:r>
        <w:rPr>
          <w:spacing w:val="-3"/>
        </w:rPr>
        <w:t>加强技术储备。一是进行产业链整合。公司成功收购中天信安</w:t>
      </w:r>
      <w:r>
        <w:rPr>
          <w:spacing w:val="-10"/>
        </w:rPr>
        <w:t> </w:t>
      </w:r>
      <w:r>
        <w:rPr>
          <w:rFonts w:ascii="Times New Roman" w:hAnsi="Times New Roman" w:cs="Times New Roman" w:eastAsia="Times New Roman" w:hint="default"/>
          <w:spacing w:val="-3"/>
        </w:rPr>
        <w:t>40%</w:t>
      </w:r>
      <w:r>
        <w:rPr>
          <w:spacing w:val="-3"/>
        </w:rPr>
        <w:t>的股权，中天信安具备终端密码硬</w:t>
      </w:r>
      <w:r>
        <w:rPr>
          <w:w w:val="100"/>
        </w:rPr>
        <w:t> </w:t>
      </w:r>
      <w:r>
        <w:rPr>
          <w:spacing w:val="-2"/>
        </w:rPr>
        <w:t>件领域的技术积累和行业经验，有利于公司设计推出终端密码设备和后端服务器的整体密码解决方案，构</w:t>
      </w:r>
      <w:r>
        <w:rPr>
          <w:spacing w:val="-43"/>
        </w:rPr>
        <w:t> </w:t>
      </w:r>
      <w:r>
        <w:rPr>
          <w:spacing w:val="-43"/>
        </w:rPr>
      </w:r>
      <w:r>
        <w:rPr>
          <w:spacing w:val="-2"/>
        </w:rPr>
        <w:t>建</w:t>
      </w:r>
      <w:r>
        <w:rPr>
          <w:rFonts w:ascii="Times New Roman" w:hAnsi="Times New Roman" w:cs="Times New Roman" w:eastAsia="Times New Roman" w:hint="default"/>
          <w:spacing w:val="-2"/>
        </w:rPr>
        <w:t>“</w:t>
      </w:r>
      <w:r>
        <w:rPr>
          <w:spacing w:val="-2"/>
        </w:rPr>
        <w:t>软硬一体、前后协同</w:t>
      </w:r>
      <w:r>
        <w:rPr>
          <w:rFonts w:ascii="Times New Roman" w:hAnsi="Times New Roman" w:cs="Times New Roman" w:eastAsia="Times New Roman" w:hint="default"/>
          <w:spacing w:val="-2"/>
        </w:rPr>
        <w:t>”</w:t>
      </w:r>
      <w:r>
        <w:rPr>
          <w:spacing w:val="-2"/>
        </w:rPr>
        <w:t>完整的密码技术生态系统。二是投资设立武汉研发运营中心。基于公司先进技术</w:t>
      </w:r>
      <w:r>
        <w:rPr>
          <w:spacing w:val="-18"/>
        </w:rPr>
        <w:t> </w:t>
      </w:r>
      <w:r>
        <w:rPr>
          <w:spacing w:val="-18"/>
        </w:rPr>
      </w:r>
      <w:r>
        <w:rPr>
          <w:spacing w:val="-2"/>
        </w:rPr>
        <w:t>研发的迫切需要，投入建立武汉研发运营中心，目前已完成武汉全资子公司的土地成交和建设方案设计、</w:t>
      </w:r>
      <w:r>
        <w:rPr>
          <w:spacing w:val="-21"/>
        </w:rPr>
        <w:t> </w:t>
      </w:r>
      <w:r>
        <w:rPr>
          <w:spacing w:val="-21"/>
        </w:rPr>
      </w:r>
      <w:r>
        <w:rPr>
          <w:spacing w:val="-2"/>
        </w:rPr>
        <w:t>建设工程招标等工作。三是积极开展新技术研究。公司对物联网安全、隐私保护、密文运算等技术进行了</w:t>
      </w:r>
      <w:r>
        <w:rPr>
          <w:spacing w:val="-49"/>
        </w:rPr>
        <w:t> </w:t>
      </w:r>
      <w:r>
        <w:rPr>
          <w:spacing w:val="-49"/>
        </w:rPr>
      </w:r>
      <w:r>
        <w:rPr>
          <w:spacing w:val="-2"/>
        </w:rPr>
        <w:t>研究，为产品升级做好准备。四是持续投入资源进行课题研究和标准制定工作。公司积极申请承担多项国</w:t>
      </w:r>
      <w:r>
        <w:rPr>
          <w:spacing w:val="-43"/>
        </w:rPr>
        <w:t> </w:t>
      </w:r>
      <w:r>
        <w:rPr>
          <w:spacing w:val="-43"/>
        </w:rPr>
      </w:r>
      <w:r>
        <w:rPr>
          <w:spacing w:val="-2"/>
        </w:rPr>
        <w:t>家和省部级重大课题项目，通过课题研究及时跟进和掌握行业最前沿技术，促进公司对新技术的积累和应</w:t>
      </w:r>
      <w:r>
        <w:rPr>
          <w:spacing w:val="-43"/>
        </w:rPr>
        <w:t> </w:t>
      </w:r>
      <w:r>
        <w:rPr>
          <w:spacing w:val="-43"/>
        </w:rPr>
      </w:r>
      <w:r>
        <w:rPr>
          <w:spacing w:val="-2"/>
        </w:rPr>
        <w:t>用。同时，还积极参与国家标准、行业标准、地方标准、团体标准的制定，公司牵头编写的密码行业标准</w:t>
      </w:r>
    </w:p>
    <w:p>
      <w:pPr>
        <w:pStyle w:val="Heading4"/>
        <w:spacing w:line="240" w:lineRule="auto" w:before="12"/>
        <w:ind w:right="982"/>
        <w:jc w:val="left"/>
      </w:pPr>
      <w:r>
        <w:rPr/>
        <w:t>《</w:t>
      </w:r>
      <w:r>
        <w:rPr>
          <w:rFonts w:ascii="Times New Roman" w:hAnsi="Times New Roman" w:cs="Times New Roman" w:eastAsia="Times New Roman" w:hint="default"/>
        </w:rPr>
        <w:t>GM/T0054-2018 </w:t>
      </w:r>
      <w:r>
        <w:rPr>
          <w:rFonts w:ascii="Times New Roman" w:hAnsi="Times New Roman" w:cs="Times New Roman" w:eastAsia="Times New Roman" w:hint="default"/>
          <w:spacing w:val="29"/>
        </w:rPr>
        <w:t> </w:t>
      </w:r>
      <w:r>
        <w:rPr>
          <w:spacing w:val="-6"/>
        </w:rPr>
        <w:t>信息系统密码应用基本要求》已成为公司所处行业的系统设计、建设、测试的重要依据。</w:t>
      </w:r>
    </w:p>
    <w:p>
      <w:pPr>
        <w:pStyle w:val="Heading4"/>
        <w:spacing w:line="432" w:lineRule="exact" w:before="41"/>
        <w:ind w:left="573" w:right="982" w:firstLine="2"/>
        <w:jc w:val="left"/>
      </w:pPr>
      <w:r>
        <w:rPr>
          <w:rFonts w:ascii="宋体" w:hAnsi="宋体" w:cs="宋体" w:eastAsia="宋体" w:hint="default"/>
          <w:b/>
          <w:bCs/>
        </w:rPr>
        <w:t>（三）经营管理工作</w:t>
      </w:r>
      <w:r>
        <w:rPr>
          <w:rFonts w:ascii="宋体" w:hAnsi="宋体" w:cs="宋体" w:eastAsia="宋体" w:hint="default"/>
          <w:b/>
          <w:bCs/>
          <w:w w:val="100"/>
        </w:rPr>
        <w:t> </w:t>
      </w:r>
      <w:r>
        <w:rPr>
          <w:spacing w:val="-3"/>
        </w:rPr>
        <w:t>优化组织结构，提升组织运作模式。公司坚持以客户为中心、以价值为导向的经营理念，从业务价值</w:t>
      </w:r>
    </w:p>
    <w:p>
      <w:pPr>
        <w:pStyle w:val="Heading4"/>
        <w:spacing w:line="271" w:lineRule="exact"/>
        <w:ind w:right="982"/>
        <w:jc w:val="left"/>
      </w:pPr>
      <w:r>
        <w:rPr/>
        <w:t>链的角度设计业务流程、组织人力资源。贯彻</w:t>
      </w:r>
      <w:r>
        <w:rPr>
          <w:rFonts w:ascii="Times New Roman" w:hAnsi="Times New Roman" w:cs="Times New Roman" w:eastAsia="Times New Roman" w:hint="default"/>
        </w:rPr>
        <w:t>“</w:t>
      </w:r>
      <w:r>
        <w:rPr/>
        <w:t>行业引领、区域落实</w:t>
      </w:r>
      <w:r>
        <w:rPr>
          <w:rFonts w:ascii="Times New Roman" w:hAnsi="Times New Roman" w:cs="Times New Roman" w:eastAsia="Times New Roman" w:hint="default"/>
        </w:rPr>
        <w:t>”</w:t>
      </w:r>
      <w:r>
        <w:rPr/>
        <w:t>战略，打造</w:t>
      </w:r>
      <w:r>
        <w:rPr>
          <w:rFonts w:ascii="Times New Roman" w:hAnsi="Times New Roman" w:cs="Times New Roman" w:eastAsia="Times New Roman" w:hint="default"/>
        </w:rPr>
        <w:t>“</w:t>
      </w:r>
      <w:r>
        <w:rPr/>
        <w:t>销售</w:t>
      </w:r>
      <w:r>
        <w:rPr>
          <w:rFonts w:ascii="Times New Roman" w:hAnsi="Times New Roman" w:cs="Times New Roman" w:eastAsia="Times New Roman" w:hint="default"/>
        </w:rPr>
        <w:t>-</w:t>
      </w:r>
      <w:r>
        <w:rPr/>
        <w:t>咨询</w:t>
      </w:r>
      <w:r>
        <w:rPr>
          <w:rFonts w:ascii="Times New Roman" w:hAnsi="Times New Roman" w:cs="Times New Roman" w:eastAsia="Times New Roman" w:hint="default"/>
        </w:rPr>
        <w:t>-</w:t>
      </w:r>
      <w:r>
        <w:rPr/>
        <w:t>交付</w:t>
      </w:r>
      <w:r>
        <w:rPr>
          <w:rFonts w:ascii="Times New Roman" w:hAnsi="Times New Roman" w:cs="Times New Roman" w:eastAsia="Times New Roman" w:hint="default"/>
        </w:rPr>
        <w:t>”</w:t>
      </w:r>
      <w:r>
        <w:rPr/>
        <w:t>的铁三</w:t>
      </w:r>
    </w:p>
    <w:p>
      <w:pPr>
        <w:pStyle w:val="Heading4"/>
        <w:spacing w:line="273" w:lineRule="auto" w:before="21"/>
        <w:ind w:right="982"/>
        <w:jc w:val="left"/>
      </w:pPr>
      <w:r>
        <w:rPr>
          <w:spacing w:val="-2"/>
        </w:rPr>
        <w:t>角，闭环解决客户问题，满足客户需求。公司进一步实施精细化管理，进行了以利润为考核指标的薪酬和</w:t>
      </w:r>
      <w:r>
        <w:rPr>
          <w:spacing w:val="-47"/>
        </w:rPr>
        <w:t> </w:t>
      </w:r>
      <w:r>
        <w:rPr>
          <w:spacing w:val="-47"/>
        </w:rPr>
      </w:r>
      <w:r>
        <w:rPr/>
        <w:t>绩效管理体系改革，引导各部门形成</w:t>
      </w:r>
      <w:r>
        <w:rPr>
          <w:rFonts w:ascii="Times New Roman" w:hAnsi="Times New Roman" w:cs="Times New Roman" w:eastAsia="Times New Roman" w:hint="default"/>
        </w:rPr>
        <w:t>“</w:t>
      </w:r>
      <w:r>
        <w:rPr/>
        <w:t>利润中心</w:t>
      </w:r>
      <w:r>
        <w:rPr>
          <w:rFonts w:ascii="Times New Roman" w:hAnsi="Times New Roman" w:cs="Times New Roman" w:eastAsia="Times New Roman" w:hint="default"/>
        </w:rPr>
        <w:t>”</w:t>
      </w:r>
      <w:r>
        <w:rPr/>
        <w:t>思维。</w:t>
      </w:r>
    </w:p>
    <w:p>
      <w:pPr>
        <w:pStyle w:val="Heading4"/>
        <w:spacing w:line="273" w:lineRule="auto" w:before="29"/>
        <w:ind w:right="1105" w:firstLine="420"/>
        <w:jc w:val="both"/>
      </w:pPr>
      <w:r>
        <w:rPr>
          <w:spacing w:val="-3"/>
        </w:rPr>
        <w:t>加强外部风险管控，规范内部管理体系。公司依据最新政策法规、国企管控等相关要求，建立相关工</w:t>
      </w:r>
      <w:r>
        <w:rPr>
          <w:w w:val="100"/>
        </w:rPr>
        <w:t> </w:t>
      </w:r>
      <w:r>
        <w:rPr>
          <w:spacing w:val="-2"/>
        </w:rPr>
        <w:t>作机制，进一步规范内部管理，系统梳理优化内部控制制度、规范、手册，完善公司内部控制体系建设，</w:t>
      </w:r>
      <w:r>
        <w:rPr>
          <w:spacing w:val="-21"/>
        </w:rPr>
        <w:t> </w:t>
      </w:r>
      <w:r>
        <w:rPr>
          <w:spacing w:val="-21"/>
        </w:rPr>
      </w:r>
      <w:r>
        <w:rPr/>
        <w:t>严格执行内控管理制度，规范公司经营，防范经营风险。</w:t>
      </w:r>
    </w:p>
    <w:p>
      <w:pPr>
        <w:pStyle w:val="Heading4"/>
        <w:spacing w:line="273" w:lineRule="auto" w:before="48"/>
        <w:ind w:right="1126" w:firstLine="420"/>
        <w:jc w:val="both"/>
      </w:pPr>
      <w:r>
        <w:rPr>
          <w:spacing w:val="-2"/>
        </w:rPr>
        <w:t>加强人才体系建设，打造优秀人才队伍。调整优化人才激励体系，进一步深化以利润为考核指标的绩</w:t>
      </w:r>
      <w:r>
        <w:rPr>
          <w:w w:val="100"/>
        </w:rPr>
        <w:t> </w:t>
      </w:r>
      <w:r>
        <w:rPr>
          <w:spacing w:val="-2"/>
        </w:rPr>
        <w:t>效管理体系改革。重建任职资格体系，区分管理通道和专业通道，强化专家通道的待遇、荣誉体系。建立</w:t>
      </w:r>
      <w:r>
        <w:rPr>
          <w:spacing w:val="-43"/>
        </w:rPr>
        <w:t> </w:t>
      </w:r>
      <w:r>
        <w:rPr>
          <w:spacing w:val="-43"/>
        </w:rPr>
      </w:r>
      <w:r>
        <w:rPr>
          <w:spacing w:val="-2"/>
        </w:rPr>
        <w:t>人才标准，设计匹配的薪酬体系，建立了业务部门与利润紧密挂钩的核算和绩效体系，指引员工向公司期</w:t>
      </w:r>
      <w:r>
        <w:rPr>
          <w:spacing w:val="-44"/>
        </w:rPr>
        <w:t> </w:t>
      </w:r>
      <w:r>
        <w:rPr>
          <w:spacing w:val="-44"/>
        </w:rPr>
      </w:r>
      <w:r>
        <w:rPr/>
        <w:t>望方向发展。</w:t>
      </w:r>
    </w:p>
    <w:p>
      <w:pPr>
        <w:spacing w:line="240" w:lineRule="auto" w:before="5"/>
        <w:rPr>
          <w:rFonts w:ascii="宋体" w:hAnsi="宋体" w:cs="宋体" w:eastAsia="宋体" w:hint="default"/>
          <w:sz w:val="21"/>
          <w:szCs w:val="21"/>
        </w:rPr>
      </w:pPr>
    </w:p>
    <w:p>
      <w:pPr>
        <w:pStyle w:val="Heading2"/>
        <w:spacing w:line="240" w:lineRule="auto"/>
        <w:ind w:right="982"/>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98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974"/>
        <w:jc w:val="left"/>
      </w:pPr>
      <w:r>
        <w:rPr/>
        <w:t>公司是否需要遵守光伏产业链相关业的披露要求 否</w:t>
      </w:r>
    </w:p>
    <w:p>
      <w:pPr>
        <w:pStyle w:val="BodyText"/>
        <w:spacing w:line="340" w:lineRule="auto" w:before="29"/>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85,143,073.21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 w:right="0"/>
              <w:jc w:val="center"/>
              <w:rPr>
                <w:rFonts w:ascii="Times New Roman" w:hAnsi="Times New Roman" w:cs="Times New Roman" w:eastAsia="Times New Roman" w:hint="default"/>
                <w:sz w:val="15"/>
                <w:szCs w:val="15"/>
              </w:rPr>
            </w:pPr>
            <w:r>
              <w:rPr>
                <w:rFonts w:ascii="Times New Roman"/>
                <w:sz w:val="15"/>
              </w:rPr>
              <w:t>122,447,301.65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2"/>
                <w:sz w:val="15"/>
              </w:rPr>
              <w:t>118,585,373.66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9" w:right="0"/>
              <w:jc w:val="center"/>
              <w:rPr>
                <w:rFonts w:ascii="Times New Roman" w:hAnsi="Times New Roman" w:cs="Times New Roman" w:eastAsia="Times New Roman" w:hint="default"/>
                <w:sz w:val="15"/>
                <w:szCs w:val="15"/>
              </w:rPr>
            </w:pPr>
            <w:r>
              <w:rPr>
                <w:rFonts w:ascii="Times New Roman"/>
                <w:sz w:val="15"/>
              </w:rPr>
              <w:t>341,544,424.19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5"/>
                <w:szCs w:val="15"/>
              </w:rPr>
            </w:pPr>
            <w:r>
              <w:rPr>
                <w:rFonts w:ascii="Times New Roman"/>
                <w:sz w:val="15"/>
              </w:rPr>
              <w:t>64,464,660.49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108,636,319.77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8" w:right="0"/>
              <w:jc w:val="left"/>
              <w:rPr>
                <w:rFonts w:ascii="Times New Roman" w:hAnsi="Times New Roman" w:cs="Times New Roman" w:eastAsia="Times New Roman" w:hint="default"/>
                <w:sz w:val="15"/>
                <w:szCs w:val="15"/>
              </w:rPr>
            </w:pPr>
            <w:r>
              <w:rPr>
                <w:rFonts w:ascii="Times New Roman"/>
                <w:sz w:val="15"/>
              </w:rPr>
              <w:t>97,376,625.21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Times New Roman" w:hAnsi="Times New Roman" w:cs="Times New Roman" w:eastAsia="Times New Roman" w:hint="default"/>
                <w:sz w:val="15"/>
                <w:szCs w:val="15"/>
              </w:rPr>
            </w:pPr>
            <w:r>
              <w:rPr>
                <w:rFonts w:ascii="Times New Roman"/>
                <w:sz w:val="15"/>
              </w:rPr>
              <w:t>249,370,753.87</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6,086,000.62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9" w:right="0"/>
              <w:jc w:val="center"/>
              <w:rPr>
                <w:rFonts w:ascii="Times New Roman" w:hAnsi="Times New Roman" w:cs="Times New Roman" w:eastAsia="Times New Roman" w:hint="default"/>
                <w:sz w:val="15"/>
                <w:szCs w:val="15"/>
              </w:rPr>
            </w:pPr>
            <w:r>
              <w:rPr>
                <w:rFonts w:ascii="Times New Roman"/>
                <w:sz w:val="15"/>
              </w:rPr>
              <w:t>18,109,549.11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14,968,938.98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47,290,911.98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4" w:right="0"/>
              <w:jc w:val="left"/>
              <w:rPr>
                <w:rFonts w:ascii="Times New Roman" w:hAnsi="Times New Roman" w:cs="Times New Roman" w:eastAsia="Times New Roman" w:hint="default"/>
                <w:sz w:val="15"/>
                <w:szCs w:val="15"/>
              </w:rPr>
            </w:pPr>
            <w:r>
              <w:rPr>
                <w:rFonts w:ascii="Times New Roman"/>
                <w:sz w:val="15"/>
              </w:rPr>
              <w:t>-1,957,344.91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34,711,197.36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8" w:right="0"/>
              <w:jc w:val="left"/>
              <w:rPr>
                <w:rFonts w:ascii="Times New Roman" w:hAnsi="Times New Roman" w:cs="Times New Roman" w:eastAsia="Times New Roman" w:hint="default"/>
                <w:sz w:val="15"/>
                <w:szCs w:val="15"/>
              </w:rPr>
            </w:pPr>
            <w:r>
              <w:rPr>
                <w:rFonts w:ascii="Times New Roman"/>
                <w:sz w:val="15"/>
              </w:rPr>
              <w:t>14,395,845.57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37,095,811.92</w:t>
            </w:r>
          </w:p>
        </w:tc>
      </w:tr>
    </w:tbl>
    <w:p>
      <w:pPr>
        <w:pStyle w:val="BodyText"/>
        <w:spacing w:line="240" w:lineRule="auto" w:before="49"/>
        <w:ind w:right="982"/>
        <w:jc w:val="left"/>
      </w:pPr>
      <w:r>
        <w:rPr/>
        <w:t>说明经营季节性（或周期性）发生的原因及波动风险</w:t>
      </w:r>
    </w:p>
    <w:p>
      <w:pPr>
        <w:pStyle w:val="Heading4"/>
        <w:spacing w:line="273" w:lineRule="auto" w:before="96"/>
        <w:ind w:right="1126" w:firstLine="420"/>
        <w:jc w:val="both"/>
      </w:pPr>
      <w:r>
        <w:rPr>
          <w:spacing w:val="-2"/>
        </w:rPr>
        <w:t>业务收入季节性波动风险，政府部门是公司目前集成业务的主要客户群体，此类客户大多在上半年对</w:t>
      </w:r>
      <w:r>
        <w:rPr>
          <w:w w:val="100"/>
        </w:rPr>
        <w:t> </w:t>
      </w:r>
      <w:r>
        <w:rPr>
          <w:spacing w:val="-2"/>
        </w:rPr>
        <w:t>全年投资和采购进行规划，下半年甚至第四季度进行招标、项目验收和项目结算，公司业务收入也随之呈</w:t>
      </w:r>
      <w:r>
        <w:rPr>
          <w:spacing w:val="-44"/>
        </w:rPr>
        <w:t> </w:t>
      </w:r>
      <w:r>
        <w:rPr>
          <w:spacing w:val="-44"/>
        </w:rPr>
      </w:r>
      <w:r>
        <w:rPr/>
        <w:t>现季节性波动。</w:t>
      </w:r>
      <w:r>
        <w:rPr>
          <w:rFonts w:ascii="Times New Roman" w:hAnsi="Times New Roman" w:cs="Times New Roman" w:eastAsia="Times New Roman" w:hint="default"/>
        </w:rPr>
        <w:t>2018</w:t>
      </w:r>
      <w:r>
        <w:rPr/>
        <w:t>年公司第四季度营业收入占全年营业收入</w:t>
      </w:r>
      <w:r>
        <w:rPr>
          <w:rFonts w:ascii="Times New Roman" w:hAnsi="Times New Roman" w:cs="Times New Roman" w:eastAsia="Times New Roman" w:hint="default"/>
        </w:rPr>
        <w:t>51.15%</w:t>
      </w:r>
      <w:r>
        <w:rPr/>
        <w:t>。</w:t>
      </w:r>
    </w:p>
    <w:p>
      <w:pPr>
        <w:spacing w:line="240" w:lineRule="auto" w:before="3"/>
        <w:rPr>
          <w:rFonts w:ascii="宋体" w:hAnsi="宋体" w:cs="宋体" w:eastAsia="宋体" w:hint="default"/>
          <w:sz w:val="9"/>
          <w:szCs w:val="9"/>
        </w:rPr>
      </w:pPr>
    </w:p>
    <w:p>
      <w:pPr>
        <w:pStyle w:val="BodyText"/>
        <w:spacing w:line="240" w:lineRule="auto" w:before="44"/>
        <w:ind w:right="982"/>
        <w:jc w:val="left"/>
      </w:pPr>
      <w:r>
        <w:rPr/>
        <w:t>营业收入整体情况</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558"/>
        <w:gridCol w:w="1560"/>
        <w:gridCol w:w="1703"/>
        <w:gridCol w:w="1202"/>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667,720,172.71</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519,848,359.34</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28.45%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667,720,172.71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519,848,359.34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28.45%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264,398,141.29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231,560,050.40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258,787,036.04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177,205,781.03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46.04%</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安全咨询与运维服务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144,534,995.38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21.64%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111,082,527.91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21.37%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30.11%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535,530,452.54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427,119,391.79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25.38%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132,189,720.17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92,728,967.55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42.55%</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6"/>
          <w:szCs w:val="26"/>
        </w:rPr>
      </w:pPr>
    </w:p>
    <w:p>
      <w:pPr>
        <w:pStyle w:val="BodyText"/>
        <w:spacing w:line="35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2"/>
        <w:ind w:right="982"/>
        <w:jc w:val="left"/>
      </w:pPr>
      <w:r>
        <w:rPr/>
        <w:t>软件与信息技术服务业</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418"/>
        <w:gridCol w:w="992"/>
        <w:gridCol w:w="1277"/>
        <w:gridCol w:w="1275"/>
        <w:gridCol w:w="1066"/>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4"/>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667,720,172.71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276,330,853.28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264,398,141.29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83,228,504.69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258,787,036.04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123,014,089.84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安全咨询与运维服务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144,534,995.38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70,088,258.75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535,530,452.54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239,519,321.69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132,189,720.17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36,811,531.59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w:t>
            </w:r>
          </w:p>
        </w:tc>
      </w:tr>
    </w:tbl>
    <w:p>
      <w:pPr>
        <w:pStyle w:val="BodyText"/>
        <w:spacing w:line="240" w:lineRule="auto" w:before="49"/>
        <w:ind w:right="982"/>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6"/>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8"/>
        <w:rPr>
          <w:rFonts w:ascii="宋体" w:hAnsi="宋体" w:cs="宋体" w:eastAsia="宋体" w:hint="default"/>
          <w:sz w:val="10"/>
          <w:szCs w:val="10"/>
        </w:rPr>
      </w:pPr>
    </w:p>
    <w:p>
      <w:pPr>
        <w:pStyle w:val="BodyText"/>
        <w:spacing w:line="240" w:lineRule="auto" w:before="44"/>
        <w:ind w:right="982"/>
        <w:jc w:val="left"/>
      </w:pPr>
      <w:r>
        <w:rPr/>
        <w:t>主营业务成本构成</w:t>
      </w:r>
    </w:p>
    <w:p>
      <w:pPr>
        <w:pStyle w:val="BodyText"/>
        <w:spacing w:line="240" w:lineRule="auto" w:before="118"/>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141,737,105.87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96,671,159.36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132,312,373.68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118,693,902.31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2,281,373.73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1,987,395.72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14.79%</w:t>
            </w:r>
          </w:p>
        </w:tc>
      </w:tr>
    </w:tbl>
    <w:p>
      <w:pPr>
        <w:spacing w:line="240" w:lineRule="auto" w:before="10"/>
        <w:rPr>
          <w:rFonts w:ascii="宋体" w:hAnsi="宋体" w:cs="宋体" w:eastAsia="宋体" w:hint="default"/>
          <w:sz w:val="15"/>
          <w:szCs w:val="15"/>
        </w:rPr>
      </w:pPr>
    </w:p>
    <w:p>
      <w:pPr>
        <w:pStyle w:val="BodyText"/>
        <w:spacing w:line="240" w:lineRule="auto" w:before="44"/>
        <w:ind w:right="982"/>
        <w:jc w:val="left"/>
      </w:pPr>
      <w:r>
        <w:rPr/>
        <w:t>产品分类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2"/>
        <w:gridCol w:w="1561"/>
        <w:gridCol w:w="2693"/>
        <w:gridCol w:w="2552"/>
        <w:gridCol w:w="924"/>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561"/>
        <w:gridCol w:w="1274"/>
        <w:gridCol w:w="1419"/>
        <w:gridCol w:w="1135"/>
        <w:gridCol w:w="1417"/>
        <w:gridCol w:w="924"/>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83,228,504.69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73,509,974.10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33.82%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13.22%</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123,014,089.84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89,571,405.79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37.34%</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安全咨询与运维服务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70,088,258.75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54,271,077.50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24.97%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29.14%</w:t>
            </w:r>
          </w:p>
        </w:tc>
      </w:tr>
    </w:tbl>
    <w:p>
      <w:pPr>
        <w:pStyle w:val="BodyText"/>
        <w:spacing w:line="240" w:lineRule="auto" w:before="49"/>
        <w:ind w:right="982"/>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Heading4"/>
        <w:spacing w:line="430" w:lineRule="atLeast" w:before="7"/>
        <w:ind w:left="573" w:right="982"/>
        <w:jc w:val="left"/>
      </w:pPr>
      <w:r>
        <w:rPr>
          <w:spacing w:val="-5"/>
          <w:w w:val="100"/>
        </w:rPr>
        <w:t>本报告期的合并财务报表范围包括本公司、安信天行、数字医信、数字认证（武汉）。</w:t>
      </w:r>
      <w:r>
        <w:rPr>
          <w:spacing w:val="-70"/>
          <w:w w:val="100"/>
        </w:rPr>
        <w:t> </w:t>
      </w:r>
      <w:r>
        <w:rPr>
          <w:spacing w:val="-70"/>
          <w:w w:val="100"/>
        </w:rPr>
      </w:r>
      <w:r>
        <w:rPr>
          <w:spacing w:val="-2"/>
        </w:rPr>
        <w:t>数字医信为本报告期新设立的全资子公司，根据第三届董事会第五次会议决议，本公司以自有资金出</w:t>
      </w:r>
    </w:p>
    <w:p>
      <w:pPr>
        <w:pStyle w:val="Heading4"/>
        <w:spacing w:line="256" w:lineRule="auto" w:before="37"/>
        <w:ind w:right="982"/>
        <w:jc w:val="left"/>
      </w:pPr>
      <w:r>
        <w:rPr/>
        <w:t>资人民币</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spacing w:val="-4"/>
        </w:rPr>
        <w:t>万元设立全资子公司数字医信，数字医信已于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4"/>
        </w:rPr>
        <w:t>月完成工商登记手续，并取得北京</w:t>
      </w:r>
      <w:r>
        <w:rPr>
          <w:spacing w:val="-102"/>
        </w:rPr>
        <w:t> </w:t>
      </w:r>
      <w:r>
        <w:rPr>
          <w:spacing w:val="-102"/>
        </w:rPr>
      </w:r>
      <w:r>
        <w:rPr/>
        <w:t>市工商行政管理局海淀分局核发的营业执照。</w:t>
      </w:r>
    </w:p>
    <w:p>
      <w:pPr>
        <w:pStyle w:val="Heading4"/>
        <w:spacing w:line="240" w:lineRule="auto" w:before="142"/>
        <w:ind w:left="573" w:right="982"/>
        <w:jc w:val="left"/>
      </w:pPr>
      <w:r>
        <w:rPr/>
        <w:t>数字认证（武汉）为本报告期新设立的全资子公司，根据第三届董事会第六次会议及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年第一次</w:t>
      </w:r>
    </w:p>
    <w:p>
      <w:pPr>
        <w:pStyle w:val="Heading4"/>
        <w:spacing w:line="240" w:lineRule="auto" w:before="21"/>
        <w:ind w:right="982"/>
        <w:jc w:val="left"/>
      </w:pPr>
      <w:r>
        <w:rPr>
          <w:w w:val="100"/>
        </w:rPr>
        <w:t>临时</w:t>
      </w:r>
      <w:r>
        <w:rPr>
          <w:spacing w:val="-3"/>
          <w:w w:val="100"/>
        </w:rPr>
        <w:t>股</w:t>
      </w:r>
      <w:r>
        <w:rPr>
          <w:w w:val="100"/>
        </w:rPr>
        <w:t>东</w:t>
      </w:r>
      <w:r>
        <w:rPr>
          <w:spacing w:val="-3"/>
          <w:w w:val="100"/>
        </w:rPr>
        <w:t>大</w:t>
      </w:r>
      <w:r>
        <w:rPr>
          <w:w w:val="100"/>
        </w:rPr>
        <w:t>会</w:t>
      </w:r>
      <w:r>
        <w:rPr>
          <w:spacing w:val="-3"/>
          <w:w w:val="100"/>
        </w:rPr>
        <w:t>决议</w:t>
      </w:r>
      <w:r>
        <w:rPr>
          <w:spacing w:val="-25"/>
          <w:w w:val="100"/>
        </w:rPr>
        <w:t>，</w:t>
      </w:r>
      <w:r>
        <w:rPr>
          <w:spacing w:val="-3"/>
          <w:w w:val="100"/>
        </w:rPr>
        <w:t>本公</w:t>
      </w:r>
      <w:r>
        <w:rPr>
          <w:w w:val="100"/>
        </w:rPr>
        <w:t>司以</w:t>
      </w:r>
      <w:r>
        <w:rPr>
          <w:spacing w:val="-3"/>
          <w:w w:val="100"/>
        </w:rPr>
        <w:t>上</w:t>
      </w:r>
      <w:r>
        <w:rPr>
          <w:w w:val="100"/>
        </w:rPr>
        <w:t>市</w:t>
      </w:r>
      <w:r>
        <w:rPr>
          <w:spacing w:val="-3"/>
          <w:w w:val="100"/>
        </w:rPr>
        <w:t>募</w:t>
      </w:r>
      <w:r>
        <w:rPr>
          <w:w w:val="100"/>
        </w:rPr>
        <w:t>集</w:t>
      </w:r>
      <w:r>
        <w:rPr>
          <w:spacing w:val="-3"/>
          <w:w w:val="100"/>
        </w:rPr>
        <w:t>资</w:t>
      </w:r>
      <w:r>
        <w:rPr>
          <w:w w:val="100"/>
        </w:rPr>
        <w:t>金</w:t>
      </w:r>
      <w:r>
        <w:rPr>
          <w:spacing w:val="-3"/>
          <w:w w:val="100"/>
        </w:rPr>
        <w:t>出</w:t>
      </w:r>
      <w:r>
        <w:rPr>
          <w:w w:val="100"/>
        </w:rPr>
        <w:t>资</w:t>
      </w:r>
      <w:r>
        <w:rPr>
          <w:spacing w:val="-3"/>
          <w:w w:val="100"/>
        </w:rPr>
        <w:t>人</w:t>
      </w:r>
      <w:r>
        <w:rPr>
          <w:w w:val="100"/>
        </w:rPr>
        <w:t>民币</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w w:val="100"/>
        </w:rPr>
        <w:t>万</w:t>
      </w:r>
      <w:r>
        <w:rPr>
          <w:spacing w:val="-3"/>
          <w:w w:val="100"/>
        </w:rPr>
        <w:t>元</w:t>
      </w:r>
      <w:r>
        <w:rPr>
          <w:w w:val="100"/>
        </w:rPr>
        <w:t>设</w:t>
      </w:r>
      <w:r>
        <w:rPr>
          <w:spacing w:val="-3"/>
          <w:w w:val="100"/>
        </w:rPr>
        <w:t>立</w:t>
      </w:r>
      <w:r>
        <w:rPr>
          <w:w w:val="100"/>
        </w:rPr>
        <w:t>全</w:t>
      </w:r>
      <w:r>
        <w:rPr>
          <w:spacing w:val="-3"/>
          <w:w w:val="100"/>
        </w:rPr>
        <w:t>资</w:t>
      </w:r>
      <w:r>
        <w:rPr>
          <w:w w:val="100"/>
        </w:rPr>
        <w:t>子公</w:t>
      </w:r>
      <w:r>
        <w:rPr>
          <w:spacing w:val="-3"/>
          <w:w w:val="100"/>
        </w:rPr>
        <w:t>司</w:t>
      </w:r>
      <w:r>
        <w:rPr>
          <w:w w:val="100"/>
        </w:rPr>
        <w:t>数</w:t>
      </w:r>
      <w:r>
        <w:rPr>
          <w:spacing w:val="-3"/>
          <w:w w:val="100"/>
        </w:rPr>
        <w:t>字</w:t>
      </w:r>
      <w:r>
        <w:rPr>
          <w:w w:val="100"/>
        </w:rPr>
        <w:t>认</w:t>
      </w:r>
      <w:r>
        <w:rPr>
          <w:spacing w:val="-27"/>
          <w:w w:val="100"/>
        </w:rPr>
        <w:t>证</w:t>
      </w:r>
      <w:r>
        <w:rPr>
          <w:spacing w:val="-3"/>
          <w:w w:val="100"/>
        </w:rPr>
        <w:t>（</w:t>
      </w:r>
      <w:r>
        <w:rPr>
          <w:w w:val="100"/>
        </w:rPr>
        <w:t>武</w:t>
      </w:r>
      <w:r>
        <w:rPr>
          <w:spacing w:val="-3"/>
          <w:w w:val="100"/>
        </w:rPr>
        <w:t>汉</w:t>
      </w:r>
      <w:r>
        <w:rPr>
          <w:spacing w:val="-106"/>
          <w:w w:val="100"/>
        </w:rPr>
        <w:t>）</w:t>
      </w:r>
      <w:r>
        <w:rPr>
          <w:spacing w:val="-27"/>
          <w:w w:val="100"/>
        </w:rPr>
        <w:t>，</w:t>
      </w:r>
      <w:r>
        <w:rPr>
          <w:w w:val="100"/>
        </w:rPr>
        <w:t>数字</w:t>
      </w:r>
    </w:p>
    <w:p>
      <w:pPr>
        <w:pStyle w:val="Heading4"/>
        <w:spacing w:line="256" w:lineRule="auto" w:before="21"/>
        <w:ind w:right="1123"/>
        <w:jc w:val="left"/>
      </w:pPr>
      <w:r>
        <w:rPr/>
        <w:t>认证（武汉）已于</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月完成工商登记手续，并取得武汉临空港经济技术开发区（东西湖区）行政</w:t>
      </w:r>
      <w:r>
        <w:rPr>
          <w:w w:val="100"/>
        </w:rPr>
        <w:t> </w:t>
      </w:r>
      <w:r>
        <w:rPr/>
        <w:t>审批局核发的营业执照。</w:t>
      </w:r>
    </w:p>
    <w:p>
      <w:pPr>
        <w:spacing w:line="240" w:lineRule="auto" w:before="8"/>
        <w:rPr>
          <w:rFonts w:ascii="宋体" w:hAnsi="宋体" w:cs="宋体" w:eastAsia="宋体" w:hint="default"/>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216,824,373.18</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32.47%</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118,288,239.50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47,300,701.42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25,774,663.94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15,917,530.85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9,543,237.47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216,824,373.18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32.47%</w:t>
            </w:r>
          </w:p>
        </w:tc>
      </w:tr>
    </w:tbl>
    <w:p>
      <w:pPr>
        <w:pStyle w:val="BodyText"/>
        <w:spacing w:line="240" w:lineRule="auto" w:before="49"/>
        <w:ind w:right="982"/>
        <w:jc w:val="left"/>
      </w:pPr>
      <w:r>
        <w:rPr/>
        <w:t>主要客户其他情况说明</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69,763,768.43</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25.58%</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15,977,252.92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14,667,677.06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13,267,942.67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13,092,799.19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12,758,096.59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69,763,768.43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25.58%</w:t>
            </w:r>
          </w:p>
        </w:tc>
      </w:tr>
    </w:tbl>
    <w:p>
      <w:pPr>
        <w:pStyle w:val="BodyText"/>
        <w:spacing w:line="240" w:lineRule="auto" w:before="49"/>
        <w:ind w:right="982"/>
        <w:jc w:val="left"/>
      </w:pPr>
      <w:r>
        <w:rPr/>
        <w:t>主要供应商其他情况说明</w:t>
      </w:r>
    </w:p>
    <w:p>
      <w:pPr>
        <w:pStyle w:val="BodyText"/>
        <w:spacing w:line="240" w:lineRule="auto" w:before="11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102,619,143.46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83,571,357.58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107,257,821.86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86,633,798.50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-2,804,615.10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-3,409,131.34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83,958,490.28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53,683,464.64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pacing w:val="-1"/>
                <w:sz w:val="18"/>
              </w:rPr>
              <w:t>56.40%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年加大研发投入</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12"/>
          <w:szCs w:val="12"/>
        </w:rPr>
      </w:pPr>
    </w:p>
    <w:p>
      <w:pPr>
        <w:pStyle w:val="Heading4"/>
        <w:spacing w:line="256" w:lineRule="auto"/>
        <w:ind w:right="982" w:firstLine="420"/>
        <w:jc w:val="left"/>
      </w:pPr>
      <w:r>
        <w:rPr>
          <w:rFonts w:ascii="Times New Roman" w:hAnsi="Times New Roman" w:cs="Times New Roman" w:eastAsia="Times New Roman" w:hint="default"/>
          <w:spacing w:val="-2"/>
        </w:rPr>
        <w:t>2018</w:t>
      </w:r>
      <w:r>
        <w:rPr>
          <w:spacing w:val="-2"/>
        </w:rPr>
        <w:t>年度，公司研发投入重点围绕信手书电子合同系统、信步云云服务平台、移动证书介质、大容量</w:t>
      </w:r>
      <w:r>
        <w:rPr>
          <w:w w:val="100"/>
        </w:rPr>
        <w:t> </w:t>
      </w:r>
      <w:r>
        <w:rPr>
          <w:spacing w:val="-3"/>
        </w:rPr>
        <w:t>数字证书管理系统等项目，研发投入共计</w:t>
      </w:r>
      <w:r>
        <w:rPr>
          <w:rFonts w:ascii="Times New Roman" w:hAnsi="Times New Roman" w:cs="Times New Roman" w:eastAsia="Times New Roman" w:hint="default"/>
          <w:spacing w:val="-3"/>
        </w:rPr>
        <w:t>83,958,490.28</w:t>
      </w:r>
      <w:r>
        <w:rPr>
          <w:spacing w:val="-3"/>
        </w:rPr>
        <w:t>元，较上年同期增加</w:t>
      </w:r>
      <w:r>
        <w:rPr>
          <w:rFonts w:ascii="Times New Roman" w:hAnsi="Times New Roman" w:cs="Times New Roman" w:eastAsia="Times New Roman" w:hint="default"/>
          <w:spacing w:val="-3"/>
        </w:rPr>
        <w:t>56.40%</w:t>
      </w:r>
      <w:r>
        <w:rPr>
          <w:spacing w:val="-3"/>
        </w:rPr>
        <w:t>，占营业收入的</w:t>
      </w:r>
      <w:r>
        <w:rPr>
          <w:rFonts w:ascii="Times New Roman" w:hAnsi="Times New Roman" w:cs="Times New Roman" w:eastAsia="Times New Roman" w:hint="default"/>
          <w:spacing w:val="-3"/>
        </w:rPr>
        <w:t>12.57%</w:t>
      </w:r>
      <w:r>
        <w:rPr>
          <w:spacing w:val="-3"/>
        </w:rPr>
        <w:t>，</w:t>
      </w:r>
      <w:r>
        <w:rPr>
          <w:spacing w:val="-46"/>
        </w:rPr>
        <w:t> </w:t>
      </w:r>
      <w:r>
        <w:rPr>
          <w:spacing w:val="-2"/>
        </w:rPr>
        <w:t>高于上年同期</w:t>
      </w:r>
      <w:r>
        <w:rPr>
          <w:rFonts w:ascii="Times New Roman" w:hAnsi="Times New Roman" w:cs="Times New Roman" w:eastAsia="Times New Roman" w:hint="default"/>
          <w:spacing w:val="-2"/>
        </w:rPr>
        <w:t>2.24%</w:t>
      </w:r>
      <w:r>
        <w:rPr>
          <w:spacing w:val="-2"/>
        </w:rPr>
        <w:t>。截止到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日，本公司有专业研发人员</w:t>
      </w:r>
      <w:r>
        <w:rPr>
          <w:rFonts w:ascii="Times New Roman" w:hAnsi="Times New Roman" w:cs="Times New Roman" w:eastAsia="Times New Roman" w:hint="default"/>
          <w:spacing w:val="-2"/>
        </w:rPr>
        <w:t>633</w:t>
      </w:r>
      <w:r>
        <w:rPr>
          <w:spacing w:val="-2"/>
        </w:rPr>
        <w:t>人，占公司员工总数的</w:t>
      </w:r>
      <w:r>
        <w:rPr>
          <w:rFonts w:ascii="Times New Roman" w:hAnsi="Times New Roman" w:cs="Times New Roman" w:eastAsia="Times New Roman" w:hint="default"/>
          <w:spacing w:val="-2"/>
        </w:rPr>
        <w:t>54.01%</w:t>
      </w:r>
      <w:r>
        <w:rPr>
          <w:spacing w:val="-2"/>
        </w:rPr>
        <w:t>。</w:t>
      </w:r>
    </w:p>
    <w:p>
      <w:pPr>
        <w:pStyle w:val="BodyText"/>
        <w:spacing w:line="240" w:lineRule="auto" w:before="64"/>
        <w:ind w:right="982"/>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103"/>
        <w:gridCol w:w="2100"/>
        <w:gridCol w:w="2105"/>
      </w:tblGrid>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517</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56.94%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55.89%</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83,958,490.28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53,683,464.64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52,810,378.95</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12.57%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10.33%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11.85%</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1"/>
        <w:gridCol w:w="2103"/>
        <w:gridCol w:w="2100"/>
        <w:gridCol w:w="2105"/>
      </w:tblGrid>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340" w:lineRule="auto" w:before="117"/>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33"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6"/>
        <w:gridCol w:w="219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816,626,224.89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653,502,919.64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24.96%</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688,663,162.87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538,179,568.32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127,963,062.02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115,323,351.32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10.96%</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406,384,444.29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52,798,477.28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669.69%</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322,040,115.88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157,594,081.31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84,344,328.41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-104,795,604.03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180.48%</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9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1,773,910.00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-22,226,090.00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188,307,390.43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-11,698,342.71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1,709.69%</w:t>
            </w:r>
          </w:p>
        </w:tc>
      </w:tr>
    </w:tbl>
    <w:p>
      <w:pPr>
        <w:pStyle w:val="BodyText"/>
        <w:spacing w:line="240" w:lineRule="auto" w:before="49"/>
        <w:ind w:right="982"/>
        <w:jc w:val="left"/>
      </w:pPr>
      <w:r>
        <w:rPr/>
        <w:t>相关数据同比发生重大变动的主要影响因素说明</w:t>
      </w:r>
    </w:p>
    <w:p>
      <w:pPr>
        <w:pStyle w:val="BodyText"/>
        <w:spacing w:line="240" w:lineRule="auto" w:before="11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60"/>
        <w:ind w:left="573" w:right="982"/>
        <w:jc w:val="left"/>
      </w:pPr>
      <w:r>
        <w:rPr>
          <w:rFonts w:ascii="Times New Roman" w:hAnsi="Times New Roman" w:cs="Times New Roman" w:eastAsia="Times New Roman" w:hint="default"/>
          <w:spacing w:val="-3"/>
        </w:rPr>
        <w:t>1</w:t>
      </w:r>
      <w:r>
        <w:rPr>
          <w:spacing w:val="-3"/>
        </w:rPr>
        <w:t>、报告期内，投资活动现金流入较上年同期增长</w:t>
      </w:r>
      <w:r>
        <w:rPr>
          <w:rFonts w:ascii="Times New Roman" w:hAnsi="Times New Roman" w:cs="Times New Roman" w:eastAsia="Times New Roman" w:hint="default"/>
          <w:spacing w:val="-3"/>
        </w:rPr>
        <w:t>669.69%</w:t>
      </w:r>
      <w:r>
        <w:rPr>
          <w:spacing w:val="-3"/>
        </w:rPr>
        <w:t>，主要原因是本期收回上期购买的银行理财</w:t>
      </w:r>
    </w:p>
    <w:p>
      <w:pPr>
        <w:pStyle w:val="Heading4"/>
        <w:spacing w:line="240" w:lineRule="auto" w:before="23"/>
        <w:ind w:right="982"/>
        <w:jc w:val="left"/>
      </w:pPr>
      <w:r>
        <w:rPr>
          <w:rFonts w:ascii="Times New Roman" w:hAnsi="Times New Roman" w:cs="Times New Roman" w:eastAsia="Times New Roman" w:hint="default"/>
        </w:rPr>
        <w:t>10,000</w:t>
      </w:r>
      <w:r>
        <w:rPr/>
        <w:t>万元；投资活动现金流出较上年同期增长</w:t>
      </w:r>
      <w:r>
        <w:rPr>
          <w:rFonts w:ascii="Times New Roman" w:hAnsi="Times New Roman" w:cs="Times New Roman" w:eastAsia="Times New Roman" w:hint="default"/>
        </w:rPr>
        <w:t>104.35%</w:t>
      </w:r>
      <w:r>
        <w:rPr/>
        <w:t>，主要原因系本期购买理财产品金额增加所致。</w:t>
      </w:r>
    </w:p>
    <w:p>
      <w:pPr>
        <w:pStyle w:val="Heading4"/>
        <w:spacing w:line="256" w:lineRule="auto" w:before="141"/>
        <w:ind w:right="982" w:firstLine="420"/>
        <w:jc w:val="left"/>
      </w:pPr>
      <w:r>
        <w:rPr>
          <w:rFonts w:ascii="Times New Roman" w:hAnsi="Times New Roman" w:cs="Times New Roman" w:eastAsia="Times New Roman" w:hint="default"/>
        </w:rPr>
        <w:t>2</w:t>
      </w:r>
      <w:r>
        <w:rPr/>
        <w:t>、报告期内，现金及现金等价物净增加额较上年同期上长</w:t>
      </w:r>
      <w:r>
        <w:rPr>
          <w:rFonts w:ascii="Times New Roman" w:hAnsi="Times New Roman" w:cs="Times New Roman" w:eastAsia="Times New Roman" w:hint="default"/>
        </w:rPr>
        <w:t>1709.69%</w:t>
      </w:r>
      <w:r>
        <w:rPr/>
        <w:t>，主要原因是本期销售商品收到</w:t>
      </w:r>
      <w:r>
        <w:rPr>
          <w:w w:val="100"/>
        </w:rPr>
        <w:t> </w:t>
      </w:r>
      <w:r>
        <w:rPr/>
        <w:t>的现金同比增加及收回上期购买银行理财产品所致。</w:t>
      </w:r>
    </w:p>
    <w:p>
      <w:pPr>
        <w:pStyle w:val="BodyText"/>
        <w:spacing w:line="240" w:lineRule="auto" w:before="81"/>
        <w:ind w:right="982"/>
        <w:jc w:val="left"/>
      </w:pPr>
      <w:r>
        <w:rPr/>
        <w:t>报告期内公司经营活动产生的现金净流量与本年度净利润存在重大差异的原因说明</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12"/>
          <w:szCs w:val="12"/>
        </w:rPr>
      </w:pPr>
    </w:p>
    <w:p>
      <w:pPr>
        <w:pStyle w:val="Heading4"/>
        <w:spacing w:line="256" w:lineRule="auto"/>
        <w:ind w:right="982" w:firstLine="420"/>
        <w:jc w:val="left"/>
      </w:pPr>
      <w:r>
        <w:rPr/>
        <w:t>报告期内公司经营活动产生的现金净流量较本期净利润高</w:t>
      </w:r>
      <w:r>
        <w:rPr>
          <w:rFonts w:ascii="Times New Roman" w:hAnsi="Times New Roman" w:cs="Times New Roman" w:eastAsia="Times New Roman" w:hint="default"/>
        </w:rPr>
        <w:t>4,150.77</w:t>
      </w:r>
      <w:r>
        <w:rPr/>
        <w:t>万元，主要是当期销售回款情况较</w:t>
      </w:r>
      <w:r>
        <w:rPr>
          <w:w w:val="100"/>
        </w:rPr>
        <w:t> </w:t>
      </w:r>
      <w:r>
        <w:rPr/>
        <w:t>好所致。</w:t>
      </w:r>
    </w:p>
    <w:p>
      <w:pPr>
        <w:spacing w:line="240" w:lineRule="auto" w:before="10"/>
        <w:rPr>
          <w:rFonts w:ascii="宋体" w:hAnsi="宋体" w:cs="宋体" w:eastAsia="宋体" w:hint="default"/>
          <w:sz w:val="22"/>
          <w:szCs w:val="22"/>
        </w:rPr>
      </w:pPr>
    </w:p>
    <w:p>
      <w:pPr>
        <w:pStyle w:val="Heading2"/>
        <w:spacing w:line="240" w:lineRule="auto"/>
        <w:ind w:right="982"/>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561"/>
        <w:gridCol w:w="1699"/>
        <w:gridCol w:w="3546"/>
        <w:gridCol w:w="1630"/>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4,471,616.70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银行理财产品收益及联营企业投资收益所致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16,030,141.06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16.21%</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本期计提坏账准备所致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560"/>
        <w:gridCol w:w="1419"/>
        <w:gridCol w:w="1277"/>
        <w:gridCol w:w="992"/>
        <w:gridCol w:w="134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675,685,333.13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482,912,497.52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178,589,035.30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141,573,415.38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124,314,909.58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72,934,934.30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16,418,491.64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11,153,905.81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21,147,473.93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16,311,060.43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spacing w:line="506" w:lineRule="auto" w:before="0"/>
        <w:ind w:left="573" w:right="98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pacing w:val="-2"/>
          <w:sz w:val="21"/>
          <w:szCs w:val="21"/>
        </w:rPr>
        <w:t>期末，本集团其他货币资金</w:t>
      </w:r>
      <w:r>
        <w:rPr>
          <w:rFonts w:ascii="Times New Roman" w:hAnsi="Times New Roman" w:cs="Times New Roman" w:eastAsia="Times New Roman" w:hint="default"/>
          <w:spacing w:val="-2"/>
          <w:sz w:val="21"/>
          <w:szCs w:val="21"/>
        </w:rPr>
        <w:t>2,153.34</w:t>
      </w:r>
      <w:r>
        <w:rPr>
          <w:rFonts w:ascii="宋体" w:hAnsi="宋体" w:cs="宋体" w:eastAsia="宋体" w:hint="default"/>
          <w:spacing w:val="-2"/>
          <w:sz w:val="21"/>
          <w:szCs w:val="21"/>
        </w:rPr>
        <w:t>万元为使用权受到限制的款项，全部为履约保证金。</w:t>
      </w:r>
    </w:p>
    <w:p>
      <w:pPr>
        <w:pStyle w:val="Heading2"/>
        <w:spacing w:line="240" w:lineRule="auto" w:before="37"/>
        <w:ind w:right="982"/>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left="0" w:right="1145"/>
        <w:jc w:val="right"/>
      </w:pPr>
      <w:r>
        <w:rPr/>
        <w:pict>
          <v:shape style="position:absolute;margin-left:56.400002pt;margin-top:-192.448273pt;width:479.05pt;height:41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直接定价 发行方式 发行人民 币普通股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22,666.48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3,170.87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11,201.36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11,465.12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5"/>
                          <w:jc w:val="both"/>
                          <w:rPr>
                            <w:rFonts w:ascii="宋体" w:hAnsi="宋体" w:cs="宋体" w:eastAsia="宋体" w:hint="default"/>
                            <w:sz w:val="18"/>
                            <w:szCs w:val="18"/>
                          </w:rPr>
                        </w:pPr>
                        <w:r>
                          <w:rPr>
                            <w:rFonts w:ascii="宋体" w:hAnsi="宋体" w:cs="宋体" w:eastAsia="宋体" w:hint="default"/>
                            <w:sz w:val="18"/>
                            <w:szCs w:val="18"/>
                          </w:rPr>
                          <w:t>详见募集 资金承诺 项目情况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22,666.48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3,170.87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11,201.36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11,465.12</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74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（一）实际募集资金金额、资金到账情况</w:t>
                        </w:r>
                      </w:p>
                      <w:p>
                        <w:pPr>
                          <w:pStyle w:val="TableParagraph"/>
                          <w:spacing w:line="300" w:lineRule="auto" w:before="117"/>
                          <w:ind w:left="24" w:right="23"/>
                          <w:jc w:val="left"/>
                          <w:rPr>
                            <w:rFonts w:ascii="宋体" w:hAnsi="宋体" w:cs="宋体" w:eastAsia="宋体" w:hint="default"/>
                            <w:sz w:val="18"/>
                            <w:szCs w:val="18"/>
                          </w:rPr>
                        </w:pPr>
                        <w:r>
                          <w:rPr>
                            <w:rFonts w:ascii="宋体" w:hAnsi="宋体" w:cs="宋体" w:eastAsia="宋体" w:hint="default"/>
                            <w:spacing w:val="-4"/>
                            <w:sz w:val="18"/>
                            <w:szCs w:val="18"/>
                          </w:rPr>
                          <w:t>经中国证券监督管理委员会《关于核准北京数字认证股份有限公司首次公开发行股票的批复》（证监许可〔</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2863</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w:t>
                        </w:r>
                        <w:r>
                          <w:rPr>
                            <w:rFonts w:ascii="宋体" w:hAnsi="宋体" w:cs="宋体" w:eastAsia="宋体" w:hint="default"/>
                            <w:spacing w:val="-35"/>
                            <w:sz w:val="18"/>
                            <w:szCs w:val="18"/>
                          </w:rPr>
                          <w:t> </w:t>
                        </w:r>
                        <w:r>
                          <w:rPr>
                            <w:rFonts w:ascii="宋体" w:hAnsi="宋体" w:cs="宋体" w:eastAsia="宋体" w:hint="default"/>
                            <w:sz w:val="18"/>
                            <w:szCs w:val="18"/>
                          </w:rPr>
                          <w:t>核准，并经深圳证券交易所同意，本公司由主承销商中信建投证券股份有限公司通过深圳证券交易所系统于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日采用全部向二级市场投资者定价配售方式，向社会公众公开发行了普通股（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股）股票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万股，发行价为每股人</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03"/>
                          <w:ind w:left="24" w:right="22"/>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26,640.00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2,600.00 </w:t>
                        </w:r>
                        <w:r>
                          <w:rPr>
                            <w:rFonts w:ascii="宋体" w:hAnsi="宋体" w:cs="宋体" w:eastAsia="宋体" w:hint="default"/>
                            <w:sz w:val="18"/>
                            <w:szCs w:val="18"/>
                          </w:rPr>
                          <w:t>万元，募集资金净额为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24,040.00 </w:t>
                        </w:r>
                        <w:r>
                          <w:rPr>
                            <w:rFonts w:ascii="宋体" w:hAnsi="宋体" w:cs="宋体" w:eastAsia="宋体" w:hint="default"/>
                            <w:sz w:val="18"/>
                            <w:szCs w:val="18"/>
                          </w:rPr>
                          <w:t>万 元。上述募集资金净额已经致同会计师事务所（特殊普通合伙）致同验字（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110ZC0705</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号《验资报告》验证。另</w:t>
                        </w:r>
                        <w:r>
                          <w:rPr>
                            <w:rFonts w:ascii="宋体" w:hAnsi="宋体" w:cs="宋体" w:eastAsia="宋体" w:hint="default"/>
                            <w:sz w:val="18"/>
                            <w:szCs w:val="18"/>
                          </w:rPr>
                          <w:t> 扣除审计费、律师费、法定信息披露费等其他发行费用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1,373.52 </w:t>
                        </w:r>
                        <w:r>
                          <w:rPr>
                            <w:rFonts w:ascii="宋体" w:hAnsi="宋体" w:cs="宋体" w:eastAsia="宋体" w:hint="default"/>
                            <w:sz w:val="18"/>
                            <w:szCs w:val="18"/>
                          </w:rPr>
                          <w:t>万元，募集资金净额为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22,666.48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（二）以前年度已使用金额、本年度使用金额及当前余额</w:t>
                        </w:r>
                      </w:p>
                      <w:p>
                        <w:pPr>
                          <w:pStyle w:val="TableParagraph"/>
                          <w:spacing w:line="240" w:lineRule="auto" w:before="11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、以前年度已使用金额</w:t>
                        </w:r>
                      </w:p>
                      <w:p>
                        <w:pPr>
                          <w:pStyle w:val="TableParagraph"/>
                          <w:spacing w:line="240" w:lineRule="auto" w:before="103"/>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8,030.49 </w:t>
                        </w:r>
                        <w:r>
                          <w:rPr>
                            <w:rFonts w:ascii="宋体" w:hAnsi="宋体" w:cs="宋体" w:eastAsia="宋体" w:hint="default"/>
                            <w:sz w:val="18"/>
                            <w:szCs w:val="18"/>
                          </w:rPr>
                          <w:t>万元，尚未使用的金额为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14,967.53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、本年度使用金额及当前余额</w:t>
                        </w:r>
                      </w:p>
                      <w:p>
                        <w:pPr>
                          <w:pStyle w:val="TableParagraph"/>
                          <w:spacing w:line="240" w:lineRule="auto" w:before="103"/>
                          <w:ind w:left="24" w:right="0"/>
                          <w:jc w:val="both"/>
                          <w:rPr>
                            <w:rFonts w:ascii="宋体" w:hAnsi="宋体" w:cs="宋体" w:eastAsia="宋体" w:hint="default"/>
                            <w:sz w:val="18"/>
                            <w:szCs w:val="18"/>
                          </w:rPr>
                        </w:pPr>
                        <w:r>
                          <w:rPr>
                            <w:rFonts w:ascii="宋体" w:hAnsi="宋体" w:cs="宋体" w:eastAsia="宋体" w:hint="default"/>
                            <w:sz w:val="18"/>
                            <w:szCs w:val="18"/>
                          </w:rPr>
                          <w:t>本年度以募集资金直接投入募集项目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3,170.87 </w:t>
                        </w:r>
                        <w:r>
                          <w:rPr>
                            <w:rFonts w:ascii="宋体" w:hAnsi="宋体" w:cs="宋体" w:eastAsia="宋体" w:hint="default"/>
                            <w:sz w:val="18"/>
                            <w:szCs w:val="18"/>
                          </w:rPr>
                          <w:t>万元。截止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日，本公司募集资金累计直接投入募投项目</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11,201.36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12,188.64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spacing w:val="-3"/>
        </w:rPr>
        <w:t>）</w:t>
      </w:r>
      <w:r>
        <w:rPr/>
      </w:r>
    </w:p>
    <w:p>
      <w:pPr>
        <w:spacing w:after="0" w:line="240" w:lineRule="auto"/>
        <w:jc w:val="righ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0"/>
        <w:gridCol w:w="982"/>
        <w:gridCol w:w="708"/>
        <w:gridCol w:w="853"/>
        <w:gridCol w:w="708"/>
        <w:gridCol w:w="708"/>
        <w:gridCol w:w="852"/>
        <w:gridCol w:w="708"/>
        <w:gridCol w:w="708"/>
        <w:gridCol w:w="711"/>
        <w:gridCol w:w="708"/>
        <w:gridCol w:w="485"/>
        <w:gridCol w:w="722"/>
      </w:tblGrid>
      <w:tr>
        <w:trPr>
          <w:trHeight w:val="1650"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85" w:right="3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6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9"/>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 w:right="5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可靠电子签名技术升 级及新产品研发项目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6,695.12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7,799.06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3,788.10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48.57%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5"/>
              <w:jc w:val="left"/>
              <w:rPr>
                <w:rFonts w:ascii="宋体" w:hAnsi="宋体" w:cs="宋体" w:eastAsia="宋体" w:hint="default"/>
                <w:sz w:val="18"/>
                <w:szCs w:val="18"/>
              </w:rPr>
            </w:pPr>
            <w:r>
              <w:rPr>
                <w:rFonts w:ascii="宋体" w:hAnsi="宋体" w:cs="宋体" w:eastAsia="宋体" w:hint="default"/>
                <w:sz w:val="18"/>
                <w:szCs w:val="18"/>
              </w:rPr>
              <w:t>可信数字身份管理解 决方案升级项目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6,865.95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8,121.26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3,896.74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47.98%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2"/>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信息安全服务平台建 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6,337.51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3,927.42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1,671.25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2,463.68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62.73%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营销体系建设项目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2,818.74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1,052.84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37.35%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2"/>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22,666.48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5" w:right="0"/>
              <w:jc w:val="center"/>
              <w:rPr>
                <w:rFonts w:ascii="Times New Roman" w:hAnsi="Times New Roman" w:cs="Times New Roman" w:eastAsia="Times New Roman" w:hint="default"/>
                <w:sz w:val="15"/>
                <w:szCs w:val="15"/>
              </w:rPr>
            </w:pPr>
            <w:r>
              <w:rPr>
                <w:rFonts w:ascii="Times New Roman"/>
                <w:sz w:val="15"/>
              </w:rPr>
              <w:t>22,666.48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3,170.87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2"/>
                <w:sz w:val="15"/>
              </w:rPr>
              <w:t>11,201.36</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0</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6"/>
              <w:jc w:val="righ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5"/>
                <w:szCs w:val="15"/>
              </w:rPr>
            </w:pPr>
            <w:r>
              <w:rPr>
                <w:rFonts w:ascii="Times New Roman"/>
                <w:spacing w:val="-1"/>
                <w:sz w:val="15"/>
              </w:rPr>
              <w:t>22,666.48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5" w:right="0"/>
              <w:jc w:val="center"/>
              <w:rPr>
                <w:rFonts w:ascii="Times New Roman" w:hAnsi="Times New Roman" w:cs="Times New Roman" w:eastAsia="Times New Roman" w:hint="default"/>
                <w:sz w:val="15"/>
                <w:szCs w:val="15"/>
              </w:rPr>
            </w:pPr>
            <w:r>
              <w:rPr>
                <w:rFonts w:ascii="Times New Roman"/>
                <w:sz w:val="15"/>
              </w:rPr>
              <w:t>22,666.48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5"/>
                <w:szCs w:val="15"/>
              </w:rPr>
            </w:pPr>
            <w:r>
              <w:rPr>
                <w:rFonts w:ascii="Times New Roman"/>
                <w:spacing w:val="-1"/>
                <w:sz w:val="15"/>
              </w:rPr>
              <w:t>3,170.87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5"/>
                <w:szCs w:val="15"/>
              </w:rPr>
            </w:pPr>
            <w:r>
              <w:rPr>
                <w:rFonts w:ascii="Times New Roman"/>
                <w:spacing w:val="-2"/>
                <w:sz w:val="15"/>
              </w:rPr>
              <w:t>11,201.36</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716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年第一次临时股东大会审议通过《关于设立子公司和部分变更募集资金投资项目实施</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内容的议案</w:t>
            </w:r>
            <w:r>
              <w:rPr>
                <w:rFonts w:ascii="宋体" w:hAnsi="宋体" w:cs="宋体" w:eastAsia="宋体" w:hint="default"/>
                <w:spacing w:val="-92"/>
                <w:sz w:val="18"/>
                <w:szCs w:val="18"/>
              </w:rPr>
              <w:t>》</w:t>
            </w:r>
            <w:r>
              <w:rPr>
                <w:rFonts w:ascii="宋体" w:hAnsi="宋体" w:cs="宋体" w:eastAsia="宋体" w:hint="default"/>
                <w:sz w:val="18"/>
                <w:szCs w:val="18"/>
              </w:rPr>
              <w:t>，同意公司各募</w:t>
            </w:r>
            <w:r>
              <w:rPr>
                <w:rFonts w:ascii="宋体" w:hAnsi="宋体" w:cs="宋体" w:eastAsia="宋体" w:hint="default"/>
                <w:spacing w:val="2"/>
                <w:sz w:val="18"/>
                <w:szCs w:val="18"/>
              </w:rPr>
              <w:t>投</w:t>
            </w:r>
            <w:r>
              <w:rPr>
                <w:rFonts w:ascii="宋体" w:hAnsi="宋体" w:cs="宋体" w:eastAsia="宋体" w:hint="default"/>
                <w:sz w:val="18"/>
                <w:szCs w:val="18"/>
              </w:rPr>
              <w:t>项目实施期限均延期至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410" w:type="dxa"/>
            <w:gridSpan w:val="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4" w:lineRule="auto" w:before="53"/>
              <w:ind w:left="24" w:right="34"/>
              <w:jc w:val="left"/>
              <w:rPr>
                <w:rFonts w:ascii="宋体" w:hAnsi="宋体" w:cs="宋体" w:eastAsia="宋体" w:hint="default"/>
                <w:sz w:val="18"/>
                <w:szCs w:val="18"/>
              </w:rPr>
            </w:pPr>
            <w:r>
              <w:rPr>
                <w:rFonts w:ascii="宋体" w:hAnsi="宋体" w:cs="宋体" w:eastAsia="宋体" w:hint="default"/>
                <w:sz w:val="18"/>
                <w:szCs w:val="18"/>
              </w:rPr>
              <w:t>项目可行性发生重大变化的情 况说明</w:t>
            </w:r>
          </w:p>
        </w:tc>
        <w:tc>
          <w:tcPr>
            <w:tcW w:w="7163"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5" w:hRule="exact"/>
        </w:trPr>
        <w:tc>
          <w:tcPr>
            <w:tcW w:w="241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4" w:lineRule="auto" w:before="97"/>
              <w:ind w:left="24" w:right="34"/>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7163"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4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3"/>
              <w:ind w:left="24" w:right="34"/>
              <w:jc w:val="left"/>
              <w:rPr>
                <w:rFonts w:ascii="宋体" w:hAnsi="宋体" w:cs="宋体" w:eastAsia="宋体" w:hint="default"/>
                <w:sz w:val="18"/>
                <w:szCs w:val="18"/>
              </w:rPr>
            </w:pPr>
            <w:r>
              <w:rPr>
                <w:rFonts w:ascii="宋体" w:hAnsi="宋体" w:cs="宋体" w:eastAsia="宋体" w:hint="default"/>
                <w:sz w:val="18"/>
                <w:szCs w:val="18"/>
              </w:rPr>
              <w:t>募集资金投资项目实施地点变 更情况</w:t>
            </w:r>
          </w:p>
        </w:tc>
        <w:tc>
          <w:tcPr>
            <w:tcW w:w="716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410" w:type="dxa"/>
            <w:gridSpan w:val="3"/>
            <w:vMerge/>
            <w:tcBorders>
              <w:left w:val="single" w:sz="4" w:space="0" w:color="000000"/>
              <w:right w:val="single" w:sz="4" w:space="0" w:color="000000"/>
            </w:tcBorders>
            <w:shd w:val="clear" w:color="auto" w:fill="D2D2D2"/>
          </w:tcPr>
          <w:p>
            <w:pPr/>
          </w:p>
        </w:tc>
        <w:tc>
          <w:tcPr>
            <w:tcW w:w="716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897" w:hRule="exact"/>
        </w:trPr>
        <w:tc>
          <w:tcPr>
            <w:tcW w:w="2410" w:type="dxa"/>
            <w:gridSpan w:val="3"/>
            <w:vMerge/>
            <w:tcBorders>
              <w:left w:val="single" w:sz="4" w:space="0" w:color="000000"/>
              <w:bottom w:val="single" w:sz="4" w:space="0" w:color="000000"/>
              <w:right w:val="single" w:sz="4" w:space="0" w:color="000000"/>
            </w:tcBorders>
            <w:shd w:val="clear" w:color="auto" w:fill="D2D2D2"/>
          </w:tcPr>
          <w:p>
            <w:pPr/>
          </w:p>
        </w:tc>
        <w:tc>
          <w:tcPr>
            <w:tcW w:w="716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信息安全服务平台建设项目的实施主体和实施地点变更情况：</w:t>
            </w:r>
            <w:r>
              <w:rPr>
                <w:rFonts w:ascii="宋体" w:hAnsi="宋体" w:cs="宋体" w:eastAsia="宋体" w:hint="default"/>
                <w:spacing w:val="-3"/>
                <w:sz w:val="18"/>
                <w:szCs w:val="18"/>
              </w:rPr>
              <w:t> </w:t>
            </w:r>
            <w:r>
              <w:rPr>
                <w:rFonts w:ascii="宋体" w:hAnsi="宋体" w:cs="宋体" w:eastAsia="宋体" w:hint="default"/>
                <w:sz w:val="18"/>
                <w:szCs w:val="18"/>
              </w:rPr>
              <w:t>实施主体由公司变更为公司</w:t>
            </w:r>
            <w:r>
              <w:rPr>
                <w:rFonts w:ascii="宋体" w:hAnsi="宋体" w:cs="宋体" w:eastAsia="宋体" w:hint="default"/>
                <w:sz w:val="18"/>
                <w:szCs w:val="18"/>
              </w:rPr>
              <w:t> 和全资子公司安信天行共同实施；实施地点由北京市海淀区北四环西路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号双桥大厦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层（即公司住所）变更为北京市海淀区北四环西路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 </w:t>
            </w:r>
            <w:r>
              <w:rPr>
                <w:rFonts w:ascii="宋体" w:hAnsi="宋体" w:cs="宋体" w:eastAsia="宋体" w:hint="default"/>
                <w:sz w:val="18"/>
                <w:szCs w:val="18"/>
              </w:rPr>
              <w:t>号双桥大厦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层和北京市海淀区北</w:t>
            </w:r>
          </w:p>
          <w:p>
            <w:pPr>
              <w:pStyle w:val="TableParagraph"/>
              <w:spacing w:line="312" w:lineRule="auto" w:before="63"/>
              <w:ind w:left="24" w:right="16"/>
              <w:jc w:val="both"/>
              <w:rPr>
                <w:rFonts w:ascii="宋体" w:hAnsi="宋体" w:cs="宋体" w:eastAsia="宋体" w:hint="default"/>
                <w:sz w:val="18"/>
                <w:szCs w:val="18"/>
              </w:rPr>
            </w:pPr>
            <w:r>
              <w:rPr>
                <w:rFonts w:ascii="宋体" w:hAnsi="宋体" w:cs="宋体" w:eastAsia="宋体" w:hint="default"/>
                <w:sz w:val="18"/>
                <w:szCs w:val="18"/>
              </w:rPr>
              <w:t>四环西路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号双桥大厦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层（即安信天行住所）。</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日，公司召开的第二届 董事会第十六次会议批准了前述变更。可靠电子签名技术升级及新产品研发项目、可信数 字身份管理解决方案升级项目、营销体系建设项目的实施主体和实施地点变更情况：公司 以募集资金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万元在武汉临空港经济技术开发区国家网络安全人才与创新基地投资设立 </w:t>
            </w:r>
            <w:r>
              <w:rPr>
                <w:rFonts w:ascii="宋体" w:hAnsi="宋体" w:cs="宋体" w:eastAsia="宋体" w:hint="default"/>
                <w:spacing w:val="-3"/>
                <w:sz w:val="18"/>
                <w:szCs w:val="18"/>
              </w:rPr>
              <w:t>全资子公司数字认证（武汉）。实施主体由公司变更为公司和数字认证（武汉）共同实施；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实施地点由北京变更为北京和武汉，</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年第一次临时股东大会批准了前述变更。</w:t>
            </w:r>
          </w:p>
        </w:tc>
      </w:tr>
    </w:tbl>
    <w:p>
      <w:pPr>
        <w:spacing w:after="0" w:line="312" w:lineRule="auto"/>
        <w:jc w:val="both"/>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9"/>
        <w:gridCol w:w="7163"/>
      </w:tblGrid>
      <w:tr>
        <w:trPr>
          <w:trHeight w:val="401" w:hRule="exact"/>
        </w:trPr>
        <w:tc>
          <w:tcPr>
            <w:tcW w:w="2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22" w:right="34"/>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409" w:type="dxa"/>
            <w:vMerge/>
            <w:tcBorders>
              <w:left w:val="single" w:sz="4" w:space="0" w:color="000000"/>
              <w:right w:val="single" w:sz="4" w:space="0" w:color="000000"/>
            </w:tcBorders>
            <w:shd w:val="clear" w:color="auto" w:fill="D2D2D2"/>
          </w:tcPr>
          <w:p>
            <w:pP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49"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年第一次临时股东大会审议通过《关于设立子公司和部分变更募集资金投资项目实施 </w:t>
            </w:r>
            <w:r>
              <w:rPr>
                <w:rFonts w:ascii="宋体" w:hAnsi="宋体" w:cs="宋体" w:eastAsia="宋体" w:hint="default"/>
                <w:spacing w:val="-4"/>
                <w:w w:val="100"/>
                <w:sz w:val="18"/>
                <w:szCs w:val="18"/>
              </w:rPr>
              <w:t>内容的议案》，同意公司募集资金投资项目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可靠电子签名技术升级及新产品研发项目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可</w:t>
            </w:r>
            <w:r>
              <w:rPr>
                <w:rFonts w:ascii="宋体" w:hAnsi="宋体" w:cs="宋体" w:eastAsia="宋体" w:hint="default"/>
                <w:spacing w:val="-81"/>
                <w:w w:val="100"/>
                <w:sz w:val="18"/>
                <w:szCs w:val="18"/>
              </w:rPr>
              <w:t> </w:t>
            </w:r>
            <w:r>
              <w:rPr>
                <w:rFonts w:ascii="宋体" w:hAnsi="宋体" w:cs="宋体" w:eastAsia="宋体" w:hint="default"/>
                <w:sz w:val="18"/>
                <w:szCs w:val="18"/>
              </w:rPr>
              <w:t>信数字身份管理解决方案升级项目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营销体系建设项目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的实施方式由购买办公用房变更 为自建办公楼，</w:t>
            </w:r>
            <w:r>
              <w:rPr>
                <w:rFonts w:ascii="Times New Roman" w:hAnsi="Times New Roman" w:cs="Times New Roman" w:eastAsia="Times New Roman" w:hint="default"/>
                <w:sz w:val="18"/>
                <w:szCs w:val="18"/>
              </w:rPr>
              <w:t>“</w:t>
            </w:r>
            <w:r>
              <w:rPr>
                <w:rFonts w:ascii="宋体" w:hAnsi="宋体" w:cs="宋体" w:eastAsia="宋体" w:hint="default"/>
                <w:sz w:val="18"/>
                <w:szCs w:val="18"/>
              </w:rPr>
              <w:t>信息安全服务平台建设项目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实施方式由购买办公用房变更为租赁办公用 房。</w:t>
            </w:r>
          </w:p>
        </w:tc>
      </w:tr>
      <w:tr>
        <w:trPr>
          <w:trHeight w:val="403" w:hRule="exact"/>
        </w:trPr>
        <w:tc>
          <w:tcPr>
            <w:tcW w:w="2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 w:right="34"/>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2409" w:type="dxa"/>
            <w:vMerge/>
            <w:tcBorders>
              <w:left w:val="single" w:sz="4" w:space="0" w:color="000000"/>
              <w:bottom w:val="single" w:sz="4" w:space="0" w:color="FFFFFF"/>
              <w:right w:val="single" w:sz="4" w:space="0" w:color="000000"/>
            </w:tcBorders>
            <w:shd w:val="clear" w:color="auto" w:fill="D2D2D2"/>
          </w:tcPr>
          <w:p>
            <w:pPr/>
          </w:p>
        </w:tc>
        <w:tc>
          <w:tcPr>
            <w:tcW w:w="71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可靠电子签名技术升级及新产品研发项目已先期投入 </w:t>
            </w:r>
            <w:r>
              <w:rPr>
                <w:rFonts w:ascii="Times New Roman" w:hAnsi="Times New Roman" w:cs="Times New Roman" w:eastAsia="Times New Roman" w:hint="default"/>
                <w:sz w:val="18"/>
                <w:szCs w:val="18"/>
              </w:rPr>
              <w:t>30,522,420.00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元，可信数字身份管理</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解决方案升级项目已先期投入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31,440,612.25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元，营销体系建设项目已先期投入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8,885,037.60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元，合计已先期投入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70,848,069.85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日已全部置换。</w:t>
            </w:r>
          </w:p>
        </w:tc>
      </w:tr>
      <w:tr>
        <w:trPr>
          <w:trHeight w:val="804" w:hRule="exact"/>
        </w:trPr>
        <w:tc>
          <w:tcPr>
            <w:tcW w:w="2409"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97"/>
              <w:ind w:left="22" w:right="34"/>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716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240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34"/>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71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34"/>
              <w:jc w:val="left"/>
              <w:rPr>
                <w:rFonts w:ascii="宋体" w:hAnsi="宋体" w:cs="宋体" w:eastAsia="宋体" w:hint="default"/>
                <w:sz w:val="18"/>
                <w:szCs w:val="18"/>
              </w:rPr>
            </w:pPr>
            <w:r>
              <w:rPr>
                <w:rFonts w:ascii="宋体" w:hAnsi="宋体" w:cs="宋体" w:eastAsia="宋体" w:hint="default"/>
                <w:sz w:val="18"/>
                <w:szCs w:val="18"/>
              </w:rPr>
              <w:t>尚未使用的募集资金用途及去 向</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截至本报告期末剩余尚未使用的募集资金均存放在公司银行募集资金专户中。</w:t>
            </w:r>
          </w:p>
        </w:tc>
      </w:tr>
      <w:tr>
        <w:trPr>
          <w:trHeight w:val="716"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790"/>
        <w:gridCol w:w="1702"/>
        <w:gridCol w:w="1003"/>
        <w:gridCol w:w="1004"/>
        <w:gridCol w:w="1003"/>
        <w:gridCol w:w="1006"/>
        <w:gridCol w:w="1004"/>
        <w:gridCol w:w="1003"/>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系统集成及软件开发</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5"/>
                <w:szCs w:val="15"/>
              </w:rPr>
            </w:pPr>
            <w:r>
              <w:rPr>
                <w:rFonts w:ascii="Times New Roman"/>
                <w:spacing w:val="-1"/>
                <w:sz w:val="15"/>
              </w:rPr>
              <w:t>30,000,000.00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359,460,825.03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9" w:right="0"/>
              <w:jc w:val="center"/>
              <w:rPr>
                <w:rFonts w:ascii="Times New Roman" w:hAnsi="Times New Roman" w:cs="Times New Roman" w:eastAsia="Times New Roman" w:hint="default"/>
                <w:sz w:val="15"/>
                <w:szCs w:val="15"/>
              </w:rPr>
            </w:pPr>
            <w:r>
              <w:rPr>
                <w:rFonts w:ascii="Times New Roman"/>
                <w:sz w:val="15"/>
              </w:rPr>
              <w:t>90,186,620.09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5"/>
                <w:szCs w:val="15"/>
              </w:rPr>
            </w:pPr>
            <w:r>
              <w:rPr>
                <w:rFonts w:ascii="Times New Roman"/>
                <w:spacing w:val="-1"/>
                <w:sz w:val="15"/>
              </w:rPr>
              <w:t>269,780,194.09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24,810,863.36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2"/>
                <w:sz w:val="15"/>
              </w:rPr>
              <w:t>21,806,127.11</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医疗卫生领域信息安 全及软件服务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8,794,886.73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3" w:right="0"/>
              <w:jc w:val="center"/>
              <w:rPr>
                <w:rFonts w:ascii="Times New Roman" w:hAnsi="Times New Roman" w:cs="Times New Roman" w:eastAsia="Times New Roman" w:hint="default"/>
                <w:sz w:val="15"/>
                <w:szCs w:val="15"/>
              </w:rPr>
            </w:pPr>
            <w:r>
              <w:rPr>
                <w:rFonts w:ascii="Times New Roman"/>
                <w:sz w:val="15"/>
              </w:rPr>
              <w:t>3,764,160.49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4,089,229.52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-7,336,281.78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-6,235,839.51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343" w:right="19" w:hanging="320"/>
              <w:jc w:val="left"/>
              <w:rPr>
                <w:rFonts w:ascii="宋体" w:hAnsi="宋体" w:cs="宋体" w:eastAsia="宋体" w:hint="default"/>
                <w:sz w:val="18"/>
                <w:szCs w:val="18"/>
              </w:rPr>
            </w:pPr>
            <w:r>
              <w:rPr>
                <w:rFonts w:ascii="宋体" w:hAnsi="宋体" w:cs="宋体" w:eastAsia="宋体" w:hint="default"/>
                <w:spacing w:val="-14"/>
                <w:sz w:val="18"/>
                <w:szCs w:val="18"/>
              </w:rPr>
              <w:t>数字认证（武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汉）</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信息安全及软件服务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20,000,000.00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30,397,785.71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19,895,045.53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-104,954.47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-104,954.47</w:t>
            </w:r>
          </w:p>
        </w:tc>
      </w:tr>
    </w:tbl>
    <w:p>
      <w:pPr>
        <w:pStyle w:val="BodyText"/>
        <w:spacing w:line="240" w:lineRule="auto" w:before="49"/>
        <w:ind w:right="982"/>
        <w:jc w:val="left"/>
      </w:pPr>
      <w:r>
        <w:rPr/>
        <w:t>报告期内取得和处置子公司的情况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数字认证（武汉）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49"/>
        <w:ind w:right="0"/>
        <w:jc w:val="both"/>
      </w:pPr>
      <w:r>
        <w:rPr/>
        <w:t>主要控股参股公司情况说明</w:t>
      </w:r>
    </w:p>
    <w:p>
      <w:pPr>
        <w:spacing w:line="240" w:lineRule="auto" w:before="6"/>
        <w:rPr>
          <w:rFonts w:ascii="宋体" w:hAnsi="宋体" w:cs="宋体" w:eastAsia="宋体" w:hint="default"/>
          <w:sz w:val="13"/>
          <w:szCs w:val="13"/>
        </w:rPr>
      </w:pPr>
    </w:p>
    <w:p>
      <w:pPr>
        <w:pStyle w:val="Heading4"/>
        <w:spacing w:line="256" w:lineRule="auto"/>
        <w:ind w:right="982" w:firstLine="420"/>
        <w:jc w:val="left"/>
      </w:pPr>
      <w:r>
        <w:rPr>
          <w:rFonts w:ascii="Times New Roman" w:hAnsi="Times New Roman" w:cs="Times New Roman" w:eastAsia="Times New Roman" w:hint="default"/>
          <w:spacing w:val="-3"/>
        </w:rPr>
        <w:t>1</w:t>
      </w:r>
      <w:r>
        <w:rPr>
          <w:spacing w:val="-3"/>
        </w:rPr>
        <w:t>、数字认证（武汉）为本报告期新设立的全资子公司</w:t>
      </w:r>
      <w:r>
        <w:rPr>
          <w:rFonts w:ascii="Times New Roman" w:hAnsi="Times New Roman" w:cs="Times New Roman" w:eastAsia="Times New Roman" w:hint="default"/>
          <w:spacing w:val="-3"/>
        </w:rPr>
        <w:t>,</w:t>
      </w:r>
      <w:r>
        <w:rPr>
          <w:spacing w:val="-3"/>
        </w:rPr>
        <w:t>数字认证（武汉）已于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月完成工商登记</w:t>
      </w:r>
      <w:r>
        <w:rPr>
          <w:w w:val="100"/>
        </w:rPr>
        <w:t> </w:t>
      </w:r>
      <w:r>
        <w:rPr/>
        <w:t>手续，并取得武汉临空港经济技术开发区（东西湖区）行政审批局核发的营业执照。</w:t>
      </w:r>
    </w:p>
    <w:p>
      <w:pPr>
        <w:pStyle w:val="Heading4"/>
        <w:spacing w:line="256" w:lineRule="auto" w:before="142"/>
        <w:ind w:right="982" w:firstLine="420"/>
        <w:jc w:val="left"/>
      </w:pPr>
      <w:r>
        <w:rPr>
          <w:rFonts w:ascii="Times New Roman" w:hAnsi="Times New Roman" w:cs="Times New Roman" w:eastAsia="Times New Roman" w:hint="default"/>
          <w:spacing w:val="-2"/>
        </w:rPr>
        <w:t>2</w:t>
      </w:r>
      <w:r>
        <w:rPr>
          <w:spacing w:val="-2"/>
        </w:rPr>
        <w:t>、数字医信为本报告期新设立的全资子公司，数字医信已于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月完成工商登记手续，并取得北</w:t>
      </w:r>
      <w:r>
        <w:rPr>
          <w:w w:val="100"/>
        </w:rPr>
        <w:t> </w:t>
      </w:r>
      <w:r>
        <w:rPr/>
        <w:t>京市工商行政管理局海淀分局核发的营业执照。</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5" w:right="982"/>
        <w:jc w:val="left"/>
        <w:rPr>
          <w:b w:val="0"/>
          <w:bCs w:val="0"/>
        </w:rPr>
      </w:pPr>
      <w:r>
        <w:rPr/>
        <w:t>（一）行业发展趋势</w:t>
      </w:r>
      <w:r>
        <w:rPr>
          <w:b w:val="0"/>
          <w:bCs w:val="0"/>
        </w:rPr>
      </w:r>
    </w:p>
    <w:p>
      <w:pPr>
        <w:spacing w:line="357" w:lineRule="auto" w:before="154"/>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、国家意志和政策为行业注入强心剂，行业正处于快速发展阶段</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近年来，党中央高度重视网络安全，十九大报告指出网络安全等非传统安全是人类面临的共同挑战之</w:t>
      </w:r>
    </w:p>
    <w:p>
      <w:pPr>
        <w:pStyle w:val="Heading4"/>
        <w:spacing w:line="212" w:lineRule="exact"/>
        <w:ind w:right="0"/>
        <w:jc w:val="both"/>
      </w:pPr>
      <w:r>
        <w:rPr/>
        <w:t>一，要坚持总体国家观，加强国家安全能力建设，坚决维护国家主权、安全、发展利益。习近平总书记在</w:t>
      </w:r>
    </w:p>
    <w:p>
      <w:pPr>
        <w:pStyle w:val="Heading4"/>
        <w:spacing w:line="268" w:lineRule="auto" w:before="37"/>
        <w:ind w:right="1126"/>
        <w:jc w:val="both"/>
      </w:pPr>
      <w:r>
        <w:rPr>
          <w:spacing w:val="-2"/>
        </w:rPr>
        <w:t>全国网络安全和信息化工作会议上强调，没有网络安全就没有国家安全，就没有经济社会稳定运行，要树</w:t>
      </w:r>
      <w:r>
        <w:rPr>
          <w:spacing w:val="-43"/>
        </w:rPr>
        <w:t> </w:t>
      </w:r>
      <w:r>
        <w:rPr>
          <w:spacing w:val="-43"/>
        </w:rPr>
      </w:r>
      <w:r>
        <w:rPr>
          <w:spacing w:val="-11"/>
          <w:w w:val="100"/>
        </w:rPr>
        <w:t>立正确的网络安全观，积极发展网络安全产业，做到关口前移防患于未然。国家出台的《网络安全法》、《国</w:t>
      </w:r>
      <w:r>
        <w:rPr>
          <w:spacing w:val="-90"/>
          <w:w w:val="100"/>
        </w:rPr>
        <w:t> </w:t>
      </w:r>
      <w:r>
        <w:rPr>
          <w:spacing w:val="-90"/>
          <w:w w:val="100"/>
        </w:rPr>
      </w:r>
      <w:r>
        <w:rPr>
          <w:spacing w:val="-7"/>
          <w:w w:val="100"/>
        </w:rPr>
        <w:t>家网络空间安全战略》、《网络安全等级保护条例（征求意见稿）》以及多项配套政策，使网络安全更加融</w:t>
      </w:r>
      <w:r>
        <w:rPr>
          <w:spacing w:val="-69"/>
          <w:w w:val="100"/>
        </w:rPr>
        <w:t> </w:t>
      </w:r>
      <w:r>
        <w:rPr>
          <w:spacing w:val="-69"/>
          <w:w w:val="100"/>
        </w:rPr>
      </w:r>
      <w:r>
        <w:rPr>
          <w:spacing w:val="-2"/>
        </w:rPr>
        <w:t>入到国家重点行业领域，保护对象也从传统的网络和信息系统，向</w:t>
      </w:r>
      <w:r>
        <w:rPr>
          <w:rFonts w:ascii="Times New Roman" w:hAnsi="Times New Roman" w:cs="Times New Roman" w:eastAsia="Times New Roman" w:hint="default"/>
          <w:spacing w:val="-2"/>
        </w:rPr>
        <w:t>“</w:t>
      </w:r>
      <w:r>
        <w:rPr>
          <w:spacing w:val="-2"/>
        </w:rPr>
        <w:t>云大物智移</w:t>
      </w:r>
      <w:r>
        <w:rPr>
          <w:rFonts w:ascii="Times New Roman" w:hAnsi="Times New Roman" w:cs="Times New Roman" w:eastAsia="Times New Roman" w:hint="default"/>
          <w:spacing w:val="-2"/>
        </w:rPr>
        <w:t>”</w:t>
      </w:r>
      <w:r>
        <w:rPr>
          <w:spacing w:val="-2"/>
        </w:rPr>
        <w:t>上扩展，必将扩大网络安</w:t>
      </w:r>
      <w:r>
        <w:rPr>
          <w:spacing w:val="-20"/>
        </w:rPr>
        <w:t> </w:t>
      </w:r>
      <w:r>
        <w:rPr>
          <w:spacing w:val="-20"/>
        </w:rPr>
      </w:r>
      <w:r>
        <w:rPr/>
        <w:t>全的应用范围，有效推动网络安全行业加速成长。</w:t>
      </w:r>
    </w:p>
    <w:p>
      <w:pPr>
        <w:spacing w:line="432" w:lineRule="exact" w:before="29"/>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、国产化进程加速，自主可控是必然趋势</w:t>
      </w:r>
      <w:r>
        <w:rPr>
          <w:rFonts w:ascii="宋体" w:hAnsi="宋体" w:cs="宋体" w:eastAsia="宋体" w:hint="default"/>
          <w:b/>
          <w:bCs/>
          <w:w w:val="100"/>
          <w:sz w:val="21"/>
          <w:szCs w:val="21"/>
        </w:rPr>
        <w:t> </w:t>
      </w:r>
      <w:r>
        <w:rPr>
          <w:rFonts w:ascii="宋体" w:hAnsi="宋体" w:cs="宋体" w:eastAsia="宋体" w:hint="default"/>
          <w:spacing w:val="-2"/>
          <w:sz w:val="21"/>
          <w:szCs w:val="21"/>
        </w:rPr>
        <w:t>网络安全本质是攻防的对抗，自主可控是获得风险防范的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主动权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的关键环节。随着国家对网络安全</w:t>
      </w:r>
    </w:p>
    <w:p>
      <w:pPr>
        <w:pStyle w:val="Heading4"/>
        <w:spacing w:line="258" w:lineRule="exact"/>
        <w:ind w:right="0"/>
        <w:jc w:val="both"/>
      </w:pPr>
      <w:r>
        <w:rPr/>
        <w:t>愈加重视且将其上升到国家战略层面，网络安全行业国产化进程将加速，国产化替代不可逆转。自主可控</w:t>
      </w:r>
    </w:p>
    <w:p>
      <w:pPr>
        <w:pStyle w:val="Heading4"/>
        <w:spacing w:line="273" w:lineRule="auto" w:before="37"/>
        <w:ind w:right="1126"/>
        <w:jc w:val="both"/>
      </w:pPr>
      <w:r>
        <w:rPr>
          <w:spacing w:val="-2"/>
        </w:rPr>
        <w:t>会从党政军企特殊市场逐步延伸到消费者市场，围绕国产化进行安全自主可控信息化和网络安全建设，构</w:t>
      </w:r>
      <w:r>
        <w:rPr>
          <w:spacing w:val="-44"/>
        </w:rPr>
        <w:t> </w:t>
      </w:r>
      <w:r>
        <w:rPr>
          <w:spacing w:val="-44"/>
        </w:rPr>
      </w:r>
      <w:r>
        <w:rPr/>
        <w:t>建完整的自主可控生态环境是必然趋势，相关领域国产替代率会逐渐提高。</w:t>
      </w:r>
    </w:p>
    <w:p>
      <w:pPr>
        <w:spacing w:line="357" w:lineRule="auto" w:before="125"/>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、网络信任体系建设迎来新的发展机遇</w:t>
      </w:r>
      <w:r>
        <w:rPr>
          <w:rFonts w:ascii="宋体" w:hAnsi="宋体" w:cs="宋体" w:eastAsia="宋体" w:hint="default"/>
          <w:b/>
          <w:bCs/>
          <w:w w:val="100"/>
          <w:sz w:val="21"/>
          <w:szCs w:val="21"/>
        </w:rPr>
        <w:t> </w:t>
      </w:r>
      <w:r>
        <w:rPr>
          <w:rFonts w:ascii="宋体" w:hAnsi="宋体" w:cs="宋体" w:eastAsia="宋体" w:hint="default"/>
          <w:spacing w:val="-2"/>
          <w:sz w:val="21"/>
          <w:szCs w:val="21"/>
        </w:rPr>
        <w:t>云计算和物联网等技术的应用、数字经济发展均为网络信任体系建设提供了崭新机遇。云计算对网络</w:t>
      </w:r>
    </w:p>
    <w:p>
      <w:pPr>
        <w:spacing w:after="0" w:line="357" w:lineRule="auto"/>
        <w:jc w:val="left"/>
        <w:rPr>
          <w:rFonts w:ascii="宋体" w:hAnsi="宋体" w:cs="宋体" w:eastAsia="宋体" w:hint="default"/>
          <w:sz w:val="21"/>
          <w:szCs w:val="21"/>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68" w:lineRule="auto" w:before="36"/>
        <w:ind w:right="1126"/>
        <w:jc w:val="both"/>
      </w:pPr>
      <w:r>
        <w:rPr>
          <w:spacing w:val="-2"/>
        </w:rPr>
        <w:t>体系建设提出了新的更高要求，不仅要面对私有云、公有云、混合云等复杂环境，还要使用多种认证手段</w:t>
      </w:r>
      <w:r>
        <w:rPr>
          <w:spacing w:val="-47"/>
        </w:rPr>
        <w:t> </w:t>
      </w:r>
      <w:r>
        <w:rPr>
          <w:spacing w:val="-47"/>
        </w:rPr>
      </w:r>
      <w:r>
        <w:rPr>
          <w:spacing w:val="-2"/>
        </w:rPr>
        <w:t>和方式建立跨组织、跨域的信任体系。物联网的快速普及，使得网络信任体系的管理对象逐渐从以人和组</w:t>
      </w:r>
      <w:r>
        <w:rPr>
          <w:spacing w:val="-45"/>
        </w:rPr>
        <w:t> </w:t>
      </w:r>
      <w:r>
        <w:rPr>
          <w:spacing w:val="-45"/>
        </w:rPr>
      </w:r>
      <w:r>
        <w:rPr/>
        <w:t>织为主向设备、物、服务等对象全面扩展。数字经济日渐繁荣，</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传统行业客户也对网络信任体</w:t>
      </w:r>
      <w:r>
        <w:rPr>
          <w:spacing w:val="-19"/>
        </w:rPr>
        <w:t> </w:t>
      </w:r>
      <w:r>
        <w:rPr>
          <w:spacing w:val="-19"/>
        </w:rPr>
      </w:r>
      <w:r>
        <w:rPr>
          <w:spacing w:val="-2"/>
        </w:rPr>
        <w:t>系建设提出了更高要求，网络安全提供商必须深刻理解客户的系统架构和业务系统，推出基于场景化的网</w:t>
      </w:r>
      <w:r>
        <w:rPr>
          <w:spacing w:val="-43"/>
        </w:rPr>
        <w:t> </w:t>
      </w:r>
      <w:r>
        <w:rPr>
          <w:spacing w:val="-43"/>
        </w:rPr>
      </w:r>
      <w:r>
        <w:rPr/>
        <w:t>络安全解决方案。</w:t>
      </w:r>
    </w:p>
    <w:p>
      <w:pPr>
        <w:spacing w:line="357" w:lineRule="auto" w:before="132"/>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、网络安全将更为依赖专业化的安全服务，安全运营服务市场将成为新的增长点</w:t>
      </w:r>
      <w:r>
        <w:rPr>
          <w:rFonts w:ascii="宋体" w:hAnsi="宋体" w:cs="宋体" w:eastAsia="宋体" w:hint="default"/>
          <w:b/>
          <w:bCs/>
          <w:w w:val="100"/>
          <w:sz w:val="21"/>
          <w:szCs w:val="21"/>
        </w:rPr>
        <w:t> </w:t>
      </w:r>
      <w:r>
        <w:rPr>
          <w:rFonts w:ascii="宋体" w:hAnsi="宋体" w:cs="宋体" w:eastAsia="宋体" w:hint="default"/>
          <w:spacing w:val="-2"/>
          <w:sz w:val="21"/>
          <w:szCs w:val="21"/>
        </w:rPr>
        <w:t>未来随着智慧城市建设提速、万物互联时代的到来，政府和企业客户网络安全系统将越来越复杂，导</w:t>
      </w:r>
    </w:p>
    <w:p>
      <w:pPr>
        <w:pStyle w:val="Heading4"/>
        <w:spacing w:line="209" w:lineRule="exact"/>
        <w:ind w:right="982"/>
        <w:jc w:val="left"/>
      </w:pPr>
      <w:r>
        <w:rPr/>
        <w:t>致获得数据难度增加，普通客户也不具备对海量网络安全相关数据的分析能力，必将依赖具备不间断监测</w:t>
      </w:r>
    </w:p>
    <w:p>
      <w:pPr>
        <w:pStyle w:val="Heading4"/>
        <w:spacing w:line="273" w:lineRule="auto" w:before="37"/>
        <w:ind w:right="982"/>
        <w:jc w:val="left"/>
      </w:pPr>
      <w:r>
        <w:rPr>
          <w:spacing w:val="-2"/>
        </w:rPr>
        <w:t>服务能力、可及时掌握网络现状及趋势的运营服务团队，为其提供网络设备安全监控、信息数据处理分析</w:t>
      </w:r>
      <w:r>
        <w:rPr>
          <w:spacing w:val="-45"/>
        </w:rPr>
        <w:t> </w:t>
      </w:r>
      <w:r>
        <w:rPr>
          <w:spacing w:val="-45"/>
        </w:rPr>
      </w:r>
      <w:r>
        <w:rPr/>
        <w:t>和安全事件响应等安全运营服务，安全运营服务市场将成为新的增长点。</w:t>
      </w:r>
    </w:p>
    <w:p>
      <w:pPr>
        <w:pStyle w:val="Heading3"/>
        <w:spacing w:line="240" w:lineRule="auto" w:before="128"/>
        <w:ind w:left="575" w:right="982"/>
        <w:jc w:val="left"/>
        <w:rPr>
          <w:b w:val="0"/>
          <w:bCs w:val="0"/>
        </w:rPr>
      </w:pPr>
      <w:r>
        <w:rPr/>
        <w:t>（二）公司战略及</w:t>
      </w:r>
      <w:r>
        <w:rPr>
          <w:spacing w:val="-52"/>
        </w:rPr>
        <w:t> </w:t>
      </w:r>
      <w:r>
        <w:rPr>
          <w:rFonts w:ascii="Times New Roman" w:hAnsi="Times New Roman" w:cs="Times New Roman" w:eastAsia="Times New Roman" w:hint="default"/>
        </w:rPr>
        <w:t>2019 </w:t>
      </w:r>
      <w:r>
        <w:rPr/>
        <w:t>年度经营计划</w:t>
      </w:r>
      <w:r>
        <w:rPr>
          <w:b w:val="0"/>
          <w:bCs w:val="0"/>
        </w:rPr>
      </w:r>
    </w:p>
    <w:p>
      <w:pPr>
        <w:pStyle w:val="Heading4"/>
        <w:spacing w:line="256" w:lineRule="auto" w:before="141"/>
        <w:ind w:right="1128"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4"/>
        </w:rPr>
        <w:t> </w:t>
      </w:r>
      <w:r>
        <w:rPr>
          <w:spacing w:val="-3"/>
        </w:rPr>
        <w:t>年公司将继续坚持</w:t>
      </w:r>
      <w:r>
        <w:rPr>
          <w:rFonts w:ascii="Times New Roman" w:hAnsi="Times New Roman" w:cs="Times New Roman" w:eastAsia="Times New Roman" w:hint="default"/>
          <w:spacing w:val="-3"/>
        </w:rPr>
        <w:t>“</w:t>
      </w:r>
      <w:r>
        <w:rPr>
          <w:spacing w:val="-3"/>
        </w:rPr>
        <w:t>共建可信任的数字世界</w:t>
      </w:r>
      <w:r>
        <w:rPr>
          <w:rFonts w:ascii="Times New Roman" w:hAnsi="Times New Roman" w:cs="Times New Roman" w:eastAsia="Times New Roman" w:hint="default"/>
          <w:spacing w:val="-3"/>
        </w:rPr>
        <w:t>”</w:t>
      </w:r>
      <w:r>
        <w:rPr>
          <w:spacing w:val="-3"/>
        </w:rPr>
        <w:t>的企业愿景与网络安全业务主航道，抓住政策及市场</w:t>
      </w:r>
      <w:r>
        <w:rPr>
          <w:w w:val="100"/>
        </w:rPr>
        <w:t> </w:t>
      </w:r>
      <w:r>
        <w:rPr>
          <w:spacing w:val="-3"/>
        </w:rPr>
        <w:t>的重要机遇，聚焦</w:t>
      </w:r>
      <w:r>
        <w:rPr>
          <w:rFonts w:ascii="Times New Roman" w:hAnsi="Times New Roman" w:cs="Times New Roman" w:eastAsia="Times New Roman" w:hint="default"/>
          <w:spacing w:val="-3"/>
        </w:rPr>
        <w:t>“</w:t>
      </w:r>
      <w:r>
        <w:rPr>
          <w:spacing w:val="-3"/>
        </w:rPr>
        <w:t>具有核心能力的密码技术服务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完整交付的网络信任服务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高品质的网络安全运营</w:t>
      </w:r>
      <w:r>
        <w:rPr>
          <w:spacing w:val="-43"/>
        </w:rPr>
        <w:t> </w:t>
      </w:r>
      <w:r>
        <w:rPr>
          <w:spacing w:val="-43"/>
        </w:rPr>
      </w:r>
      <w:r>
        <w:rPr>
          <w:spacing w:val="-3"/>
        </w:rPr>
        <w:t>服务</w:t>
      </w:r>
      <w:r>
        <w:rPr>
          <w:rFonts w:ascii="Times New Roman" w:hAnsi="Times New Roman" w:cs="Times New Roman" w:eastAsia="Times New Roman" w:hint="default"/>
          <w:spacing w:val="-3"/>
        </w:rPr>
        <w:t>”</w:t>
      </w:r>
      <w:r>
        <w:rPr>
          <w:spacing w:val="-3"/>
        </w:rPr>
        <w:t>三个战略方向，以</w:t>
      </w:r>
      <w:r>
        <w:rPr>
          <w:rFonts w:ascii="Times New Roman" w:hAnsi="Times New Roman" w:cs="Times New Roman" w:eastAsia="Times New Roman" w:hint="default"/>
          <w:spacing w:val="-3"/>
        </w:rPr>
        <w:t>“</w:t>
      </w:r>
      <w:r>
        <w:rPr>
          <w:spacing w:val="-3"/>
        </w:rPr>
        <w:t>满足客户需求</w:t>
      </w:r>
      <w:r>
        <w:rPr>
          <w:rFonts w:ascii="Times New Roman" w:hAnsi="Times New Roman" w:cs="Times New Roman" w:eastAsia="Times New Roman" w:hint="default"/>
          <w:spacing w:val="-3"/>
        </w:rPr>
        <w:t>”</w:t>
      </w:r>
      <w:r>
        <w:rPr>
          <w:spacing w:val="-3"/>
        </w:rPr>
        <w:t>为目标，推动公司产品、技术、业务的创新；建立</w:t>
      </w:r>
      <w:r>
        <w:rPr>
          <w:rFonts w:ascii="Times New Roman" w:hAnsi="Times New Roman" w:cs="Times New Roman" w:eastAsia="Times New Roman" w:hint="default"/>
          <w:spacing w:val="-3"/>
        </w:rPr>
        <w:t>“</w:t>
      </w:r>
      <w:r>
        <w:rPr>
          <w:spacing w:val="-3"/>
        </w:rPr>
        <w:t>以客户为中心</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3"/>
        </w:rPr>
        <w:t> </w:t>
      </w:r>
      <w:r>
        <w:rPr/>
        <w:t>的营销体系，推动重大战略商机在公司各行业、各区域全面落地。</w:t>
      </w:r>
    </w:p>
    <w:p>
      <w:pPr>
        <w:pStyle w:val="Heading4"/>
        <w:spacing w:line="357" w:lineRule="auto" w:before="142"/>
        <w:ind w:left="573" w:right="982" w:firstLine="2"/>
        <w:jc w:val="left"/>
      </w:pPr>
      <w:r>
        <w:rPr>
          <w:rFonts w:ascii="Times New Roman" w:hAnsi="Times New Roman" w:cs="Times New Roman" w:eastAsia="Times New Roman" w:hint="default"/>
          <w:b/>
          <w:bCs/>
        </w:rPr>
        <w:t>1</w:t>
      </w:r>
      <w:r>
        <w:rPr>
          <w:rFonts w:ascii="宋体" w:hAnsi="宋体" w:cs="宋体" w:eastAsia="宋体" w:hint="default"/>
          <w:b/>
          <w:bCs/>
        </w:rPr>
        <w:t>、业务推进工作</w:t>
      </w:r>
      <w:r>
        <w:rPr>
          <w:rFonts w:ascii="宋体" w:hAnsi="宋体" w:cs="宋体" w:eastAsia="宋体" w:hint="default"/>
          <w:b/>
          <w:bCs/>
          <w:w w:val="100"/>
        </w:rPr>
        <w:t> </w:t>
      </w:r>
      <w:r>
        <w:rPr>
          <w:spacing w:val="-2"/>
        </w:rPr>
        <w:t>深耕重点行业，强化行业引领，推动项目落地。在政务行业，公司将继续为政府优化营商环境提供服</w:t>
      </w:r>
    </w:p>
    <w:p>
      <w:pPr>
        <w:pStyle w:val="Heading4"/>
        <w:spacing w:line="225" w:lineRule="exact"/>
        <w:ind w:right="982"/>
        <w:jc w:val="left"/>
      </w:pPr>
      <w:r>
        <w:rPr/>
        <w:t>务，推动统一身份认证管理、可信电子证照、工商商事登记全流程</w:t>
      </w:r>
      <w:r>
        <w:rPr>
          <w:rFonts w:ascii="Times New Roman" w:hAnsi="Times New Roman" w:cs="Times New Roman" w:eastAsia="Times New Roman" w:hint="default"/>
        </w:rPr>
        <w:t>“</w:t>
      </w:r>
      <w:r>
        <w:rPr/>
        <w:t>无纸化</w:t>
      </w:r>
      <w:r>
        <w:rPr>
          <w:rFonts w:ascii="Times New Roman" w:hAnsi="Times New Roman" w:cs="Times New Roman" w:eastAsia="Times New Roman" w:hint="default"/>
        </w:rPr>
        <w:t>”</w:t>
      </w:r>
      <w:r>
        <w:rPr/>
        <w:t>等网络安全解决方案在全国范</w:t>
      </w:r>
    </w:p>
    <w:p>
      <w:pPr>
        <w:pStyle w:val="Heading4"/>
        <w:spacing w:line="268" w:lineRule="auto" w:before="21"/>
        <w:ind w:right="982"/>
        <w:jc w:val="left"/>
      </w:pPr>
      <w:r>
        <w:rPr/>
        <w:t>围内进行落地，并进行互联网</w:t>
      </w:r>
      <w:r>
        <w:rPr>
          <w:rFonts w:ascii="Times New Roman" w:hAnsi="Times New Roman" w:cs="Times New Roman" w:eastAsia="Times New Roman" w:hint="default"/>
        </w:rPr>
        <w:t>+</w:t>
      </w:r>
      <w:r>
        <w:rPr/>
        <w:t>政务领域的新业务探索工作。在卫生行业，公司将继续做实医疗行业，在</w:t>
      </w:r>
      <w:r>
        <w:rPr>
          <w:spacing w:val="-37"/>
        </w:rPr>
        <w:t> </w:t>
      </w:r>
      <w:r>
        <w:rPr>
          <w:spacing w:val="-37"/>
        </w:rPr>
      </w:r>
      <w:r>
        <w:rPr/>
        <w:t>全国范围快速复制推广现有的卫生行业多个解决方案，继续推进网络安全解决方案在医院医疗信息系统、</w:t>
      </w:r>
      <w:r>
        <w:rPr>
          <w:w w:val="100"/>
        </w:rPr>
        <w:t> </w:t>
      </w:r>
      <w:r>
        <w:rPr/>
        <w:t>区域医疗平台等领域的应用，优化互联网医疗解决方案，对医药和医保领域进行业务探索。在金融行业，</w:t>
      </w:r>
      <w:r>
        <w:rPr>
          <w:w w:val="100"/>
        </w:rPr>
        <w:t> </w:t>
      </w:r>
      <w:r>
        <w:rPr>
          <w:spacing w:val="-2"/>
        </w:rPr>
        <w:t>在保险领域公司持续保险行业领先优势，努力开拓财险市场，使得公司产品和服务在保险领域应用进一步</w:t>
      </w:r>
      <w:r>
        <w:rPr>
          <w:spacing w:val="-42"/>
        </w:rPr>
        <w:t> </w:t>
      </w:r>
      <w:r>
        <w:rPr>
          <w:spacing w:val="-42"/>
        </w:rPr>
      </w:r>
      <w:r>
        <w:rPr>
          <w:spacing w:val="-5"/>
        </w:rPr>
        <w:t>扩大；在银行业务领域，借助新的身份验证解决方案快速拓展银行客户。公司还将进一步推动民航、海事、</w:t>
      </w:r>
      <w:r>
        <w:rPr>
          <w:spacing w:val="-7"/>
        </w:rPr>
        <w:t> </w:t>
      </w:r>
      <w:r>
        <w:rPr>
          <w:spacing w:val="-7"/>
        </w:rPr>
      </w:r>
      <w:r>
        <w:rPr/>
        <w:t>教育等行业应用落地，并在新行业应用方面展开积极探索工作。</w:t>
      </w:r>
    </w:p>
    <w:p>
      <w:pPr>
        <w:pStyle w:val="Heading4"/>
        <w:spacing w:line="264" w:lineRule="auto" w:before="132"/>
        <w:ind w:right="1126" w:firstLine="420"/>
        <w:jc w:val="both"/>
      </w:pPr>
      <w:r>
        <w:rPr>
          <w:spacing w:val="-4"/>
        </w:rPr>
        <w:t>拓展签名业务应用领域，打造增长新引擎。</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spacing w:val="-3"/>
        </w:rPr>
        <w:t>年公司将全面推广电子签名业务，并向客户提供电子</w:t>
      </w:r>
      <w:r>
        <w:rPr>
          <w:w w:val="100"/>
        </w:rPr>
        <w:t> </w:t>
      </w:r>
      <w:r>
        <w:rPr>
          <w:spacing w:val="-2"/>
        </w:rPr>
        <w:t>合同、电子档案等以密码技术及法律效力为基础的产品及服务，实现用户需求功能的完整交付，以软件直</w:t>
      </w:r>
      <w:r>
        <w:rPr>
          <w:spacing w:val="-43"/>
        </w:rPr>
        <w:t> </w:t>
      </w:r>
      <w:r>
        <w:rPr>
          <w:spacing w:val="-43"/>
        </w:rPr>
      </w:r>
      <w:r>
        <w:rPr/>
        <w:t>接服务客户，面向广阔的企业市场，力争打造信任服务第一品牌。</w:t>
      </w:r>
    </w:p>
    <w:p>
      <w:pPr>
        <w:pStyle w:val="Heading4"/>
        <w:spacing w:line="273" w:lineRule="auto" w:before="136"/>
        <w:ind w:right="1126" w:firstLine="420"/>
        <w:jc w:val="both"/>
      </w:pPr>
      <w:r>
        <w:rPr>
          <w:spacing w:val="-2"/>
        </w:rPr>
        <w:t>建设安全运行服务知名品牌。公司将进一步开展行业营销能力整合，深度挖掘区县内网建设市场，顺</w:t>
      </w:r>
      <w:r>
        <w:rPr>
          <w:w w:val="100"/>
        </w:rPr>
        <w:t> </w:t>
      </w:r>
      <w:r>
        <w:rPr>
          <w:spacing w:val="-2"/>
        </w:rPr>
        <w:t>应北京政务云以及城市副中心的市场变化，在现有的政务云安全监管体系基础上，针对性的满足客户新的</w:t>
      </w:r>
      <w:r>
        <w:rPr>
          <w:spacing w:val="-43"/>
        </w:rPr>
        <w:t> </w:t>
      </w:r>
      <w:r>
        <w:rPr>
          <w:spacing w:val="-43"/>
        </w:rPr>
      </w:r>
      <w:r>
        <w:rPr>
          <w:spacing w:val="-2"/>
        </w:rPr>
        <w:t>需求，完善公司政务云安全服务功能和性能，推动云服务客户数量持续增长，巩固北京政务市场的主导地</w:t>
      </w:r>
      <w:r>
        <w:rPr>
          <w:spacing w:val="-44"/>
        </w:rPr>
        <w:t> </w:t>
      </w:r>
      <w:r>
        <w:rPr>
          <w:spacing w:val="-44"/>
        </w:rPr>
      </w:r>
      <w:r>
        <w:rPr/>
        <w:t>位。</w:t>
      </w:r>
    </w:p>
    <w:p>
      <w:pPr>
        <w:pStyle w:val="Heading4"/>
        <w:spacing w:line="357" w:lineRule="auto" w:before="127"/>
        <w:ind w:left="573" w:right="982" w:firstLine="2"/>
        <w:jc w:val="left"/>
      </w:pPr>
      <w:r>
        <w:rPr>
          <w:rFonts w:ascii="Times New Roman" w:hAnsi="Times New Roman" w:cs="Times New Roman" w:eastAsia="Times New Roman" w:hint="default"/>
          <w:b/>
          <w:bCs/>
        </w:rPr>
        <w:t>2</w:t>
      </w:r>
      <w:r>
        <w:rPr>
          <w:rFonts w:ascii="宋体" w:hAnsi="宋体" w:cs="宋体" w:eastAsia="宋体" w:hint="default"/>
          <w:b/>
          <w:bCs/>
        </w:rPr>
        <w:t>、重点研发工作</w:t>
      </w:r>
      <w:r>
        <w:rPr>
          <w:rFonts w:ascii="宋体" w:hAnsi="宋体" w:cs="宋体" w:eastAsia="宋体" w:hint="default"/>
          <w:b/>
          <w:bCs/>
          <w:w w:val="100"/>
        </w:rPr>
        <w:t> </w:t>
      </w:r>
      <w:r>
        <w:rPr>
          <w:spacing w:val="-2"/>
        </w:rPr>
        <w:t>优化、改造、升级现有的产品和服务。一是在网络信任体系产品和服务方面，公司对产品和平台系统</w:t>
      </w:r>
    </w:p>
    <w:p>
      <w:pPr>
        <w:pStyle w:val="Heading4"/>
        <w:spacing w:line="209" w:lineRule="exact"/>
        <w:ind w:right="0"/>
        <w:jc w:val="both"/>
      </w:pPr>
      <w:r>
        <w:rPr/>
        <w:t>进行国产化升级改造，对国产硬件、操作系统、数据库等进行全面的适配，持续提升公司已适配产品及平</w:t>
      </w:r>
    </w:p>
    <w:p>
      <w:pPr>
        <w:pStyle w:val="Heading4"/>
        <w:spacing w:line="273" w:lineRule="auto" w:before="37"/>
        <w:ind w:right="1126"/>
        <w:jc w:val="both"/>
      </w:pPr>
      <w:r>
        <w:rPr>
          <w:spacing w:val="-2"/>
        </w:rPr>
        <w:t>台的稳定性和性能；进一步完善互联网身份核实与认证服务技术体系，推出融合网证技术的在线实名身份</w:t>
      </w:r>
      <w:r>
        <w:rPr>
          <w:spacing w:val="-42"/>
        </w:rPr>
        <w:t> </w:t>
      </w:r>
      <w:r>
        <w:rPr>
          <w:spacing w:val="-42"/>
        </w:rPr>
      </w:r>
      <w:r>
        <w:rPr>
          <w:spacing w:val="-2"/>
        </w:rPr>
        <w:t>核实、认证、隐私保护等功能的网络信任服务。二是在电子签名业务方面，完善电子合同产品体系，继续</w:t>
      </w:r>
      <w:r>
        <w:rPr>
          <w:spacing w:val="-42"/>
        </w:rPr>
        <w:t> </w:t>
      </w:r>
      <w:r>
        <w:rPr>
          <w:spacing w:val="-42"/>
        </w:rPr>
      </w:r>
      <w:r>
        <w:rPr>
          <w:spacing w:val="-2"/>
        </w:rPr>
        <w:t>通过应用微服务架构，提升电子合同复杂系统的快速迭代开发、扩展和部署能力；基于云的认证与签名服</w:t>
      </w:r>
      <w:r>
        <w:rPr>
          <w:spacing w:val="-44"/>
        </w:rPr>
        <w:t> </w:t>
      </w:r>
      <w:r>
        <w:rPr>
          <w:spacing w:val="-44"/>
        </w:rPr>
      </w:r>
      <w:r>
        <w:rPr>
          <w:spacing w:val="-2"/>
        </w:rPr>
        <w:t>务体系，扩大服务的应用范围。三是安全服务方面，增强网络安全运营监控平台的感知能力，优化信息采</w:t>
      </w:r>
      <w:r>
        <w:rPr>
          <w:spacing w:val="-50"/>
        </w:rPr>
        <w:t> </w:t>
      </w:r>
      <w:r>
        <w:rPr>
          <w:spacing w:val="-50"/>
        </w:rPr>
      </w:r>
      <w:r>
        <w:rPr/>
        <w:t>集技术、大数据分析技术，将其应用于安全服务平台，全方面提升安全服务质量和运营能力。</w:t>
      </w:r>
    </w:p>
    <w:p>
      <w:pPr>
        <w:pStyle w:val="Heading4"/>
        <w:spacing w:line="240" w:lineRule="auto" w:before="127"/>
        <w:ind w:left="573" w:right="982"/>
        <w:jc w:val="left"/>
      </w:pPr>
      <w:r>
        <w:rPr/>
        <w:t>开展前沿技术跟踪与预研，进行技术战略储备。调研万物互联时代网络信任需求，重点打造车联网、</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jc w:val="both"/>
      </w:pPr>
      <w:r>
        <w:rPr>
          <w:spacing w:val="-2"/>
        </w:rPr>
        <w:t>视频监控等密码安全解决方案；设计推出将生物特征与身份核实、责任认定技术融合的软硬件一体化解决</w:t>
      </w:r>
      <w:r>
        <w:rPr>
          <w:spacing w:val="-41"/>
        </w:rPr>
        <w:t> </w:t>
      </w:r>
      <w:r>
        <w:rPr>
          <w:spacing w:val="-41"/>
        </w:rPr>
      </w:r>
      <w:r>
        <w:rPr/>
        <w:t>方案；开展基于国产密码算法的区块链体系应用场景的探索研究工作。</w:t>
      </w:r>
    </w:p>
    <w:p>
      <w:pPr>
        <w:pStyle w:val="Heading4"/>
        <w:spacing w:line="256" w:lineRule="auto" w:before="127"/>
        <w:ind w:right="1128" w:firstLine="420"/>
        <w:jc w:val="both"/>
      </w:pPr>
      <w:r>
        <w:rPr>
          <w:spacing w:val="-1"/>
        </w:rPr>
        <w:t>建立技术预研机制，提升科技成果转化能力。建立</w:t>
      </w:r>
      <w:r>
        <w:rPr>
          <w:rFonts w:ascii="Times New Roman" w:hAnsi="Times New Roman" w:cs="Times New Roman" w:eastAsia="Times New Roman" w:hint="default"/>
          <w:spacing w:val="-1"/>
        </w:rPr>
        <w:t>“</w:t>
      </w:r>
      <w:r>
        <w:rPr>
          <w:spacing w:val="-1"/>
        </w:rPr>
        <w:t>公共基础技术</w:t>
      </w:r>
      <w:r>
        <w:rPr>
          <w:rFonts w:ascii="Times New Roman" w:hAnsi="Times New Roman" w:cs="Times New Roman" w:eastAsia="Times New Roman" w:hint="default"/>
          <w:spacing w:val="-1"/>
        </w:rPr>
        <w:t>/</w:t>
      </w:r>
      <w:r>
        <w:rPr>
          <w:spacing w:val="-1"/>
        </w:rPr>
        <w:t>关键技术预研</w:t>
      </w:r>
      <w:r>
        <w:rPr>
          <w:rFonts w:ascii="Times New Roman" w:hAnsi="Times New Roman" w:cs="Times New Roman" w:eastAsia="Times New Roman" w:hint="default"/>
          <w:spacing w:val="-1"/>
        </w:rPr>
        <w:t>——</w:t>
      </w:r>
      <w:r>
        <w:rPr>
          <w:spacing w:val="-1"/>
        </w:rPr>
        <w:t>预研成果技术验</w:t>
      </w:r>
      <w:r>
        <w:rPr>
          <w:w w:val="100"/>
        </w:rPr>
        <w:t> </w:t>
      </w:r>
      <w:r>
        <w:rPr/>
        <w:t>证</w:t>
      </w:r>
      <w:r>
        <w:rPr>
          <w:rFonts w:ascii="Times New Roman" w:hAnsi="Times New Roman" w:cs="Times New Roman" w:eastAsia="Times New Roman" w:hint="default"/>
        </w:rPr>
        <w:t>——</w:t>
      </w:r>
      <w:r>
        <w:rPr/>
        <w:t>技术应用方案制定</w:t>
      </w:r>
      <w:r>
        <w:rPr>
          <w:rFonts w:ascii="Times New Roman" w:hAnsi="Times New Roman" w:cs="Times New Roman" w:eastAsia="Times New Roman" w:hint="default"/>
        </w:rPr>
        <w:t>——</w:t>
      </w:r>
      <w:r>
        <w:rPr/>
        <w:t>业务解决方案制定</w:t>
      </w:r>
      <w:r>
        <w:rPr>
          <w:rFonts w:ascii="Times New Roman" w:hAnsi="Times New Roman" w:cs="Times New Roman" w:eastAsia="Times New Roman" w:hint="default"/>
        </w:rPr>
        <w:t>——</w:t>
      </w:r>
      <w:r>
        <w:rPr/>
        <w:t>项目应用</w:t>
      </w:r>
      <w:r>
        <w:rPr>
          <w:rFonts w:ascii="Times New Roman" w:hAnsi="Times New Roman" w:cs="Times New Roman" w:eastAsia="Times New Roman" w:hint="default"/>
        </w:rPr>
        <w:t>——</w:t>
      </w:r>
      <w:r>
        <w:rPr/>
        <w:t>反馈技术预研需求</w:t>
      </w:r>
      <w:r>
        <w:rPr>
          <w:rFonts w:ascii="Times New Roman" w:hAnsi="Times New Roman" w:cs="Times New Roman" w:eastAsia="Times New Roman" w:hint="default"/>
        </w:rPr>
        <w:t>”</w:t>
      </w:r>
      <w:r>
        <w:rPr/>
        <w:t>的技术预研循环体</w:t>
      </w:r>
      <w:r>
        <w:rPr>
          <w:spacing w:val="-18"/>
        </w:rPr>
        <w:t> </w:t>
      </w:r>
      <w:r>
        <w:rPr>
          <w:spacing w:val="-18"/>
        </w:rPr>
      </w:r>
      <w:r>
        <w:rPr/>
        <w:t>系，逐步实现技术预研与课题、标准研究的互相促进和相互支撑。</w:t>
      </w:r>
    </w:p>
    <w:p>
      <w:pPr>
        <w:pStyle w:val="Heading4"/>
        <w:spacing w:line="357" w:lineRule="auto" w:before="142"/>
        <w:ind w:left="573" w:right="982" w:firstLine="2"/>
        <w:jc w:val="left"/>
      </w:pPr>
      <w:r>
        <w:rPr>
          <w:rFonts w:ascii="Times New Roman" w:hAnsi="Times New Roman" w:cs="Times New Roman" w:eastAsia="Times New Roman" w:hint="default"/>
          <w:b/>
          <w:bCs/>
        </w:rPr>
        <w:t>3</w:t>
      </w:r>
      <w:r>
        <w:rPr>
          <w:rFonts w:ascii="宋体" w:hAnsi="宋体" w:cs="宋体" w:eastAsia="宋体" w:hint="default"/>
          <w:b/>
          <w:bCs/>
        </w:rPr>
        <w:t>、经营管理工作</w:t>
      </w:r>
      <w:r>
        <w:rPr>
          <w:rFonts w:ascii="宋体" w:hAnsi="宋体" w:cs="宋体" w:eastAsia="宋体" w:hint="default"/>
          <w:b/>
          <w:bCs/>
          <w:w w:val="100"/>
        </w:rPr>
        <w:t> </w:t>
      </w:r>
      <w:r>
        <w:rPr>
          <w:spacing w:val="-2"/>
        </w:rPr>
        <w:t>优化人才结构，强化人才团队。公司将通过猎头推荐、内部推荐、社会招聘等方式吸引行业内有较大</w:t>
      </w:r>
    </w:p>
    <w:p>
      <w:pPr>
        <w:pStyle w:val="Heading4"/>
        <w:spacing w:line="209" w:lineRule="exact"/>
        <w:ind w:right="0"/>
        <w:jc w:val="both"/>
      </w:pPr>
      <w:r>
        <w:rPr>
          <w:spacing w:val="-5"/>
        </w:rPr>
        <w:t>影响力或经验丰富的高级专业技术人才；加强目标院校的雇主品牌建设，吸引优秀的应届毕业生加入公司，</w:t>
      </w:r>
    </w:p>
    <w:p>
      <w:pPr>
        <w:pStyle w:val="Heading4"/>
        <w:spacing w:line="273" w:lineRule="auto" w:before="37"/>
        <w:ind w:right="1105"/>
        <w:jc w:val="both"/>
      </w:pPr>
      <w:r>
        <w:rPr>
          <w:spacing w:val="-2"/>
        </w:rPr>
        <w:t>为公司发展持续提供人才；开展技术专家分享会、精英成长计划、项目管理轮训、技术培训生培养计划，</w:t>
      </w:r>
      <w:r>
        <w:rPr>
          <w:spacing w:val="-21"/>
        </w:rPr>
        <w:t> </w:t>
      </w:r>
      <w:r>
        <w:rPr>
          <w:spacing w:val="-21"/>
        </w:rPr>
      </w:r>
      <w:r>
        <w:rPr>
          <w:spacing w:val="-2"/>
        </w:rPr>
        <w:t>加强培养技术人才；完善干部任职资格标准，搭建干部培养体系，明确培养目标和重点，常规化、体系化</w:t>
      </w:r>
      <w:r>
        <w:rPr>
          <w:spacing w:val="-43"/>
        </w:rPr>
        <w:t> </w:t>
      </w:r>
      <w:r>
        <w:rPr>
          <w:spacing w:val="-43"/>
        </w:rPr>
      </w:r>
      <w:r>
        <w:rPr/>
        <w:t>地开展培训发展项目。</w:t>
      </w:r>
    </w:p>
    <w:p>
      <w:pPr>
        <w:pStyle w:val="Heading3"/>
        <w:spacing w:line="240" w:lineRule="auto" w:before="127"/>
        <w:ind w:left="575" w:right="982"/>
        <w:jc w:val="left"/>
        <w:rPr>
          <w:b w:val="0"/>
          <w:bCs w:val="0"/>
        </w:rPr>
      </w:pPr>
      <w:r>
        <w:rPr/>
        <w:t>（三）公司经营风险及应对措施</w:t>
      </w:r>
      <w:r>
        <w:rPr>
          <w:b w:val="0"/>
          <w:bCs w:val="0"/>
        </w:rPr>
      </w:r>
    </w:p>
    <w:p>
      <w:pPr>
        <w:pStyle w:val="Heading3"/>
        <w:spacing w:line="240" w:lineRule="auto" w:before="157"/>
        <w:ind w:left="575" w:right="982"/>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北京市法人一证通</w:t>
      </w:r>
      <w:r>
        <w:rPr>
          <w:rFonts w:ascii="Times New Roman" w:hAnsi="Times New Roman" w:cs="Times New Roman" w:eastAsia="Times New Roman" w:hint="default"/>
        </w:rPr>
        <w:t>”</w:t>
      </w:r>
      <w:r>
        <w:rPr/>
        <w:t>项目风险</w:t>
      </w:r>
      <w:r>
        <w:rPr>
          <w:b w:val="0"/>
          <w:bCs w:val="0"/>
        </w:rPr>
      </w:r>
    </w:p>
    <w:p>
      <w:pPr>
        <w:pStyle w:val="Heading4"/>
        <w:spacing w:line="256" w:lineRule="auto" w:before="141"/>
        <w:ind w:right="1126" w:firstLine="420"/>
        <w:jc w:val="both"/>
      </w:pPr>
      <w:r>
        <w:rPr>
          <w:rFonts w:ascii="Times New Roman" w:hAnsi="Times New Roman" w:cs="Times New Roman" w:eastAsia="Times New Roman" w:hint="default"/>
        </w:rPr>
        <w:t>2015 </w:t>
      </w:r>
      <w:r>
        <w:rPr/>
        <w:t>年底公司在北京市经信委举办的公开招标中成功中标，取得北京市 </w:t>
      </w:r>
      <w:r>
        <w:rPr>
          <w:rFonts w:ascii="Times New Roman" w:hAnsi="Times New Roman" w:cs="Times New Roman" w:eastAsia="Times New Roman" w:hint="default"/>
        </w:rPr>
        <w:t>2016-2018</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w:t>
      </w:r>
      <w:r>
        <w:rPr/>
        <w:t>法人一证通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数字证书服务商资格。关于</w:t>
      </w:r>
      <w:r>
        <w:rPr>
          <w:rFonts w:ascii="Times New Roman" w:hAnsi="Times New Roman" w:cs="Times New Roman" w:eastAsia="Times New Roman" w:hint="default"/>
          <w:spacing w:val="-2"/>
        </w:rPr>
        <w:t>“</w:t>
      </w:r>
      <w:r>
        <w:rPr>
          <w:spacing w:val="-2"/>
        </w:rPr>
        <w:t>北京市法人一证通</w:t>
      </w:r>
      <w:r>
        <w:rPr>
          <w:rFonts w:ascii="Times New Roman" w:hAnsi="Times New Roman" w:cs="Times New Roman" w:eastAsia="Times New Roman" w:hint="default"/>
          <w:spacing w:val="-2"/>
        </w:rPr>
        <w:t>”</w:t>
      </w:r>
      <w:r>
        <w:rPr>
          <w:spacing w:val="-2"/>
        </w:rPr>
        <w:t>项目新服务期招投标情况，公司存在无法中标或项目收益</w:t>
      </w:r>
      <w:r>
        <w:rPr>
          <w:spacing w:val="-17"/>
        </w:rPr>
        <w:t> </w:t>
      </w:r>
      <w:r>
        <w:rPr>
          <w:spacing w:val="-17"/>
        </w:rPr>
      </w:r>
      <w:r>
        <w:rPr/>
        <w:t>下降的风险，公司将按照规定及时进行信息披露。</w:t>
      </w:r>
    </w:p>
    <w:p>
      <w:pPr>
        <w:pStyle w:val="Heading4"/>
        <w:spacing w:line="273" w:lineRule="auto" w:before="142"/>
        <w:ind w:right="1126" w:firstLine="420"/>
        <w:jc w:val="both"/>
      </w:pPr>
      <w:r>
        <w:rPr>
          <w:spacing w:val="-2"/>
        </w:rPr>
        <w:t>应对措施：公司将进一步深化法人一证通的应用范围，增加企业和政府业务部门的使用粘性，争取再</w:t>
      </w:r>
      <w:r>
        <w:rPr>
          <w:w w:val="100"/>
        </w:rPr>
        <w:t> </w:t>
      </w:r>
      <w:r>
        <w:rPr/>
        <w:t>次成功中标，同时将探索法人一证通的增值服务，从整体角度提升项目收益。</w:t>
      </w:r>
    </w:p>
    <w:p>
      <w:pPr>
        <w:spacing w:line="357" w:lineRule="auto" w:before="128"/>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、信息技术快速进步风险</w:t>
      </w:r>
      <w:r>
        <w:rPr>
          <w:rFonts w:ascii="宋体" w:hAnsi="宋体" w:cs="宋体" w:eastAsia="宋体" w:hint="default"/>
          <w:b/>
          <w:bCs/>
          <w:w w:val="100"/>
          <w:sz w:val="21"/>
          <w:szCs w:val="21"/>
        </w:rPr>
        <w:t> </w:t>
      </w:r>
      <w:r>
        <w:rPr>
          <w:rFonts w:ascii="宋体" w:hAnsi="宋体" w:cs="宋体" w:eastAsia="宋体" w:hint="default"/>
          <w:spacing w:val="-2"/>
          <w:sz w:val="21"/>
          <w:szCs w:val="21"/>
        </w:rPr>
        <w:t>目前，随着云计算、物联网、移动化、大数据、智慧化城市等新技术的大规模应用，固定防御边界的</w:t>
      </w:r>
    </w:p>
    <w:p>
      <w:pPr>
        <w:pStyle w:val="Heading4"/>
        <w:spacing w:line="209" w:lineRule="exact"/>
        <w:ind w:right="0"/>
        <w:jc w:val="both"/>
      </w:pPr>
      <w:r>
        <w:rPr/>
        <w:t>网络安全解决方案已难以应对新的网络安全威胁，网络安全市场对产品形式的需求将逐渐减少，对服务形</w:t>
      </w:r>
    </w:p>
    <w:p>
      <w:pPr>
        <w:pStyle w:val="Heading4"/>
        <w:spacing w:line="240" w:lineRule="auto" w:before="37"/>
        <w:ind w:right="0"/>
        <w:jc w:val="both"/>
      </w:pPr>
      <w:r>
        <w:rPr/>
        <w:t>式的需求将逐渐增多，网络安全产业现有业务模式需要优化改进，以逐步适应新形态信息系统的要求。</w:t>
      </w:r>
    </w:p>
    <w:p>
      <w:pPr>
        <w:pStyle w:val="Heading4"/>
        <w:spacing w:line="273" w:lineRule="auto" w:before="157"/>
        <w:ind w:right="1105" w:firstLine="420"/>
        <w:jc w:val="both"/>
      </w:pPr>
      <w:r>
        <w:rPr>
          <w:spacing w:val="-2"/>
        </w:rPr>
        <w:t>应对措施：公司将持续加大新的产品服务的设计研发及推广力度，以适应新技术环境下的业务变化。</w:t>
      </w:r>
      <w:r>
        <w:rPr>
          <w:w w:val="100"/>
        </w:rPr>
        <w:t> </w:t>
      </w:r>
      <w:r>
        <w:rPr>
          <w:spacing w:val="-2"/>
        </w:rPr>
        <w:t>公司将在物联网方面展开积极探索，寻找公司业务新的应用场景；同时加大电子签名服务的资源投入，丰</w:t>
      </w:r>
      <w:r>
        <w:rPr>
          <w:spacing w:val="-44"/>
        </w:rPr>
        <w:t> </w:t>
      </w:r>
      <w:r>
        <w:rPr>
          <w:spacing w:val="-44"/>
        </w:rPr>
      </w:r>
      <w:r>
        <w:rPr/>
        <w:t>富功能、提升性能，不断完善云签名及认证服务体系建设。</w:t>
      </w:r>
    </w:p>
    <w:p>
      <w:pPr>
        <w:spacing w:line="357" w:lineRule="auto" w:before="127"/>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、业务收入季节性波动风险</w:t>
      </w:r>
      <w:r>
        <w:rPr>
          <w:rFonts w:ascii="宋体" w:hAnsi="宋体" w:cs="宋体" w:eastAsia="宋体" w:hint="default"/>
          <w:b/>
          <w:bCs/>
          <w:w w:val="100"/>
          <w:sz w:val="21"/>
          <w:szCs w:val="21"/>
        </w:rPr>
        <w:t> </w:t>
      </w:r>
      <w:r>
        <w:rPr>
          <w:rFonts w:ascii="宋体" w:hAnsi="宋体" w:cs="宋体" w:eastAsia="宋体" w:hint="default"/>
          <w:spacing w:val="-2"/>
          <w:sz w:val="21"/>
          <w:szCs w:val="21"/>
        </w:rPr>
        <w:t>政府部门是公司目前集成业务的主要客户群体，此类客户大多在上半年对全年投资和采购进行规划，</w:t>
      </w:r>
    </w:p>
    <w:p>
      <w:pPr>
        <w:pStyle w:val="Heading4"/>
        <w:spacing w:line="226" w:lineRule="exact"/>
        <w:ind w:right="0"/>
        <w:jc w:val="both"/>
      </w:pPr>
      <w:r>
        <w:rPr>
          <w:spacing w:val="-3"/>
        </w:rPr>
        <w:t>下半年甚至第四季度进行招标、项目验收和项目结算，公司业务收入也随之呈现季节性波动。</w:t>
      </w:r>
      <w:r>
        <w:rPr>
          <w:rFonts w:ascii="Times New Roman" w:hAnsi="Times New Roman" w:cs="Times New Roman" w:eastAsia="Times New Roman" w:hint="default"/>
          <w:spacing w:val="-3"/>
        </w:rPr>
        <w:t>2018 </w:t>
      </w:r>
      <w:r>
        <w:rPr>
          <w:rFonts w:ascii="Times New Roman" w:hAnsi="Times New Roman" w:cs="Times New Roman" w:eastAsia="Times New Roman" w:hint="default"/>
          <w:spacing w:val="-1"/>
        </w:rPr>
        <w:t> </w:t>
      </w:r>
      <w:r>
        <w:rPr/>
        <w:t>年公司</w:t>
      </w:r>
    </w:p>
    <w:p>
      <w:pPr>
        <w:pStyle w:val="Heading4"/>
        <w:spacing w:line="357" w:lineRule="auto" w:before="21"/>
        <w:ind w:left="573" w:right="982" w:hanging="421"/>
        <w:jc w:val="left"/>
      </w:pPr>
      <w:r>
        <w:rPr/>
        <w:t>第四季度营业收入占全年营业收入</w:t>
      </w:r>
      <w:r>
        <w:rPr>
          <w:spacing w:val="-52"/>
        </w:rPr>
        <w:t> </w:t>
      </w:r>
      <w:r>
        <w:rPr>
          <w:rFonts w:ascii="Times New Roman" w:hAnsi="Times New Roman" w:cs="Times New Roman" w:eastAsia="Times New Roman" w:hint="default"/>
        </w:rPr>
        <w:t>51.15%</w:t>
      </w:r>
      <w:r>
        <w:rPr/>
        <w:t>。</w:t>
      </w:r>
      <w:r>
        <w:rPr>
          <w:w w:val="100"/>
        </w:rPr>
        <w:t> </w:t>
      </w:r>
      <w:r>
        <w:rPr>
          <w:spacing w:val="-2"/>
        </w:rPr>
        <w:t>应对措施：公司将进一步加强业务拓展领域，积极开发不同领域的优质客户，从而减少季节性波动对</w:t>
      </w:r>
    </w:p>
    <w:p>
      <w:pPr>
        <w:pStyle w:val="Heading4"/>
        <w:spacing w:line="209" w:lineRule="exact"/>
        <w:ind w:right="0"/>
        <w:jc w:val="both"/>
      </w:pPr>
      <w:r>
        <w:rPr/>
        <w:t>生产经营的不利影响。</w:t>
      </w:r>
    </w:p>
    <w:p>
      <w:pPr>
        <w:pStyle w:val="Heading4"/>
        <w:spacing w:line="357" w:lineRule="auto" w:before="157"/>
        <w:ind w:left="573" w:right="982" w:firstLine="2"/>
        <w:jc w:val="left"/>
      </w:pPr>
      <w:r>
        <w:rPr>
          <w:rFonts w:ascii="Times New Roman" w:hAnsi="Times New Roman" w:cs="Times New Roman" w:eastAsia="Times New Roman" w:hint="default"/>
          <w:b/>
          <w:bCs/>
        </w:rPr>
        <w:t>4</w:t>
      </w:r>
      <w:r>
        <w:rPr>
          <w:rFonts w:ascii="宋体" w:hAnsi="宋体" w:cs="宋体" w:eastAsia="宋体" w:hint="default"/>
          <w:b/>
          <w:bCs/>
        </w:rPr>
        <w:t>、应收账款较高风险</w:t>
      </w:r>
      <w:r>
        <w:rPr>
          <w:rFonts w:ascii="宋体" w:hAnsi="宋体" w:cs="宋体" w:eastAsia="宋体" w:hint="default"/>
          <w:b/>
          <w:bCs/>
          <w:w w:val="100"/>
        </w:rPr>
        <w:t> </w:t>
      </w:r>
      <w:r>
        <w:rPr>
          <w:spacing w:val="-2"/>
        </w:rPr>
        <w:t>随着公司经营规模的持续扩大，应收账款余额呈增加趋势，公司按照相应的会计政策对应收账款计提</w:t>
      </w:r>
    </w:p>
    <w:p>
      <w:pPr>
        <w:pStyle w:val="Heading4"/>
        <w:spacing w:line="209" w:lineRule="exact"/>
        <w:ind w:right="0"/>
        <w:jc w:val="both"/>
      </w:pPr>
      <w:r>
        <w:rPr/>
        <w:t>坏账准备。公司客户主要是行政事业单位、资金实力和信用较好的大中型企业等，资金回收具有一定的保</w:t>
      </w:r>
    </w:p>
    <w:p>
      <w:pPr>
        <w:pStyle w:val="Heading4"/>
        <w:spacing w:line="273" w:lineRule="auto" w:before="37"/>
        <w:ind w:right="1126"/>
        <w:jc w:val="both"/>
      </w:pPr>
      <w:r>
        <w:rPr>
          <w:spacing w:val="-2"/>
        </w:rPr>
        <w:t>障，应收账款发生坏账的风险整体可控。随着应收账款余额的增加，如客户经营和资信状况发生变化，公</w:t>
      </w:r>
      <w:r>
        <w:rPr>
          <w:spacing w:val="-47"/>
        </w:rPr>
        <w:t> </w:t>
      </w:r>
      <w:r>
        <w:rPr>
          <w:spacing w:val="-47"/>
        </w:rPr>
      </w:r>
      <w:r>
        <w:rPr>
          <w:spacing w:val="-2"/>
        </w:rPr>
        <w:t>司可能会面临部分应收账款不能及时回收或无法回收的风险，进而影响经营性现金流入，对经营产生不利</w:t>
      </w:r>
      <w:r>
        <w:rPr>
          <w:spacing w:val="-43"/>
        </w:rPr>
        <w:t> </w:t>
      </w:r>
      <w:r>
        <w:rPr>
          <w:spacing w:val="-43"/>
        </w:rPr>
      </w:r>
      <w:r>
        <w:rPr/>
        <w:t>影响。</w:t>
      </w:r>
    </w:p>
    <w:p>
      <w:pPr>
        <w:pStyle w:val="Heading4"/>
        <w:spacing w:line="240" w:lineRule="auto" w:before="127"/>
        <w:ind w:left="573" w:right="982"/>
        <w:jc w:val="left"/>
      </w:pPr>
      <w:r>
        <w:rPr/>
        <w:t>应对措施：公司将进一步完善应收账款管理制度，采取相应措施对应收账款持续跟进、及时催收，对</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spacing w:line="501" w:lineRule="auto" w:before="36"/>
        <w:ind w:left="152" w:right="2114" w:firstLine="0"/>
        <w:jc w:val="left"/>
        <w:rPr>
          <w:rFonts w:ascii="宋体" w:hAnsi="宋体" w:cs="宋体" w:eastAsia="宋体" w:hint="default"/>
          <w:sz w:val="21"/>
          <w:szCs w:val="21"/>
        </w:rPr>
      </w:pPr>
      <w:r>
        <w:rPr>
          <w:rFonts w:ascii="宋体" w:hAnsi="宋体" w:cs="宋体" w:eastAsia="宋体" w:hint="default"/>
          <w:spacing w:val="-2"/>
          <w:sz w:val="21"/>
          <w:szCs w:val="21"/>
        </w:rPr>
        <w:t>资金风险及时预警，缩短回款周期，控制应收账款风险。</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pStyle w:val="BodyText"/>
        <w:spacing w:line="240" w:lineRule="auto" w:before="88"/>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6"/>
        <w:gridCol w:w="1609"/>
        <w:gridCol w:w="1606"/>
        <w:gridCol w:w="4751"/>
      </w:tblGrid>
      <w:tr>
        <w:trPr>
          <w:trHeight w:val="4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0"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1">
              <w:r>
                <w:rPr>
                  <w:rFonts w:ascii="Times New Roman" w:hAnsi="Times New Roman" w:cs="Times New Roman" w:eastAsia="Times New Roman" w:hint="default"/>
                  <w:sz w:val="18"/>
                  <w:szCs w:val="18"/>
                </w:rPr>
                <w:t>://www.cninfo.com.cn/new/disclosure/stock</w:t>
              </w:r>
            </w:hyperlink>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orgId=9900024451&amp;stockCode=300579#)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报告期内普通股利润分配政策，特别是现金分红政策的制定、执行或调整情况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64" w:lineRule="auto" w:before="159"/>
        <w:ind w:right="1126" w:firstLine="420"/>
        <w:jc w:val="both"/>
      </w:pPr>
      <w:r>
        <w:rPr>
          <w:spacing w:val="-3"/>
        </w:rPr>
        <w:t>根据《中华人民共和国公司法》、《公司章程》等有关规定，结合公司实际经营情况，并兼顾全体股</w:t>
      </w:r>
      <w:r>
        <w:rPr>
          <w:w w:val="100"/>
        </w:rPr>
        <w:t> </w:t>
      </w:r>
      <w:r>
        <w:rPr>
          <w:spacing w:val="-3"/>
        </w:rPr>
        <w:t>东的整体利益，公司制定了</w:t>
      </w:r>
      <w:r>
        <w:rPr>
          <w:rFonts w:ascii="Times New Roman" w:hAnsi="Times New Roman" w:cs="Times New Roman" w:eastAsia="Times New Roman" w:hint="default"/>
          <w:spacing w:val="-3"/>
        </w:rPr>
        <w:t>2017</w:t>
      </w:r>
      <w:r>
        <w:rPr>
          <w:spacing w:val="-3"/>
        </w:rPr>
        <w:t>年度权益分派方案，具体为：以公司股本总数</w:t>
      </w:r>
      <w:r>
        <w:rPr>
          <w:rFonts w:ascii="Times New Roman" w:hAnsi="Times New Roman" w:cs="Times New Roman" w:eastAsia="Times New Roman" w:hint="default"/>
          <w:spacing w:val="-3"/>
        </w:rPr>
        <w:t>8,000</w:t>
      </w:r>
      <w:r>
        <w:rPr>
          <w:spacing w:val="-3"/>
        </w:rPr>
        <w:t>万股为基数，向全体股</w:t>
      </w:r>
      <w:r>
        <w:rPr>
          <w:spacing w:val="-36"/>
        </w:rPr>
        <w:t> </w:t>
      </w:r>
      <w:r>
        <w:rPr>
          <w:spacing w:val="-36"/>
        </w:rPr>
      </w:r>
      <w:r>
        <w:rPr>
          <w:spacing w:val="-3"/>
        </w:rPr>
        <w:t>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3.00</w:t>
      </w:r>
      <w:r>
        <w:rPr>
          <w:spacing w:val="-3"/>
        </w:rPr>
        <w:t>元（含税），同时以资本公积向全体股东每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股。报告期内，公司召开</w:t>
      </w:r>
      <w:r>
        <w:rPr>
          <w:spacing w:val="-44"/>
        </w:rPr>
        <w:t> </w:t>
      </w:r>
      <w:r>
        <w:rPr>
          <w:spacing w:val="-44"/>
        </w:rPr>
      </w:r>
      <w:r>
        <w:rPr>
          <w:rFonts w:ascii="Times New Roman" w:hAnsi="Times New Roman" w:cs="Times New Roman" w:eastAsia="Times New Roman" w:hint="default"/>
        </w:rPr>
        <w:t>2017</w:t>
      </w:r>
      <w:r>
        <w:rPr/>
        <w:t>年年度股东大会审议通过该权益分派方案，并已按照股东大会决议执行完毕。</w:t>
      </w: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805"/>
        <w:gridCol w:w="2765"/>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未进行调整和变更</w:t>
            </w:r>
          </w:p>
        </w:tc>
      </w:tr>
    </w:tbl>
    <w:p>
      <w:pPr>
        <w:pStyle w:val="BodyText"/>
        <w:spacing w:line="240" w:lineRule="auto" w:before="49"/>
        <w:ind w:right="982"/>
        <w:jc w:val="left"/>
      </w:pPr>
      <w:r>
        <w:rPr/>
        <w:t>公司报告期利润分配预案及资本公积金转增股本预案与公司章程和分红管理办法等的相关规定一致</w:t>
      </w:r>
    </w:p>
    <w:p>
      <w:pPr>
        <w:pStyle w:val="BodyText"/>
        <w:spacing w:line="348" w:lineRule="auto" w:before="119"/>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5245"/>
        <w:gridCol w:w="4325"/>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190,087,620.81</w:t>
            </w:r>
          </w:p>
        </w:tc>
      </w:tr>
      <w:tr>
        <w:trPr>
          <w:trHeight w:val="406"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5"/>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2"/>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《公司章程</w:t>
            </w:r>
            <w:r>
              <w:rPr>
                <w:rFonts w:ascii="宋体" w:hAnsi="宋体" w:cs="宋体" w:eastAsia="宋体" w:hint="default"/>
                <w:spacing w:val="-5"/>
                <w:sz w:val="18"/>
                <w:szCs w:val="18"/>
              </w:rPr>
              <w:t>》</w:t>
            </w:r>
            <w:r>
              <w:rPr>
                <w:rFonts w:ascii="宋体" w:hAnsi="宋体" w:cs="宋体" w:eastAsia="宋体" w:hint="default"/>
                <w:sz w:val="18"/>
                <w:szCs w:val="18"/>
              </w:rPr>
              <w:t>等有关规定及公司实际经营情况</w:t>
            </w:r>
            <w:r>
              <w:rPr>
                <w:rFonts w:ascii="宋体" w:hAnsi="宋体" w:cs="宋体" w:eastAsia="宋体" w:hint="default"/>
                <w:spacing w:val="-5"/>
                <w:sz w:val="18"/>
                <w:szCs w:val="18"/>
              </w:rPr>
              <w:t>，</w:t>
            </w:r>
            <w:r>
              <w:rPr>
                <w:rFonts w:ascii="宋体" w:hAnsi="宋体" w:cs="宋体" w:eastAsia="宋体" w:hint="default"/>
                <w:sz w:val="18"/>
                <w:szCs w:val="18"/>
              </w:rPr>
              <w:t>着眼于公司长远发</w:t>
            </w:r>
            <w:r>
              <w:rPr>
                <w:rFonts w:ascii="宋体" w:hAnsi="宋体" w:cs="宋体" w:eastAsia="宋体" w:hint="default"/>
                <w:spacing w:val="2"/>
                <w:sz w:val="18"/>
                <w:szCs w:val="18"/>
              </w:rPr>
              <w:t>展</w:t>
            </w:r>
            <w:r>
              <w:rPr>
                <w:rFonts w:ascii="宋体" w:hAnsi="宋体" w:cs="宋体" w:eastAsia="宋体" w:hint="default"/>
                <w:spacing w:val="-5"/>
                <w:sz w:val="18"/>
                <w:szCs w:val="18"/>
              </w:rPr>
              <w:t>，</w:t>
            </w:r>
            <w:r>
              <w:rPr>
                <w:rFonts w:ascii="宋体" w:hAnsi="宋体" w:cs="宋体" w:eastAsia="宋体" w:hint="default"/>
                <w:sz w:val="18"/>
                <w:szCs w:val="18"/>
              </w:rPr>
              <w:t>并兼顾全体股东整</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9"/>
        <w:rPr>
          <w:rFonts w:ascii="宋体" w:hAnsi="宋体" w:cs="宋体" w:eastAsia="宋体" w:hint="default"/>
          <w:sz w:val="28"/>
          <w:szCs w:val="28"/>
        </w:rPr>
      </w:pPr>
    </w:p>
    <w:p>
      <w:pPr>
        <w:spacing w:line="674" w:lineRule="exact"/>
        <w:ind w:left="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55pt;height:33.75pt;mso-position-horizontal-relative:char;mso-position-vertical-relative:line" type="#_x0000_t202" filled="false" stroked="true" strokeweight=".47998pt" strokecolor="#000000">
            <w10:anchorlock/>
            <v:textbox inset="0,0,0,0">
              <w:txbxContent>
                <w:p>
                  <w:pPr>
                    <w:pStyle w:val="BodyText"/>
                    <w:spacing w:line="240" w:lineRule="auto" w:before="11"/>
                    <w:ind w:left="24" w:right="0"/>
                    <w:jc w:val="left"/>
                    <w:rPr>
                      <w:rFonts w:ascii="Times New Roman" w:hAnsi="Times New Roman" w:cs="Times New Roman" w:eastAsia="Times New Roman" w:hint="default"/>
                    </w:rPr>
                  </w:pPr>
                  <w:r>
                    <w:rPr>
                      <w:spacing w:val="-3"/>
                    </w:rPr>
                    <w:t>体利益，公司制定</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年度利润分配预案为：以公司股本总数</w:t>
                  </w:r>
                  <w:r>
                    <w:rPr>
                      <w:spacing w:val="-48"/>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2"/>
                    </w:rPr>
                    <w:t> </w:t>
                  </w:r>
                  <w:r>
                    <w:rPr>
                      <w:spacing w:val="-3"/>
                    </w:rPr>
                    <w:t>万股为基数，向全体股东每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股派发现金股利</w:t>
                  </w:r>
                  <w:r>
                    <w:rPr>
                      <w:spacing w:val="-49"/>
                    </w:rPr>
                    <w:t> </w:t>
                  </w:r>
                  <w:r>
                    <w:rPr>
                      <w:rFonts w:ascii="Times New Roman" w:hAnsi="Times New Roman" w:cs="Times New Roman" w:eastAsia="Times New Roman" w:hint="default"/>
                    </w:rPr>
                    <w:t>2.00</w:t>
                  </w:r>
                </w:p>
                <w:p>
                  <w:pPr>
                    <w:pStyle w:val="BodyText"/>
                    <w:spacing w:line="240" w:lineRule="auto" w:before="63"/>
                    <w:ind w:left="24" w:right="0"/>
                    <w:jc w:val="left"/>
                  </w:pPr>
                  <w:r>
                    <w:rPr/>
                    <w:t>元（含税</w:t>
                  </w:r>
                  <w:r>
                    <w:rPr>
                      <w:spacing w:val="-92"/>
                    </w:rPr>
                    <w:t>）</w:t>
                  </w:r>
                  <w:r>
                    <w:rPr/>
                    <w:t>，共计派发现金</w:t>
                  </w:r>
                  <w:r>
                    <w:rPr>
                      <w:spacing w:val="2"/>
                    </w:rPr>
                    <w:t>股</w:t>
                  </w:r>
                  <w:r>
                    <w:rPr/>
                    <w:t>利</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40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万元（含税</w:t>
                  </w:r>
                  <w:r>
                    <w:rPr>
                      <w:spacing w:val="-92"/>
                    </w:rPr>
                    <w:t>）</w:t>
                  </w:r>
                  <w:r>
                    <w:rPr/>
                    <w:t>，同时以资本公积向全体股东每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p>
              </w:txbxContent>
            </v:textbox>
          </v:shape>
        </w:pict>
      </w:r>
      <w:r>
        <w:rPr>
          <w:rFonts w:ascii="宋体" w:hAnsi="宋体" w:cs="宋体" w:eastAsia="宋体" w:hint="default"/>
          <w:position w:val="-12"/>
          <w:sz w:val="20"/>
          <w:szCs w:val="20"/>
        </w:rPr>
      </w:r>
    </w:p>
    <w:p>
      <w:pPr>
        <w:pStyle w:val="BodyText"/>
        <w:spacing w:line="240" w:lineRule="auto" w:before="54"/>
        <w:ind w:right="982"/>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2"/>
        <w:rPr>
          <w:rFonts w:ascii="宋体" w:hAnsi="宋体" w:cs="宋体" w:eastAsia="宋体" w:hint="default"/>
          <w:sz w:val="15"/>
          <w:szCs w:val="15"/>
        </w:rPr>
      </w:pPr>
    </w:p>
    <w:p>
      <w:pPr>
        <w:pStyle w:val="Heading4"/>
        <w:spacing w:line="240" w:lineRule="auto"/>
        <w:ind w:left="573" w:right="982"/>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年度利润分配方案情况</w:t>
      </w:r>
    </w:p>
    <w:p>
      <w:pPr>
        <w:pStyle w:val="Heading4"/>
        <w:spacing w:line="256" w:lineRule="auto" w:before="179"/>
        <w:ind w:right="1126"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月，公司召开</w:t>
      </w:r>
      <w:r>
        <w:rPr>
          <w:rFonts w:ascii="Times New Roman" w:hAnsi="Times New Roman" w:cs="Times New Roman" w:eastAsia="Times New Roman" w:hint="default"/>
          <w:spacing w:val="-1"/>
        </w:rPr>
        <w:t>2016</w:t>
      </w:r>
      <w:r>
        <w:rPr>
          <w:spacing w:val="-1"/>
        </w:rPr>
        <w:t>年年度股东大会审议通过</w:t>
      </w:r>
      <w:r>
        <w:rPr>
          <w:rFonts w:ascii="Times New Roman" w:hAnsi="Times New Roman" w:cs="Times New Roman" w:eastAsia="Times New Roman" w:hint="default"/>
          <w:spacing w:val="-1"/>
        </w:rPr>
        <w:t>2016</w:t>
      </w:r>
      <w:r>
        <w:rPr>
          <w:spacing w:val="-1"/>
        </w:rPr>
        <w:t>年度利润分配方案，以公司股本总数</w:t>
      </w:r>
      <w:r>
        <w:rPr>
          <w:rFonts w:ascii="Times New Roman" w:hAnsi="Times New Roman" w:cs="Times New Roman" w:eastAsia="Times New Roman" w:hint="default"/>
          <w:spacing w:val="-1"/>
        </w:rPr>
        <w:t>8,000</w:t>
      </w:r>
      <w:r>
        <w:rPr>
          <w:spacing w:val="-1"/>
        </w:rPr>
        <w:t>万</w:t>
      </w:r>
      <w:r>
        <w:rPr>
          <w:w w:val="100"/>
        </w:rPr>
        <w:t> </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w:t>
      </w:r>
      <w:r>
        <w:rPr/>
        <w:t>元（含税），共计派发现金股利</w:t>
      </w:r>
      <w:r>
        <w:rPr>
          <w:rFonts w:ascii="Times New Roman" w:hAnsi="Times New Roman" w:cs="Times New Roman" w:eastAsia="Times New Roman" w:hint="default"/>
        </w:rPr>
        <w:t>2,400</w:t>
      </w:r>
      <w:r>
        <w:rPr/>
        <w:t>万元（含税）。该利</w:t>
      </w:r>
      <w:r>
        <w:rPr>
          <w:spacing w:val="-26"/>
        </w:rPr>
        <w:t> </w:t>
      </w:r>
      <w:r>
        <w:rPr>
          <w:spacing w:val="-26"/>
        </w:rPr>
      </w:r>
      <w:r>
        <w:rPr/>
        <w:t>润分配方案已在当年规定时间内实施完毕。</w:t>
      </w:r>
    </w:p>
    <w:p>
      <w:pPr>
        <w:pStyle w:val="Heading4"/>
        <w:spacing w:line="240" w:lineRule="auto" w:before="178"/>
        <w:ind w:left="573" w:right="982"/>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年度利润分配方案情况</w:t>
      </w:r>
    </w:p>
    <w:p>
      <w:pPr>
        <w:pStyle w:val="Heading4"/>
        <w:spacing w:line="256" w:lineRule="auto" w:before="178"/>
        <w:ind w:right="1126"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月，公司召开</w:t>
      </w:r>
      <w:r>
        <w:rPr>
          <w:rFonts w:ascii="Times New Roman" w:hAnsi="Times New Roman" w:cs="Times New Roman" w:eastAsia="Times New Roman" w:hint="default"/>
          <w:spacing w:val="-1"/>
        </w:rPr>
        <w:t>2017</w:t>
      </w:r>
      <w:r>
        <w:rPr>
          <w:spacing w:val="-1"/>
        </w:rPr>
        <w:t>年年度股东大会审议通过</w:t>
      </w:r>
      <w:r>
        <w:rPr>
          <w:rFonts w:ascii="Times New Roman" w:hAnsi="Times New Roman" w:cs="Times New Roman" w:eastAsia="Times New Roman" w:hint="default"/>
          <w:spacing w:val="-1"/>
        </w:rPr>
        <w:t>2017</w:t>
      </w:r>
      <w:r>
        <w:rPr>
          <w:spacing w:val="-1"/>
        </w:rPr>
        <w:t>年度利润分配方案，以公司股本总数</w:t>
      </w:r>
      <w:r>
        <w:rPr>
          <w:rFonts w:ascii="Times New Roman" w:hAnsi="Times New Roman" w:cs="Times New Roman" w:eastAsia="Times New Roman" w:hint="default"/>
          <w:spacing w:val="-1"/>
        </w:rPr>
        <w:t>8,000</w:t>
      </w:r>
      <w:r>
        <w:rPr>
          <w:spacing w:val="-1"/>
        </w:rPr>
        <w:t>万</w:t>
      </w:r>
      <w:r>
        <w:rPr>
          <w:w w:val="100"/>
        </w:rPr>
        <w:t> </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w:t>
      </w:r>
      <w:r>
        <w:rPr/>
        <w:t>元（含税），共计派发现金股利</w:t>
      </w:r>
      <w:r>
        <w:rPr>
          <w:rFonts w:ascii="Times New Roman" w:hAnsi="Times New Roman" w:cs="Times New Roman" w:eastAsia="Times New Roman" w:hint="default"/>
        </w:rPr>
        <w:t>2,400</w:t>
      </w:r>
      <w:r>
        <w:rPr/>
        <w:t>万元（含税），同时</w:t>
      </w:r>
      <w:r>
        <w:rPr>
          <w:spacing w:val="-26"/>
        </w:rPr>
        <w:t> </w:t>
      </w:r>
      <w:r>
        <w:rPr>
          <w:spacing w:val="-26"/>
        </w:rPr>
      </w:r>
      <w:r>
        <w:rPr/>
        <w:t>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股。该利润分配方案已在当年规定时间内实施完毕。</w:t>
      </w:r>
    </w:p>
    <w:p>
      <w:pPr>
        <w:pStyle w:val="Heading4"/>
        <w:spacing w:line="468" w:lineRule="exact" w:before="32"/>
        <w:ind w:left="573" w:right="982" w:firstLine="8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年度利润分配预案情况</w:t>
      </w:r>
      <w:r>
        <w:rPr>
          <w:w w:val="100"/>
        </w:rPr>
        <w:t> </w:t>
      </w:r>
      <w:r>
        <w:rPr>
          <w:spacing w:val="-1"/>
        </w:rPr>
        <w:t>经致同会计师事务所（特殊普通合伙）审计，公司（母公司口径）</w:t>
      </w:r>
      <w:r>
        <w:rPr>
          <w:rFonts w:ascii="Times New Roman" w:hAnsi="Times New Roman" w:cs="Times New Roman" w:eastAsia="Times New Roman" w:hint="default"/>
          <w:spacing w:val="-1"/>
        </w:rPr>
        <w:t>2018</w:t>
      </w:r>
      <w:r>
        <w:rPr>
          <w:spacing w:val="-1"/>
        </w:rPr>
        <w:t>年度实现净利润</w:t>
      </w:r>
      <w:r>
        <w:rPr>
          <w:rFonts w:ascii="Times New Roman" w:hAnsi="Times New Roman" w:cs="Times New Roman" w:eastAsia="Times New Roman" w:hint="default"/>
          <w:spacing w:val="-1"/>
        </w:rPr>
        <w:t>74,233,343.35</w:t>
      </w:r>
    </w:p>
    <w:p>
      <w:pPr>
        <w:pStyle w:val="Heading4"/>
        <w:spacing w:line="264" w:lineRule="exact"/>
        <w:ind w:right="982"/>
        <w:jc w:val="left"/>
      </w:pPr>
      <w:r>
        <w:rPr>
          <w:spacing w:val="7"/>
        </w:rPr>
        <w:t>元，提取</w:t>
      </w:r>
      <w:r>
        <w:rPr>
          <w:rFonts w:ascii="Times New Roman" w:hAnsi="Times New Roman" w:cs="Times New Roman" w:eastAsia="Times New Roman" w:hint="default"/>
          <w:spacing w:val="7"/>
        </w:rPr>
        <w:t>10%</w:t>
      </w:r>
      <w:r>
        <w:rPr>
          <w:spacing w:val="7"/>
        </w:rPr>
        <w:t>法定盈余公积金</w:t>
      </w:r>
      <w:r>
        <w:rPr>
          <w:rFonts w:ascii="Times New Roman" w:hAnsi="Times New Roman" w:cs="Times New Roman" w:eastAsia="Times New Roman" w:hint="default"/>
          <w:spacing w:val="7"/>
        </w:rPr>
        <w:t>7,423,334.34</w:t>
      </w:r>
      <w:r>
        <w:rPr>
          <w:spacing w:val="7"/>
        </w:rPr>
        <w:t>元，加年初未分配利润</w:t>
      </w:r>
      <w:r>
        <w:rPr>
          <w:rFonts w:ascii="Times New Roman" w:hAnsi="Times New Roman" w:cs="Times New Roman" w:eastAsia="Times New Roman" w:hint="default"/>
          <w:spacing w:val="7"/>
        </w:rPr>
        <w:t>147,277,611.80</w:t>
      </w:r>
      <w:r>
        <w:rPr>
          <w:spacing w:val="7"/>
        </w:rPr>
        <w:t>元，减分配现金股利</w:t>
      </w:r>
    </w:p>
    <w:p>
      <w:pPr>
        <w:pStyle w:val="Heading4"/>
        <w:spacing w:line="240" w:lineRule="auto" w:before="21"/>
        <w:ind w:right="982"/>
        <w:jc w:val="left"/>
      </w:pPr>
      <w:r>
        <w:rPr>
          <w:rFonts w:ascii="Times New Roman" w:hAnsi="Times New Roman" w:cs="Times New Roman" w:eastAsia="Times New Roman" w:hint="default"/>
        </w:rPr>
        <w:t>24,000,000</w:t>
      </w:r>
      <w:r>
        <w:rPr/>
        <w:t>元，期末可供股东分配利润为</w:t>
      </w:r>
      <w:r>
        <w:rPr>
          <w:rFonts w:ascii="Times New Roman" w:hAnsi="Times New Roman" w:cs="Times New Roman" w:eastAsia="Times New Roman" w:hint="default"/>
        </w:rPr>
        <w:t>190,087,620.81</w:t>
      </w:r>
      <w:r>
        <w:rPr/>
        <w:t>元。</w:t>
      </w:r>
    </w:p>
    <w:p>
      <w:pPr>
        <w:pStyle w:val="Heading4"/>
        <w:spacing w:line="256" w:lineRule="auto" w:before="177"/>
        <w:ind w:right="1126" w:firstLine="420"/>
        <w:jc w:val="both"/>
      </w:pPr>
      <w:r>
        <w:rPr>
          <w:spacing w:val="-1"/>
        </w:rPr>
        <w:t>公司</w:t>
      </w:r>
      <w:r>
        <w:rPr>
          <w:rFonts w:ascii="Times New Roman" w:hAnsi="Times New Roman" w:cs="Times New Roman" w:eastAsia="Times New Roman" w:hint="default"/>
          <w:spacing w:val="-1"/>
        </w:rPr>
        <w:t>2018</w:t>
      </w:r>
      <w:r>
        <w:rPr>
          <w:spacing w:val="-1"/>
        </w:rPr>
        <w:t>年度利润分配预案为：以公司股本总数</w:t>
      </w:r>
      <w:r>
        <w:rPr>
          <w:rFonts w:ascii="Times New Roman" w:hAnsi="Times New Roman" w:cs="Times New Roman" w:eastAsia="Times New Roman" w:hint="default"/>
          <w:spacing w:val="-1"/>
        </w:rPr>
        <w:t>12,000</w:t>
      </w:r>
      <w:r>
        <w:rPr>
          <w:spacing w:val="-1"/>
        </w:rPr>
        <w:t>万股为基数，向全体股东每</w:t>
      </w:r>
      <w:r>
        <w:rPr>
          <w:rFonts w:ascii="Times New Roman" w:hAnsi="Times New Roman" w:cs="Times New Roman" w:eastAsia="Times New Roman" w:hint="default"/>
          <w:spacing w:val="-1"/>
        </w:rPr>
        <w:t>10</w:t>
      </w:r>
      <w:r>
        <w:rPr>
          <w:spacing w:val="-1"/>
        </w:rPr>
        <w:t>股派发现金股利</w:t>
      </w:r>
      <w:r>
        <w:rPr>
          <w:w w:val="100"/>
        </w:rPr>
        <w:t> </w:t>
      </w:r>
      <w:r>
        <w:rPr>
          <w:rFonts w:ascii="Times New Roman" w:hAnsi="Times New Roman" w:cs="Times New Roman" w:eastAsia="Times New Roman" w:hint="default"/>
        </w:rPr>
        <w:t>2.00</w:t>
      </w:r>
      <w:r>
        <w:rPr/>
        <w:t>元（含税），共计派发现金股利</w:t>
      </w:r>
      <w:r>
        <w:rPr>
          <w:rFonts w:ascii="Times New Roman" w:hAnsi="Times New Roman" w:cs="Times New Roman" w:eastAsia="Times New Roman" w:hint="default"/>
        </w:rPr>
        <w:t>24,000,000</w:t>
      </w:r>
      <w:r>
        <w:rPr/>
        <w:t>元（含税），剩余未分配利润结转至下一年度；截至</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日，公司资本公积金为</w:t>
      </w:r>
      <w:r>
        <w:rPr>
          <w:rFonts w:ascii="Times New Roman" w:hAnsi="Times New Roman" w:cs="Times New Roman" w:eastAsia="Times New Roman" w:hint="default"/>
          <w:spacing w:val="-2"/>
        </w:rPr>
        <w:t>206,700,460.52</w:t>
      </w:r>
      <w:r>
        <w:rPr>
          <w:spacing w:val="-2"/>
        </w:rPr>
        <w:t>元，以公司股本总数</w:t>
      </w:r>
      <w:r>
        <w:rPr>
          <w:rFonts w:ascii="Times New Roman" w:hAnsi="Times New Roman" w:cs="Times New Roman" w:eastAsia="Times New Roman" w:hint="default"/>
          <w:spacing w:val="-2"/>
        </w:rPr>
        <w:t>12,000</w:t>
      </w:r>
      <w:r>
        <w:rPr>
          <w:spacing w:val="-2"/>
        </w:rPr>
        <w:t>万股为基数，向全体股东每</w:t>
      </w:r>
      <w:r>
        <w:rPr>
          <w:rFonts w:ascii="Times New Roman" w:hAnsi="Times New Roman" w:cs="Times New Roman" w:eastAsia="Times New Roman" w:hint="default"/>
          <w:spacing w:val="-2"/>
        </w:rPr>
        <w:t>10</w:t>
      </w:r>
      <w:r>
        <w:rPr>
          <w:spacing w:val="-2"/>
        </w:rPr>
        <w:t>股</w:t>
      </w:r>
      <w:r>
        <w:rPr>
          <w:spacing w:val="-20"/>
        </w:rPr>
        <w:t> </w:t>
      </w:r>
      <w:r>
        <w:rPr/>
        <w:t>转增</w:t>
      </w:r>
      <w:r>
        <w:rPr>
          <w:rFonts w:ascii="Times New Roman" w:hAnsi="Times New Roman" w:cs="Times New Roman" w:eastAsia="Times New Roman" w:hint="default"/>
        </w:rPr>
        <w:t>5</w:t>
      </w:r>
      <w:r>
        <w:rPr/>
        <w:t>股。</w:t>
      </w:r>
    </w:p>
    <w:p>
      <w:pPr>
        <w:pStyle w:val="BodyText"/>
        <w:spacing w:line="240" w:lineRule="auto" w:before="64"/>
        <w:ind w:right="982"/>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86,455,400.69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27.76%</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84,245,509.94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28.49%</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59,960,793.41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40.03%</w:t>
            </w:r>
          </w:p>
        </w:tc>
      </w:tr>
    </w:tbl>
    <w:p>
      <w:pPr>
        <w:pStyle w:val="BodyText"/>
        <w:spacing w:line="240" w:lineRule="auto" w:before="49"/>
        <w:ind w:right="982"/>
        <w:jc w:val="left"/>
      </w:pPr>
      <w:r>
        <w:rPr/>
        <w:t>公司报告期内盈利且母公司可供普通股股东分配利润为正但未提出普通股现金红利分配预案</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98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161" w:hRule="exact"/>
        </w:trPr>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1"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4"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3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3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73" w:right="7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自公司股票上市之日起三十六个月内，公司控股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股东及实际控制人北京国资公司不转让或者委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托他人管理其直接或者间接持有的公司公开发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行股票前已发行的股份，也不由公司回购其直接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或者间接持有的公开发行股票前已发行的股份。 </w:t>
            </w:r>
            <w:r>
              <w:rPr>
                <w:rFonts w:ascii="宋体" w:hAnsi="宋体" w:cs="宋体" w:eastAsia="宋体" w:hint="default"/>
                <w:spacing w:val="-2"/>
                <w:sz w:val="18"/>
                <w:szCs w:val="18"/>
              </w:rPr>
              <w:t>公司首次公开发行并上市后，北京国资公司所持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的股票在锁定期满后两年内减持的，减持价格不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低于发行价；公司上市后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个月内如股票连续</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r>
          </w:p>
          <w:p>
            <w:pPr>
              <w:pStyle w:val="TableParagraph"/>
              <w:spacing w:line="309" w:lineRule="auto"/>
              <w:ind w:left="24" w:right="21"/>
              <w:jc w:val="both"/>
              <w:rPr>
                <w:rFonts w:ascii="宋体" w:hAnsi="宋体" w:cs="宋体" w:eastAsia="宋体" w:hint="default"/>
                <w:sz w:val="18"/>
                <w:szCs w:val="18"/>
              </w:rPr>
            </w:pPr>
            <w:r>
              <w:rPr>
                <w:rFonts w:ascii="宋体" w:hAnsi="宋体" w:cs="宋体" w:eastAsia="宋体" w:hint="default"/>
                <w:sz w:val="18"/>
                <w:szCs w:val="18"/>
              </w:rPr>
              <w:t>个交易日的收盘价均低于发行价，或者上市后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个月期末收盘价低于发行价，北京国资公司持有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股票的锁定期限将自动延长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212"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4" w:right="9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自公司股票上市之日起三十六个月内，公司股东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首信股份不转让或者委托他人管理其直接或者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间接持有的公开发行股票前已发行的股份，也不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由公司回购其直接或者间接持有的公开发行股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票前已发行的股份。首次公开发行并上市后，首</w:t>
            </w:r>
            <w:r>
              <w:rPr>
                <w:rFonts w:ascii="宋体" w:hAnsi="宋体" w:cs="宋体" w:eastAsia="宋体" w:hint="default"/>
                <w:sz w:val="18"/>
                <w:szCs w:val="18"/>
              </w:rPr>
              <w:t> </w:t>
            </w:r>
            <w:r>
              <w:rPr>
                <w:rFonts w:ascii="宋体" w:hAnsi="宋体" w:cs="宋体" w:eastAsia="宋体" w:hint="default"/>
                <w:spacing w:val="-2"/>
                <w:sz w:val="18"/>
                <w:szCs w:val="18"/>
              </w:rPr>
              <w:t>信股份所持股票在锁定期满后两年内减持的，减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持价格不低于发行价；公司上市后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个月内如股</w:t>
            </w:r>
          </w:p>
          <w:p>
            <w:pPr>
              <w:pStyle w:val="TableParagraph"/>
              <w:spacing w:line="246" w:lineRule="exact"/>
              <w:ind w:left="24" w:right="0"/>
              <w:jc w:val="both"/>
              <w:rPr>
                <w:rFonts w:ascii="宋体" w:hAnsi="宋体" w:cs="宋体" w:eastAsia="宋体" w:hint="default"/>
                <w:sz w:val="18"/>
                <w:szCs w:val="18"/>
              </w:rPr>
            </w:pPr>
            <w:r>
              <w:rPr>
                <w:rFonts w:ascii="宋体" w:hAnsi="宋体" w:cs="宋体" w:eastAsia="宋体" w:hint="default"/>
                <w:sz w:val="18"/>
                <w:szCs w:val="18"/>
              </w:rPr>
              <w:t>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个交易日的收盘价均低于发行价，或</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个月期末收盘价低于发行价，首信股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份持有股票的锁定期限将自动延长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64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2" w:right="108"/>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公司股东科桥投资承诺：自公司股票上市之日起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三十六个月内，不转让或者委托他人管理其直接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或者间接持有的公开发行股票前已发行的股份， </w:t>
            </w:r>
            <w:r>
              <w:rPr>
                <w:rFonts w:ascii="宋体" w:hAnsi="宋体" w:cs="宋体" w:eastAsia="宋体" w:hint="default"/>
                <w:spacing w:val="7"/>
                <w:sz w:val="18"/>
                <w:szCs w:val="18"/>
              </w:rPr>
              <w:t>也不由公司回购其直接或者间接持有的公开发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行股票前已发行的股份。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9"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38013pt;margin-top:460.509979pt;width:111.2pt;height:298.4pt;mso-position-horizontal-relative:page;mso-position-vertical-relative:page;z-index:-772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以任何方式从事，</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1961"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pacing w:val="-2"/>
                <w:sz w:val="18"/>
                <w:szCs w:val="18"/>
              </w:rPr>
              <w:t>在锁定期届满后两年内无减持意向。此后拟减持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股票的，北京国资公司将提前三个交易日通知公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司并公告拟减持的数量、减持价格区间、减持时</w:t>
            </w:r>
            <w:r>
              <w:rPr>
                <w:rFonts w:ascii="宋体" w:hAnsi="宋体" w:cs="宋体" w:eastAsia="宋体" w:hint="default"/>
                <w:sz w:val="18"/>
                <w:szCs w:val="18"/>
              </w:rPr>
              <w:t> </w:t>
            </w:r>
            <w:r>
              <w:rPr>
                <w:rFonts w:ascii="宋体" w:hAnsi="宋体" w:cs="宋体" w:eastAsia="宋体" w:hint="default"/>
                <w:spacing w:val="-2"/>
                <w:sz w:val="18"/>
                <w:szCs w:val="18"/>
              </w:rPr>
              <w:t>间区间等。如果北京国资公司未能履行关于股份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锁定期的所有承诺，则违规减持的收入将归公司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2588"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94" w:right="9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
              <w:jc w:val="both"/>
              <w:rPr>
                <w:rFonts w:ascii="宋体" w:hAnsi="宋体" w:cs="宋体" w:eastAsia="宋体" w:hint="default"/>
                <w:sz w:val="18"/>
                <w:szCs w:val="18"/>
              </w:rPr>
            </w:pPr>
            <w:r>
              <w:rPr>
                <w:rFonts w:ascii="宋体" w:hAnsi="宋体" w:cs="宋体" w:eastAsia="宋体" w:hint="default"/>
                <w:spacing w:val="7"/>
                <w:sz w:val="18"/>
                <w:szCs w:val="18"/>
              </w:rPr>
              <w:t>在锁定期满后两年内每年减持的股份数量不超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过上一年末其所持公司股份的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。首信股份所</w:t>
            </w:r>
            <w:r>
              <w:rPr>
                <w:rFonts w:ascii="宋体" w:hAnsi="宋体" w:cs="宋体" w:eastAsia="宋体" w:hint="default"/>
                <w:sz w:val="18"/>
                <w:szCs w:val="18"/>
              </w:rPr>
              <w:t> </w:t>
            </w:r>
            <w:r>
              <w:rPr>
                <w:rFonts w:ascii="宋体" w:hAnsi="宋体" w:cs="宋体" w:eastAsia="宋体" w:hint="default"/>
                <w:spacing w:val="-2"/>
                <w:sz w:val="18"/>
                <w:szCs w:val="18"/>
              </w:rPr>
              <w:t>持公司股票在锁定期满后两年内减持的，其减持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价格不低于发行价。首信股份拟减持股票的，将</w:t>
            </w:r>
            <w:r>
              <w:rPr>
                <w:rFonts w:ascii="宋体" w:hAnsi="宋体" w:cs="宋体" w:eastAsia="宋体" w:hint="default"/>
                <w:sz w:val="18"/>
                <w:szCs w:val="18"/>
              </w:rPr>
              <w:t> 提前三个交易日通知公司并公告拟减持的数量、 </w:t>
            </w:r>
            <w:r>
              <w:rPr>
                <w:rFonts w:ascii="宋体" w:hAnsi="宋体" w:cs="宋体" w:eastAsia="宋体" w:hint="default"/>
                <w:spacing w:val="-2"/>
                <w:sz w:val="18"/>
                <w:szCs w:val="18"/>
              </w:rPr>
              <w:t>减持价格区间、减持时间区间等。如果首信股份</w:t>
            </w:r>
            <w:r>
              <w:rPr>
                <w:rFonts w:ascii="宋体" w:hAnsi="宋体" w:cs="宋体" w:eastAsia="宋体" w:hint="default"/>
                <w:sz w:val="18"/>
                <w:szCs w:val="18"/>
              </w:rPr>
              <w:t> </w:t>
            </w:r>
            <w:r>
              <w:rPr>
                <w:rFonts w:ascii="宋体" w:hAnsi="宋体" w:cs="宋体" w:eastAsia="宋体" w:hint="default"/>
                <w:spacing w:val="-2"/>
                <w:sz w:val="18"/>
                <w:szCs w:val="18"/>
              </w:rPr>
              <w:t>未能履行关于股份锁定期的所有承诺，则违规减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持的收入将归公司所有。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209"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12" w:right="108"/>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在股份锁定期届满后，将结合其自身资金需求并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综合考虑公司实际经营状况决定持股情况。如果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科桥投资拟减持公司股票的，将提前三个交易日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通知发行人并公告拟减持的数量、减持价格区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间、减持时间区间等。科桥投资在锁定期届满后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个月内减持数量将不超过其目前所持公司股 </w:t>
            </w:r>
            <w:r>
              <w:rPr>
                <w:rFonts w:ascii="宋体" w:hAnsi="宋体" w:cs="宋体" w:eastAsia="宋体" w:hint="default"/>
                <w:sz w:val="18"/>
                <w:szCs w:val="18"/>
              </w:rPr>
              <w:t>份数量的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个月内减持数量将不超过 其目前所持公司股份数量的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。如科桥投资未</w:t>
            </w:r>
            <w:r>
              <w:rPr>
                <w:rFonts w:ascii="宋体" w:hAnsi="宋体" w:cs="宋体" w:eastAsia="宋体" w:hint="default"/>
                <w:sz w:val="18"/>
                <w:szCs w:val="18"/>
              </w:rPr>
              <w:t> </w:t>
            </w:r>
            <w:r>
              <w:rPr>
                <w:rFonts w:ascii="宋体" w:hAnsi="宋体" w:cs="宋体" w:eastAsia="宋体" w:hint="default"/>
                <w:spacing w:val="-2"/>
                <w:sz w:val="18"/>
                <w:szCs w:val="18"/>
              </w:rPr>
              <w:t>能履行关于股份锁定期的所有承诺，则违规减持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的收入将归公司所有。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597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4" w:right="-17" w:hanging="40"/>
              <w:jc w:val="center"/>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0"/>
                <w:sz w:val="18"/>
                <w:szCs w:val="18"/>
              </w:rPr>
              <w:t>易、资金</w:t>
            </w:r>
            <w:r>
              <w:rPr>
                <w:rFonts w:ascii="宋体" w:hAnsi="宋体" w:cs="宋体" w:eastAsia="宋体" w:hint="default"/>
                <w:sz w:val="18"/>
                <w:szCs w:val="18"/>
              </w:rPr>
              <w:t> 占用方 面的承</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1"/>
              <w:jc w:val="left"/>
              <w:rPr>
                <w:rFonts w:ascii="宋体" w:hAnsi="宋体" w:cs="宋体" w:eastAsia="宋体" w:hint="default"/>
                <w:sz w:val="18"/>
                <w:szCs w:val="18"/>
              </w:rPr>
            </w:pPr>
            <w:r>
              <w:rPr>
                <w:rFonts w:ascii="宋体" w:hAnsi="宋体" w:cs="宋体" w:eastAsia="宋体" w:hint="default"/>
                <w:sz w:val="18"/>
                <w:szCs w:val="18"/>
              </w:rPr>
              <w:t>本企业目前不存在且不从事与北京数字认证股 份有限公司及其子公司主营业务相同或构成竞 </w:t>
            </w:r>
            <w:r>
              <w:rPr>
                <w:rFonts w:ascii="宋体" w:hAnsi="宋体" w:cs="宋体" w:eastAsia="宋体" w:hint="default"/>
                <w:spacing w:val="-2"/>
                <w:sz w:val="18"/>
                <w:szCs w:val="18"/>
              </w:rPr>
              <w:t>争的业务，也未以投资控股、参股、合资、联营</w:t>
            </w:r>
            <w:r>
              <w:rPr>
                <w:rFonts w:ascii="宋体" w:hAnsi="宋体" w:cs="宋体" w:eastAsia="宋体" w:hint="default"/>
                <w:sz w:val="18"/>
                <w:szCs w:val="18"/>
              </w:rPr>
              <w:t> 或其它形式经营或为他人经营任何与北京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 </w:t>
            </w:r>
            <w:r>
              <w:rPr>
                <w:rFonts w:ascii="宋体" w:hAnsi="宋体" w:cs="宋体" w:eastAsia="宋体" w:hint="default"/>
                <w:spacing w:val="-2"/>
                <w:sz w:val="18"/>
                <w:szCs w:val="18"/>
              </w:rPr>
              <w:t>其子公司的主营业务相同、相近或构成竞争的业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务。同时，本企业承诺：将来不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包括与他人合作直接或间接从事与北京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及其 子公司相同、相似或在任何方面构成竞争的业 务；将来不直接或间接投资于业务与北京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 </w:t>
            </w:r>
            <w:r>
              <w:rPr>
                <w:rFonts w:ascii="宋体" w:hAnsi="宋体" w:cs="宋体" w:eastAsia="宋体" w:hint="default"/>
                <w:spacing w:val="-2"/>
                <w:sz w:val="18"/>
                <w:szCs w:val="18"/>
              </w:rPr>
              <w:t>其子公司相同、类似或在任何方面构成竞争的公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司、企业或其他机构、组织；将来不向其他业务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及其子公司相同、类似或在任何方面 </w:t>
            </w:r>
            <w:r>
              <w:rPr>
                <w:rFonts w:ascii="宋体" w:hAnsi="宋体" w:cs="宋体" w:eastAsia="宋体" w:hint="default"/>
                <w:spacing w:val="-2"/>
                <w:sz w:val="18"/>
                <w:szCs w:val="18"/>
              </w:rPr>
              <w:t>构成竞争的公司、企业或其他机构、组织或个人</w:t>
            </w:r>
            <w:r>
              <w:rPr>
                <w:rFonts w:ascii="宋体" w:hAnsi="宋体" w:cs="宋体" w:eastAsia="宋体" w:hint="default"/>
                <w:sz w:val="18"/>
                <w:szCs w:val="18"/>
              </w:rPr>
              <w:t> </w:t>
            </w:r>
            <w:r>
              <w:rPr>
                <w:rFonts w:ascii="宋体" w:hAnsi="宋体" w:cs="宋体" w:eastAsia="宋体" w:hint="default"/>
                <w:spacing w:val="-2"/>
                <w:sz w:val="18"/>
                <w:szCs w:val="18"/>
              </w:rPr>
              <w:t>提供专有技术或提供销售渠道、客户信息等商业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机密；如果未来本企业拟从事的业务可能与北京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及其子公司存在同业竞争，本企业将本着北 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及其子公司优先的原则与北京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协商解 </w:t>
            </w:r>
            <w:r>
              <w:rPr>
                <w:rFonts w:ascii="宋体" w:hAnsi="宋体" w:cs="宋体" w:eastAsia="宋体" w:hint="default"/>
                <w:spacing w:val="-2"/>
                <w:sz w:val="18"/>
                <w:szCs w:val="18"/>
              </w:rPr>
              <w:t>决。本承诺函自盖章之日起生效，并在本企业作</w:t>
            </w:r>
            <w:r>
              <w:rPr>
                <w:rFonts w:ascii="宋体" w:hAnsi="宋体" w:cs="宋体" w:eastAsia="宋体" w:hint="default"/>
                <w:sz w:val="18"/>
                <w:szCs w:val="18"/>
              </w:rPr>
              <w:t> 为北京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股东的整个期间持续有效。如出现因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596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42.05pt;height:298.4pt;mso-position-horizontal-relative:char;mso-position-vertical-relative:line" coordorigin="0,0" coordsize="841,5968">
                  <v:group style="position:absolute;left:0;top:0;width:841;height:5968" coordorigin="0,0" coordsize="841,5968">
                    <v:shape style="position:absolute;left:0;top:0;width:841;height:5968" coordorigin="0,0" coordsize="841,5968" path="m0,5967l840,5967,840,0,0,0,0,5967xe" filled="true" fillcolor="#ffffff" stroked="false">
                      <v:path arrowok="t"/>
                      <v:fill type="solid"/>
                    </v:shape>
                  </v:group>
                  <v:group style="position:absolute;left:24;top:2631;width:795;height:353" coordorigin="24,2631" coordsize="795,353">
                    <v:shape style="position:absolute;left:24;top:2631;width:795;height:353" coordorigin="24,2631" coordsize="795,353" path="m24,2984l819,2984,819,2631,24,2631,24,2984xe" filled="true" fillcolor="#ffffff" stroked="false">
                      <v:path arrowok="t"/>
                      <v:fill type="solid"/>
                    </v:shape>
                  </v:group>
                  <v:group style="position:absolute;left:24;top:2984;width:795;height:353" coordorigin="24,2984" coordsize="795,353">
                    <v:shape style="position:absolute;left:24;top:2984;width:795;height:353" coordorigin="24,2984" coordsize="795,353" path="m24,3337l819,3337,819,2984,24,2984,24,3337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6"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2"/>
      </w:tblGrid>
      <w:tr>
        <w:trPr>
          <w:trHeight w:val="987"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4" w:right="21"/>
              <w:jc w:val="both"/>
              <w:rPr>
                <w:rFonts w:ascii="宋体" w:hAnsi="宋体" w:cs="宋体" w:eastAsia="宋体" w:hint="default"/>
                <w:sz w:val="18"/>
                <w:szCs w:val="18"/>
              </w:rPr>
            </w:pPr>
            <w:r>
              <w:rPr>
                <w:rFonts w:ascii="宋体" w:hAnsi="宋体" w:cs="宋体" w:eastAsia="宋体" w:hint="default"/>
                <w:sz w:val="18"/>
                <w:szCs w:val="18"/>
              </w:rPr>
              <w:t>本企业违反上述承诺而导致北京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及其子公司 </w:t>
            </w:r>
            <w:r>
              <w:rPr>
                <w:rFonts w:ascii="宋体" w:hAnsi="宋体" w:cs="宋体" w:eastAsia="宋体" w:hint="default"/>
                <w:spacing w:val="-2"/>
                <w:sz w:val="18"/>
                <w:szCs w:val="18"/>
              </w:rPr>
              <w:t>权益受到损害的情况，本企业愿意承担相应的赔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偿责任。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4" w:right="-17" w:hanging="40"/>
              <w:jc w:val="center"/>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0"/>
                <w:sz w:val="18"/>
                <w:szCs w:val="18"/>
              </w:rPr>
              <w:t>易、资金</w:t>
            </w:r>
            <w:r>
              <w:rPr>
                <w:rFonts w:ascii="宋体" w:hAnsi="宋体" w:cs="宋体" w:eastAsia="宋体" w:hint="default"/>
                <w:sz w:val="18"/>
                <w:szCs w:val="18"/>
              </w:rPr>
              <w:t> 占用方 面的承</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5"/>
              <w:jc w:val="both"/>
              <w:rPr>
                <w:rFonts w:ascii="宋体" w:hAnsi="宋体" w:cs="宋体" w:eastAsia="宋体" w:hint="default"/>
                <w:sz w:val="18"/>
                <w:szCs w:val="18"/>
              </w:rPr>
            </w:pPr>
            <w:r>
              <w:rPr>
                <w:rFonts w:ascii="宋体" w:hAnsi="宋体" w:cs="宋体" w:eastAsia="宋体" w:hint="default"/>
                <w:spacing w:val="6"/>
                <w:sz w:val="18"/>
                <w:szCs w:val="18"/>
              </w:rPr>
              <w:t>北京数字认证股份有限公司及其子公司的主营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业务为提供电子认证服务、电子认证产品及信息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安全服务。除持有北京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股份外，本公司目前 不存在且不从事与北京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及其子公司上述主营 业务相同或构成竞争的业务，也未以投资控股、 </w:t>
            </w:r>
            <w:r>
              <w:rPr>
                <w:rFonts w:ascii="宋体" w:hAnsi="宋体" w:cs="宋体" w:eastAsia="宋体" w:hint="default"/>
                <w:spacing w:val="-2"/>
                <w:sz w:val="18"/>
                <w:szCs w:val="18"/>
              </w:rPr>
              <w:t>参股、合资、联营或其它形式经营或为他人经营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任何与北京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及其子公司上述主营业务相同、 </w:t>
            </w:r>
            <w:r>
              <w:rPr>
                <w:rFonts w:ascii="宋体" w:hAnsi="宋体" w:cs="宋体" w:eastAsia="宋体" w:hint="default"/>
                <w:spacing w:val="-2"/>
                <w:sz w:val="18"/>
                <w:szCs w:val="18"/>
              </w:rPr>
              <w:t>相近或构成竞争的业务。本公司承诺：本公司将</w:t>
            </w:r>
            <w:r>
              <w:rPr>
                <w:rFonts w:ascii="宋体" w:hAnsi="宋体" w:cs="宋体" w:eastAsia="宋体" w:hint="default"/>
                <w:sz w:val="18"/>
                <w:szCs w:val="18"/>
              </w:rPr>
              <w:t> </w:t>
            </w:r>
            <w:r>
              <w:rPr>
                <w:rFonts w:ascii="宋体" w:hAnsi="宋体" w:cs="宋体" w:eastAsia="宋体" w:hint="default"/>
                <w:spacing w:val="-2"/>
                <w:sz w:val="18"/>
                <w:szCs w:val="18"/>
              </w:rPr>
              <w:t>来不以任何方式从事，包括与他人合作直接或间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接从事与北京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及其子公司上述主营业务相</w:t>
            </w:r>
            <w:r>
              <w:rPr>
                <w:rFonts w:ascii="宋体" w:hAnsi="宋体" w:cs="宋体" w:eastAsia="宋体" w:hint="default"/>
                <w:spacing w:val="4"/>
                <w:sz w:val="18"/>
                <w:szCs w:val="18"/>
              </w:rPr>
              <w:t> </w:t>
            </w:r>
            <w:r>
              <w:rPr>
                <w:rFonts w:ascii="宋体" w:hAnsi="宋体" w:cs="宋体" w:eastAsia="宋体" w:hint="default"/>
                <w:spacing w:val="-2"/>
                <w:sz w:val="18"/>
                <w:szCs w:val="18"/>
              </w:rPr>
              <w:t>同、相似或在任何方面构成竞争的业务；本公司</w:t>
            </w:r>
            <w:r>
              <w:rPr>
                <w:rFonts w:ascii="宋体" w:hAnsi="宋体" w:cs="宋体" w:eastAsia="宋体" w:hint="default"/>
                <w:sz w:val="18"/>
                <w:szCs w:val="18"/>
              </w:rPr>
              <w:t> 将不直接或间接投资于业务与北京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及其子公 </w:t>
            </w:r>
            <w:r>
              <w:rPr>
                <w:rFonts w:ascii="宋体" w:hAnsi="宋体" w:cs="宋体" w:eastAsia="宋体" w:hint="default"/>
                <w:spacing w:val="-2"/>
                <w:sz w:val="18"/>
                <w:szCs w:val="18"/>
              </w:rPr>
              <w:t>司上述主营业务相同、类似或在任何方面构成竞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争的公司、企业或其他机构、组织。本承诺函自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盖章之日起生效，并在本公司作为北京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股东 </w:t>
            </w:r>
            <w:r>
              <w:rPr>
                <w:rFonts w:ascii="宋体" w:hAnsi="宋体" w:cs="宋体" w:eastAsia="宋体" w:hint="default"/>
                <w:spacing w:val="-2"/>
                <w:sz w:val="18"/>
                <w:szCs w:val="18"/>
              </w:rPr>
              <w:t>的整个期间持续有效。如出现因本企业违反上述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承诺而导致北京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及其子公司权益受到损害的 情况，本企业愿意承担相应的赔偿责任。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6997"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z w:val="18"/>
                <w:szCs w:val="18"/>
              </w:rPr>
              <w:t> 营有限责任公司；北 京</w:t>
            </w:r>
            <w:r>
              <w:rPr>
                <w:rFonts w:ascii="宋体" w:hAnsi="宋体" w:cs="宋体" w:eastAsia="宋体" w:hint="default"/>
                <w:spacing w:val="-64"/>
                <w:sz w:val="18"/>
                <w:szCs w:val="18"/>
              </w:rPr>
              <w:t> </w:t>
            </w:r>
            <w:r>
              <w:rPr>
                <w:rFonts w:ascii="宋体" w:hAnsi="宋体" w:cs="宋体" w:eastAsia="宋体" w:hint="default"/>
                <w:sz w:val="18"/>
                <w:szCs w:val="18"/>
              </w:rPr>
              <w:t>数</w:t>
            </w:r>
            <w:r>
              <w:rPr>
                <w:rFonts w:ascii="宋体" w:hAnsi="宋体" w:cs="宋体" w:eastAsia="宋体" w:hint="default"/>
                <w:spacing w:val="-64"/>
                <w:sz w:val="18"/>
                <w:szCs w:val="18"/>
              </w:rPr>
              <w:t> </w:t>
            </w:r>
            <w:r>
              <w:rPr>
                <w:rFonts w:ascii="宋体" w:hAnsi="宋体" w:cs="宋体" w:eastAsia="宋体" w:hint="default"/>
                <w:sz w:val="18"/>
                <w:szCs w:val="18"/>
              </w:rPr>
              <w:t>字</w:t>
            </w:r>
            <w:r>
              <w:rPr>
                <w:rFonts w:ascii="宋体" w:hAnsi="宋体" w:cs="宋体" w:eastAsia="宋体" w:hint="default"/>
                <w:spacing w:val="-67"/>
                <w:sz w:val="18"/>
                <w:szCs w:val="18"/>
              </w:rPr>
              <w:t> </w:t>
            </w:r>
            <w:r>
              <w:rPr>
                <w:rFonts w:ascii="宋体" w:hAnsi="宋体" w:cs="宋体" w:eastAsia="宋体" w:hint="default"/>
                <w:sz w:val="18"/>
                <w:szCs w:val="18"/>
              </w:rPr>
              <w:t>认</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限公司；詹榜华；林 雪焰；卢磊；蒋峰； 雷毅平；张益谦；侯 鹏亮；齐秀彬；吴伟 东；程小茁；高青山</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0"/>
              <w:ind w:left="23"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稳定 股价承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pacing w:val="-2"/>
                <w:sz w:val="18"/>
                <w:szCs w:val="18"/>
              </w:rPr>
              <w:t>公司稳定股价的措施包括公司回购股票，控股股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东增持股票和公司董事（不含独立董事）、高级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管理人员增持股票。在上市后三年内每次触及启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动条件时，公司每次稳定股价的计划分两个阶段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实施。第一阶段由公司回购股票和控股股东增持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公司股票，第二阶段由公司董事和高级管理人员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增持公司股票。</w:t>
            </w:r>
          </w:p>
          <w:p>
            <w:pPr>
              <w:pStyle w:val="TableParagraph"/>
              <w:spacing w:line="240" w:lineRule="auto" w:before="5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、第一阶段的具体措施</w:t>
            </w:r>
          </w:p>
          <w:p>
            <w:pPr>
              <w:pStyle w:val="TableParagraph"/>
              <w:spacing w:line="314" w:lineRule="auto" w:before="101"/>
              <w:ind w:left="24" w:right="-1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）公司回购股票。公司董事会应当于股价触</w:t>
            </w:r>
            <w:r>
              <w:rPr>
                <w:rFonts w:ascii="宋体" w:hAnsi="宋体" w:cs="宋体" w:eastAsia="宋体" w:hint="default"/>
                <w:sz w:val="18"/>
                <w:szCs w:val="18"/>
              </w:rPr>
              <w:t> 及启动条件后的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个交易日内制定股票回购预 </w:t>
            </w:r>
            <w:r>
              <w:rPr>
                <w:rFonts w:ascii="宋体" w:hAnsi="宋体" w:cs="宋体" w:eastAsia="宋体" w:hint="default"/>
                <w:spacing w:val="7"/>
                <w:sz w:val="18"/>
                <w:szCs w:val="18"/>
              </w:rPr>
              <w:t>案并公告。公司股票回购预案应当符合《公司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法》、《上市公司回购社会公众股份管理办法（试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行）》和《关于上市公司以集中竞价交易方式回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购股份的补充规定》等法律法规的要求。股票回</w:t>
            </w:r>
            <w:r>
              <w:rPr>
                <w:rFonts w:ascii="宋体" w:hAnsi="宋体" w:cs="宋体" w:eastAsia="宋体" w:hint="default"/>
                <w:sz w:val="18"/>
                <w:szCs w:val="18"/>
              </w:rPr>
              <w:t> </w:t>
            </w:r>
            <w:r>
              <w:rPr>
                <w:rFonts w:ascii="宋体" w:hAnsi="宋体" w:cs="宋体" w:eastAsia="宋体" w:hint="default"/>
                <w:spacing w:val="-2"/>
                <w:sz w:val="18"/>
                <w:szCs w:val="18"/>
              </w:rPr>
              <w:t>购预案需经公司股东大会审议通过，公司控股股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东承诺就该等回购事宜在股东大会中投赞成票。 </w:t>
            </w:r>
            <w:r>
              <w:rPr>
                <w:rFonts w:ascii="宋体" w:hAnsi="宋体" w:cs="宋体" w:eastAsia="宋体" w:hint="default"/>
                <w:spacing w:val="-2"/>
                <w:sz w:val="18"/>
                <w:szCs w:val="18"/>
              </w:rPr>
              <w:t>公司为稳定股价之目的进行股票回购的，除应符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合相关法律法规之要求外，还应遵守下列各项约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定：①公司每次用于回购股票的资金不低于最近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三年实现的年均可分配利润的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之间的孰高者。②在股票上市后三年内用于回购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股票的资金总额不超过首次公开发行新股所募</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6"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50.847pt;margin-top:72.47998pt;width:201.2pt;height:694.6pt;mso-position-horizontal-relative:page;mso-position-vertical-relative:page;z-index:-772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left="0" w:right="0"/>
                    <w:jc w:val="left"/>
                  </w:pPr>
                  <w:r>
                    <w:rPr/>
                    <w:t>股东及其一致行动人增持股份业务管理》</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1800" w:right="0"/>
                    <w:jc w:val="left"/>
                  </w:pPr>
                  <w:r>
                    <w:rPr/>
                    <w:t>个月内不得转让。</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17"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2"/>
                <w:sz w:val="18"/>
                <w:szCs w:val="18"/>
              </w:rPr>
              <w:t>集资金的总额。③公司董事会经综合考虑公司经</w:t>
            </w:r>
          </w:p>
        </w:tc>
        <w:tc>
          <w:tcPr>
            <w:tcW w:w="850" w:type="dxa"/>
            <w:vMerge w:val="restart"/>
            <w:tcBorders>
              <w:top w:val="single" w:sz="4" w:space="0" w:color="000000"/>
              <w:left w:val="single" w:sz="4" w:space="0" w:color="000000"/>
              <w:right w:val="single" w:sz="4" w:space="0" w:color="000000"/>
            </w:tcBorders>
          </w:tcPr>
          <w:p>
            <w:pPr>
              <w:pStyle w:val="TableParagraph"/>
              <w:spacing w:line="138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7"/>
                <w:sz w:val="20"/>
                <w:szCs w:val="20"/>
              </w:rPr>
              <w:pict>
                <v:group style="width:42.05pt;height:694.6pt;mso-position-horizontal-relative:char;mso-position-vertical-relative:line" coordorigin="0,0" coordsize="841,13892">
                  <v:group style="position:absolute;left:0;top:0;width:841;height:13892" coordorigin="0,0" coordsize="841,13892">
                    <v:shape style="position:absolute;left:0;top:0;width:841;height:13892" coordorigin="0,0" coordsize="841,13892" path="m0,13891l840,13891,840,0,0,0,0,13891xe" filled="true" fillcolor="#ffffff" stroked="false">
                      <v:path arrowok="t"/>
                      <v:fill type="solid"/>
                    </v:shape>
                  </v:group>
                </v:group>
              </w:pict>
            </w:r>
            <w:r>
              <w:rPr>
                <w:rFonts w:ascii="Times New Roman" w:hAnsi="Times New Roman" w:cs="Times New Roman" w:eastAsia="Times New Roman" w:hint="default"/>
                <w:position w:val="-277"/>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营发展实际情况，认为公司不宜或暂无须回购股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票的，经董事会决议通过并经半数以上独立董事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同意后，应将不回购股票事宜提交股东大会审</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议，并经出席会议的股东所持表决权的三分之二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以上通过。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）控股股东增持。控股股东应当于股价触及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启动条件后的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个交易日内提出增持方案，同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时将增持公司股票的具体计划书面通知公司并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公告。控股股东增持股票方案应当符合《上市公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司收购管理办法</w:t>
            </w:r>
            <w:r>
              <w:rPr>
                <w:rFonts w:ascii="宋体" w:hAnsi="宋体" w:cs="宋体" w:eastAsia="宋体" w:hint="default"/>
                <w:spacing w:val="-92"/>
                <w:sz w:val="18"/>
                <w:szCs w:val="18"/>
              </w:rPr>
              <w:t>》</w:t>
            </w:r>
            <w:r>
              <w:rPr>
                <w:rFonts w:ascii="宋体" w:hAnsi="宋体" w:cs="宋体" w:eastAsia="宋体" w:hint="default"/>
                <w:spacing w:val="-128"/>
                <w:sz w:val="18"/>
                <w:szCs w:val="18"/>
              </w:rPr>
              <w:t>、</w:t>
            </w:r>
            <w:r>
              <w:rPr>
                <w:rFonts w:ascii="宋体" w:hAnsi="宋体" w:cs="宋体" w:eastAsia="宋体" w:hint="default"/>
                <w:sz w:val="18"/>
                <w:szCs w:val="18"/>
              </w:rPr>
              <w:t>《创业板</w:t>
            </w:r>
            <w:r>
              <w:rPr>
                <w:rFonts w:ascii="宋体" w:hAnsi="宋体" w:cs="宋体" w:eastAsia="宋体" w:hint="default"/>
                <w:spacing w:val="2"/>
                <w:sz w:val="18"/>
                <w:szCs w:val="18"/>
              </w:rPr>
              <w:t>信</w:t>
            </w:r>
            <w:r>
              <w:rPr>
                <w:rFonts w:ascii="宋体" w:hAnsi="宋体" w:cs="宋体" w:eastAsia="宋体" w:hint="default"/>
                <w:sz w:val="18"/>
                <w:szCs w:val="18"/>
              </w:rPr>
              <w:t>息披露业务备忘录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等法律法规的规定。为稳定股价之目的进行股票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增持的，除应符合相关法律法规之要求外，控股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股东同时承诺：①每次用于增持公司股票的金额</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不低于人民币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万元；②连续</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个月增持公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司股份数量不超过公司总股本的</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；如上述第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①项与本项冲突的，按照本项执行；③通过增持</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6"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获得的股份，在增持完成后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26"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pacing w:val="-2"/>
                <w:sz w:val="18"/>
                <w:szCs w:val="18"/>
              </w:rPr>
              <w:t>第一阶段稳定股价措施可以单独或合并使用，具</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体由控股股东和公司协商确定。公司回购和控股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股东增持公司股票措施需在每次触及启动条件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后的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天内实施完毕，公司回购和控股股东增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持公司股票不得导致公司股权分布不符合上市</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条件。如果在上述期间内，公司股票收盘价出现</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个交易日均高于最近一期经审计的每股净</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7"/>
                <w:sz w:val="18"/>
                <w:szCs w:val="18"/>
              </w:rPr>
              <w:t>，</w:t>
            </w:r>
            <w:r>
              <w:rPr>
                <w:rFonts w:ascii="宋体" w:hAnsi="宋体" w:cs="宋体" w:eastAsia="宋体" w:hint="default"/>
                <w:sz w:val="18"/>
                <w:szCs w:val="18"/>
              </w:rPr>
              <w:t>公司董事会和控股股东可停止回购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2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司股票，并不受最低资金使用量的约束。</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8"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、第二阶段的具体措施</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pacing w:val="4"/>
                <w:sz w:val="18"/>
                <w:szCs w:val="18"/>
              </w:rPr>
              <w:t>如果在公司和控股股东每次用于回购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增持的资</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金使用完毕后，公司股票的收盘价仍未连续三个</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交易日超过最近一期经审计的净资产，则由公司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董事和高级管理人员增持公司股票。董事和高级</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管理人员应当于公司和控股股东第一阶段的资</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金使用完毕后的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个交易日内提出增持计划，同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时将增持公司股票的具体计划书面通知公司并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公告。公司董事和高级管理人员每次用于增持公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司股票的金额应不低于上一年度从公司领取薪</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酬的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。董事、高级管理人员需在增持计划公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告后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日内实施完毕。如果在上述期间内，公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司股票收盘价出现连续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个交易日均高于最近一</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期经审计的每股净资产，董事和高级管理人员可</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以停止增持公司股票。公司在股票上市后三年内</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新聘任的董事（不含独立董</w:t>
            </w:r>
            <w:r>
              <w:rPr>
                <w:rFonts w:ascii="宋体" w:hAnsi="宋体" w:cs="宋体" w:eastAsia="宋体" w:hint="default"/>
                <w:spacing w:val="4"/>
                <w:sz w:val="18"/>
                <w:szCs w:val="18"/>
              </w:rPr>
              <w:t>事</w:t>
            </w:r>
            <w:r>
              <w:rPr>
                <w:rFonts w:ascii="宋体" w:hAnsi="宋体" w:cs="宋体" w:eastAsia="宋体" w:hint="default"/>
                <w:spacing w:val="-87"/>
                <w:sz w:val="18"/>
                <w:szCs w:val="18"/>
              </w:rPr>
              <w:t>）</w:t>
            </w:r>
            <w:r>
              <w:rPr>
                <w:rFonts w:ascii="宋体" w:hAnsi="宋体" w:cs="宋体" w:eastAsia="宋体" w:hint="default"/>
                <w:spacing w:val="2"/>
                <w:sz w:val="18"/>
                <w:szCs w:val="18"/>
              </w:rPr>
              <w:t>、高级管理人员</w:t>
            </w:r>
            <w:r>
              <w:rPr>
                <w:rFonts w:ascii="宋体" w:hAnsi="宋体" w:cs="宋体" w:eastAsia="宋体" w:hint="default"/>
                <w:sz w:val="18"/>
                <w:szCs w:val="18"/>
              </w:rPr>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2"/>
      </w:tblGrid>
      <w:tr>
        <w:trPr>
          <w:trHeight w:val="7660"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5"/>
              <w:jc w:val="both"/>
              <w:rPr>
                <w:rFonts w:ascii="宋体" w:hAnsi="宋体" w:cs="宋体" w:eastAsia="宋体" w:hint="default"/>
                <w:sz w:val="18"/>
                <w:szCs w:val="18"/>
              </w:rPr>
            </w:pPr>
            <w:r>
              <w:rPr>
                <w:rFonts w:ascii="宋体" w:hAnsi="宋体" w:cs="宋体" w:eastAsia="宋体" w:hint="default"/>
                <w:spacing w:val="-2"/>
                <w:sz w:val="18"/>
                <w:szCs w:val="18"/>
              </w:rPr>
              <w:t>应当遵守本预案关于公司董事、高级管理人员的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增持义务的规定，公司及公司控股股东、现有董</w:t>
            </w:r>
            <w:r>
              <w:rPr>
                <w:rFonts w:ascii="宋体" w:hAnsi="宋体" w:cs="宋体" w:eastAsia="宋体" w:hint="default"/>
                <w:sz w:val="18"/>
                <w:szCs w:val="18"/>
              </w:rPr>
              <w:t> </w:t>
            </w:r>
            <w:r>
              <w:rPr>
                <w:rFonts w:ascii="宋体" w:hAnsi="宋体" w:cs="宋体" w:eastAsia="宋体" w:hint="default"/>
                <w:spacing w:val="-2"/>
                <w:sz w:val="18"/>
                <w:szCs w:val="18"/>
              </w:rPr>
              <w:t>事、高级管理人员应当促成公司新聘任的该等董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事、高级管理人员遵守稳定股价的预案并签署相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关承诺。如果按照上述规定实施稳定股价措施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后，公司股票收盘价仍未连续三个交易日高于最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近一期经审计的每股净资产，或者上述措施实施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完毕后再次触发稳定股价的启动条件的，则控股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股东、公司、董事和高级管理人员应按照稳定股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价预案的规定启动下一次稳定股价计划。</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（三）约束措施</w:t>
            </w:r>
          </w:p>
          <w:p>
            <w:pPr>
              <w:pStyle w:val="TableParagraph"/>
              <w:spacing w:line="312" w:lineRule="auto" w:before="115"/>
              <w:ind w:left="24" w:right="1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、如果控股股东未按约定实施增持计划的，公</w:t>
            </w:r>
            <w:r>
              <w:rPr>
                <w:rFonts w:ascii="宋体" w:hAnsi="宋体" w:cs="宋体" w:eastAsia="宋体" w:hint="default"/>
                <w:sz w:val="18"/>
                <w:szCs w:val="18"/>
              </w:rPr>
              <w:t> </w:t>
            </w:r>
            <w:r>
              <w:rPr>
                <w:rFonts w:ascii="宋体" w:hAnsi="宋体" w:cs="宋体" w:eastAsia="宋体" w:hint="default"/>
                <w:spacing w:val="7"/>
                <w:sz w:val="18"/>
                <w:szCs w:val="18"/>
              </w:rPr>
              <w:t>司有权责令控股股东在限期内履行增持股票承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诺，控股股东仍不履行的，公司有权扣减其应向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控股股东支付的分红。</w:t>
            </w:r>
          </w:p>
          <w:p>
            <w:pPr>
              <w:pStyle w:val="TableParagraph"/>
              <w:spacing w:line="316"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、公司董事、高级管理人员未按约定实施增持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计划的，公司有权责令董事、高级管理人员在限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期内履行增持股票义务。公司董事和高级管理人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员仍不履行的，公司有权扣减应向董事、高级管</w:t>
            </w:r>
            <w:r>
              <w:rPr>
                <w:rFonts w:ascii="宋体" w:hAnsi="宋体" w:cs="宋体" w:eastAsia="宋体" w:hint="default"/>
                <w:sz w:val="18"/>
                <w:szCs w:val="18"/>
              </w:rPr>
              <w:t> </w:t>
            </w:r>
            <w:r>
              <w:rPr>
                <w:rFonts w:ascii="宋体" w:hAnsi="宋体" w:cs="宋体" w:eastAsia="宋体" w:hint="default"/>
                <w:spacing w:val="-2"/>
                <w:sz w:val="18"/>
                <w:szCs w:val="18"/>
              </w:rPr>
              <w:t>理人员支付的报酬。公司董事、高级管理人员拒</w:t>
            </w:r>
            <w:r>
              <w:rPr>
                <w:rFonts w:ascii="宋体" w:hAnsi="宋体" w:cs="宋体" w:eastAsia="宋体" w:hint="default"/>
                <w:sz w:val="18"/>
                <w:szCs w:val="18"/>
              </w:rPr>
              <w:t> </w:t>
            </w:r>
            <w:r>
              <w:rPr>
                <w:rFonts w:ascii="宋体" w:hAnsi="宋体" w:cs="宋体" w:eastAsia="宋体" w:hint="default"/>
                <w:spacing w:val="-2"/>
                <w:sz w:val="18"/>
                <w:szCs w:val="18"/>
              </w:rPr>
              <w:t>不履行预案规定的股票增持义务情节严重的，控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股股东或董事会、监事会、半数以上的独立董事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有权提请股东大会同意更换相关董事，公司董事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会有权解聘相关高级管理人员。</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138"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北京数字认证股份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本次公开发行完成后，公司每股收益和净资产收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益率等指标在短期内可能出现一定幅度的下降。 </w:t>
            </w:r>
            <w:r>
              <w:rPr>
                <w:rFonts w:ascii="宋体" w:hAnsi="宋体" w:cs="宋体" w:eastAsia="宋体" w:hint="default"/>
                <w:spacing w:val="-2"/>
                <w:sz w:val="18"/>
                <w:szCs w:val="18"/>
              </w:rPr>
              <w:t>为降低本次公开发行摊薄即期回报的影响，充分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保护中小股东的利益，公司制定了如下措施：</w:t>
            </w:r>
          </w:p>
          <w:p>
            <w:pPr>
              <w:pStyle w:val="TableParagraph"/>
              <w:spacing w:line="338" w:lineRule="auto" w:before="57"/>
              <w:ind w:left="24" w:right="15"/>
              <w:jc w:val="left"/>
              <w:rPr>
                <w:rFonts w:ascii="宋体" w:hAnsi="宋体" w:cs="宋体" w:eastAsia="宋体" w:hint="default"/>
                <w:sz w:val="18"/>
                <w:szCs w:val="18"/>
              </w:rPr>
            </w:pPr>
            <w:r>
              <w:rPr>
                <w:rFonts w:ascii="宋体" w:hAnsi="宋体" w:cs="宋体" w:eastAsia="宋体" w:hint="default"/>
                <w:spacing w:val="-2"/>
                <w:sz w:val="18"/>
                <w:szCs w:val="18"/>
              </w:rPr>
              <w:t>（一）积极推进实施公司发展战略，提升公司核</w:t>
            </w:r>
            <w:r>
              <w:rPr>
                <w:rFonts w:ascii="宋体" w:hAnsi="宋体" w:cs="宋体" w:eastAsia="宋体" w:hint="default"/>
                <w:sz w:val="18"/>
                <w:szCs w:val="18"/>
              </w:rPr>
              <w:t> 心竞争力 </w:t>
            </w:r>
            <w:r>
              <w:rPr>
                <w:rFonts w:ascii="宋体" w:hAnsi="宋体" w:cs="宋体" w:eastAsia="宋体" w:hint="default"/>
                <w:spacing w:val="7"/>
                <w:sz w:val="18"/>
                <w:szCs w:val="18"/>
              </w:rPr>
              <w:t>公司将继续加强电子认证服务和安全服务方面</w:t>
            </w:r>
            <w:r>
              <w:rPr>
                <w:rFonts w:ascii="宋体" w:hAnsi="宋体" w:cs="宋体" w:eastAsia="宋体" w:hint="default"/>
                <w:sz w:val="18"/>
                <w:szCs w:val="18"/>
              </w:rPr>
            </w:r>
          </w:p>
          <w:p>
            <w:pPr>
              <w:pStyle w:val="TableParagraph"/>
              <w:spacing w:line="312" w:lineRule="auto" w:before="3"/>
              <w:ind w:left="24" w:right="21"/>
              <w:jc w:val="both"/>
              <w:rPr>
                <w:rFonts w:ascii="宋体" w:hAnsi="宋体" w:cs="宋体" w:eastAsia="宋体" w:hint="default"/>
                <w:sz w:val="18"/>
                <w:szCs w:val="18"/>
              </w:rPr>
            </w:pPr>
            <w:r>
              <w:rPr>
                <w:rFonts w:ascii="宋体" w:hAnsi="宋体" w:cs="宋体" w:eastAsia="宋体" w:hint="default"/>
                <w:spacing w:val="-2"/>
                <w:sz w:val="18"/>
                <w:szCs w:val="18"/>
              </w:rPr>
              <w:t>的优势；不断完善渠道布局，扩大客户规模；努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力提高</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一体化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电子认证解决方案的能力，完善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电子认证服务网络和电子认证产品体系。如果本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次公开发行股票并上市获得批准，公司还将借助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资本市场的力量，增强资本实力，扩展公司业务</w:t>
            </w:r>
            <w:r>
              <w:rPr>
                <w:rFonts w:ascii="宋体" w:hAnsi="宋体" w:cs="宋体" w:eastAsia="宋体" w:hint="default"/>
                <w:sz w:val="18"/>
                <w:szCs w:val="18"/>
              </w:rPr>
              <w:t> </w:t>
            </w:r>
            <w:r>
              <w:rPr>
                <w:rFonts w:ascii="宋体" w:hAnsi="宋体" w:cs="宋体" w:eastAsia="宋体" w:hint="default"/>
                <w:spacing w:val="-1"/>
                <w:sz w:val="18"/>
                <w:szCs w:val="18"/>
              </w:rPr>
              <w:t>覆盖区域，提升盈利能力，巩固公司在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一体化</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电子认证解决方案领域的优势地位，整合优势资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源，快速实现公司的跨越式发展。</w:t>
            </w:r>
          </w:p>
          <w:p>
            <w:pPr>
              <w:pStyle w:val="TableParagraph"/>
              <w:spacing w:line="338" w:lineRule="auto" w:before="63"/>
              <w:ind w:left="24" w:right="-15"/>
              <w:jc w:val="left"/>
              <w:rPr>
                <w:rFonts w:ascii="宋体" w:hAnsi="宋体" w:cs="宋体" w:eastAsia="宋体" w:hint="default"/>
                <w:sz w:val="18"/>
                <w:szCs w:val="18"/>
              </w:rPr>
            </w:pPr>
            <w:r>
              <w:rPr>
                <w:rFonts w:ascii="宋体" w:hAnsi="宋体" w:cs="宋体" w:eastAsia="宋体" w:hint="default"/>
                <w:sz w:val="18"/>
                <w:szCs w:val="18"/>
              </w:rPr>
              <w:t>（二）加强技术研发，进一步提升技术水平 </w:t>
            </w:r>
            <w:r>
              <w:rPr>
                <w:rFonts w:ascii="宋体" w:hAnsi="宋体" w:cs="宋体" w:eastAsia="宋体" w:hint="default"/>
                <w:spacing w:val="-2"/>
                <w:sz w:val="18"/>
                <w:szCs w:val="18"/>
              </w:rPr>
              <w:t>公司紧跟行业发展趋势和市场需求，不断加大研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发投入，进行技术创新，进一步提升技术水平。</w:t>
            </w:r>
          </w:p>
          <w:p>
            <w:pPr>
              <w:pStyle w:val="TableParagraph"/>
              <w:spacing w:line="240" w:lineRule="auto" w:before="2"/>
              <w:ind w:left="24" w:right="-15"/>
              <w:jc w:val="left"/>
              <w:rPr>
                <w:rFonts w:ascii="宋体" w:hAnsi="宋体" w:cs="宋体" w:eastAsia="宋体" w:hint="default"/>
                <w:sz w:val="18"/>
                <w:szCs w:val="18"/>
              </w:rPr>
            </w:pPr>
            <w:r>
              <w:rPr>
                <w:rFonts w:ascii="宋体" w:hAnsi="宋体" w:cs="宋体" w:eastAsia="宋体" w:hint="default"/>
                <w:sz w:val="18"/>
                <w:szCs w:val="18"/>
              </w:rPr>
              <w:t>公司将以可靠电子签名和可信数字身份为中心，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6"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50006pt;margin-top:72.47998pt;width:111.2pt;height:682.95pt;mso-position-horizontal-relative:page;mso-position-vertical-relative:page;z-index:-77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字身份管理系统、</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pStyle w:val="BodyText"/>
                    <w:spacing w:line="240" w:lineRule="auto"/>
                    <w:ind w:left="719" w:right="0"/>
                    <w:jc w:val="left"/>
                  </w:pPr>
                  <w:r>
                    <w:rPr/>
                    <w:t>的要求，</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17"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研发完整应对客户需求的产品和服务；将在技术</w:t>
            </w:r>
          </w:p>
        </w:tc>
        <w:tc>
          <w:tcPr>
            <w:tcW w:w="850" w:type="dxa"/>
            <w:vMerge w:val="restart"/>
            <w:tcBorders>
              <w:top w:val="single" w:sz="4" w:space="0" w:color="000000"/>
              <w:left w:val="single" w:sz="4" w:space="0" w:color="000000"/>
              <w:right w:val="single" w:sz="4" w:space="0" w:color="000000"/>
            </w:tcBorders>
          </w:tcPr>
          <w:p>
            <w:pPr>
              <w:pStyle w:val="TableParagraph"/>
              <w:spacing w:line="1365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2"/>
                <w:sz w:val="20"/>
                <w:szCs w:val="20"/>
              </w:rPr>
              <w:pict>
                <v:group style="width:42.05pt;height:682.95pt;mso-position-horizontal-relative:char;mso-position-vertical-relative:line" coordorigin="0,0" coordsize="841,13659">
                  <v:group style="position:absolute;left:0;top:0;width:841;height:13659" coordorigin="0,0" coordsize="841,13659">
                    <v:shape style="position:absolute;left:0;top:0;width:841;height:13659" coordorigin="0,0" coordsize="841,13659" path="m0,13658l840,13658,840,0,0,0,0,13658xe" filled="true" fillcolor="#ffffff" stroked="false">
                      <v:path arrowok="t"/>
                      <v:fill type="solid"/>
                    </v:shape>
                  </v:group>
                </v:group>
              </w:pict>
            </w:r>
            <w:r>
              <w:rPr>
                <w:rFonts w:ascii="Times New Roman" w:hAnsi="Times New Roman" w:cs="Times New Roman" w:eastAsia="Times New Roman" w:hint="default"/>
                <w:position w:val="-272"/>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创新的基础上，积极推进服务的产品化工作，全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力打造包括数字身份管理服务、可信数据电文服</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务在内的核心服务；将继续完善公司的产品体</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9"/>
                <w:sz w:val="18"/>
                <w:szCs w:val="18"/>
              </w:rPr>
              <w:t>系，打造数字证书认证系统、数</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可信数据电文系统、安全客户端、移动网络信任</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服务等核心产品；将依托数字身份管理、可信数</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据电文、移动网络信任服务等核心技术，以及五</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大核心产品，提供面向各个行业的网络信任安全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3"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解决方案，提升公司持续盈利能力。</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3"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（三）加强对募投项目监管，保证募集资金合理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合法使用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2"/>
                <w:sz w:val="18"/>
                <w:szCs w:val="18"/>
              </w:rPr>
              <w:t>为规范公司募集资金的使用与管理，确保募集资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金的使用规范、安全、高效，公司制定了《募集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资金管理及使用制度》等制度。公司募集资金实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施专项存储制度，募集资金存放于董事会决定的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专项账户集中管理。公司将在募集资金到位后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个月内与保荐机构、存放募集资金的商业银行签</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订三方监管协议。公司将严格按照募集资金使用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计划确保专款专用，同时严格执行深圳证券交易</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所及中国证监会有关募集资金使用的规定。本次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发行募集资金到位后，公司将加快推进募投项目</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建设，实现预期效益。同时，公司将根据相关法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律、法规和《募集资金管理及使用制度》</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严格管理募集资金使用，并积极配合监管机构对</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募集资金使用的检查和监督，防范募集资金使用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风险。</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（四）加快募投项目投资进度，争取早日实现项</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目预期效益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在本次公开发行股票募集资金到位前，为尽快实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现募投项目预期利益，公司拟根据项目进度的实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际情况，通过多种渠道积极筹措资金先行投入，</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争取尽早实现项目预期收益，增强未来年度的股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东回报，降低本次公开发行导致的即期回报摊薄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的风险。</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2"/>
                <w:sz w:val="18"/>
                <w:szCs w:val="18"/>
              </w:rPr>
              <w:t>（五）加强经营管理和内部控制，提升经营效率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和盈利能力</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公司将努力提高资金的使用效率，完善并强化投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资决策程序，设计更合理的资金使用方案，合理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运用各种融资工具和渠道，控制资金成本，提升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资金使用效率。公司将加强企业内部控制，发挥</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企业管控效能。推进预算规划，优化预算管理流</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程，加强成本管理，强化预算执行监督，全面有</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47015pt;margin-top:72.47998pt;width:111.2pt;height:208.85pt;mso-position-horizontal-relative:page;mso-position-vertical-relative:page;z-index:-772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6"/>
                      <w:szCs w:val="26"/>
                    </w:rPr>
                  </w:pPr>
                </w:p>
                <w:p>
                  <w:pPr>
                    <w:pStyle w:val="BodyText"/>
                    <w:spacing w:line="240" w:lineRule="auto"/>
                    <w:ind w:left="0" w:right="0"/>
                    <w:jc w:val="left"/>
                  </w:pPr>
                  <w:r>
                    <w:rPr/>
                    <w:t>司利润分配政策，</w:t>
                  </w:r>
                </w:p>
              </w:txbxContent>
            </v:textbox>
            <w10:wrap type="none"/>
          </v:shape>
        </w:pict>
      </w:r>
      <w:r>
        <w:rPr/>
        <w:pict>
          <v:shape style="position:absolute;margin-left:340.847015pt;margin-top:281.809998pt;width:111.2pt;height:378.55pt;mso-position-horizontal-relative:page;mso-position-vertical-relative:page;z-index:-772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left="0" w:right="0"/>
                    <w:jc w:val="left"/>
                  </w:pPr>
                  <w:r>
                    <w:rPr/>
                    <w:t>员作出以下承诺：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540" w:right="0"/>
                    <w:jc w:val="left"/>
                  </w:pPr>
                  <w:r>
                    <w:rPr/>
                    <w:t>本人承诺，</w:t>
                  </w:r>
                </w:p>
              </w:txbxContent>
            </v:textbox>
            <w10:wrap type="none"/>
          </v:shape>
        </w:pict>
      </w:r>
      <w:r>
        <w:rPr/>
        <w:pict>
          <v:group style="position:absolute;margin-left:409.98999pt;margin-top:72.47998pt;width:42.05pt;height:587.9pt;mso-position-horizontal-relative:page;mso-position-vertical-relative:page;z-index:-772264" coordorigin="8200,1450" coordsize="841,11758">
            <v:group style="position:absolute;left:8200;top:1450;width:841;height:4177" coordorigin="8200,1450" coordsize="841,4177">
              <v:shape style="position:absolute;left:8200;top:1450;width:841;height:4177" coordorigin="8200,1450" coordsize="841,4177" path="m8200,5627l9040,5627,9040,1450,8200,1450,8200,5627xe" filled="true" fillcolor="#ffffff" stroked="false">
                <v:path arrowok="t"/>
                <v:fill type="solid"/>
              </v:shape>
            </v:group>
            <v:group style="position:absolute;left:8200;top:5636;width:841;height:7571" coordorigin="8200,5636" coordsize="841,7571">
              <v:shape style="position:absolute;left:8200;top:5636;width:841;height:7571" coordorigin="8200,5636" coordsize="841,7571" path="m8200,13207l9040,13207,9040,5636,8200,5636,8200,13207xe" filled="true" fillcolor="#ffffff" stroked="false">
                <v:path arrowok="t"/>
                <v:fill type="solid"/>
              </v:shape>
            </v:group>
            <v:group style="position:absolute;left:8224;top:9069;width:795;height:353" coordorigin="8224,9069" coordsize="795,353">
              <v:shape style="position:absolute;left:8224;top:9069;width:795;height:353" coordorigin="8224,9069" coordsize="795,353" path="m8224,9421l9019,9421,9019,9069,8224,9069,8224,9421xe" filled="true" fillcolor="#ffffff" stroked="false">
                <v:path arrowok="t"/>
                <v:fill type="solid"/>
              </v:shape>
            </v:group>
            <v:group style="position:absolute;left:8224;top:9421;width:795;height:353" coordorigin="8224,9421" coordsize="795,353">
              <v:shape style="position:absolute;left:8224;top:9421;width:795;height:353" coordorigin="8224,9421" coordsize="795,353" path="m8224,9774l9019,9774,9019,9421,8224,9421,8224,977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38"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效地控制公司经营和管控风险。</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（六）进一步完善利润分配制度，强化投资者回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报机制</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6"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根据《上市公司监管指引第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9"/>
                <w:sz w:val="18"/>
                <w:szCs w:val="18"/>
              </w:rPr>
              <w:t>分红》等规定的要求，为完善公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增强利润分配的透明度，保护公众投资者的合法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权益，公司于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日召开了第一届董</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事会第十四次会议，于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w:t>
            </w:r>
            <w:r>
              <w:rPr>
                <w:rFonts w:ascii="宋体" w:hAnsi="宋体" w:cs="宋体" w:eastAsia="宋体" w:hint="default"/>
                <w:spacing w:val="-3"/>
                <w:sz w:val="18"/>
                <w:szCs w:val="18"/>
              </w:rPr>
              <w:t>会</w:t>
            </w:r>
            <w:r>
              <w:rPr>
                <w:rFonts w:ascii="宋体" w:hAnsi="宋体" w:cs="宋体" w:eastAsia="宋体" w:hint="default"/>
                <w:spacing w:val="-89"/>
                <w:sz w:val="18"/>
                <w:szCs w:val="18"/>
              </w:rPr>
              <w:t>，</w:t>
            </w:r>
            <w:r>
              <w:rPr>
                <w:rFonts w:ascii="宋体" w:hAnsi="宋体" w:cs="宋体" w:eastAsia="宋体" w:hint="default"/>
                <w:sz w:val="18"/>
                <w:szCs w:val="18"/>
              </w:rPr>
              <w:t>对</w:t>
            </w:r>
            <w:r>
              <w:rPr>
                <w:rFonts w:ascii="宋体" w:hAnsi="宋体" w:cs="宋体" w:eastAsia="宋体" w:hint="default"/>
                <w:spacing w:val="-87"/>
                <w:sz w:val="18"/>
                <w:szCs w:val="18"/>
              </w:rPr>
              <w:t>原</w:t>
            </w:r>
            <w:r>
              <w:rPr>
                <w:rFonts w:ascii="宋体" w:hAnsi="宋体" w:cs="宋体" w:eastAsia="宋体" w:hint="default"/>
                <w:sz w:val="18"/>
                <w:szCs w:val="18"/>
              </w:rPr>
              <w:t>《公司章</w:t>
            </w:r>
            <w:r>
              <w:rPr>
                <w:rFonts w:ascii="宋体" w:hAnsi="宋体" w:cs="宋体" w:eastAsia="宋体" w:hint="default"/>
                <w:spacing w:val="-87"/>
                <w:sz w:val="18"/>
                <w:szCs w:val="18"/>
              </w:rPr>
              <w:t>程</w:t>
            </w:r>
            <w:r>
              <w:rPr>
                <w:rFonts w:ascii="宋体" w:hAnsi="宋体" w:cs="宋体" w:eastAsia="宋体" w:hint="default"/>
                <w:sz w:val="18"/>
                <w:szCs w:val="18"/>
              </w:rPr>
              <w:t>（草</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案</w:t>
            </w:r>
            <w:r>
              <w:rPr>
                <w:rFonts w:ascii="宋体" w:hAnsi="宋体" w:cs="宋体" w:eastAsia="宋体" w:hint="default"/>
                <w:spacing w:val="-87"/>
                <w:sz w:val="18"/>
                <w:szCs w:val="18"/>
              </w:rPr>
              <w:t>）</w:t>
            </w:r>
            <w:r>
              <w:rPr>
                <w:rFonts w:ascii="宋体" w:hAnsi="宋体" w:cs="宋体" w:eastAsia="宋体" w:hint="default"/>
                <w:spacing w:val="2"/>
                <w:sz w:val="18"/>
                <w:szCs w:val="18"/>
              </w:rPr>
              <w:t>》中关于利润分配政策</w:t>
            </w:r>
            <w:r>
              <w:rPr>
                <w:rFonts w:ascii="宋体" w:hAnsi="宋体" w:cs="宋体" w:eastAsia="宋体" w:hint="default"/>
                <w:spacing w:val="4"/>
                <w:sz w:val="18"/>
                <w:szCs w:val="18"/>
              </w:rPr>
              <w:t>的</w:t>
            </w:r>
            <w:r>
              <w:rPr>
                <w:rFonts w:ascii="宋体" w:hAnsi="宋体" w:cs="宋体" w:eastAsia="宋体" w:hint="default"/>
                <w:spacing w:val="2"/>
                <w:sz w:val="18"/>
                <w:szCs w:val="18"/>
              </w:rPr>
              <w:t>条款进行了修订</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公司将根据中国证监会、深圳证券交易所后续出</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台的实施细则，持续完善填补被摊薄即期回报的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各项措施。</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58"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根据《国务院关于进一步促进资本市场健康发展</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的若</w:t>
            </w:r>
            <w:r>
              <w:rPr>
                <w:rFonts w:ascii="宋体" w:hAnsi="宋体" w:cs="宋体" w:eastAsia="宋体" w:hint="default"/>
                <w:sz w:val="18"/>
                <w:szCs w:val="18"/>
              </w:rPr>
              <w:t>干</w:t>
            </w:r>
            <w:r>
              <w:rPr>
                <w:rFonts w:ascii="宋体" w:hAnsi="宋体" w:cs="宋体" w:eastAsia="宋体" w:hint="default"/>
                <w:spacing w:val="2"/>
                <w:sz w:val="18"/>
                <w:szCs w:val="18"/>
              </w:rPr>
              <w:t>意见</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国</w:t>
            </w:r>
            <w:r>
              <w:rPr>
                <w:rFonts w:ascii="宋体" w:hAnsi="宋体" w:cs="宋体" w:eastAsia="宋体" w:hint="default"/>
                <w:spacing w:val="1"/>
                <w:sz w:val="18"/>
                <w:szCs w:val="18"/>
              </w:rPr>
              <w:t>发</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国</w:t>
            </w:r>
            <w:r>
              <w:rPr>
                <w:rFonts w:ascii="宋体" w:hAnsi="宋体" w:cs="宋体" w:eastAsia="宋体" w:hint="default"/>
                <w:spacing w:val="2"/>
                <w:sz w:val="18"/>
                <w:szCs w:val="18"/>
              </w:rPr>
              <w:t>务</w:t>
            </w:r>
            <w:r>
              <w:rPr>
                <w:rFonts w:ascii="宋体" w:hAnsi="宋体" w:cs="宋体" w:eastAsia="宋体" w:hint="default"/>
                <w:sz w:val="18"/>
                <w:szCs w:val="18"/>
              </w:rPr>
              <w:t>院</w:t>
            </w:r>
            <w:r>
              <w:rPr>
                <w:rFonts w:ascii="宋体" w:hAnsi="宋体" w:cs="宋体" w:eastAsia="宋体" w:hint="default"/>
                <w:spacing w:val="2"/>
                <w:sz w:val="18"/>
                <w:szCs w:val="18"/>
              </w:rPr>
              <w:t>办</w:t>
            </w:r>
            <w:r>
              <w:rPr>
                <w:rFonts w:ascii="宋体" w:hAnsi="宋体" w:cs="宋体" w:eastAsia="宋体" w:hint="default"/>
                <w:sz w:val="18"/>
                <w:szCs w:val="18"/>
              </w:rPr>
              <w:t>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厅关于进一步加强资本市场中小投资者合法权</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益保护工作的意见</w:t>
            </w:r>
            <w:r>
              <w:rPr>
                <w:rFonts w:ascii="宋体" w:hAnsi="宋体" w:cs="宋体" w:eastAsia="宋体" w:hint="default"/>
                <w:spacing w:val="-157"/>
                <w:sz w:val="18"/>
                <w:szCs w:val="18"/>
              </w:rPr>
              <w:t>》</w:t>
            </w:r>
            <w:r>
              <w:rPr>
                <w:rFonts w:ascii="宋体" w:hAnsi="宋体" w:cs="宋体" w:eastAsia="宋体" w:hint="default"/>
                <w:sz w:val="18"/>
                <w:szCs w:val="18"/>
              </w:rPr>
              <w:t>（国办发</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65"/>
                <w:sz w:val="18"/>
                <w:szCs w:val="18"/>
              </w:rPr>
              <w:t>）和</w:t>
            </w:r>
            <w:r>
              <w:rPr>
                <w:rFonts w:ascii="宋体" w:hAnsi="宋体" w:cs="宋体" w:eastAsia="宋体" w:hint="default"/>
                <w:sz w:val="18"/>
                <w:szCs w:val="18"/>
              </w:rPr>
              <w:t>《关</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于首发及再融资、重大资产重组摊薄即期回报有</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关事项的指导意见</w:t>
            </w:r>
            <w:r>
              <w:rPr>
                <w:rFonts w:ascii="宋体" w:hAnsi="宋体" w:cs="宋体" w:eastAsia="宋体" w:hint="default"/>
                <w:spacing w:val="-87"/>
                <w:sz w:val="18"/>
                <w:szCs w:val="18"/>
              </w:rPr>
              <w:t>》</w:t>
            </w:r>
            <w:r>
              <w:rPr>
                <w:rFonts w:ascii="宋体" w:hAnsi="宋体" w:cs="宋体" w:eastAsia="宋体" w:hint="default"/>
                <w:spacing w:val="2"/>
                <w:sz w:val="18"/>
                <w:szCs w:val="18"/>
              </w:rPr>
              <w:t>（中国</w:t>
            </w:r>
            <w:r>
              <w:rPr>
                <w:rFonts w:ascii="宋体" w:hAnsi="宋体" w:cs="宋体" w:eastAsia="宋体" w:hint="default"/>
                <w:spacing w:val="4"/>
                <w:sz w:val="18"/>
                <w:szCs w:val="18"/>
              </w:rPr>
              <w:t>证</w:t>
            </w:r>
            <w:r>
              <w:rPr>
                <w:rFonts w:ascii="宋体" w:hAnsi="宋体" w:cs="宋体" w:eastAsia="宋体" w:hint="default"/>
                <w:spacing w:val="2"/>
                <w:sz w:val="18"/>
                <w:szCs w:val="18"/>
              </w:rPr>
              <w:t>券监督管理委员会</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[2015]31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号）要求，公司的董事、高级管理</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人员将忠实、勤勉地履行职责，维护公司和全体</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股东的合法权益。为贯彻执行上述规定和文件精</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35" w:right="35" w:hanging="1"/>
              <w:jc w:val="center"/>
              <w:rPr>
                <w:rFonts w:ascii="宋体" w:hAnsi="宋体" w:cs="宋体" w:eastAsia="宋体" w:hint="default"/>
                <w:sz w:val="18"/>
                <w:szCs w:val="18"/>
              </w:rPr>
            </w:pPr>
            <w:r>
              <w:rPr>
                <w:rFonts w:ascii="宋体" w:hAnsi="宋体" w:cs="宋体" w:eastAsia="宋体" w:hint="default"/>
                <w:sz w:val="18"/>
                <w:szCs w:val="18"/>
              </w:rPr>
              <w:t>冯晔</w:t>
            </w:r>
            <w:r>
              <w:rPr>
                <w:rFonts w:ascii="Times New Roman" w:hAnsi="Times New Roman" w:cs="Times New Roman" w:eastAsia="Times New Roman" w:hint="default"/>
                <w:sz w:val="18"/>
                <w:szCs w:val="18"/>
              </w:rPr>
              <w:t>;</w:t>
            </w:r>
            <w:r>
              <w:rPr>
                <w:rFonts w:ascii="宋体" w:hAnsi="宋体" w:cs="宋体" w:eastAsia="宋体" w:hint="default"/>
                <w:sz w:val="18"/>
                <w:szCs w:val="18"/>
              </w:rPr>
              <w:t>金锦萍</w:t>
            </w:r>
            <w:r>
              <w:rPr>
                <w:rFonts w:ascii="Times New Roman" w:hAnsi="Times New Roman" w:cs="Times New Roman" w:eastAsia="Times New Roman" w:hint="default"/>
                <w:sz w:val="18"/>
                <w:szCs w:val="18"/>
              </w:rPr>
              <w:t>;</w:t>
            </w:r>
            <w:r>
              <w:rPr>
                <w:rFonts w:ascii="宋体" w:hAnsi="宋体" w:cs="宋体" w:eastAsia="宋体" w:hint="default"/>
                <w:sz w:val="18"/>
                <w:szCs w:val="18"/>
              </w:rPr>
              <w:t>林雪焰</w:t>
            </w:r>
            <w:r>
              <w:rPr>
                <w:rFonts w:ascii="Times New Roman" w:hAnsi="Times New Roman" w:cs="Times New Roman" w:eastAsia="Times New Roman" w:hint="default"/>
                <w:sz w:val="18"/>
                <w:szCs w:val="18"/>
              </w:rPr>
              <w:t>; </w:t>
            </w:r>
            <w:r>
              <w:rPr>
                <w:rFonts w:ascii="宋体" w:hAnsi="宋体" w:cs="宋体" w:eastAsia="宋体" w:hint="default"/>
                <w:sz w:val="18"/>
                <w:szCs w:val="18"/>
              </w:rPr>
              <w:t>刘汉莎</w:t>
            </w:r>
            <w:r>
              <w:rPr>
                <w:rFonts w:ascii="Times New Roman" w:hAnsi="Times New Roman" w:cs="Times New Roman" w:eastAsia="Times New Roman" w:hint="default"/>
                <w:sz w:val="18"/>
                <w:szCs w:val="18"/>
              </w:rPr>
              <w:t>;</w:t>
            </w:r>
            <w:r>
              <w:rPr>
                <w:rFonts w:ascii="宋体" w:hAnsi="宋体" w:cs="宋体" w:eastAsia="宋体" w:hint="default"/>
                <w:sz w:val="18"/>
                <w:szCs w:val="18"/>
              </w:rPr>
              <w:t>卢磊</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w:t>
            </w:r>
            <w:r>
              <w:rPr>
                <w:rFonts w:ascii="宋体" w:hAnsi="宋体" w:cs="宋体" w:eastAsia="宋体" w:hint="default"/>
                <w:sz w:val="18"/>
                <w:szCs w:val="18"/>
              </w:rPr>
              <w:t>徐 哲</w:t>
            </w:r>
            <w:r>
              <w:rPr>
                <w:rFonts w:ascii="Times New Roman" w:hAnsi="Times New Roman" w:cs="Times New Roman" w:eastAsia="Times New Roman" w:hint="default"/>
                <w:sz w:val="18"/>
                <w:szCs w:val="18"/>
              </w:rPr>
              <w:t>;</w:t>
            </w:r>
            <w:r>
              <w:rPr>
                <w:rFonts w:ascii="宋体" w:hAnsi="宋体" w:cs="宋体" w:eastAsia="宋体" w:hint="default"/>
                <w:sz w:val="18"/>
                <w:szCs w:val="18"/>
              </w:rPr>
              <w:t>詹榜华</w:t>
            </w:r>
            <w:r>
              <w:rPr>
                <w:rFonts w:ascii="Times New Roman" w:hAnsi="Times New Roman" w:cs="Times New Roman" w:eastAsia="Times New Roman" w:hint="default"/>
                <w:sz w:val="18"/>
                <w:szCs w:val="18"/>
              </w:rPr>
              <w:t>;</w:t>
            </w:r>
            <w:r>
              <w:rPr>
                <w:rFonts w:ascii="宋体" w:hAnsi="宋体" w:cs="宋体" w:eastAsia="宋体" w:hint="default"/>
                <w:sz w:val="18"/>
                <w:szCs w:val="18"/>
              </w:rPr>
              <w:t>张益谦</w:t>
            </w:r>
            <w:r>
              <w:rPr>
                <w:rFonts w:ascii="Times New Roman" w:hAnsi="Times New Roman" w:cs="Times New Roman" w:eastAsia="Times New Roman" w:hint="default"/>
                <w:sz w:val="18"/>
                <w:szCs w:val="18"/>
              </w:rPr>
              <w:t>;</w:t>
            </w:r>
            <w:r>
              <w:rPr>
                <w:rFonts w:ascii="宋体" w:hAnsi="宋体" w:cs="宋体" w:eastAsia="宋体" w:hint="default"/>
                <w:sz w:val="18"/>
                <w:szCs w:val="18"/>
              </w:rPr>
              <w:t>周 贤伟</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4" w:right="19"/>
              <w:jc w:val="left"/>
              <w:rPr>
                <w:rFonts w:ascii="宋体" w:hAnsi="宋体" w:cs="宋体" w:eastAsia="宋体" w:hint="default"/>
                <w:sz w:val="18"/>
                <w:szCs w:val="18"/>
              </w:rPr>
            </w:pPr>
            <w:r>
              <w:rPr>
                <w:rFonts w:ascii="宋体" w:hAnsi="宋体" w:cs="宋体" w:eastAsia="宋体" w:hint="default"/>
                <w:spacing w:val="-9"/>
                <w:sz w:val="18"/>
                <w:szCs w:val="18"/>
              </w:rPr>
              <w:t>神，公司全体董事、高级管理人</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、本人承诺不无偿或以不公平条件向其他单位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或者个人输送利益，也不采用其他方式损害公司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、本人承诺对本人的职务消费行为进行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、本人承诺不动用公司资产从事与本人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、本人承诺</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由董事会或薪酬委员会制定的薪酬制度与公司</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如公司拟进行员工股权激励，则拟公布的公司股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权激励的行权条件与公司填补回报措施的执行</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情况相挂钩。</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、本人承诺切实履行公司制定的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有关填补回报措施以及对此作出的任何有关填</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补回报措施的承诺，若违反该等承诺并给公司或</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者投资者造成损失的，本人愿意依法承担对公司</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或者投资者的补偿责任。</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923"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00" w:lineRule="auto"/>
              <w:ind w:left="446" w:right="59" w:hanging="384"/>
              <w:jc w:val="left"/>
              <w:rPr>
                <w:rFonts w:ascii="宋体" w:hAnsi="宋体" w:cs="宋体" w:eastAsia="宋体" w:hint="default"/>
                <w:sz w:val="18"/>
                <w:szCs w:val="18"/>
              </w:rPr>
            </w:pPr>
            <w:r>
              <w:rPr>
                <w:rFonts w:ascii="宋体" w:hAnsi="宋体" w:cs="宋体" w:eastAsia="宋体" w:hint="default"/>
                <w:sz w:val="18"/>
                <w:szCs w:val="18"/>
              </w:rPr>
              <w:t>林雪焰</w:t>
            </w:r>
            <w:r>
              <w:rPr>
                <w:rFonts w:ascii="Times New Roman" w:hAnsi="Times New Roman" w:cs="Times New Roman" w:eastAsia="Times New Roman" w:hint="default"/>
                <w:sz w:val="18"/>
                <w:szCs w:val="18"/>
              </w:rPr>
              <w:t>;</w:t>
            </w:r>
            <w:r>
              <w:rPr>
                <w:rFonts w:ascii="宋体" w:hAnsi="宋体" w:cs="宋体" w:eastAsia="宋体" w:hint="default"/>
                <w:sz w:val="18"/>
                <w:szCs w:val="18"/>
              </w:rPr>
              <w:t>刘汉莎</w:t>
            </w:r>
            <w:r>
              <w:rPr>
                <w:rFonts w:ascii="Times New Roman" w:hAnsi="Times New Roman" w:cs="Times New Roman" w:eastAsia="Times New Roman" w:hint="default"/>
                <w:sz w:val="18"/>
                <w:szCs w:val="18"/>
              </w:rPr>
              <w:t>;</w:t>
            </w:r>
            <w:r>
              <w:rPr>
                <w:rFonts w:ascii="宋体" w:hAnsi="宋体" w:cs="宋体" w:eastAsia="宋体" w:hint="default"/>
                <w:sz w:val="18"/>
                <w:szCs w:val="18"/>
              </w:rPr>
              <w:t>詹榜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张益谦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pacing w:val="-2"/>
                <w:sz w:val="18"/>
                <w:szCs w:val="18"/>
              </w:rPr>
              <w:t>公司首次公开发行并上市后，所持股票在锁定期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满后两年内减持的，减持价格不低于发行价；公</w:t>
            </w:r>
            <w:r>
              <w:rPr>
                <w:rFonts w:ascii="宋体" w:hAnsi="宋体" w:cs="宋体" w:eastAsia="宋体" w:hint="default"/>
                <w:sz w:val="18"/>
                <w:szCs w:val="18"/>
              </w:rPr>
              <w:t> 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w:t>
            </w:r>
          </w:p>
          <w:p>
            <w:pPr>
              <w:pStyle w:val="TableParagraph"/>
              <w:spacing w:line="309" w:lineRule="auto"/>
              <w:ind w:left="24" w:right="17"/>
              <w:jc w:val="both"/>
              <w:rPr>
                <w:rFonts w:ascii="宋体" w:hAnsi="宋体" w:cs="宋体" w:eastAsia="宋体" w:hint="default"/>
                <w:sz w:val="18"/>
                <w:szCs w:val="18"/>
              </w:rPr>
            </w:pPr>
            <w:r>
              <w:rPr>
                <w:rFonts w:ascii="宋体" w:hAnsi="宋体" w:cs="宋体" w:eastAsia="宋体" w:hint="default"/>
                <w:spacing w:val="-3"/>
                <w:sz w:val="18"/>
                <w:szCs w:val="18"/>
              </w:rPr>
              <w:t>盘价均低于发行价，或者上市后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个月期末收盘 </w:t>
            </w:r>
            <w:r>
              <w:rPr>
                <w:rFonts w:ascii="宋体" w:hAnsi="宋体" w:cs="宋体" w:eastAsia="宋体" w:hint="default"/>
                <w:spacing w:val="-2"/>
                <w:sz w:val="18"/>
                <w:szCs w:val="18"/>
              </w:rPr>
              <w:t>价低于发行价，持有公司股票的锁定期限将自动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延长</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个月。公司董事、高级管理人员不会因职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9"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2"/>
      </w:tblGrid>
      <w:tr>
        <w:trPr>
          <w:trHeight w:val="363"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务变更、离职等原因，而放弃履行该承诺。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北京数字认证股份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宋体" w:hAnsi="宋体" w:cs="宋体" w:eastAsia="宋体" w:hint="default"/>
                <w:sz w:val="18"/>
                <w:szCs w:val="18"/>
              </w:rPr>
            </w:pPr>
            <w:r>
              <w:rPr>
                <w:rFonts w:ascii="宋体" w:hAnsi="宋体" w:cs="宋体" w:eastAsia="宋体" w:hint="default"/>
                <w:spacing w:val="7"/>
                <w:sz w:val="18"/>
                <w:szCs w:val="18"/>
              </w:rPr>
              <w:t>如果公司首次公开发行并上市的招股说明书有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虚假记载、误导性陈述或者重大遗漏，对判断公</w:t>
            </w:r>
            <w:r>
              <w:rPr>
                <w:rFonts w:ascii="宋体" w:hAnsi="宋体" w:cs="宋体" w:eastAsia="宋体" w:hint="default"/>
                <w:sz w:val="18"/>
                <w:szCs w:val="18"/>
              </w:rPr>
              <w:t> </w:t>
            </w:r>
            <w:r>
              <w:rPr>
                <w:rFonts w:ascii="宋体" w:hAnsi="宋体" w:cs="宋体" w:eastAsia="宋体" w:hint="default"/>
                <w:spacing w:val="-2"/>
                <w:sz w:val="18"/>
                <w:szCs w:val="18"/>
              </w:rPr>
              <w:t>司是否符合法律规定的发行条件构成重大、实质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影响的，公司将依法回购首次公开发行的全部新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股（如公司发生送股、资本公积转增等除权除息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事宜，回购数量应相应调整），回购价格以发行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价格（若发行人股票在此期间发生派息、送股、</w:t>
            </w:r>
            <w:r>
              <w:rPr>
                <w:rFonts w:ascii="宋体" w:hAnsi="宋体" w:cs="宋体" w:eastAsia="宋体" w:hint="default"/>
                <w:sz w:val="18"/>
                <w:szCs w:val="18"/>
              </w:rPr>
              <w:t> </w:t>
            </w:r>
            <w:r>
              <w:rPr>
                <w:rFonts w:ascii="宋体" w:hAnsi="宋体" w:cs="宋体" w:eastAsia="宋体" w:hint="default"/>
                <w:spacing w:val="-2"/>
                <w:sz w:val="18"/>
                <w:szCs w:val="18"/>
              </w:rPr>
              <w:t>资本公积转增股本等除权除息事项的，发行价格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应相应调整）加计同期存款基准利率所对应的利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息确定，具体程序按中国证监会和证券交易所的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相应规定办理。在实施上述股份回购时，如相关</w:t>
            </w:r>
            <w:r>
              <w:rPr>
                <w:rFonts w:ascii="宋体" w:hAnsi="宋体" w:cs="宋体" w:eastAsia="宋体" w:hint="default"/>
                <w:sz w:val="18"/>
                <w:szCs w:val="18"/>
              </w:rPr>
              <w:t> </w:t>
            </w:r>
            <w:r>
              <w:rPr>
                <w:rFonts w:ascii="宋体" w:hAnsi="宋体" w:cs="宋体" w:eastAsia="宋体" w:hint="default"/>
                <w:spacing w:val="-2"/>
                <w:sz w:val="18"/>
                <w:szCs w:val="18"/>
              </w:rPr>
              <w:t>法律法规、规范性文件和公司章程等另有规定的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从其规定。如果公司首次公开发行并上市的招股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说明书有虚假记载、误导性陈述或者重大遗漏， </w:t>
            </w:r>
            <w:r>
              <w:rPr>
                <w:rFonts w:ascii="宋体" w:hAnsi="宋体" w:cs="宋体" w:eastAsia="宋体" w:hint="default"/>
                <w:spacing w:val="-2"/>
                <w:sz w:val="18"/>
                <w:szCs w:val="18"/>
              </w:rPr>
              <w:t>致使投资者在证券发行和交易中遭受损失的，公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司将依法赔偿投资者损失。公司将冻结与发行新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股所募集资金等额的自有资金，为公司需根据法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律法规和监管要求赔偿的投资者的损失提供保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6020"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宋体" w:hAnsi="宋体" w:cs="宋体" w:eastAsia="宋体" w:hint="default"/>
                <w:sz w:val="18"/>
                <w:szCs w:val="18"/>
              </w:rPr>
            </w:pPr>
            <w:r>
              <w:rPr>
                <w:rFonts w:ascii="宋体" w:hAnsi="宋体" w:cs="宋体" w:eastAsia="宋体" w:hint="default"/>
                <w:spacing w:val="7"/>
                <w:sz w:val="18"/>
                <w:szCs w:val="18"/>
              </w:rPr>
              <w:t>如果公司首次公开发行并上市的招股说明书有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虚假记载、误导性陈述或者重大遗漏，对判断公</w:t>
            </w:r>
            <w:r>
              <w:rPr>
                <w:rFonts w:ascii="宋体" w:hAnsi="宋体" w:cs="宋体" w:eastAsia="宋体" w:hint="default"/>
                <w:sz w:val="18"/>
                <w:szCs w:val="18"/>
              </w:rPr>
              <w:t> </w:t>
            </w:r>
            <w:r>
              <w:rPr>
                <w:rFonts w:ascii="宋体" w:hAnsi="宋体" w:cs="宋体" w:eastAsia="宋体" w:hint="default"/>
                <w:spacing w:val="-2"/>
                <w:sz w:val="18"/>
                <w:szCs w:val="18"/>
              </w:rPr>
              <w:t>司是否符合法律规定的发行条件构成重大、实质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影响的，北京国资公司将依法回购首次公开发行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的全部新股（若公司发生送股、资本公积转增股</w:t>
            </w:r>
            <w:r>
              <w:rPr>
                <w:rFonts w:ascii="宋体" w:hAnsi="宋体" w:cs="宋体" w:eastAsia="宋体" w:hint="default"/>
                <w:sz w:val="18"/>
                <w:szCs w:val="18"/>
              </w:rPr>
              <w:t> </w:t>
            </w:r>
            <w:r>
              <w:rPr>
                <w:rFonts w:ascii="宋体" w:hAnsi="宋体" w:cs="宋体" w:eastAsia="宋体" w:hint="default"/>
                <w:spacing w:val="-3"/>
                <w:sz w:val="18"/>
                <w:szCs w:val="18"/>
              </w:rPr>
              <w:t>本等除权除息事项的，回购数量应相应调整），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回购价格以发行价格（若公司股票在此期间发生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派息、送股、资本公积转增股本等除权除息事项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的，发行价格应相应调整）加计同期存款基准利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率所对应的利息确定，具体程序按中国证监会和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证券交易所的相应规定办理。在实施上述股份回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购时，如法律法规、公司章程等另有规定的从其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规定。如果公司首次公开发行并上市的招股说明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书有虚假记载、误导性陈述或者重大遗漏，致使</w:t>
            </w:r>
            <w:r>
              <w:rPr>
                <w:rFonts w:ascii="宋体" w:hAnsi="宋体" w:cs="宋体" w:eastAsia="宋体" w:hint="default"/>
                <w:sz w:val="18"/>
                <w:szCs w:val="18"/>
              </w:rPr>
              <w:t> </w:t>
            </w:r>
            <w:r>
              <w:rPr>
                <w:rFonts w:ascii="宋体" w:hAnsi="宋体" w:cs="宋体" w:eastAsia="宋体" w:hint="default"/>
                <w:spacing w:val="-2"/>
                <w:sz w:val="18"/>
                <w:szCs w:val="18"/>
              </w:rPr>
              <w:t>投资者在证券发行和交易中遭受损失的，北京国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资公司将依法赔偿投资者损失。北京国资公司将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冻结与发售股份所取得的资金等额的自有资金， </w:t>
            </w:r>
            <w:r>
              <w:rPr>
                <w:rFonts w:ascii="宋体" w:hAnsi="宋体" w:cs="宋体" w:eastAsia="宋体" w:hint="default"/>
                <w:spacing w:val="7"/>
                <w:sz w:val="18"/>
                <w:szCs w:val="18"/>
              </w:rPr>
              <w:t>为北京国资公司需根据法律法规和监管要求赔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偿的投资者的损失提供保障。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29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如果公司首次公开发行并上市的招股说明书有 </w:t>
            </w:r>
            <w:r>
              <w:rPr>
                <w:rFonts w:ascii="宋体" w:hAnsi="宋体" w:cs="宋体" w:eastAsia="宋体" w:hint="default"/>
                <w:spacing w:val="-2"/>
                <w:sz w:val="18"/>
                <w:szCs w:val="18"/>
              </w:rPr>
              <w:t>虚假记载、误导性陈述或者重大遗漏，对判断公</w:t>
            </w:r>
            <w:r>
              <w:rPr>
                <w:rFonts w:ascii="宋体" w:hAnsi="宋体" w:cs="宋体" w:eastAsia="宋体" w:hint="default"/>
                <w:sz w:val="18"/>
                <w:szCs w:val="18"/>
              </w:rPr>
              <w:t> </w:t>
            </w:r>
            <w:r>
              <w:rPr>
                <w:rFonts w:ascii="宋体" w:hAnsi="宋体" w:cs="宋体" w:eastAsia="宋体" w:hint="default"/>
                <w:spacing w:val="-2"/>
                <w:sz w:val="18"/>
                <w:szCs w:val="18"/>
              </w:rPr>
              <w:t>司是否符合法律规定的发行条件构成重大、实质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影响的，首信股份将依法回购首次公开发行的全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w:t>
            </w:r>
          </w:p>
        </w:tc>
      </w:tr>
    </w:tbl>
    <w:p>
      <w:pPr>
        <w:spacing w:after="0" w:line="319"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795"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both"/>
              <w:rPr>
                <w:rFonts w:ascii="宋体" w:hAnsi="宋体" w:cs="宋体" w:eastAsia="宋体" w:hint="default"/>
                <w:sz w:val="18"/>
                <w:szCs w:val="18"/>
              </w:rPr>
            </w:pPr>
            <w:r>
              <w:rPr>
                <w:rFonts w:ascii="宋体" w:hAnsi="宋体" w:cs="宋体" w:eastAsia="宋体" w:hint="default"/>
                <w:spacing w:val="-2"/>
                <w:sz w:val="18"/>
                <w:szCs w:val="18"/>
              </w:rPr>
              <w:t>部新股（若发行人发生送股、资本公积转增股本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等除权除息事项的，回购数量应相应调整），回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购价格以发行价格（若发行人股票在此期间发生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派息、送股、资本公积转增股本等除权除息事项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的，发行价格应相应调整）加计同期存款基准利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率所对应的利息确定，具体程序按中国证监会和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证券交易所的相应规定办理。在实施上述股份回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购时，如法律法规、公司章程等另有规定的从其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规定。如果首次公开发行并上市的招股说明书有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虚假记载、误导性陈述或者重大遗漏，致使投资</w:t>
            </w:r>
            <w:r>
              <w:rPr>
                <w:rFonts w:ascii="宋体" w:hAnsi="宋体" w:cs="宋体" w:eastAsia="宋体" w:hint="default"/>
                <w:sz w:val="18"/>
                <w:szCs w:val="18"/>
              </w:rPr>
              <w:t> </w:t>
            </w:r>
            <w:r>
              <w:rPr>
                <w:rFonts w:ascii="宋体" w:hAnsi="宋体" w:cs="宋体" w:eastAsia="宋体" w:hint="default"/>
                <w:spacing w:val="-2"/>
                <w:sz w:val="18"/>
                <w:szCs w:val="18"/>
              </w:rPr>
              <w:t>者在证券发行和交易中遭受损失，首信股份将依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法赔偿投资者损失。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164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
              <w:jc w:val="both"/>
              <w:rPr>
                <w:rFonts w:ascii="宋体" w:hAnsi="宋体" w:cs="宋体" w:eastAsia="宋体" w:hint="default"/>
                <w:sz w:val="18"/>
                <w:szCs w:val="18"/>
              </w:rPr>
            </w:pPr>
            <w:r>
              <w:rPr>
                <w:rFonts w:ascii="宋体" w:hAnsi="宋体" w:cs="宋体" w:eastAsia="宋体" w:hint="default"/>
                <w:sz w:val="18"/>
                <w:szCs w:val="18"/>
              </w:rPr>
              <w:t>冯晔</w:t>
            </w:r>
            <w:r>
              <w:rPr>
                <w:rFonts w:ascii="Times New Roman" w:hAnsi="Times New Roman" w:cs="Times New Roman" w:eastAsia="Times New Roman" w:hint="default"/>
                <w:sz w:val="18"/>
                <w:szCs w:val="18"/>
              </w:rPr>
              <w:t>;</w:t>
            </w:r>
            <w:r>
              <w:rPr>
                <w:rFonts w:ascii="宋体" w:hAnsi="宋体" w:cs="宋体" w:eastAsia="宋体" w:hint="default"/>
                <w:sz w:val="18"/>
                <w:szCs w:val="18"/>
              </w:rPr>
              <w:t>金锦萍</w:t>
            </w:r>
            <w:r>
              <w:rPr>
                <w:rFonts w:ascii="Times New Roman" w:hAnsi="Times New Roman" w:cs="Times New Roman" w:eastAsia="Times New Roman" w:hint="default"/>
                <w:sz w:val="18"/>
                <w:szCs w:val="18"/>
              </w:rPr>
              <w:t>;</w:t>
            </w:r>
            <w:r>
              <w:rPr>
                <w:rFonts w:ascii="宋体" w:hAnsi="宋体" w:cs="宋体" w:eastAsia="宋体" w:hint="default"/>
                <w:sz w:val="18"/>
                <w:szCs w:val="18"/>
              </w:rPr>
              <w:t>林雪焰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8"/>
                <w:sz w:val="18"/>
                <w:szCs w:val="18"/>
              </w:rPr>
              <w:t>刘汉莎</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刘明哲</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卢贺</w:t>
            </w:r>
            <w:r>
              <w:rPr>
                <w:rFonts w:ascii="宋体" w:hAnsi="宋体" w:cs="宋体" w:eastAsia="宋体" w:hint="default"/>
                <w:spacing w:val="-85"/>
                <w:sz w:val="18"/>
                <w:szCs w:val="18"/>
              </w:rPr>
              <w:t> </w:t>
            </w:r>
            <w:r>
              <w:rPr>
                <w:rFonts w:ascii="宋体" w:hAnsi="宋体" w:cs="宋体" w:eastAsia="宋体" w:hint="default"/>
                <w:sz w:val="18"/>
                <w:szCs w:val="18"/>
              </w:rPr>
              <w:t>会</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pacing w:val="10"/>
                <w:sz w:val="18"/>
                <w:szCs w:val="18"/>
              </w:rPr>
              <w:t>卢磊</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罗炜</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pacing w:val="12"/>
                <w:sz w:val="18"/>
                <w:szCs w:val="18"/>
              </w:rPr>
              <w:t>吴舜</w:t>
            </w:r>
            <w:r>
              <w:rPr>
                <w:rFonts w:ascii="宋体" w:hAnsi="宋体" w:cs="宋体" w:eastAsia="宋体" w:hint="default"/>
                <w:spacing w:val="-66"/>
                <w:sz w:val="18"/>
                <w:szCs w:val="18"/>
              </w:rPr>
              <w:t> </w:t>
            </w:r>
            <w:r>
              <w:rPr>
                <w:rFonts w:ascii="宋体" w:hAnsi="宋体" w:cs="宋体" w:eastAsia="宋体" w:hint="default"/>
                <w:sz w:val="18"/>
                <w:szCs w:val="18"/>
              </w:rPr>
              <w:t>皋</w:t>
            </w:r>
            <w:r>
              <w:rPr>
                <w:rFonts w:ascii="Times New Roman" w:hAnsi="Times New Roman" w:cs="Times New Roman" w:eastAsia="Times New Roman" w:hint="default"/>
                <w:sz w:val="18"/>
                <w:szCs w:val="18"/>
              </w:rPr>
              <w:t>;</w:t>
            </w:r>
            <w:r>
              <w:rPr>
                <w:rFonts w:ascii="宋体" w:hAnsi="宋体" w:cs="宋体" w:eastAsia="宋体" w:hint="default"/>
                <w:sz w:val="18"/>
                <w:szCs w:val="18"/>
              </w:rPr>
              <w:t>徐哲</w:t>
            </w:r>
            <w:r>
              <w:rPr>
                <w:rFonts w:ascii="Times New Roman" w:hAnsi="Times New Roman" w:cs="Times New Roman" w:eastAsia="Times New Roman" w:hint="default"/>
                <w:sz w:val="18"/>
                <w:szCs w:val="18"/>
              </w:rPr>
              <w:t>;</w:t>
            </w:r>
            <w:r>
              <w:rPr>
                <w:rFonts w:ascii="宋体" w:hAnsi="宋体" w:cs="宋体" w:eastAsia="宋体" w:hint="default"/>
                <w:sz w:val="18"/>
                <w:szCs w:val="18"/>
              </w:rPr>
              <w:t>詹榜华</w:t>
            </w:r>
            <w:r>
              <w:rPr>
                <w:rFonts w:ascii="Times New Roman" w:hAnsi="Times New Roman" w:cs="Times New Roman" w:eastAsia="Times New Roman" w:hint="default"/>
                <w:sz w:val="18"/>
                <w:szCs w:val="18"/>
              </w:rPr>
              <w:t>;</w:t>
            </w:r>
            <w:r>
              <w:rPr>
                <w:rFonts w:ascii="宋体" w:hAnsi="宋体" w:cs="宋体" w:eastAsia="宋体" w:hint="default"/>
                <w:sz w:val="18"/>
                <w:szCs w:val="18"/>
              </w:rPr>
              <w:t>张益</w:t>
            </w:r>
            <w:r>
              <w:rPr>
                <w:rFonts w:ascii="宋体" w:hAnsi="宋体" w:cs="宋体" w:eastAsia="宋体" w:hint="default"/>
                <w:spacing w:val="-69"/>
                <w:sz w:val="18"/>
                <w:szCs w:val="18"/>
              </w:rPr>
              <w:t> </w:t>
            </w:r>
            <w:r>
              <w:rPr>
                <w:rFonts w:ascii="宋体" w:hAnsi="宋体" w:cs="宋体" w:eastAsia="宋体" w:hint="default"/>
                <w:sz w:val="18"/>
                <w:szCs w:val="18"/>
              </w:rPr>
              <w:t>谦</w:t>
            </w:r>
            <w:r>
              <w:rPr>
                <w:rFonts w:ascii="Times New Roman" w:hAnsi="Times New Roman" w:cs="Times New Roman" w:eastAsia="Times New Roman" w:hint="default"/>
                <w:sz w:val="18"/>
                <w:szCs w:val="18"/>
              </w:rPr>
              <w:t>;</w:t>
            </w:r>
            <w:r>
              <w:rPr>
                <w:rFonts w:ascii="宋体" w:hAnsi="宋体" w:cs="宋体" w:eastAsia="宋体" w:hint="default"/>
                <w:sz w:val="18"/>
                <w:szCs w:val="18"/>
              </w:rPr>
              <w:t>周贤伟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5"/>
              <w:jc w:val="both"/>
              <w:rPr>
                <w:rFonts w:ascii="宋体" w:hAnsi="宋体" w:cs="宋体" w:eastAsia="宋体" w:hint="default"/>
                <w:sz w:val="18"/>
                <w:szCs w:val="18"/>
              </w:rPr>
            </w:pPr>
            <w:r>
              <w:rPr>
                <w:rFonts w:ascii="宋体" w:hAnsi="宋体" w:cs="宋体" w:eastAsia="宋体" w:hint="default"/>
                <w:spacing w:val="7"/>
                <w:sz w:val="18"/>
                <w:szCs w:val="18"/>
              </w:rPr>
              <w:t>如果公司首次公开发行并上市的招股说明书有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虚假记载、误导性陈述或者重大遗漏，致使投资</w:t>
            </w:r>
            <w:r>
              <w:rPr>
                <w:rFonts w:ascii="宋体" w:hAnsi="宋体" w:cs="宋体" w:eastAsia="宋体" w:hint="default"/>
                <w:sz w:val="18"/>
                <w:szCs w:val="18"/>
              </w:rPr>
              <w:t> 者在证券发行和交易中遭受损失的，公司董事、 监事和高级管理人员将依法赔偿投资者损失。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715"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Times New Roman" w:hAnsi="Times New Roman" w:cs="Times New Roman" w:eastAsia="Times New Roman" w:hint="default"/>
          <w:sz w:val="22"/>
          <w:szCs w:val="22"/>
        </w:rPr>
      </w:pPr>
    </w:p>
    <w:p>
      <w:pPr>
        <w:pStyle w:val="Heading3"/>
        <w:spacing w:line="259" w:lineRule="auto" w:before="36"/>
        <w:ind w:right="98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59"/>
        <w:ind w:left="573" w:right="982"/>
        <w:jc w:val="left"/>
      </w:pPr>
      <w:r>
        <w:rPr/>
        <w:t>（</w:t>
      </w:r>
      <w:r>
        <w:rPr>
          <w:rFonts w:ascii="Times New Roman" w:hAnsi="Times New Roman" w:cs="Times New Roman" w:eastAsia="Times New Roman" w:hint="default"/>
        </w:rPr>
        <w:t>1</w:t>
      </w:r>
      <w:r>
        <w:rPr/>
        <w:t>）重要会计政策变更</w:t>
      </w:r>
    </w:p>
    <w:p>
      <w:pPr>
        <w:pStyle w:val="Heading4"/>
        <w:spacing w:line="256" w:lineRule="auto" w:before="143"/>
        <w:ind w:right="982" w:firstLine="420"/>
        <w:jc w:val="left"/>
      </w:pPr>
      <w:r>
        <w:rPr>
          <w:spacing w:val="-2"/>
          <w:w w:val="100"/>
        </w:rPr>
        <w:t>①根据财政部《关于修订印发</w:t>
      </w:r>
      <w:r>
        <w:rPr>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spacing w:val="-6"/>
          <w:w w:val="100"/>
        </w:rPr>
        <w:t>年度一般企业财务报表格式的通知》（财会</w:t>
      </w:r>
      <w:r>
        <w:rPr>
          <w:rFonts w:ascii="Times New Roman" w:hAnsi="Times New Roman" w:cs="Times New Roman" w:eastAsia="Times New Roman" w:hint="default"/>
          <w:spacing w:val="-6"/>
          <w:w w:val="100"/>
        </w:rPr>
        <w:t>[2018]15</w:t>
      </w:r>
      <w:r>
        <w:rPr>
          <w:rFonts w:ascii="Times New Roman" w:hAnsi="Times New Roman" w:cs="Times New Roman" w:eastAsia="Times New Roman" w:hint="default"/>
          <w:spacing w:val="27"/>
          <w:w w:val="100"/>
        </w:rPr>
        <w:t> </w:t>
      </w:r>
      <w:r>
        <w:rPr>
          <w:spacing w:val="-20"/>
          <w:w w:val="100"/>
        </w:rPr>
        <w:t>号），经第三</w:t>
      </w:r>
      <w:r>
        <w:rPr>
          <w:w w:val="100"/>
        </w:rPr>
        <w:t> </w:t>
      </w:r>
      <w:r>
        <w:rPr/>
        <w:t>届董事会第十二次会议审议通过，本集团对财务报表格式进行了以下修订：</w:t>
      </w:r>
    </w:p>
    <w:p>
      <w:pPr>
        <w:pStyle w:val="Heading4"/>
        <w:spacing w:line="240" w:lineRule="auto" w:before="142"/>
        <w:ind w:left="573" w:right="982"/>
        <w:jc w:val="left"/>
      </w:pPr>
      <w:r>
        <w:rPr>
          <w:rFonts w:ascii="Times New Roman" w:hAnsi="Times New Roman" w:cs="Times New Roman" w:eastAsia="Times New Roman" w:hint="default"/>
        </w:rPr>
        <w:t>A</w:t>
      </w:r>
      <w:r>
        <w:rPr/>
        <w:t>、资产负债表</w:t>
      </w:r>
    </w:p>
    <w:p>
      <w:pPr>
        <w:pStyle w:val="Heading4"/>
        <w:spacing w:line="290" w:lineRule="auto" w:before="141"/>
        <w:ind w:left="573" w:right="2114"/>
        <w:jc w:val="left"/>
      </w:pPr>
      <w:r>
        <w:rPr/>
        <w:t>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w w:val="100"/>
        </w:rPr>
        <w:t> </w:t>
      </w:r>
      <w:r>
        <w:rPr/>
        <w:t>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w:t>
      </w:r>
      <w:r>
        <w:rPr>
          <w:w w:val="100"/>
        </w:rPr>
        <w:t> </w:t>
      </w:r>
      <w:r>
        <w:rPr/>
        <w:t>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w:t>
      </w:r>
      <w:r>
        <w:rPr>
          <w:w w:val="100"/>
        </w:rPr>
        <w:t> </w:t>
      </w:r>
      <w:r>
        <w:rPr/>
        <w:t>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w:t>
      </w:r>
      <w:r>
        <w:rPr>
          <w:w w:val="100"/>
        </w:rPr>
        <w:t> </w:t>
      </w:r>
      <w:r>
        <w:rPr>
          <w:spacing w:val="-2"/>
        </w:rPr>
        <w:t>将原</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应付账款</w:t>
      </w:r>
      <w:r>
        <w:rPr>
          <w:rFonts w:ascii="Times New Roman" w:hAnsi="Times New Roman" w:cs="Times New Roman" w:eastAsia="Times New Roman" w:hint="default"/>
          <w:spacing w:val="-2"/>
        </w:rPr>
        <w:t>”</w:t>
      </w:r>
      <w:r>
        <w:rPr>
          <w:spacing w:val="-2"/>
        </w:rPr>
        <w:t>行项目整合为</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w:t>
      </w:r>
      <w:r>
        <w:rPr>
          <w:spacing w:val="-44"/>
        </w:rPr>
        <w:t> </w:t>
      </w:r>
      <w:r>
        <w:rPr>
          <w:spacing w:val="-44"/>
        </w:rPr>
      </w:r>
      <w:r>
        <w:rPr/>
        <w:t>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w:t>
      </w:r>
      <w:r>
        <w:rPr>
          <w:w w:val="100"/>
        </w:rPr>
        <w:t> </w:t>
      </w:r>
      <w:r>
        <w:rPr/>
        <w:t>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Heading4"/>
        <w:spacing w:line="357" w:lineRule="auto" w:before="90"/>
        <w:ind w:left="573" w:right="6474"/>
        <w:jc w:val="left"/>
      </w:pPr>
      <w:r>
        <w:rPr>
          <w:rFonts w:ascii="Times New Roman" w:hAnsi="Times New Roman" w:cs="Times New Roman" w:eastAsia="Times New Roman" w:hint="default"/>
        </w:rPr>
        <w:t>B</w:t>
      </w:r>
      <w:r>
        <w:rPr/>
        <w:t>、利润表</w:t>
      </w:r>
      <w:r>
        <w:rPr>
          <w:w w:val="100"/>
        </w:rPr>
        <w:t> </w:t>
      </w:r>
      <w:r>
        <w:rPr>
          <w:spacing w:val="-2"/>
        </w:rPr>
        <w:t>从原</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中分拆出</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w:t>
      </w:r>
    </w:p>
    <w:p>
      <w:pPr>
        <w:pStyle w:val="Heading4"/>
        <w:spacing w:line="236" w:lineRule="exact"/>
        <w:ind w:left="573" w:right="982"/>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Heading4"/>
        <w:spacing w:line="292" w:lineRule="auto" w:before="62"/>
        <w:ind w:left="573" w:right="982"/>
        <w:jc w:val="left"/>
      </w:pPr>
      <w:r>
        <w:rPr/>
        <w:t>本集团对可比期间的比较数据按照财会</w:t>
      </w:r>
      <w:r>
        <w:rPr>
          <w:rFonts w:ascii="Times New Roman" w:hAnsi="Times New Roman" w:cs="Times New Roman" w:eastAsia="Times New Roman" w:hint="default"/>
        </w:rPr>
        <w:t>[2018]15</w:t>
      </w:r>
      <w:r>
        <w:rPr>
          <w:rFonts w:ascii="Times New Roman" w:hAnsi="Times New Roman" w:cs="Times New Roman" w:eastAsia="Times New Roman" w:hint="default"/>
          <w:spacing w:val="-4"/>
        </w:rPr>
        <w:t> </w:t>
      </w:r>
      <w:r>
        <w:rPr/>
        <w:t>号文进行调整。</w:t>
      </w:r>
      <w:r>
        <w:rPr>
          <w:w w:val="100"/>
        </w:rPr>
        <w:t> </w:t>
      </w:r>
      <w:r>
        <w:rPr>
          <w:spacing w:val="-2"/>
        </w:rPr>
        <w:t>财务报表格式的修订对本集团的资产总额、负债总额、净利润、其他综合收益等无影响。</w:t>
      </w:r>
    </w:p>
    <w:p>
      <w:pPr>
        <w:pStyle w:val="Heading4"/>
        <w:spacing w:line="379" w:lineRule="auto" w:before="108"/>
        <w:ind w:left="573" w:right="2114"/>
        <w:jc w:val="left"/>
      </w:pPr>
      <w:r>
        <w:rPr>
          <w:spacing w:val="-2"/>
        </w:rPr>
        <w:t>②经第三届董事会第十二次会议审议通过，本集团对固定资产分类变更如下：</w:t>
      </w:r>
      <w:r>
        <w:rPr>
          <w:spacing w:val="-42"/>
        </w:rPr>
        <w:t> </w:t>
      </w:r>
      <w:r>
        <w:rPr>
          <w:spacing w:val="-42"/>
        </w:rPr>
      </w:r>
      <w:r>
        <w:rPr/>
        <w:t>会计政策变更前</w:t>
      </w:r>
    </w:p>
    <w:p>
      <w:pPr>
        <w:spacing w:line="240" w:lineRule="auto" w:before="6"/>
        <w:rPr>
          <w:rFonts w:ascii="宋体" w:hAnsi="宋体" w:cs="宋体" w:eastAsia="宋体" w:hint="default"/>
          <w:sz w:val="3"/>
          <w:szCs w:val="3"/>
        </w:rPr>
      </w:pPr>
    </w:p>
    <w:tbl>
      <w:tblPr>
        <w:tblW w:w="0" w:type="auto"/>
        <w:jc w:val="left"/>
        <w:tblInd w:w="395" w:type="dxa"/>
        <w:tblLayout w:type="fixed"/>
        <w:tblCellMar>
          <w:top w:w="0" w:type="dxa"/>
          <w:left w:w="0" w:type="dxa"/>
          <w:bottom w:w="0" w:type="dxa"/>
          <w:right w:w="0" w:type="dxa"/>
        </w:tblCellMar>
        <w:tblLook w:val="01E0"/>
      </w:tblPr>
      <w:tblGrid>
        <w:gridCol w:w="2425"/>
        <w:gridCol w:w="2608"/>
        <w:gridCol w:w="1923"/>
        <w:gridCol w:w="2198"/>
      </w:tblGrid>
      <w:tr>
        <w:trPr>
          <w:trHeight w:val="420" w:hRule="exact"/>
        </w:trPr>
        <w:tc>
          <w:tcPr>
            <w:tcW w:w="2425" w:type="dxa"/>
            <w:tcBorders>
              <w:top w:val="single" w:sz="4" w:space="0" w:color="000000"/>
              <w:left w:val="nil" w:sz="6" w:space="0" w:color="auto"/>
              <w:bottom w:val="single" w:sz="4" w:space="0" w:color="000000"/>
              <w:right w:val="nil" w:sz="6" w:space="0" w:color="auto"/>
            </w:tcBorders>
          </w:tcPr>
          <w:p>
            <w:pPr>
              <w:pStyle w:val="TableParagraph"/>
              <w:tabs>
                <w:tab w:pos="732" w:val="left" w:leader="none"/>
              </w:tabs>
              <w:spacing w:line="240" w:lineRule="auto" w:before="38"/>
              <w:ind w:left="310"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35" w:right="0"/>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19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5"/>
              <w:jc w:val="center"/>
              <w:rPr>
                <w:rFonts w:ascii="Times New Roman" w:hAnsi="Times New Roman" w:cs="Times New Roman" w:eastAsia="Times New Roman"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p>
        </w:tc>
        <w:tc>
          <w:tcPr>
            <w:tcW w:w="2198"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5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p>
        </w:tc>
      </w:tr>
      <w:tr>
        <w:trPr>
          <w:trHeight w:val="424" w:hRule="exact"/>
        </w:trPr>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312"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260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35" w:right="0"/>
              <w:jc w:val="center"/>
              <w:rPr>
                <w:rFonts w:ascii="Times New Roman" w:hAnsi="Times New Roman" w:cs="Times New Roman" w:eastAsia="Times New Roman" w:hint="default"/>
                <w:sz w:val="21"/>
                <w:szCs w:val="21"/>
              </w:rPr>
            </w:pPr>
            <w:r>
              <w:rPr>
                <w:rFonts w:ascii="Times New Roman"/>
                <w:w w:val="100"/>
                <w:sz w:val="21"/>
              </w:rPr>
              <w:t>5</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6"/>
              <w:jc w:val="center"/>
              <w:rPr>
                <w:rFonts w:ascii="Times New Roman" w:hAnsi="Times New Roman" w:cs="Times New Roman" w:eastAsia="Times New Roman" w:hint="default"/>
                <w:sz w:val="21"/>
                <w:szCs w:val="21"/>
              </w:rPr>
            </w:pPr>
            <w:r>
              <w:rPr>
                <w:rFonts w:ascii="Times New Roman"/>
                <w:w w:val="100"/>
                <w:sz w:val="21"/>
              </w:rPr>
              <w:t>5</w:t>
            </w:r>
          </w:p>
        </w:tc>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52" w:right="0"/>
              <w:jc w:val="center"/>
              <w:rPr>
                <w:rFonts w:ascii="Times New Roman" w:hAnsi="Times New Roman" w:cs="Times New Roman" w:eastAsia="Times New Roman" w:hint="default"/>
                <w:sz w:val="21"/>
                <w:szCs w:val="21"/>
              </w:rPr>
            </w:pPr>
            <w:r>
              <w:rPr>
                <w:rFonts w:ascii="Times New Roman"/>
                <w:sz w:val="21"/>
              </w:rPr>
              <w:t>19.00</w:t>
            </w:r>
          </w:p>
        </w:tc>
      </w:tr>
      <w:tr>
        <w:trPr>
          <w:trHeight w:val="412"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12" w:right="0"/>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5" w:right="0"/>
              <w:jc w:val="center"/>
              <w:rPr>
                <w:rFonts w:ascii="Times New Roman" w:hAnsi="Times New Roman" w:cs="Times New Roman" w:eastAsia="Times New Roman" w:hint="default"/>
                <w:sz w:val="21"/>
                <w:szCs w:val="21"/>
              </w:rPr>
            </w:pPr>
            <w:r>
              <w:rPr>
                <w:rFonts w:ascii="Times New Roman"/>
                <w:w w:val="100"/>
                <w:sz w:val="21"/>
              </w:rPr>
              <w:t>5</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6"/>
              <w:jc w:val="center"/>
              <w:rPr>
                <w:rFonts w:ascii="Times New Roman" w:hAnsi="Times New Roman" w:cs="Times New Roman" w:eastAsia="Times New Roman" w:hint="default"/>
                <w:sz w:val="21"/>
                <w:szCs w:val="21"/>
              </w:rPr>
            </w:pPr>
            <w:r>
              <w:rPr>
                <w:rFonts w:ascii="Times New Roman"/>
                <w:w w:val="100"/>
                <w:sz w:val="21"/>
              </w:rPr>
              <w:t>5</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2" w:right="0"/>
              <w:jc w:val="center"/>
              <w:rPr>
                <w:rFonts w:ascii="Times New Roman" w:hAnsi="Times New Roman" w:cs="Times New Roman" w:eastAsia="Times New Roman" w:hint="default"/>
                <w:sz w:val="21"/>
                <w:szCs w:val="21"/>
              </w:rPr>
            </w:pPr>
            <w:r>
              <w:rPr>
                <w:rFonts w:ascii="Times New Roman"/>
                <w:sz w:val="21"/>
              </w:rPr>
              <w:t>19.00</w:t>
            </w:r>
          </w:p>
        </w:tc>
      </w:tr>
      <w:tr>
        <w:trPr>
          <w:trHeight w:val="412" w:hRule="exact"/>
        </w:trPr>
        <w:tc>
          <w:tcPr>
            <w:tcW w:w="242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312"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35" w:right="0"/>
              <w:jc w:val="center"/>
              <w:rPr>
                <w:rFonts w:ascii="Times New Roman" w:hAnsi="Times New Roman" w:cs="Times New Roman" w:eastAsia="Times New Roman" w:hint="default"/>
                <w:sz w:val="21"/>
                <w:szCs w:val="21"/>
              </w:rPr>
            </w:pPr>
            <w:r>
              <w:rPr>
                <w:rFonts w:ascii="Times New Roman"/>
                <w:w w:val="100"/>
                <w:sz w:val="21"/>
              </w:rPr>
              <w:t>5</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16"/>
              <w:jc w:val="center"/>
              <w:rPr>
                <w:rFonts w:ascii="Times New Roman" w:hAnsi="Times New Roman" w:cs="Times New Roman" w:eastAsia="Times New Roman" w:hint="default"/>
                <w:sz w:val="21"/>
                <w:szCs w:val="21"/>
              </w:rPr>
            </w:pPr>
            <w:r>
              <w:rPr>
                <w:rFonts w:ascii="Times New Roman"/>
                <w:w w:val="100"/>
                <w:sz w:val="21"/>
              </w:rPr>
              <w:t>5</w:t>
            </w:r>
          </w:p>
        </w:tc>
        <w:tc>
          <w:tcPr>
            <w:tcW w:w="219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52" w:right="0"/>
              <w:jc w:val="center"/>
              <w:rPr>
                <w:rFonts w:ascii="Times New Roman" w:hAnsi="Times New Roman" w:cs="Times New Roman" w:eastAsia="Times New Roman" w:hint="default"/>
                <w:sz w:val="21"/>
                <w:szCs w:val="21"/>
              </w:rPr>
            </w:pPr>
            <w:r>
              <w:rPr>
                <w:rFonts w:ascii="Times New Roman"/>
                <w:sz w:val="21"/>
              </w:rPr>
              <w:t>19.00</w:t>
            </w:r>
          </w:p>
        </w:tc>
      </w:tr>
    </w:tbl>
    <w:p>
      <w:pPr>
        <w:spacing w:line="240" w:lineRule="auto" w:before="9"/>
        <w:rPr>
          <w:rFonts w:ascii="宋体" w:hAnsi="宋体" w:cs="宋体" w:eastAsia="宋体" w:hint="default"/>
          <w:sz w:val="5"/>
          <w:szCs w:val="5"/>
        </w:rPr>
      </w:pPr>
    </w:p>
    <w:p>
      <w:pPr>
        <w:pStyle w:val="Heading4"/>
        <w:spacing w:line="240" w:lineRule="auto" w:before="36"/>
        <w:ind w:left="573" w:right="982"/>
        <w:jc w:val="left"/>
      </w:pPr>
      <w:r>
        <w:rPr/>
        <w:t>会计政策变更后</w:t>
      </w:r>
    </w:p>
    <w:p>
      <w:pPr>
        <w:spacing w:line="240" w:lineRule="auto" w:before="10"/>
        <w:rPr>
          <w:rFonts w:ascii="宋体" w:hAnsi="宋体" w:cs="宋体" w:eastAsia="宋体" w:hint="default"/>
          <w:sz w:val="12"/>
          <w:szCs w:val="12"/>
        </w:rPr>
      </w:pPr>
    </w:p>
    <w:tbl>
      <w:tblPr>
        <w:tblW w:w="0" w:type="auto"/>
        <w:jc w:val="left"/>
        <w:tblInd w:w="395" w:type="dxa"/>
        <w:tblLayout w:type="fixed"/>
        <w:tblCellMar>
          <w:top w:w="0" w:type="dxa"/>
          <w:left w:w="0" w:type="dxa"/>
          <w:bottom w:w="0" w:type="dxa"/>
          <w:right w:w="0" w:type="dxa"/>
        </w:tblCellMar>
        <w:tblLook w:val="01E0"/>
      </w:tblPr>
      <w:tblGrid>
        <w:gridCol w:w="2583"/>
        <w:gridCol w:w="2451"/>
        <w:gridCol w:w="1923"/>
        <w:gridCol w:w="2198"/>
      </w:tblGrid>
      <w:tr>
        <w:trPr>
          <w:trHeight w:val="422" w:hRule="exact"/>
        </w:trPr>
        <w:tc>
          <w:tcPr>
            <w:tcW w:w="2583" w:type="dxa"/>
            <w:tcBorders>
              <w:top w:val="single" w:sz="4" w:space="0" w:color="000000"/>
              <w:left w:val="nil" w:sz="6" w:space="0" w:color="auto"/>
              <w:bottom w:val="single" w:sz="4" w:space="0" w:color="000000"/>
              <w:right w:val="nil" w:sz="6" w:space="0" w:color="auto"/>
            </w:tcBorders>
          </w:tcPr>
          <w:p>
            <w:pPr>
              <w:pStyle w:val="TableParagraph"/>
              <w:tabs>
                <w:tab w:pos="575" w:val="left" w:leader="none"/>
              </w:tabs>
              <w:spacing w:line="240" w:lineRule="auto" w:before="38"/>
              <w:ind w:left="153"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451"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9"/>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19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5"/>
              <w:jc w:val="center"/>
              <w:rPr>
                <w:rFonts w:ascii="Times New Roman" w:hAnsi="Times New Roman" w:cs="Times New Roman" w:eastAsia="Times New Roman"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p>
        </w:tc>
        <w:tc>
          <w:tcPr>
            <w:tcW w:w="2198"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5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p>
        </w:tc>
      </w:tr>
      <w:tr>
        <w:trPr>
          <w:trHeight w:val="423"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53"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451"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9"/>
              <w:jc w:val="center"/>
              <w:rPr>
                <w:rFonts w:ascii="Times New Roman" w:hAnsi="Times New Roman" w:cs="Times New Roman" w:eastAsia="Times New Roman" w:hint="default"/>
                <w:sz w:val="21"/>
                <w:szCs w:val="21"/>
              </w:rPr>
            </w:pPr>
            <w:r>
              <w:rPr>
                <w:rFonts w:ascii="Times New Roman"/>
                <w:sz w:val="21"/>
              </w:rPr>
              <w:t>30</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16"/>
              <w:jc w:val="center"/>
              <w:rPr>
                <w:rFonts w:ascii="Times New Roman" w:hAnsi="Times New Roman" w:cs="Times New Roman" w:eastAsia="Times New Roman" w:hint="default"/>
                <w:sz w:val="21"/>
                <w:szCs w:val="21"/>
              </w:rPr>
            </w:pPr>
            <w:r>
              <w:rPr>
                <w:rFonts w:ascii="Times New Roman"/>
                <w:w w:val="100"/>
                <w:sz w:val="21"/>
              </w:rPr>
              <w:t>5</w:t>
            </w:r>
          </w:p>
        </w:tc>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52" w:right="0"/>
              <w:jc w:val="center"/>
              <w:rPr>
                <w:rFonts w:ascii="Times New Roman" w:hAnsi="Times New Roman" w:cs="Times New Roman" w:eastAsia="Times New Roman" w:hint="default"/>
                <w:sz w:val="21"/>
                <w:szCs w:val="21"/>
              </w:rPr>
            </w:pPr>
            <w:r>
              <w:rPr>
                <w:rFonts w:ascii="Times New Roman"/>
                <w:sz w:val="21"/>
              </w:rPr>
              <w:t>3.17</w:t>
            </w:r>
          </w:p>
        </w:tc>
      </w:tr>
      <w:tr>
        <w:trPr>
          <w:trHeight w:val="412"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3" w:right="0"/>
              <w:jc w:val="center"/>
              <w:rPr>
                <w:rFonts w:ascii="宋体" w:hAnsi="宋体" w:cs="宋体" w:eastAsia="宋体" w:hint="default"/>
                <w:sz w:val="21"/>
                <w:szCs w:val="21"/>
              </w:rPr>
            </w:pPr>
            <w:r>
              <w:rPr>
                <w:rFonts w:ascii="宋体" w:hAnsi="宋体" w:cs="宋体" w:eastAsia="宋体" w:hint="default"/>
                <w:sz w:val="21"/>
                <w:szCs w:val="21"/>
              </w:rPr>
              <w:t>电子及办公设备</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center"/>
              <w:rPr>
                <w:rFonts w:ascii="Times New Roman" w:hAnsi="Times New Roman" w:cs="Times New Roman" w:eastAsia="Times New Roman" w:hint="default"/>
                <w:sz w:val="21"/>
                <w:szCs w:val="21"/>
              </w:rPr>
            </w:pPr>
            <w:r>
              <w:rPr>
                <w:rFonts w:ascii="Times New Roman"/>
                <w:w w:val="100"/>
                <w:sz w:val="21"/>
              </w:rPr>
              <w:t>5</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6"/>
              <w:jc w:val="center"/>
              <w:rPr>
                <w:rFonts w:ascii="Times New Roman" w:hAnsi="Times New Roman" w:cs="Times New Roman" w:eastAsia="Times New Roman" w:hint="default"/>
                <w:sz w:val="21"/>
                <w:szCs w:val="21"/>
              </w:rPr>
            </w:pPr>
            <w:r>
              <w:rPr>
                <w:rFonts w:ascii="Times New Roman"/>
                <w:w w:val="100"/>
                <w:sz w:val="21"/>
              </w:rPr>
              <w:t>5</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 w:right="0"/>
              <w:jc w:val="center"/>
              <w:rPr>
                <w:rFonts w:ascii="Times New Roman" w:hAnsi="Times New Roman" w:cs="Times New Roman" w:eastAsia="Times New Roman" w:hint="default"/>
                <w:sz w:val="21"/>
                <w:szCs w:val="21"/>
              </w:rPr>
            </w:pPr>
            <w:r>
              <w:rPr>
                <w:rFonts w:ascii="Times New Roman"/>
                <w:sz w:val="21"/>
              </w:rPr>
              <w:t>19.00</w:t>
            </w:r>
          </w:p>
        </w:tc>
      </w:tr>
      <w:tr>
        <w:trPr>
          <w:trHeight w:val="411"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155"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2451"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9"/>
              <w:jc w:val="center"/>
              <w:rPr>
                <w:rFonts w:ascii="Times New Roman" w:hAnsi="Times New Roman" w:cs="Times New Roman" w:eastAsia="Times New Roman" w:hint="default"/>
                <w:sz w:val="21"/>
                <w:szCs w:val="21"/>
              </w:rPr>
            </w:pPr>
            <w:r>
              <w:rPr>
                <w:rFonts w:ascii="Times New Roman"/>
                <w:w w:val="100"/>
                <w:sz w:val="21"/>
              </w:rPr>
              <w:t>5</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16"/>
              <w:jc w:val="center"/>
              <w:rPr>
                <w:rFonts w:ascii="Times New Roman" w:hAnsi="Times New Roman" w:cs="Times New Roman" w:eastAsia="Times New Roman" w:hint="default"/>
                <w:sz w:val="21"/>
                <w:szCs w:val="21"/>
              </w:rPr>
            </w:pPr>
            <w:r>
              <w:rPr>
                <w:rFonts w:ascii="Times New Roman"/>
                <w:w w:val="100"/>
                <w:sz w:val="21"/>
              </w:rPr>
              <w:t>5</w:t>
            </w:r>
          </w:p>
        </w:tc>
        <w:tc>
          <w:tcPr>
            <w:tcW w:w="219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52" w:right="0"/>
              <w:jc w:val="center"/>
              <w:rPr>
                <w:rFonts w:ascii="Times New Roman" w:hAnsi="Times New Roman" w:cs="Times New Roman" w:eastAsia="Times New Roman" w:hint="default"/>
                <w:sz w:val="21"/>
                <w:szCs w:val="21"/>
              </w:rPr>
            </w:pPr>
            <w:r>
              <w:rPr>
                <w:rFonts w:ascii="Times New Roman"/>
                <w:sz w:val="21"/>
              </w:rPr>
              <w:t>19.00</w:t>
            </w:r>
          </w:p>
        </w:tc>
      </w:tr>
    </w:tbl>
    <w:p>
      <w:pPr>
        <w:spacing w:line="240" w:lineRule="auto" w:before="8"/>
        <w:rPr>
          <w:rFonts w:ascii="宋体" w:hAnsi="宋体" w:cs="宋体" w:eastAsia="宋体" w:hint="default"/>
          <w:sz w:val="5"/>
          <w:szCs w:val="5"/>
        </w:rPr>
      </w:pPr>
    </w:p>
    <w:p>
      <w:pPr>
        <w:pStyle w:val="Heading4"/>
        <w:spacing w:line="357" w:lineRule="auto" w:before="36"/>
        <w:ind w:left="573" w:right="982"/>
        <w:jc w:val="left"/>
      </w:pPr>
      <w:r>
        <w:rPr/>
        <w:t>（</w:t>
      </w:r>
      <w:r>
        <w:rPr>
          <w:rFonts w:ascii="Times New Roman" w:hAnsi="Times New Roman" w:cs="Times New Roman" w:eastAsia="Times New Roman" w:hint="default"/>
        </w:rPr>
        <w:t>2</w:t>
      </w:r>
      <w:r>
        <w:rPr/>
        <w:t>）重要会计估计变更</w:t>
      </w:r>
      <w:r>
        <w:rPr>
          <w:w w:val="100"/>
        </w:rPr>
        <w:t> </w:t>
      </w:r>
      <w:r>
        <w:rPr>
          <w:spacing w:val="-2"/>
        </w:rPr>
        <w:t>经第三届董事会第十二次会议审议通过，本集团对应收款项单项金额重大的判断依据或金额标准的会</w:t>
      </w:r>
    </w:p>
    <w:p>
      <w:pPr>
        <w:pStyle w:val="Heading4"/>
        <w:spacing w:line="209" w:lineRule="exact"/>
        <w:ind w:right="982"/>
        <w:jc w:val="left"/>
      </w:pPr>
      <w:r>
        <w:rPr/>
        <w:t>计估计进行变更。</w:t>
      </w:r>
    </w:p>
    <w:p>
      <w:pPr>
        <w:pStyle w:val="Heading4"/>
        <w:spacing w:line="240" w:lineRule="auto" w:before="157"/>
        <w:ind w:left="573" w:right="982"/>
        <w:jc w:val="left"/>
      </w:pPr>
      <w:r>
        <w:rPr/>
        <w:t>会计估计变更前</w:t>
      </w:r>
    </w:p>
    <w:p>
      <w:pPr>
        <w:pStyle w:val="Heading4"/>
        <w:spacing w:line="240" w:lineRule="auto" w:before="157"/>
        <w:ind w:left="573" w:right="982"/>
        <w:jc w:val="left"/>
      </w:pPr>
      <w:r>
        <w:rPr/>
        <w:t>单项金额重大的判断依据或金额标准：期末余额达到</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t>万元（含</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t>万元）以上的应收款项为单项</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76" w:lineRule="auto" w:before="36"/>
        <w:ind w:left="573" w:right="7694" w:hanging="421"/>
        <w:jc w:val="left"/>
      </w:pPr>
      <w:r>
        <w:rPr>
          <w:spacing w:val="-2"/>
        </w:rPr>
        <w:t>金额重大的应收款项。</w:t>
      </w:r>
      <w:r>
        <w:rPr>
          <w:spacing w:val="-84"/>
        </w:rPr>
        <w:t> </w:t>
      </w:r>
      <w:r>
        <w:rPr>
          <w:spacing w:val="-84"/>
        </w:rPr>
      </w:r>
      <w:r>
        <w:rPr/>
        <w:t>会计估计变更后</w:t>
      </w:r>
    </w:p>
    <w:p>
      <w:pPr>
        <w:pStyle w:val="Heading4"/>
        <w:spacing w:line="256" w:lineRule="auto" w:before="37"/>
        <w:ind w:right="982" w:firstLine="420"/>
        <w:jc w:val="left"/>
      </w:pPr>
      <w:r>
        <w:rPr/>
        <w:t>单项金额重大的判断依据或金额标准：期末余额达到</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t>万元（含</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万元）以上的应收款项为单项</w:t>
      </w:r>
      <w:r>
        <w:rPr>
          <w:w w:val="100"/>
        </w:rPr>
        <w:t> </w:t>
      </w:r>
      <w:r>
        <w:rPr/>
        <w:t>金额重大的应收款项。</w:t>
      </w:r>
    </w:p>
    <w:p>
      <w:pPr>
        <w:spacing w:line="240" w:lineRule="auto" w:before="9"/>
        <w:rPr>
          <w:rFonts w:ascii="宋体" w:hAnsi="宋体" w:cs="宋体" w:eastAsia="宋体" w:hint="default"/>
          <w:sz w:val="22"/>
          <w:szCs w:val="22"/>
        </w:rPr>
      </w:pPr>
    </w:p>
    <w:p>
      <w:pPr>
        <w:pStyle w:val="Heading2"/>
        <w:spacing w:line="240" w:lineRule="auto"/>
        <w:ind w:right="982"/>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4"/>
          <w:szCs w:val="14"/>
        </w:rPr>
      </w:pPr>
    </w:p>
    <w:p>
      <w:pPr>
        <w:pStyle w:val="Heading4"/>
        <w:spacing w:line="276" w:lineRule="auto"/>
        <w:ind w:right="982" w:firstLine="420"/>
        <w:jc w:val="left"/>
      </w:pPr>
      <w:r>
        <w:rPr>
          <w:spacing w:val="-5"/>
        </w:rPr>
        <w:t>本报告期的合并财务报表范围包括本公司、安信天行、数字医信、数字认证（武汉），其中数字医信、</w:t>
      </w:r>
      <w:r>
        <w:rPr>
          <w:w w:val="100"/>
        </w:rPr>
        <w:t> </w:t>
      </w:r>
      <w:r>
        <w:rPr/>
        <w:t>数字认证（武汉）为</w:t>
      </w:r>
      <w:r>
        <w:rPr>
          <w:rFonts w:ascii="Times New Roman" w:hAnsi="Times New Roman" w:cs="Times New Roman" w:eastAsia="Times New Roman" w:hint="default"/>
        </w:rPr>
        <w:t>2018</w:t>
      </w:r>
      <w:r>
        <w:rPr/>
        <w:t>年新设立公司。</w:t>
      </w:r>
    </w:p>
    <w:p>
      <w:pPr>
        <w:spacing w:line="240" w:lineRule="auto" w:before="12"/>
        <w:rPr>
          <w:rFonts w:ascii="宋体" w:hAnsi="宋体" w:cs="宋体" w:eastAsia="宋体" w:hint="default"/>
          <w:sz w:val="19"/>
          <w:szCs w:val="19"/>
        </w:rPr>
      </w:pPr>
    </w:p>
    <w:p>
      <w:pPr>
        <w:pStyle w:val="Heading2"/>
        <w:spacing w:line="240" w:lineRule="auto"/>
        <w:ind w:right="982"/>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曹阳、王娟</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982"/>
        <w:jc w:val="left"/>
      </w:pPr>
      <w:r>
        <w:rPr/>
        <w:t>是否改聘会计师事务所</w:t>
      </w:r>
    </w:p>
    <w:p>
      <w:pPr>
        <w:pStyle w:val="BodyText"/>
        <w:spacing w:line="338" w:lineRule="auto" w:before="119"/>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982"/>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公司报告期不存在处罚及整改情况。</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38" w:lineRule="auto" w:before="103"/>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公司报告期无上市公司股权激励计划、员工持股计划或其他员工激励措施及其实施情况。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39"/>
        <w:ind w:right="982"/>
        <w:jc w:val="left"/>
      </w:pPr>
      <w:r>
        <w:rPr/>
        <w:t>至资产负债表日止，本公司对外签订的不可撤销的经营租赁合约情况如下：</w:t>
      </w:r>
    </w:p>
    <w:p>
      <w:pPr>
        <w:spacing w:line="240" w:lineRule="auto" w:before="2"/>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3903"/>
        <w:gridCol w:w="2793"/>
        <w:gridCol w:w="2479"/>
      </w:tblGrid>
      <w:tr>
        <w:trPr>
          <w:trHeight w:val="422" w:hRule="exact"/>
        </w:trPr>
        <w:tc>
          <w:tcPr>
            <w:tcW w:w="3903"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793"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26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79"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5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1" w:hRule="exact"/>
        </w:trPr>
        <w:tc>
          <w:tcPr>
            <w:tcW w:w="390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054" w:right="0"/>
              <w:jc w:val="left"/>
              <w:rPr>
                <w:rFonts w:ascii="Times New Roman" w:hAnsi="Times New Roman" w:cs="Times New Roman" w:eastAsia="Times New Roman" w:hint="default"/>
                <w:sz w:val="18"/>
                <w:szCs w:val="18"/>
              </w:rPr>
            </w:pPr>
            <w:r>
              <w:rPr>
                <w:rFonts w:ascii="Times New Roman"/>
                <w:sz w:val="18"/>
              </w:rPr>
              <w:t>8,348,447.93</w:t>
            </w:r>
          </w:p>
        </w:tc>
        <w:tc>
          <w:tcPr>
            <w:tcW w:w="247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49" w:right="0"/>
              <w:jc w:val="center"/>
              <w:rPr>
                <w:rFonts w:ascii="Times New Roman" w:hAnsi="Times New Roman" w:cs="Times New Roman" w:eastAsia="Times New Roman" w:hint="default"/>
                <w:sz w:val="18"/>
                <w:szCs w:val="18"/>
              </w:rPr>
            </w:pPr>
            <w:r>
              <w:rPr>
                <w:rFonts w:ascii="Times New Roman"/>
                <w:sz w:val="18"/>
              </w:rPr>
              <w:t>8,406,288.98</w:t>
            </w:r>
          </w:p>
        </w:tc>
      </w:tr>
      <w:tr>
        <w:trPr>
          <w:trHeight w:val="413" w:hRule="exact"/>
        </w:trPr>
        <w:tc>
          <w:tcPr>
            <w:tcW w:w="390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54" w:right="0"/>
              <w:jc w:val="left"/>
              <w:rPr>
                <w:rFonts w:ascii="Times New Roman" w:hAnsi="Times New Roman" w:cs="Times New Roman" w:eastAsia="Times New Roman" w:hint="default"/>
                <w:sz w:val="18"/>
                <w:szCs w:val="18"/>
              </w:rPr>
            </w:pPr>
            <w:r>
              <w:rPr>
                <w:rFonts w:ascii="Times New Roman"/>
                <w:sz w:val="18"/>
              </w:rPr>
              <w:t>6,651,531.23</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z w:val="18"/>
              </w:rPr>
              <w:t>4,868,879.93</w:t>
            </w:r>
          </w:p>
        </w:tc>
      </w:tr>
      <w:tr>
        <w:trPr>
          <w:trHeight w:val="413" w:hRule="exact"/>
        </w:trPr>
        <w:tc>
          <w:tcPr>
            <w:tcW w:w="390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054" w:right="0"/>
              <w:jc w:val="left"/>
              <w:rPr>
                <w:rFonts w:ascii="Times New Roman" w:hAnsi="Times New Roman" w:cs="Times New Roman" w:eastAsia="Times New Roman" w:hint="default"/>
                <w:sz w:val="18"/>
                <w:szCs w:val="18"/>
              </w:rPr>
            </w:pPr>
            <w:r>
              <w:rPr>
                <w:rFonts w:ascii="Times New Roman"/>
                <w:sz w:val="18"/>
              </w:rPr>
              <w:t>2,131,235.17</w:t>
            </w:r>
          </w:p>
        </w:tc>
        <w:tc>
          <w:tcPr>
            <w:tcW w:w="247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49" w:right="0"/>
              <w:jc w:val="center"/>
              <w:rPr>
                <w:rFonts w:ascii="Times New Roman" w:hAnsi="Times New Roman" w:cs="Times New Roman" w:eastAsia="Times New Roman" w:hint="default"/>
                <w:sz w:val="18"/>
                <w:szCs w:val="18"/>
              </w:rPr>
            </w:pPr>
            <w:r>
              <w:rPr>
                <w:rFonts w:ascii="Times New Roman"/>
                <w:sz w:val="18"/>
              </w:rPr>
              <w:t>3,099,472.40</w:t>
            </w:r>
          </w:p>
        </w:tc>
      </w:tr>
      <w:tr>
        <w:trPr>
          <w:trHeight w:val="422" w:hRule="exact"/>
        </w:trPr>
        <w:tc>
          <w:tcPr>
            <w:tcW w:w="3903"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010" w:right="0"/>
              <w:jc w:val="left"/>
              <w:rPr>
                <w:rFonts w:ascii="Times New Roman" w:hAnsi="Times New Roman" w:cs="Times New Roman" w:eastAsia="Times New Roman" w:hint="default"/>
                <w:sz w:val="18"/>
                <w:szCs w:val="18"/>
              </w:rPr>
            </w:pPr>
            <w:r>
              <w:rPr>
                <w:rFonts w:ascii="Times New Roman"/>
                <w:sz w:val="18"/>
              </w:rPr>
              <w:t>17,131,214.33</w:t>
            </w:r>
          </w:p>
        </w:tc>
        <w:tc>
          <w:tcPr>
            <w:tcW w:w="247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51" w:right="0"/>
              <w:jc w:val="center"/>
              <w:rPr>
                <w:rFonts w:ascii="Times New Roman" w:hAnsi="Times New Roman" w:cs="Times New Roman" w:eastAsia="Times New Roman" w:hint="default"/>
                <w:sz w:val="18"/>
                <w:szCs w:val="18"/>
              </w:rPr>
            </w:pPr>
            <w:r>
              <w:rPr>
                <w:rFonts w:ascii="Times New Roman"/>
                <w:sz w:val="18"/>
              </w:rPr>
              <w:t>16,374,641.31</w:t>
            </w:r>
          </w:p>
        </w:tc>
      </w:tr>
    </w:tbl>
    <w:p>
      <w:pPr>
        <w:pStyle w:val="BodyText"/>
        <w:spacing w:line="340" w:lineRule="auto" w:before="49"/>
        <w:ind w:right="5630"/>
        <w:jc w:val="left"/>
      </w:pPr>
      <w:r>
        <w:rPr/>
        <w:t>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日，本集团不存在其他应披露的承诺事项。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82"/>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28"/>
          <w:szCs w:val="28"/>
        </w:rPr>
      </w:pPr>
    </w:p>
    <w:tbl>
      <w:tblPr>
        <w:tblW w:w="0" w:type="auto"/>
        <w:jc w:val="left"/>
        <w:tblInd w:w="247"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部分闲置募集资金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暂时闲置自有资金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880" w:right="0"/>
        </w:sectPr>
      </w:pPr>
    </w:p>
    <w:p>
      <w:pPr>
        <w:pStyle w:val="BodyText"/>
        <w:spacing w:line="240" w:lineRule="auto" w:before="49"/>
        <w:ind w:left="252" w:right="-20"/>
        <w:jc w:val="left"/>
      </w:pPr>
      <w:r>
        <w:rPr/>
        <w:t>单项金额重大或安全性较低、流动性较差、不保本的高风险委托理财具体情况</w:t>
      </w:r>
    </w:p>
    <w:p>
      <w:pPr>
        <w:pStyle w:val="BodyText"/>
        <w:spacing w:line="240" w:lineRule="auto" w:before="117"/>
        <w:ind w:left="2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252" w:right="0"/>
        <w:jc w:val="left"/>
      </w:pPr>
      <w:r>
        <w:rPr/>
        <w:t>单位：万元</w:t>
      </w:r>
    </w:p>
    <w:p>
      <w:pPr>
        <w:spacing w:after="0" w:line="240" w:lineRule="auto"/>
        <w:jc w:val="left"/>
        <w:sectPr>
          <w:type w:val="continuous"/>
          <w:pgSz w:w="11910" w:h="16840"/>
          <w:pgMar w:top="1060" w:bottom="1160" w:left="880" w:right="0"/>
          <w:cols w:num="2" w:equalWidth="0">
            <w:col w:w="6373" w:space="2367"/>
            <w:col w:w="2290"/>
          </w:cols>
        </w:sectPr>
      </w:pP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13"/>
        <w:gridCol w:w="590"/>
        <w:gridCol w:w="607"/>
        <w:gridCol w:w="574"/>
        <w:gridCol w:w="562"/>
        <w:gridCol w:w="559"/>
        <w:gridCol w:w="562"/>
        <w:gridCol w:w="562"/>
        <w:gridCol w:w="562"/>
        <w:gridCol w:w="559"/>
        <w:gridCol w:w="562"/>
        <w:gridCol w:w="562"/>
        <w:gridCol w:w="562"/>
        <w:gridCol w:w="548"/>
        <w:gridCol w:w="547"/>
        <w:gridCol w:w="547"/>
        <w:gridCol w:w="890"/>
      </w:tblGrid>
      <w:tr>
        <w:trPr>
          <w:trHeight w:val="1961"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0"/>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6" w:lineRule="auto" w:before="17"/>
              <w:ind w:left="81" w:right="80"/>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7"/>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7"/>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hanging="3"/>
              <w:jc w:val="center"/>
              <w:rPr>
                <w:rFonts w:ascii="宋体" w:hAnsi="宋体" w:cs="宋体" w:eastAsia="宋体" w:hint="default"/>
                <w:sz w:val="18"/>
                <w:szCs w:val="18"/>
              </w:rPr>
            </w:pPr>
            <w:r>
              <w:rPr>
                <w:rFonts w:ascii="宋体" w:hAnsi="宋体" w:cs="宋体" w:eastAsia="宋体" w:hint="default"/>
                <w:sz w:val="18"/>
                <w:szCs w:val="18"/>
              </w:rPr>
              <w:t>事项概述 及相关查 </w:t>
            </w:r>
            <w:r>
              <w:rPr>
                <w:rFonts w:ascii="宋体" w:hAnsi="宋体" w:cs="宋体" w:eastAsia="宋体" w:hint="default"/>
                <w:spacing w:val="-14"/>
                <w:sz w:val="18"/>
                <w:szCs w:val="18"/>
              </w:rPr>
              <w:t>询索引（如</w:t>
            </w:r>
            <w:r>
              <w:rPr>
                <w:rFonts w:ascii="宋体" w:hAnsi="宋体" w:cs="宋体" w:eastAsia="宋体" w:hint="default"/>
                <w:sz w:val="18"/>
                <w:szCs w:val="18"/>
              </w:rPr>
              <w:t> 有）</w:t>
            </w:r>
          </w:p>
        </w:tc>
      </w:tr>
      <w:tr>
        <w:trPr>
          <w:trHeight w:val="102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04</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01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08</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3.60%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34.52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(2017-097)</w:t>
            </w:r>
          </w:p>
        </w:tc>
      </w:tr>
      <w:tr>
        <w:trPr>
          <w:trHeight w:val="102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01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03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05</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4.10%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36.56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(2018-012)</w:t>
            </w:r>
          </w:p>
        </w:tc>
      </w:tr>
      <w:tr>
        <w:trPr>
          <w:trHeight w:val="102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03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04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13</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4.10%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39.32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(2018-022)</w:t>
            </w:r>
          </w:p>
        </w:tc>
      </w:tr>
      <w:tr>
        <w:trPr>
          <w:trHeight w:val="102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04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18</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05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23</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3.70%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35.48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(2018-040)</w:t>
            </w:r>
          </w:p>
        </w:tc>
      </w:tr>
      <w:tr>
        <w:trPr>
          <w:trHeight w:val="102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05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24</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06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28</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3.50%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35.48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(2018-048)</w:t>
            </w:r>
          </w:p>
        </w:tc>
      </w:tr>
      <w:tr>
        <w:trPr>
          <w:trHeight w:val="102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07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03</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3.90%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104.71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(2018-056)</w:t>
            </w:r>
          </w:p>
        </w:tc>
      </w:tr>
      <w:tr>
        <w:trPr>
          <w:trHeight w:val="102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10</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26</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3.50%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66.45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(2018-071)</w:t>
            </w:r>
          </w:p>
        </w:tc>
      </w:tr>
      <w:tr>
        <w:trPr>
          <w:trHeight w:val="102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招商银行</w:t>
            </w:r>
            <w:r>
              <w:rPr>
                <w:rFonts w:ascii="宋体" w:hAnsi="宋体" w:cs="宋体" w:eastAsia="宋体" w:hint="default"/>
                <w:w w:val="100"/>
                <w:sz w:val="15"/>
                <w:szCs w:val="15"/>
              </w:rPr>
              <w:t> </w:t>
            </w:r>
            <w:r>
              <w:rPr>
                <w:rFonts w:ascii="宋体" w:hAnsi="宋体" w:cs="宋体" w:eastAsia="宋体" w:hint="default"/>
                <w:sz w:val="15"/>
                <w:szCs w:val="15"/>
              </w:rPr>
              <w:t>北京通州</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01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08</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04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4.25%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52.98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(2018-006)</w:t>
            </w:r>
          </w:p>
        </w:tc>
      </w:tr>
      <w:tr>
        <w:trPr>
          <w:trHeight w:val="102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招商银行</w:t>
            </w:r>
            <w:r>
              <w:rPr>
                <w:rFonts w:ascii="宋体" w:hAnsi="宋体" w:cs="宋体" w:eastAsia="宋体" w:hint="default"/>
                <w:w w:val="100"/>
                <w:sz w:val="15"/>
                <w:szCs w:val="15"/>
              </w:rPr>
              <w:t> </w:t>
            </w:r>
            <w:r>
              <w:rPr>
                <w:rFonts w:ascii="宋体" w:hAnsi="宋体" w:cs="宋体" w:eastAsia="宋体" w:hint="default"/>
                <w:sz w:val="15"/>
                <w:szCs w:val="15"/>
              </w:rPr>
              <w:t>北京通州</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04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07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4.15%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51.73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(2018-041)</w:t>
            </w:r>
          </w:p>
        </w:tc>
      </w:tr>
    </w:tbl>
    <w:p>
      <w:pPr>
        <w:spacing w:after="0" w:line="240" w:lineRule="auto"/>
        <w:jc w:val="left"/>
        <w:rPr>
          <w:rFonts w:ascii="Times New Roman" w:hAnsi="Times New Roman" w:cs="Times New Roman" w:eastAsia="Times New Roman" w:hint="default"/>
          <w:sz w:val="15"/>
          <w:szCs w:val="15"/>
        </w:rPr>
        <w:sectPr>
          <w:type w:val="continuous"/>
          <w:pgSz w:w="11910" w:h="16840"/>
          <w:pgMar w:top="1060" w:bottom="1160" w:left="880" w:right="0"/>
        </w:sectPr>
      </w:pPr>
    </w:p>
    <w:p>
      <w:pPr>
        <w:spacing w:line="240" w:lineRule="auto" w:before="4"/>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713"/>
        <w:gridCol w:w="590"/>
        <w:gridCol w:w="607"/>
        <w:gridCol w:w="574"/>
        <w:gridCol w:w="562"/>
        <w:gridCol w:w="559"/>
        <w:gridCol w:w="562"/>
        <w:gridCol w:w="562"/>
        <w:gridCol w:w="562"/>
        <w:gridCol w:w="559"/>
        <w:gridCol w:w="562"/>
        <w:gridCol w:w="562"/>
        <w:gridCol w:w="562"/>
        <w:gridCol w:w="548"/>
        <w:gridCol w:w="547"/>
        <w:gridCol w:w="547"/>
        <w:gridCol w:w="890"/>
      </w:tblGrid>
      <w:tr>
        <w:trPr>
          <w:trHeight w:val="102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招商银行</w:t>
            </w:r>
            <w:r>
              <w:rPr>
                <w:rFonts w:ascii="宋体" w:hAnsi="宋体" w:cs="宋体" w:eastAsia="宋体" w:hint="default"/>
                <w:w w:val="100"/>
                <w:sz w:val="15"/>
                <w:szCs w:val="15"/>
              </w:rPr>
              <w:t> </w:t>
            </w:r>
            <w:r>
              <w:rPr>
                <w:rFonts w:ascii="宋体" w:hAnsi="宋体" w:cs="宋体" w:eastAsia="宋体" w:hint="default"/>
                <w:sz w:val="15"/>
                <w:szCs w:val="15"/>
              </w:rPr>
              <w:t>北京通州</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07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20</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08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20</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3.33%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14.14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(2018-058)</w:t>
            </w:r>
          </w:p>
        </w:tc>
      </w:tr>
      <w:tr>
        <w:trPr>
          <w:trHeight w:val="102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79"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5"/>
                <w:szCs w:val="15"/>
              </w:rPr>
            </w:pPr>
            <w:r>
              <w:rPr>
                <w:rFonts w:ascii="Times New Roman"/>
                <w:sz w:val="15"/>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79"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2"/>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07</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2"/>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06</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79"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79"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3.75%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92.46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79"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(2018-068)</w:t>
            </w:r>
          </w:p>
        </w:tc>
      </w:tr>
      <w:tr>
        <w:trPr>
          <w:trHeight w:val="102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2" w:right="46"/>
              <w:jc w:val="center"/>
              <w:rPr>
                <w:rFonts w:ascii="宋体" w:hAnsi="宋体" w:cs="宋体" w:eastAsia="宋体" w:hint="default"/>
                <w:sz w:val="15"/>
                <w:szCs w:val="15"/>
              </w:rPr>
            </w:pPr>
            <w:r>
              <w:rPr>
                <w:rFonts w:ascii="宋体" w:hAnsi="宋体" w:cs="宋体" w:eastAsia="宋体" w:hint="default"/>
                <w:sz w:val="15"/>
                <w:szCs w:val="15"/>
              </w:rPr>
              <w:t>北京银行</w:t>
            </w:r>
            <w:r>
              <w:rPr>
                <w:rFonts w:ascii="宋体" w:hAnsi="宋体" w:cs="宋体" w:eastAsia="宋体" w:hint="default"/>
                <w:w w:val="100"/>
                <w:sz w:val="15"/>
                <w:szCs w:val="15"/>
              </w:rPr>
              <w:t> </w:t>
            </w:r>
            <w:r>
              <w:rPr>
                <w:rFonts w:ascii="宋体" w:hAnsi="宋体" w:cs="宋体" w:eastAsia="宋体" w:hint="default"/>
                <w:sz w:val="15"/>
                <w:szCs w:val="15"/>
              </w:rPr>
              <w:t>清华园支</w:t>
            </w:r>
            <w:r>
              <w:rPr>
                <w:rFonts w:ascii="宋体" w:hAnsi="宋体" w:cs="宋体" w:eastAsia="宋体" w:hint="default"/>
                <w:w w:val="100"/>
                <w:sz w:val="15"/>
                <w:szCs w:val="15"/>
              </w:rPr>
              <w:t> </w:t>
            </w:r>
            <w:r>
              <w:rPr>
                <w:rFonts w:ascii="宋体" w:hAnsi="宋体" w:cs="宋体" w:eastAsia="宋体" w:hint="default"/>
                <w:sz w:val="15"/>
                <w:szCs w:val="15"/>
              </w:rPr>
              <w:t>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07</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06</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3.70%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27.37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1"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(2018-068)</w:t>
            </w:r>
          </w:p>
        </w:tc>
      </w:tr>
      <w:tr>
        <w:trPr>
          <w:trHeight w:val="1340"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9"/>
              <w:ind w:left="52" w:right="46"/>
              <w:jc w:val="center"/>
              <w:rPr>
                <w:rFonts w:ascii="宋体" w:hAnsi="宋体" w:cs="宋体" w:eastAsia="宋体" w:hint="default"/>
                <w:sz w:val="15"/>
                <w:szCs w:val="15"/>
              </w:rPr>
            </w:pPr>
            <w:r>
              <w:rPr>
                <w:rFonts w:ascii="宋体" w:hAnsi="宋体" w:cs="宋体" w:eastAsia="宋体" w:hint="default"/>
                <w:sz w:val="15"/>
                <w:szCs w:val="15"/>
              </w:rPr>
              <w:t>上海浦东</w:t>
            </w:r>
            <w:r>
              <w:rPr>
                <w:rFonts w:ascii="宋体" w:hAnsi="宋体" w:cs="宋体" w:eastAsia="宋体" w:hint="default"/>
                <w:w w:val="100"/>
                <w:sz w:val="15"/>
                <w:szCs w:val="15"/>
              </w:rPr>
              <w:t> </w:t>
            </w:r>
            <w:r>
              <w:rPr>
                <w:rFonts w:ascii="宋体" w:hAnsi="宋体" w:cs="宋体" w:eastAsia="宋体" w:hint="default"/>
                <w:sz w:val="15"/>
                <w:szCs w:val="15"/>
              </w:rPr>
              <w:t>发展银行</w:t>
            </w:r>
            <w:r>
              <w:rPr>
                <w:rFonts w:ascii="宋体" w:hAnsi="宋体" w:cs="宋体" w:eastAsia="宋体" w:hint="default"/>
                <w:w w:val="100"/>
                <w:sz w:val="15"/>
                <w:szCs w:val="15"/>
              </w:rPr>
              <w:t> </w:t>
            </w:r>
            <w:r>
              <w:rPr>
                <w:rFonts w:ascii="宋体" w:hAnsi="宋体" w:cs="宋体" w:eastAsia="宋体" w:hint="default"/>
                <w:sz w:val="15"/>
                <w:szCs w:val="15"/>
              </w:rPr>
              <w:t>北京通州</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79" w:lineRule="auto"/>
              <w:ind w:left="74" w:right="67"/>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79" w:lineRule="auto"/>
              <w:ind w:left="50" w:right="46"/>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2"/>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20</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40" w:lineRule="auto" w:before="102"/>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19</w:t>
            </w: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79" w:lineRule="auto"/>
              <w:ind w:left="124" w:right="47" w:hanging="75"/>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79" w:lineRule="auto"/>
              <w:ind w:left="199" w:right="46" w:hanging="149"/>
              <w:jc w:val="left"/>
              <w:rPr>
                <w:rFonts w:ascii="宋体" w:hAnsi="宋体" w:cs="宋体" w:eastAsia="宋体" w:hint="default"/>
                <w:sz w:val="15"/>
                <w:szCs w:val="15"/>
              </w:rPr>
            </w:pPr>
            <w:r>
              <w:rPr>
                <w:rFonts w:ascii="宋体" w:hAnsi="宋体" w:cs="宋体" w:eastAsia="宋体" w:hint="default"/>
                <w:sz w:val="15"/>
                <w:szCs w:val="15"/>
              </w:rPr>
              <w:t>协议约</w:t>
            </w:r>
            <w:r>
              <w:rPr>
                <w:rFonts w:ascii="宋体" w:hAnsi="宋体" w:cs="宋体" w:eastAsia="宋体" w:hint="default"/>
                <w:spacing w:val="-72"/>
                <w:sz w:val="15"/>
                <w:szCs w:val="15"/>
              </w:rPr>
              <w:t> </w:t>
            </w:r>
            <w:r>
              <w:rPr>
                <w:rFonts w:ascii="宋体" w:hAnsi="宋体" w:cs="宋体" w:eastAsia="宋体" w:hint="default"/>
                <w:sz w:val="15"/>
                <w:szCs w:val="15"/>
              </w:rPr>
              <w:t>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72.68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79" w:lineRule="auto"/>
              <w:ind w:left="199" w:right="47" w:hanging="149"/>
              <w:jc w:val="left"/>
              <w:rPr>
                <w:rFonts w:ascii="宋体" w:hAnsi="宋体" w:cs="宋体" w:eastAsia="宋体" w:hint="default"/>
                <w:sz w:val="15"/>
                <w:szCs w:val="15"/>
              </w:rPr>
            </w:pPr>
            <w:r>
              <w:rPr>
                <w:rFonts w:ascii="宋体" w:hAnsi="宋体" w:cs="宋体" w:eastAsia="宋体" w:hint="default"/>
                <w:sz w:val="15"/>
                <w:szCs w:val="15"/>
              </w:rPr>
              <w:t>全部收</w:t>
            </w:r>
            <w:r>
              <w:rPr>
                <w:rFonts w:ascii="宋体" w:hAnsi="宋体" w:cs="宋体" w:eastAsia="宋体" w:hint="default"/>
                <w:spacing w:val="-72"/>
                <w:sz w:val="15"/>
                <w:szCs w:val="15"/>
              </w:rPr>
              <w:t> </w:t>
            </w:r>
            <w:r>
              <w:rPr>
                <w:rFonts w:ascii="宋体" w:hAnsi="宋体" w:cs="宋体" w:eastAsia="宋体" w:hint="default"/>
                <w:sz w:val="15"/>
                <w:szCs w:val="15"/>
              </w:rPr>
              <w:t>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(2018-069)</w:t>
            </w:r>
          </w:p>
        </w:tc>
      </w:tr>
      <w:tr>
        <w:trPr>
          <w:trHeight w:val="403" w:hRule="exact"/>
        </w:trPr>
        <w:tc>
          <w:tcPr>
            <w:tcW w:w="19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5" w:right="0"/>
              <w:jc w:val="left"/>
              <w:rPr>
                <w:rFonts w:ascii="Times New Roman" w:hAnsi="Times New Roman" w:cs="Times New Roman" w:eastAsia="Times New Roman" w:hint="default"/>
                <w:sz w:val="15"/>
                <w:szCs w:val="15"/>
              </w:rPr>
            </w:pPr>
            <w:r>
              <w:rPr>
                <w:rFonts w:ascii="Times New Roman"/>
                <w:sz w:val="15"/>
              </w:rPr>
              <w:t>103,300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2" w:right="0"/>
              <w:jc w:val="center"/>
              <w:rPr>
                <w:rFonts w:ascii="Times New Roman" w:hAnsi="Times New Roman" w:cs="Times New Roman" w:eastAsia="Times New Roman" w:hint="default"/>
                <w:sz w:val="15"/>
                <w:szCs w:val="15"/>
              </w:rPr>
            </w:pPr>
            <w:r>
              <w:rPr>
                <w:rFonts w:ascii="Times New Roman"/>
                <w:sz w:val="15"/>
              </w:rPr>
              <w:t>663.88</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252" w:right="0"/>
        <w:jc w:val="left"/>
      </w:pPr>
      <w:r>
        <w:rPr/>
        <w:t>委托理财出现预期无法收回本金或存在其他可能导致减值的情形</w:t>
      </w:r>
    </w:p>
    <w:p>
      <w:pPr>
        <w:pStyle w:val="BodyText"/>
        <w:spacing w:line="240" w:lineRule="auto" w:before="117"/>
        <w:ind w:left="2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25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left="252"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25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left="252"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4"/>
          <w:szCs w:val="24"/>
        </w:rPr>
      </w:pPr>
    </w:p>
    <w:p>
      <w:pPr>
        <w:pStyle w:val="Heading4"/>
        <w:spacing w:line="256" w:lineRule="auto"/>
        <w:ind w:left="252"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履行国有企业责任。公司以习近平新时代中国特色社会主义思想为根本遵循，将公司业务工作与</w:t>
      </w:r>
      <w:r>
        <w:rPr>
          <w:w w:val="100"/>
        </w:rPr>
        <w:t> </w:t>
      </w:r>
      <w:r>
        <w:rPr>
          <w:spacing w:val="-2"/>
        </w:rPr>
        <w:t>疏解非首都功能、京津冀协同发展战略、北京城市副中心建设和</w:t>
      </w:r>
      <w:r>
        <w:rPr>
          <w:rFonts w:ascii="Times New Roman" w:hAnsi="Times New Roman" w:cs="Times New Roman" w:eastAsia="Times New Roman" w:hint="default"/>
          <w:spacing w:val="-2"/>
        </w:rPr>
        <w:t>2022</w:t>
      </w:r>
      <w:r>
        <w:rPr>
          <w:spacing w:val="-2"/>
        </w:rPr>
        <w:t>年冬奥会、冬残奥会的网络安全建设</w:t>
      </w:r>
      <w:r>
        <w:rPr>
          <w:spacing w:val="-41"/>
        </w:rPr>
        <w:t> </w:t>
      </w:r>
      <w:r>
        <w:rPr>
          <w:spacing w:val="-41"/>
        </w:rPr>
      </w:r>
      <w:r>
        <w:rPr/>
        <w:t>工作充分融合，全面服务首都发展大局，坚持以人民为中心，为广大人民构建安全可信的数字世界。</w:t>
      </w:r>
    </w:p>
    <w:p>
      <w:pPr>
        <w:pStyle w:val="Heading4"/>
        <w:spacing w:line="266" w:lineRule="auto" w:before="142"/>
        <w:ind w:left="252"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spacing w:val="-3"/>
        </w:rPr>
        <w:t>践行绿色发展理念。作为国内领先的网络安全解决方案提供商，公司致力于建立可信的数字世界，</w:t>
      </w:r>
      <w:r>
        <w:rPr>
          <w:w w:val="100"/>
        </w:rPr>
        <w:t> </w:t>
      </w:r>
      <w:r>
        <w:rPr/>
        <w:t>为用户提供一体化的网络安全解决方案。围绕主营业务，公司通过活动展会等宣传方式，向公司客户推广</w:t>
      </w:r>
      <w:r>
        <w:rPr>
          <w:w w:val="100"/>
        </w:rPr>
        <w:t> </w:t>
      </w:r>
      <w:r>
        <w:rPr/>
        <w:t>无纸化办公理念。实现无纸化办公，不仅帮助客户提高工作效率，降低企业成本，而且节约能源、低碳环</w:t>
      </w:r>
      <w:r>
        <w:rPr>
          <w:w w:val="100"/>
        </w:rPr>
        <w:t> </w:t>
      </w:r>
      <w:r>
        <w:rPr/>
        <w:t>保，践行绿色发展理念，助力建设美丽中国。</w:t>
      </w:r>
    </w:p>
    <w:p>
      <w:pPr>
        <w:pStyle w:val="Heading4"/>
        <w:spacing w:line="256" w:lineRule="auto" w:before="134"/>
        <w:ind w:left="252" w:right="1024"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积极参与社会公益事业。作为国有控股上市公司，公司响应国家号召，积极履行社会责任。报告</w:t>
      </w:r>
      <w:r>
        <w:rPr>
          <w:w w:val="100"/>
        </w:rPr>
        <w:t> </w:t>
      </w:r>
      <w:r>
        <w:rPr>
          <w:spacing w:val="-2"/>
        </w:rPr>
        <w:t>期内，公司积极参与公益植树造林活动，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月组织</w:t>
      </w:r>
      <w:r>
        <w:rPr>
          <w:rFonts w:ascii="Times New Roman" w:hAnsi="Times New Roman" w:cs="Times New Roman" w:eastAsia="Times New Roman" w:hint="default"/>
          <w:spacing w:val="-2"/>
        </w:rPr>
        <w:t>200</w:t>
      </w:r>
      <w:r>
        <w:rPr>
          <w:spacing w:val="-2"/>
        </w:rPr>
        <w:t>名员工到北京市怀柔区进行义务植树，为北京</w:t>
      </w:r>
      <w:r>
        <w:rPr>
          <w:spacing w:val="-39"/>
        </w:rPr>
        <w:t> </w:t>
      </w:r>
      <w:r>
        <w:rPr>
          <w:spacing w:val="-39"/>
        </w:rPr>
      </w:r>
      <w:r>
        <w:rPr/>
        <w:t>生态文明建设贡献力量。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月，为纪念中国共产党成立</w:t>
      </w:r>
      <w:r>
        <w:rPr>
          <w:rFonts w:ascii="Times New Roman" w:hAnsi="Times New Roman" w:cs="Times New Roman" w:eastAsia="Times New Roman" w:hint="default"/>
        </w:rPr>
        <w:t>97</w:t>
      </w:r>
      <w:r>
        <w:rPr/>
        <w:t>周年，弘扬中华民族传统美德，帮助困难</w:t>
      </w:r>
      <w:r>
        <w:rPr>
          <w:spacing w:val="-27"/>
        </w:rPr>
        <w:t> </w:t>
      </w:r>
      <w:r>
        <w:rPr>
          <w:spacing w:val="-27"/>
        </w:rPr>
      </w:r>
      <w:r>
        <w:rPr>
          <w:spacing w:val="-4"/>
        </w:rPr>
        <w:t>群众解决实际问题，公司组织开展</w:t>
      </w:r>
      <w:r>
        <w:rPr>
          <w:rFonts w:ascii="Times New Roman" w:hAnsi="Times New Roman" w:cs="Times New Roman" w:eastAsia="Times New Roman" w:hint="default"/>
          <w:spacing w:val="-4"/>
        </w:rPr>
        <w:t>“</w:t>
      </w:r>
      <w:r>
        <w:rPr>
          <w:spacing w:val="-4"/>
        </w:rPr>
        <w:t>共产党员献爱心</w:t>
      </w:r>
      <w:r>
        <w:rPr>
          <w:rFonts w:ascii="Times New Roman" w:hAnsi="Times New Roman" w:cs="Times New Roman" w:eastAsia="Times New Roman" w:hint="default"/>
          <w:spacing w:val="-4"/>
        </w:rPr>
        <w:t>”</w:t>
      </w:r>
      <w:r>
        <w:rPr>
          <w:spacing w:val="-4"/>
        </w:rPr>
        <w:t>活动。公司全体党员、入党积极分子和群众积极响应，</w:t>
      </w:r>
    </w:p>
    <w:p>
      <w:pPr>
        <w:spacing w:after="0" w:line="256" w:lineRule="auto"/>
        <w:jc w:val="both"/>
        <w:sectPr>
          <w:pgSz w:w="11910" w:h="16840"/>
          <w:pgMar w:header="748" w:footer="979" w:top="1060" w:bottom="1160" w:left="880" w:right="0"/>
        </w:sectPr>
      </w:pPr>
    </w:p>
    <w:p>
      <w:pPr>
        <w:spacing w:line="240" w:lineRule="auto" w:before="10"/>
        <w:rPr>
          <w:rFonts w:ascii="宋体" w:hAnsi="宋体" w:cs="宋体" w:eastAsia="宋体" w:hint="default"/>
          <w:sz w:val="24"/>
          <w:szCs w:val="24"/>
        </w:rPr>
      </w:pPr>
    </w:p>
    <w:p>
      <w:pPr>
        <w:pStyle w:val="Heading4"/>
        <w:spacing w:line="240" w:lineRule="auto" w:before="36"/>
        <w:ind w:right="982"/>
        <w:jc w:val="left"/>
      </w:pPr>
      <w:r>
        <w:rPr/>
        <w:t>踊跃捐款，募捐款项全部交由北京市慈善基金会开展救助项目。</w:t>
      </w:r>
    </w:p>
    <w:p>
      <w:pPr>
        <w:pStyle w:val="Heading4"/>
        <w:spacing w:line="261" w:lineRule="auto" w:before="157"/>
        <w:ind w:right="112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职工权益保护。公司注重职工权益保护，始终坚持以人为本，尊重员工人格，严格贯彻执行《劳</w:t>
      </w:r>
      <w:r>
        <w:rPr>
          <w:w w:val="100"/>
        </w:rPr>
        <w:t> </w:t>
      </w:r>
      <w:r>
        <w:rPr>
          <w:spacing w:val="-2"/>
        </w:rPr>
        <w:t>动合同法》等各项法律法规，切实保障员工合法权益。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月，公司获得北京市海淀区劳动人事争议</w:t>
      </w:r>
      <w:r>
        <w:rPr>
          <w:spacing w:val="-40"/>
        </w:rPr>
        <w:t> </w:t>
      </w:r>
      <w:r>
        <w:rPr>
          <w:spacing w:val="-40"/>
        </w:rPr>
      </w:r>
      <w:r>
        <w:rPr>
          <w:spacing w:val="-2"/>
        </w:rPr>
        <w:t>仲裁委员会批准成立</w:t>
      </w:r>
      <w:r>
        <w:rPr>
          <w:rFonts w:ascii="Times New Roman" w:hAnsi="Times New Roman" w:cs="Times New Roman" w:eastAsia="Times New Roman" w:hint="default"/>
          <w:spacing w:val="-2"/>
        </w:rPr>
        <w:t>“</w:t>
      </w:r>
      <w:r>
        <w:rPr>
          <w:spacing w:val="-2"/>
        </w:rPr>
        <w:t>北京数字认证股份有限公司劳动争议调解委员会</w:t>
      </w:r>
      <w:r>
        <w:rPr>
          <w:rFonts w:ascii="Times New Roman" w:hAnsi="Times New Roman" w:cs="Times New Roman" w:eastAsia="Times New Roman" w:hint="default"/>
          <w:spacing w:val="-2"/>
        </w:rPr>
        <w:t>”</w:t>
      </w:r>
      <w:r>
        <w:rPr>
          <w:spacing w:val="-2"/>
        </w:rPr>
        <w:t>，该基层调解组织的建立，有利于</w:t>
      </w:r>
      <w:r>
        <w:rPr>
          <w:spacing w:val="-19"/>
        </w:rPr>
        <w:t> </w:t>
      </w:r>
      <w:r>
        <w:rPr>
          <w:spacing w:val="-19"/>
        </w:rPr>
      </w:r>
      <w:r>
        <w:rPr>
          <w:spacing w:val="-2"/>
        </w:rPr>
        <w:t>稳定劳动关系，促进企业发展，同时进一步增加公司与员工沟通渠道，增进员工信任，最大程度维护员工</w:t>
      </w:r>
      <w:r>
        <w:rPr>
          <w:spacing w:val="-50"/>
        </w:rPr>
        <w:t> </w:t>
      </w:r>
      <w:r>
        <w:rPr>
          <w:spacing w:val="-50"/>
        </w:rPr>
      </w:r>
      <w:r>
        <w:rPr/>
        <w:t>合法、合理诉求。</w:t>
      </w:r>
    </w:p>
    <w:p>
      <w:pPr>
        <w:pStyle w:val="Heading4"/>
        <w:spacing w:line="271" w:lineRule="auto" w:before="138"/>
        <w:ind w:right="982"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股东权益保护。</w:t>
      </w:r>
      <w:r>
        <w:rPr>
          <w:rFonts w:ascii="Times New Roman" w:hAnsi="Times New Roman" w:cs="Times New Roman" w:eastAsia="Times New Roman" w:hint="default"/>
        </w:rPr>
        <w:t>2018</w:t>
      </w:r>
      <w:r>
        <w:rPr/>
        <w:t>年，公司严格按照《公司法》、《证券法》、《上市公司治理准则》等法律</w:t>
      </w:r>
      <w:r>
        <w:rPr>
          <w:w w:val="100"/>
        </w:rPr>
        <w:t> </w:t>
      </w:r>
      <w:r>
        <w:rPr>
          <w:spacing w:val="-5"/>
        </w:rPr>
        <w:t>法规及规范性文件的要求，不断健全和完善法人治理结构，切实维护所有股东特别是中小股东的合法权益， </w:t>
      </w:r>
      <w:r>
        <w:rPr>
          <w:spacing w:val="-5"/>
        </w:rPr>
      </w:r>
      <w:r>
        <w:rPr>
          <w:spacing w:val="-2"/>
        </w:rPr>
        <w:t>确保股东充分享有法律法规规定的各项合法权益。报告期内，公司严格按照《公司章程》确定的现金分红</w:t>
      </w:r>
      <w:r>
        <w:rPr>
          <w:spacing w:val="-47"/>
        </w:rPr>
        <w:t> </w:t>
      </w:r>
      <w:r>
        <w:rPr>
          <w:spacing w:val="-47"/>
        </w:rPr>
      </w:r>
      <w:r>
        <w:rPr/>
        <w:t>政策和股东大会审议批准的现金分红具体方案，积极回报股东；修订《公司章程》，保障中小股东合法权</w:t>
      </w:r>
      <w:r>
        <w:rPr>
          <w:w w:val="100"/>
        </w:rPr>
        <w:t> </w:t>
      </w:r>
      <w:r>
        <w:rPr>
          <w:spacing w:val="-2"/>
        </w:rPr>
        <w:t>益；重视投资者关系管理，不断提升信息披露水平，通过投资者咨询电话、电子邮箱和投资者关系互动平</w:t>
      </w:r>
      <w:r>
        <w:rPr>
          <w:spacing w:val="-47"/>
        </w:rPr>
        <w:t> </w:t>
      </w:r>
      <w:r>
        <w:rPr>
          <w:spacing w:val="-47"/>
        </w:rPr>
      </w:r>
      <w:r>
        <w:rPr>
          <w:spacing w:val="-2"/>
        </w:rPr>
        <w:t>台、举行投资者关系活动、网上业绩说明会等多种方式与投资者进行沟通交流，建立良好的互动平台，保</w:t>
      </w:r>
      <w:r>
        <w:rPr>
          <w:spacing w:val="-47"/>
        </w:rPr>
        <w:t> </w:t>
      </w:r>
      <w:r>
        <w:rPr>
          <w:spacing w:val="-47"/>
        </w:rPr>
      </w:r>
      <w:r>
        <w:rPr/>
        <w:t>证所有投资者的知情权、参与权。</w:t>
      </w:r>
    </w:p>
    <w:p>
      <w:pPr>
        <w:spacing w:line="240" w:lineRule="auto" w:before="9"/>
        <w:rPr>
          <w:rFonts w:ascii="宋体" w:hAnsi="宋体" w:cs="宋体" w:eastAsia="宋体" w:hint="default"/>
          <w:sz w:val="23"/>
          <w:szCs w:val="23"/>
        </w:rPr>
      </w:pPr>
    </w:p>
    <w:p>
      <w:pPr>
        <w:spacing w:line="506" w:lineRule="auto" w:before="0"/>
        <w:ind w:left="573" w:right="211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p>
    <w:p>
      <w:pPr>
        <w:pStyle w:val="Heading3"/>
        <w:spacing w:line="240" w:lineRule="auto" w:before="104"/>
        <w:ind w:right="982"/>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Heading4"/>
        <w:spacing w:line="240" w:lineRule="auto" w:before="83"/>
        <w:ind w:left="573" w:right="982"/>
        <w:jc w:val="left"/>
      </w:pPr>
      <w:r>
        <w:rPr/>
        <w:t>公司及子公司不属于环境保护部门公布的重点排污单位。</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12"/>
          <w:szCs w:val="12"/>
        </w:rPr>
      </w:pPr>
    </w:p>
    <w:p>
      <w:pPr>
        <w:pStyle w:val="Heading4"/>
        <w:spacing w:line="256" w:lineRule="auto"/>
        <w:ind w:right="982" w:firstLine="420"/>
        <w:jc w:val="left"/>
      </w:pPr>
      <w:r>
        <w:rPr>
          <w:rFonts w:ascii="Times New Roman" w:hAnsi="Times New Roman" w:cs="Times New Roman" w:eastAsia="Times New Roman" w:hint="default"/>
          <w:spacing w:val="-6"/>
        </w:rPr>
        <w:t>1</w:t>
      </w:r>
      <w:r>
        <w:rPr>
          <w:spacing w:val="-6"/>
        </w:rPr>
        <w:t>、报告期内，公司以自有资金向全资子公司安信天行增资，安信天行注册资本由</w:t>
      </w:r>
      <w:r>
        <w:rPr>
          <w:rFonts w:ascii="Times New Roman" w:hAnsi="Times New Roman" w:cs="Times New Roman" w:eastAsia="Times New Roman" w:hint="default"/>
          <w:spacing w:val="-6"/>
        </w:rPr>
        <w:t>2,000</w:t>
      </w:r>
      <w:r>
        <w:rPr>
          <w:spacing w:val="-6"/>
        </w:rPr>
        <w:t>万元增加至</w:t>
      </w:r>
      <w:r>
        <w:rPr>
          <w:rFonts w:ascii="Times New Roman" w:hAnsi="Times New Roman" w:cs="Times New Roman" w:eastAsia="Times New Roman" w:hint="default"/>
          <w:spacing w:val="-6"/>
        </w:rPr>
        <w:t>3,000</w:t>
      </w:r>
      <w:r>
        <w:rPr>
          <w:rFonts w:ascii="Times New Roman" w:hAnsi="Times New Roman" w:cs="Times New Roman" w:eastAsia="Times New Roman" w:hint="default"/>
          <w:w w:val="100"/>
        </w:rPr>
        <w:t> </w:t>
      </w:r>
      <w:r>
        <w:rPr/>
        <w:t>万元，详见公司分别于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日在巨潮资讯网披露的《关于以自有资金向北京安信</w:t>
      </w:r>
      <w:r>
        <w:rPr>
          <w:w w:val="100"/>
        </w:rPr>
        <w:t> </w:t>
      </w:r>
      <w:r>
        <w:rPr/>
        <w:t>天行科技有限公司增资的公告》、《关于全资子公司完成工商变更登记的公告》；</w:t>
      </w:r>
    </w:p>
    <w:p>
      <w:pPr>
        <w:pStyle w:val="Heading4"/>
        <w:spacing w:line="256" w:lineRule="auto" w:before="142"/>
        <w:ind w:right="982" w:firstLine="420"/>
        <w:jc w:val="left"/>
      </w:pPr>
      <w:r>
        <w:rPr>
          <w:rFonts w:ascii="Times New Roman" w:hAnsi="Times New Roman" w:cs="Times New Roman" w:eastAsia="Times New Roman" w:hint="default"/>
          <w:spacing w:val="-6"/>
        </w:rPr>
        <w:t>2</w:t>
      </w:r>
      <w:r>
        <w:rPr>
          <w:spacing w:val="-6"/>
        </w:rPr>
        <w:t>、报告期内，公司新设全资子公司北京数字医信科技有限公司，详见公司分别于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30</w:t>
      </w:r>
      <w:r>
        <w:rPr>
          <w:spacing w:val="-6"/>
        </w:rPr>
        <w:t>日、</w:t>
      </w:r>
      <w:r>
        <w:rPr>
          <w:rFonts w:ascii="Times New Roman" w:hAnsi="Times New Roman" w:cs="Times New Roman" w:eastAsia="Times New Roman" w:hint="default"/>
          <w:spacing w:val="-6"/>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日在巨潮资讯网披露的《第三届董事会第五次会议决议公告》、《关于全资子公司取得营业执照</w:t>
      </w:r>
      <w:r>
        <w:rPr>
          <w:w w:val="100"/>
        </w:rPr>
        <w:t> </w:t>
      </w:r>
      <w:r>
        <w:rPr/>
        <w:t>的公告》；</w:t>
      </w:r>
    </w:p>
    <w:p>
      <w:pPr>
        <w:pStyle w:val="Heading4"/>
        <w:spacing w:line="240" w:lineRule="auto" w:before="142"/>
        <w:ind w:left="573" w:right="982"/>
        <w:jc w:val="left"/>
      </w:pPr>
      <w:r>
        <w:rPr>
          <w:rFonts w:ascii="Times New Roman" w:hAnsi="Times New Roman" w:cs="Times New Roman" w:eastAsia="Times New Roman" w:hint="default"/>
          <w:spacing w:val="-4"/>
        </w:rPr>
        <w:t>3</w:t>
      </w:r>
      <w:r>
        <w:rPr>
          <w:spacing w:val="-4"/>
        </w:rPr>
        <w:t>、报告期内，公司新设全资子公司数字认证（武汉）有限责任公司，详见公司分别于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14</w:t>
      </w:r>
      <w:r>
        <w:rPr>
          <w:spacing w:val="-4"/>
        </w:rPr>
        <w:t>日、</w:t>
      </w:r>
    </w:p>
    <w:p>
      <w:pPr>
        <w:pStyle w:val="Heading4"/>
        <w:spacing w:line="240" w:lineRule="auto" w:before="21"/>
        <w:ind w:right="98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日在巨潮资讯网披露的《关于设立子公司和部分变更募集资金投资项目实施内容的公告》、</w:t>
      </w:r>
    </w:p>
    <w:p>
      <w:pPr>
        <w:pStyle w:val="Heading4"/>
        <w:spacing w:line="240" w:lineRule="auto" w:before="21"/>
        <w:ind w:right="982"/>
        <w:jc w:val="left"/>
      </w:pPr>
      <w:r>
        <w:rPr/>
        <w:t>《关于全资子公司取得营业执照的公告》。</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004"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192"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9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85"/>
        <w:gridCol w:w="1066"/>
        <w:gridCol w:w="823"/>
        <w:gridCol w:w="521"/>
        <w:gridCol w:w="569"/>
        <w:gridCol w:w="992"/>
        <w:gridCol w:w="850"/>
        <w:gridCol w:w="994"/>
        <w:gridCol w:w="1133"/>
        <w:gridCol w:w="850"/>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51,307,500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64.13%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25,629,482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24,883,176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76,190,676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63.49%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43,028,456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53.79%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21,491,361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-45,734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21,445,627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64,474,083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53.73%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8,279,044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4,138,121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3,437,549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11,716,593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9" w:right="0"/>
              <w:jc w:val="center"/>
              <w:rPr>
                <w:rFonts w:ascii="Times New Roman" w:hAnsi="Times New Roman" w:cs="Times New Roman" w:eastAsia="Times New Roman" w:hint="default"/>
                <w:sz w:val="18"/>
                <w:szCs w:val="18"/>
              </w:rPr>
            </w:pPr>
            <w:r>
              <w:rPr>
                <w:rFonts w:ascii="Times New Roman"/>
                <w:sz w:val="18"/>
              </w:rPr>
              <w:t>2,500,000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3,279,044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center"/>
              <w:rPr>
                <w:rFonts w:ascii="Times New Roman" w:hAnsi="Times New Roman" w:cs="Times New Roman" w:eastAsia="Times New Roman" w:hint="default"/>
                <w:sz w:val="18"/>
                <w:szCs w:val="18"/>
              </w:rPr>
            </w:pPr>
            <w:r>
              <w:rPr>
                <w:rFonts w:ascii="Times New Roman"/>
                <w:sz w:val="18"/>
              </w:rPr>
              <w:t>1,638,121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937,549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4,216,593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28,692,500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35.87%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14,370,518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746,306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15,116,824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43,809,324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36.51%</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28,692,500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14,370,518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15,116,824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43,809,324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40,000,000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192" w:right="0"/>
        <w:jc w:val="left"/>
      </w:pPr>
      <w:r>
        <w:rPr/>
        <w:t>股份变动的原因</w:t>
      </w:r>
    </w:p>
    <w:p>
      <w:pPr>
        <w:pStyle w:val="BodyText"/>
        <w:spacing w:line="319" w:lineRule="auto" w:before="117"/>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报告期内，公司实施</w:t>
      </w:r>
      <w:r>
        <w:rPr>
          <w:rFonts w:ascii="Times New Roman" w:hAnsi="Times New Roman" w:cs="Times New Roman" w:eastAsia="Times New Roman" w:hint="default"/>
          <w:spacing w:val="-5"/>
        </w:rPr>
        <w:t>2017</w:t>
      </w:r>
      <w:r>
        <w:rPr>
          <w:spacing w:val="-5"/>
        </w:rPr>
        <w:t>年年度权益分派，以公司股本总数</w:t>
      </w:r>
      <w:r>
        <w:rPr>
          <w:rFonts w:ascii="Times New Roman" w:hAnsi="Times New Roman" w:cs="Times New Roman" w:eastAsia="Times New Roman" w:hint="default"/>
          <w:spacing w:val="-5"/>
        </w:rPr>
        <w:t>8,000</w:t>
      </w:r>
      <w:r>
        <w:rPr>
          <w:spacing w:val="-5"/>
        </w:rPr>
        <w:t>万股为基数，向全体股东每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股，公司总股本由</w:t>
      </w:r>
      <w:r>
        <w:rPr>
          <w:rFonts w:ascii="Times New Roman" w:hAnsi="Times New Roman" w:cs="Times New Roman" w:eastAsia="Times New Roman" w:hint="default"/>
          <w:spacing w:val="-5"/>
        </w:rPr>
        <w:t>8,000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1"/>
        </w:rPr>
        <w:t>万股变更至</w:t>
      </w:r>
      <w:r>
        <w:rPr>
          <w:rFonts w:ascii="Times New Roman" w:hAnsi="Times New Roman" w:cs="Times New Roman" w:eastAsia="Times New Roman" w:hint="default"/>
          <w:spacing w:val="-1"/>
        </w:rPr>
        <w:t>12,000</w:t>
      </w:r>
      <w:r>
        <w:rPr>
          <w:spacing w:val="-1"/>
        </w:rPr>
        <w:t>万股。本期增加限售股份为公司实施</w:t>
      </w:r>
      <w:r>
        <w:rPr>
          <w:rFonts w:ascii="Times New Roman" w:hAnsi="Times New Roman" w:cs="Times New Roman" w:eastAsia="Times New Roman" w:hint="default"/>
          <w:spacing w:val="-1"/>
        </w:rPr>
        <w:t>2017</w:t>
      </w:r>
      <w:r>
        <w:rPr>
          <w:spacing w:val="-1"/>
        </w:rPr>
        <w:t>年年度权益分派以资本公积转增的股份及公司新聘高级管理人员</w:t>
      </w:r>
    </w:p>
    <w:p>
      <w:pPr>
        <w:pStyle w:val="BodyText"/>
        <w:spacing w:line="360" w:lineRule="auto"/>
        <w:ind w:left="192" w:right="4634"/>
        <w:jc w:val="left"/>
      </w:pPr>
      <w:r>
        <w:rPr/>
        <w:t>增加的高管锁定股，减少限售股份为部分限售股份限售期满解除限售的股份。 股份变动的批准情况</w:t>
      </w:r>
    </w:p>
    <w:p>
      <w:pPr>
        <w:pStyle w:val="BodyText"/>
        <w:spacing w:line="321" w:lineRule="auto" w:before="25"/>
        <w:ind w:left="192" w:right="11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经公司</w:t>
      </w:r>
      <w:r>
        <w:rPr>
          <w:rFonts w:ascii="Times New Roman" w:hAnsi="Times New Roman" w:cs="Times New Roman" w:eastAsia="Times New Roman" w:hint="default"/>
        </w:rPr>
        <w:t>2017</w:t>
      </w:r>
      <w:r>
        <w:rPr/>
        <w:t>年年度股东大会审议通过，公司实施</w:t>
      </w:r>
      <w:r>
        <w:rPr>
          <w:rFonts w:ascii="Times New Roman" w:hAnsi="Times New Roman" w:cs="Times New Roman" w:eastAsia="Times New Roman" w:hint="default"/>
        </w:rPr>
        <w:t>2017</w:t>
      </w:r>
      <w:r>
        <w:rPr/>
        <w:t>年年度权益分派方案以公司股本总数</w:t>
      </w:r>
      <w:r>
        <w:rPr>
          <w:rFonts w:ascii="Times New Roman" w:hAnsi="Times New Roman" w:cs="Times New Roman" w:eastAsia="Times New Roman" w:hint="default"/>
        </w:rPr>
        <w:t>8,000</w:t>
      </w:r>
      <w:r>
        <w:rPr/>
        <w:t>万股为基数，向全体股东每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股，公司总股本由</w:t>
      </w:r>
      <w:r>
        <w:rPr>
          <w:rFonts w:ascii="Times New Roman" w:hAnsi="Times New Roman" w:cs="Times New Roman" w:eastAsia="Times New Roman" w:hint="default"/>
        </w:rPr>
        <w:t>8,000</w:t>
      </w:r>
      <w:r>
        <w:rPr/>
        <w:t>万股变更至</w:t>
      </w:r>
      <w:r>
        <w:rPr>
          <w:rFonts w:ascii="Times New Roman" w:hAnsi="Times New Roman" w:cs="Times New Roman" w:eastAsia="Times New Roman" w:hint="default"/>
        </w:rPr>
        <w:t>12,000</w:t>
      </w:r>
      <w:r>
        <w:rPr/>
        <w:t>万股。</w:t>
      </w:r>
    </w:p>
    <w:p>
      <w:pPr>
        <w:pStyle w:val="BodyText"/>
        <w:spacing w:line="240" w:lineRule="auto" w:before="36"/>
        <w:ind w:left="192" w:right="0"/>
        <w:jc w:val="left"/>
      </w:pPr>
      <w:r>
        <w:rPr/>
        <w:t>股份变动的过户情况</w:t>
      </w:r>
    </w:p>
    <w:p>
      <w:pPr>
        <w:pStyle w:val="BodyText"/>
        <w:spacing w:line="350" w:lineRule="auto" w:before="115"/>
        <w:ind w:left="192" w:right="3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公司以资本公积转增的股份已在中国证券登记结算有限责任公司深圳分公司办理了登记手续。 股份回购的实施进展情况</w:t>
      </w:r>
    </w:p>
    <w:p>
      <w:pPr>
        <w:pStyle w:val="BodyText"/>
        <w:spacing w:line="340" w:lineRule="auto" w:before="32"/>
        <w:ind w:left="19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left="192"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4"/>
        <w:ind w:left="192" w:right="13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股份变动影响最近一年和最近一期基本每股收益和稀释每股收益、归属于公司普通股股东的每股净资产均减少</w:t>
      </w:r>
      <w:r>
        <w:rPr>
          <w:rFonts w:ascii="Times New Roman" w:hAnsi="Times New Roman" w:cs="Times New Roman" w:eastAsia="Times New Roman" w:hint="default"/>
        </w:rPr>
        <w:t>33.33%</w:t>
      </w:r>
      <w:r>
        <w:rPr/>
        <w:t>。</w:t>
      </w:r>
    </w:p>
    <w:p>
      <w:pPr>
        <w:spacing w:after="0" w:line="340" w:lineRule="auto"/>
        <w:jc w:val="left"/>
        <w:sectPr>
          <w:pgSz w:w="11910" w:h="16840"/>
          <w:pgMar w:header="748" w:footer="979" w:top="1060" w:bottom="1160" w:left="94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公司认为必要或证券监管机构要求披露的其他内容</w:t>
      </w:r>
    </w:p>
    <w:p>
      <w:pPr>
        <w:pStyle w:val="BodyText"/>
        <w:spacing w:line="240" w:lineRule="auto" w:before="11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2"/>
        <w:gridCol w:w="955"/>
        <w:gridCol w:w="991"/>
        <w:gridCol w:w="1419"/>
        <w:gridCol w:w="1416"/>
        <w:gridCol w:w="205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110"/>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20,994,308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10,497,154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31,491,462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20,988,414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10,494,207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31,482,621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全国社会保障基金 理事会转持一户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1,651,656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825,828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19" w:lineRule="auto"/>
              <w:ind w:left="26"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担任董事、监事或高级管 理人员期间，每年转让直 接或间接持有公司的股份 不超过直接或间接持有股 份总数的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林雪焰</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57" w:type="dxa"/>
            <w:vMerge/>
            <w:tcBorders>
              <w:left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吴舜皋</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557,404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57" w:type="dxa"/>
            <w:vMerge/>
            <w:tcBorders>
              <w:left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张益谦</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57" w:type="dxa"/>
            <w:vMerge/>
            <w:tcBorders>
              <w:left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程小茁</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57" w:type="dxa"/>
            <w:vMerge/>
            <w:tcBorders>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刘汉莎</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76,190,676</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1"/>
        <w:ind w:right="1125"/>
        <w:jc w:val="left"/>
      </w:pPr>
      <w:r>
        <w:rPr/>
        <w:t>注：本报告期内增加限售股份为公司实施</w:t>
      </w:r>
      <w:r>
        <w:rPr>
          <w:spacing w:val="-46"/>
        </w:rPr>
        <w:t> </w:t>
      </w:r>
      <w:r>
        <w:rPr>
          <w:rFonts w:ascii="Times New Roman" w:hAnsi="Times New Roman" w:cs="Times New Roman" w:eastAsia="Times New Roman" w:hint="default"/>
        </w:rPr>
        <w:t>2017 </w:t>
      </w:r>
      <w:r>
        <w:rPr/>
        <w:t>年年度权益分派以资本公积转增的股份及公司新聘高级管理人员增加的高管 锁定股。</w:t>
      </w:r>
    </w:p>
    <w:p>
      <w:pPr>
        <w:spacing w:line="240" w:lineRule="auto" w:before="11"/>
        <w:rPr>
          <w:rFonts w:ascii="宋体" w:hAnsi="宋体" w:cs="宋体" w:eastAsia="宋体" w:hint="default"/>
          <w:sz w:val="21"/>
          <w:szCs w:val="21"/>
        </w:rPr>
      </w:pPr>
    </w:p>
    <w:p>
      <w:pPr>
        <w:pStyle w:val="Heading2"/>
        <w:spacing w:line="240" w:lineRule="auto"/>
        <w:ind w:right="982"/>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15"/>
          <w:szCs w:val="15"/>
        </w:rPr>
      </w:pPr>
    </w:p>
    <w:p>
      <w:pPr>
        <w:pStyle w:val="Heading4"/>
        <w:spacing w:line="256" w:lineRule="auto"/>
        <w:ind w:right="1131" w:firstLine="420"/>
        <w:jc w:val="both"/>
      </w:pPr>
      <w:r>
        <w:rPr>
          <w:spacing w:val="-3"/>
        </w:rPr>
        <w:t>报告期内，公司实施</w:t>
      </w:r>
      <w:r>
        <w:rPr>
          <w:rFonts w:ascii="Times New Roman" w:hAnsi="Times New Roman" w:cs="Times New Roman" w:eastAsia="Times New Roman" w:hint="default"/>
          <w:spacing w:val="-3"/>
        </w:rPr>
        <w:t>2017</w:t>
      </w:r>
      <w:r>
        <w:rPr>
          <w:spacing w:val="-3"/>
        </w:rPr>
        <w:t>年年度权益分派，以公司股本总数</w:t>
      </w:r>
      <w:r>
        <w:rPr>
          <w:rFonts w:ascii="Times New Roman" w:hAnsi="Times New Roman" w:cs="Times New Roman" w:eastAsia="Times New Roman" w:hint="default"/>
          <w:spacing w:val="-3"/>
        </w:rPr>
        <w:t>8,000</w:t>
      </w:r>
      <w:r>
        <w:rPr>
          <w:spacing w:val="-3"/>
        </w:rPr>
        <w:t>万股为基数，向全体股东每</w:t>
      </w:r>
      <w:r>
        <w:rPr>
          <w:rFonts w:ascii="Times New Roman" w:hAnsi="Times New Roman" w:cs="Times New Roman" w:eastAsia="Times New Roman" w:hint="default"/>
          <w:spacing w:val="-3"/>
        </w:rPr>
        <w:t>10</w:t>
      </w:r>
      <w:r>
        <w:rPr>
          <w:spacing w:val="-3"/>
        </w:rPr>
        <w:t>股转增</w:t>
      </w:r>
      <w:r>
        <w:rPr>
          <w:w w:val="100"/>
        </w:rPr>
        <w:t> </w:t>
      </w:r>
      <w:r>
        <w:rPr>
          <w:rFonts w:ascii="Times New Roman" w:hAnsi="Times New Roman" w:cs="Times New Roman" w:eastAsia="Times New Roman" w:hint="default"/>
        </w:rPr>
        <w:t>5</w:t>
      </w:r>
      <w:r>
        <w:rPr/>
        <w:t>股，公司总股本由</w:t>
      </w:r>
      <w:r>
        <w:rPr>
          <w:rFonts w:ascii="Times New Roman" w:hAnsi="Times New Roman" w:cs="Times New Roman" w:eastAsia="Times New Roman" w:hint="default"/>
        </w:rPr>
        <w:t>8,000</w:t>
      </w:r>
      <w:r>
        <w:rPr/>
        <w:t>万股变更至</w:t>
      </w:r>
      <w:r>
        <w:rPr>
          <w:rFonts w:ascii="Times New Roman" w:hAnsi="Times New Roman" w:cs="Times New Roman" w:eastAsia="Times New Roman" w:hint="default"/>
        </w:rPr>
        <w:t>12,000</w:t>
      </w:r>
      <w:r>
        <w:rPr/>
        <w:t>万股。公司实施资本公积转增股本未影响公司股东结构变动、</w:t>
      </w:r>
      <w:r>
        <w:rPr>
          <w:spacing w:val="-26"/>
        </w:rPr>
        <w:t> </w:t>
      </w:r>
      <w:r>
        <w:rPr>
          <w:spacing w:val="-26"/>
        </w:rPr>
      </w:r>
      <w:r>
        <w:rPr/>
        <w:t>公司资产和负债结构变动。</w:t>
      </w:r>
    </w:p>
    <w:p>
      <w:pPr>
        <w:spacing w:after="0" w:line="256"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5"/>
        <w:gridCol w:w="226"/>
        <w:gridCol w:w="709"/>
        <w:gridCol w:w="611"/>
        <w:gridCol w:w="797"/>
        <w:gridCol w:w="1001"/>
        <w:gridCol w:w="110"/>
        <w:gridCol w:w="884"/>
        <w:gridCol w:w="850"/>
        <w:gridCol w:w="283"/>
        <w:gridCol w:w="376"/>
        <w:gridCol w:w="760"/>
        <w:gridCol w:w="850"/>
        <w:gridCol w:w="142"/>
        <w:gridCol w:w="636"/>
      </w:tblGrid>
      <w:tr>
        <w:trPr>
          <w:trHeight w:val="1345"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11,442</w:t>
            </w:r>
          </w:p>
        </w:tc>
        <w:tc>
          <w:tcPr>
            <w:tcW w:w="14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9,601</w:t>
            </w:r>
          </w:p>
        </w:tc>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77"/>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p>
        </w:tc>
        <w:tc>
          <w:tcPr>
            <w:tcW w:w="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2"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321"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31,491,462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10,497,154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31,491,462</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31,482,621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10,494,207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31,482,621</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2,500,000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7,500,000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2.75%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3,303,312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1,101,104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2,477,484</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825,828</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全国社会保障基金 理事会转持一户</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1,568,601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522,867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1,500,000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68,601</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上海市数字证书认 证中心有限公司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1,440,240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480,080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1,440,240</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阳俊彪</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847,393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76,503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847,393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555,000</w:t>
            </w:r>
          </w:p>
        </w:tc>
      </w:tr>
      <w:tr>
        <w:trPr>
          <w:trHeight w:val="40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林雪焰</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0.69%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825,957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275,319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619,467</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206,490</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刘汉莎</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0.61%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728,157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177,519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728,157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449,998</w:t>
            </w:r>
          </w:p>
        </w:tc>
      </w:tr>
      <w:tr>
        <w:trPr>
          <w:trHeight w:val="40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麻颖</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685,100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685,100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685,100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2"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both"/>
              <w:rPr>
                <w:rFonts w:ascii="宋体" w:hAnsi="宋体" w:cs="宋体" w:eastAsia="宋体" w:hint="default"/>
                <w:sz w:val="18"/>
                <w:szCs w:val="18"/>
              </w:rPr>
            </w:pPr>
            <w:r>
              <w:rPr>
                <w:rFonts w:ascii="宋体" w:hAnsi="宋体" w:cs="宋体" w:eastAsia="宋体" w:hint="default"/>
                <w:spacing w:val="-1"/>
                <w:sz w:val="18"/>
                <w:szCs w:val="18"/>
              </w:rPr>
              <w:t>北京市国有资产经营有限责任公司、首都信息发展股份有限公司和北京科桥创业投资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中心（有限合伙）之间存在关联关系。北京市国有资产经营有限责任公司系首都信息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发展股份有限公司的控股股东，持有其股份</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63.31%</w:t>
            </w:r>
            <w:r>
              <w:rPr>
                <w:rFonts w:ascii="宋体" w:hAnsi="宋体" w:cs="宋体" w:eastAsia="宋体" w:hint="default"/>
                <w:spacing w:val="-3"/>
                <w:sz w:val="18"/>
                <w:szCs w:val="18"/>
              </w:rPr>
              <w:t>的股权。北京市国有资产经营有限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责任公司系北京科桥创业投资中心（有限合伙）的主要出资人，出资额占北京科桥创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业投资中心（有限合伙）总出资额的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tc>
      </w:tr>
    </w:tbl>
    <w:p>
      <w:pPr>
        <w:spacing w:after="0" w:line="314" w:lineRule="auto"/>
        <w:jc w:val="both"/>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141"/>
        <w:jc w:val="right"/>
      </w:pPr>
      <w:r>
        <w:rPr/>
        <w:pict>
          <v:shape style="position:absolute;margin-left:56.400002pt;margin-top:-280.058289pt;width:479.15pt;height:430.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89"/>
                    <w:gridCol w:w="1496"/>
                    <w:gridCol w:w="1202"/>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上海市数字证书认证中心有限公司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1,440,240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1,440,240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阳俊彪</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847,393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847,393</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825,828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825,828</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刘汉莎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728,157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728,157</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麻颖</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685,100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翟建军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645,364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645,364</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孟楠</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530,800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530,800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贺禀作</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495,471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495,471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413,450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413,450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项文龙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111"/>
                          <w:jc w:val="left"/>
                          <w:rPr>
                            <w:rFonts w:ascii="宋体" w:hAnsi="宋体" w:cs="宋体" w:eastAsia="宋体" w:hint="default"/>
                            <w:sz w:val="18"/>
                            <w:szCs w:val="18"/>
                          </w:rPr>
                        </w:pPr>
                        <w:r>
                          <w:rPr>
                            <w:rFonts w:ascii="宋体" w:hAnsi="宋体" w:cs="宋体" w:eastAsia="宋体" w:hint="default"/>
                            <w:spacing w:val="-4"/>
                            <w:sz w:val="18"/>
                            <w:szCs w:val="18"/>
                          </w:rPr>
                          <w:t>公司未知上述股东之间是否存在关联关系，也未知是否属于《上市公司收购管理办法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规定的一致行动人。</w:t>
                        </w:r>
                      </w:p>
                    </w:tc>
                  </w:tr>
                  <w:tr>
                    <w:trPr>
                      <w:trHeight w:val="204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、公司股东麻颖除通过普通证券账户持有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392,500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股外，还通过光大证券股份有限公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、公司股东翟建军除通过普通证券账户持有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446,414</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股外，还通过中银国际证券股份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645,364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、公司股东孟楠除通过光大证券股份有限公司客户信用交易担保证券账户持有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530,800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530,800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9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3"/>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2835"/>
        <w:gridCol w:w="1157"/>
        <w:gridCol w:w="1594"/>
        <w:gridCol w:w="1752"/>
        <w:gridCol w:w="2233"/>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2" w:right="9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岳鹏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911100004005921645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资本运营</w:t>
            </w:r>
          </w:p>
        </w:tc>
      </w:tr>
      <w:tr>
        <w:trPr>
          <w:trHeight w:val="1457"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4" w:right="99"/>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控股的上市公司：</w:t>
            </w:r>
            <w:r>
              <w:rPr>
                <w:rFonts w:ascii="宋体" w:hAnsi="宋体" w:cs="宋体" w:eastAsia="宋体" w:hint="default"/>
                <w:sz w:val="18"/>
                <w:szCs w:val="18"/>
              </w:rPr>
            </w:r>
          </w:p>
          <w:p>
            <w:pPr>
              <w:pStyle w:val="TableParagraph"/>
              <w:spacing w:line="340" w:lineRule="auto" w:before="117"/>
              <w:ind w:left="295" w:right="3286" w:hanging="2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、首都信息发展股份有限公司（</w:t>
            </w:r>
            <w:r>
              <w:rPr>
                <w:rFonts w:ascii="Times New Roman" w:hAnsi="Times New Roman" w:cs="Times New Roman" w:eastAsia="Times New Roman" w:hint="default"/>
                <w:sz w:val="18"/>
                <w:szCs w:val="18"/>
              </w:rPr>
              <w:t>HK1075</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183,454,175.60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持股比例：</w:t>
            </w:r>
            <w:r>
              <w:rPr>
                <w:rFonts w:ascii="Times New Roman" w:hAnsi="Times New Roman" w:cs="Times New Roman" w:eastAsia="Times New Roman" w:hint="default"/>
                <w:sz w:val="18"/>
                <w:szCs w:val="18"/>
              </w:rPr>
              <w:t>63.31%</w:t>
            </w:r>
          </w:p>
        </w:tc>
      </w:tr>
    </w:tbl>
    <w:p>
      <w:pPr>
        <w:spacing w:after="0" w:line="3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4"/>
        <w:gridCol w:w="6735"/>
      </w:tblGrid>
      <w:tr>
        <w:trPr>
          <w:trHeight w:val="343" w:hRule="exact"/>
        </w:trPr>
        <w:tc>
          <w:tcPr>
            <w:tcW w:w="2834" w:type="dxa"/>
            <w:vMerge w:val="restart"/>
            <w:tcBorders>
              <w:top w:val="single" w:sz="4" w:space="0" w:color="000000"/>
              <w:left w:val="single" w:sz="4" w:space="0" w:color="000000"/>
              <w:right w:val="single" w:sz="4" w:space="0" w:color="000000"/>
            </w:tcBorders>
            <w:shd w:val="clear" w:color="auto" w:fill="D2D2D2"/>
          </w:tcPr>
          <w:p>
            <w:pPr/>
          </w:p>
        </w:tc>
        <w:tc>
          <w:tcPr>
            <w:tcW w:w="6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、绿色动力环保集团股份有限公司（</w:t>
            </w:r>
            <w:r>
              <w:rPr>
                <w:rFonts w:ascii="Times New Roman" w:hAnsi="Times New Roman" w:cs="Times New Roman" w:eastAsia="Times New Roman" w:hint="default"/>
                <w:sz w:val="18"/>
                <w:szCs w:val="18"/>
              </w:rPr>
              <w:t>HK1330</w:t>
            </w:r>
            <w:r>
              <w:rPr>
                <w:rFonts w:ascii="宋体" w:hAnsi="宋体" w:cs="宋体" w:eastAsia="宋体" w:hint="default"/>
                <w:sz w:val="18"/>
                <w:szCs w:val="18"/>
              </w:rPr>
              <w:t>、</w:t>
            </w:r>
            <w:r>
              <w:rPr>
                <w:rFonts w:ascii="Times New Roman" w:hAnsi="Times New Roman" w:cs="Times New Roman" w:eastAsia="Times New Roman" w:hint="default"/>
                <w:sz w:val="18"/>
                <w:szCs w:val="18"/>
              </w:rPr>
              <w:t>SH601330</w:t>
            </w:r>
            <w:r>
              <w:rPr>
                <w:rFonts w:ascii="宋体" w:hAnsi="宋体" w:cs="宋体" w:eastAsia="宋体" w:hint="default"/>
                <w:sz w:val="18"/>
                <w:szCs w:val="18"/>
              </w:rPr>
              <w:t>）</w:t>
            </w:r>
          </w:p>
        </w:tc>
      </w:tr>
      <w:tr>
        <w:trPr>
          <w:trHeight w:val="352"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95" w:right="0"/>
              <w:jc w:val="left"/>
              <w:rPr>
                <w:rFonts w:ascii="宋体" w:hAnsi="宋体" w:cs="宋体" w:eastAsia="宋体" w:hint="default"/>
                <w:sz w:val="18"/>
                <w:szCs w:val="18"/>
              </w:rPr>
            </w:pPr>
            <w:r>
              <w:rPr>
                <w:rFonts w:ascii="宋体" w:hAnsi="宋体" w:cs="宋体" w:eastAsia="宋体" w:hint="default"/>
                <w:sz w:val="18"/>
                <w:szCs w:val="18"/>
              </w:rPr>
              <w:t>持股数量：</w:t>
            </w:r>
            <w:r>
              <w:rPr>
                <w:rFonts w:ascii="Times New Roman" w:hAnsi="Times New Roman" w:cs="Times New Roman" w:eastAsia="Times New Roman" w:hint="default"/>
                <w:sz w:val="18"/>
                <w:szCs w:val="18"/>
              </w:rPr>
              <w:t>501,189,618.00 </w:t>
            </w:r>
            <w:r>
              <w:rPr>
                <w:rFonts w:ascii="宋体" w:hAnsi="宋体" w:cs="宋体" w:eastAsia="宋体" w:hint="default"/>
                <w:sz w:val="18"/>
                <w:szCs w:val="18"/>
              </w:rPr>
              <w:t>股</w:t>
            </w:r>
          </w:p>
        </w:tc>
      </w:tr>
      <w:tr>
        <w:trPr>
          <w:trHeight w:val="352"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43.16%</w:t>
            </w:r>
          </w:p>
        </w:tc>
      </w:tr>
      <w:tr>
        <w:trPr>
          <w:trHeight w:val="348"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b/>
                <w:bCs/>
                <w:sz w:val="18"/>
                <w:szCs w:val="18"/>
              </w:rPr>
              <w:t>参股的上市公司：</w:t>
            </w:r>
            <w:r>
              <w:rPr>
                <w:rFonts w:ascii="宋体" w:hAnsi="宋体" w:cs="宋体" w:eastAsia="宋体" w:hint="default"/>
                <w:sz w:val="18"/>
                <w:szCs w:val="18"/>
              </w:rPr>
            </w:r>
          </w:p>
        </w:tc>
      </w:tr>
      <w:tr>
        <w:trPr>
          <w:trHeight w:val="357"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04" w:right="0"/>
              <w:jc w:val="left"/>
              <w:rPr>
                <w:rFonts w:ascii="宋体" w:hAnsi="宋体" w:cs="宋体" w:eastAsia="宋体" w:hint="default"/>
                <w:sz w:val="18"/>
                <w:szCs w:val="18"/>
              </w:rPr>
            </w:pPr>
            <w:r>
              <w:rPr>
                <w:rFonts w:ascii="宋体" w:hAnsi="宋体" w:cs="宋体" w:eastAsia="宋体" w:hint="default"/>
                <w:sz w:val="18"/>
                <w:szCs w:val="18"/>
              </w:rPr>
              <w:t>北京银行（</w:t>
            </w:r>
            <w:r>
              <w:rPr>
                <w:rFonts w:ascii="Times New Roman" w:hAnsi="Times New Roman" w:cs="Times New Roman" w:eastAsia="Times New Roman" w:hint="default"/>
                <w:sz w:val="18"/>
                <w:szCs w:val="18"/>
              </w:rPr>
              <w:t>SH601169</w:t>
            </w:r>
            <w:r>
              <w:rPr>
                <w:rFonts w:ascii="宋体" w:hAnsi="宋体" w:cs="宋体" w:eastAsia="宋体" w:hint="default"/>
                <w:sz w:val="18"/>
                <w:szCs w:val="18"/>
              </w:rPr>
              <w:t>）</w:t>
            </w:r>
          </w:p>
        </w:tc>
      </w:tr>
      <w:tr>
        <w:trPr>
          <w:trHeight w:val="352"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04" w:right="0"/>
              <w:jc w:val="left"/>
              <w:rPr>
                <w:rFonts w:ascii="宋体" w:hAnsi="宋体" w:cs="宋体" w:eastAsia="宋体" w:hint="default"/>
                <w:sz w:val="18"/>
                <w:szCs w:val="18"/>
              </w:rPr>
            </w:pPr>
            <w:r>
              <w:rPr>
                <w:rFonts w:ascii="宋体" w:hAnsi="宋体" w:cs="宋体" w:eastAsia="宋体" w:hint="default"/>
                <w:sz w:val="18"/>
                <w:szCs w:val="18"/>
              </w:rPr>
              <w:t>持股数量：</w:t>
            </w:r>
            <w:r>
              <w:rPr>
                <w:rFonts w:ascii="Times New Roman" w:hAnsi="Times New Roman" w:cs="Times New Roman" w:eastAsia="Times New Roman" w:hint="default"/>
                <w:sz w:val="18"/>
                <w:szCs w:val="18"/>
              </w:rPr>
              <w:t>1,825,228,052.00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73" w:hRule="exact"/>
        </w:trPr>
        <w:tc>
          <w:tcPr>
            <w:tcW w:w="2834" w:type="dxa"/>
            <w:vMerge/>
            <w:tcBorders>
              <w:left w:val="single" w:sz="4" w:space="0" w:color="000000"/>
              <w:bottom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8.63%</w:t>
            </w:r>
          </w:p>
        </w:tc>
      </w:tr>
    </w:tbl>
    <w:p>
      <w:pPr>
        <w:pStyle w:val="BodyText"/>
        <w:spacing w:line="240" w:lineRule="auto" w:before="49"/>
        <w:ind w:right="982"/>
        <w:jc w:val="left"/>
      </w:pPr>
      <w:r>
        <w:rPr/>
        <w:t>控股股东报告期内变更</w:t>
      </w:r>
    </w:p>
    <w:p>
      <w:pPr>
        <w:pStyle w:val="BodyText"/>
        <w:spacing w:line="340"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874"/>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834"/>
        <w:gridCol w:w="1157"/>
        <w:gridCol w:w="2247"/>
        <w:gridCol w:w="1702"/>
        <w:gridCol w:w="1630"/>
      </w:tblGrid>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2" w:right="9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岳鹏</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911100004005921645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资本运营</w:t>
            </w:r>
          </w:p>
        </w:tc>
      </w:tr>
      <w:tr>
        <w:trPr>
          <w:trHeight w:val="216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4" w:lineRule="auto"/>
              <w:ind w:left="22" w:right="99"/>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 内外上市公司的股权情况</w:t>
            </w:r>
          </w:p>
        </w:tc>
        <w:tc>
          <w:tcPr>
            <w:tcW w:w="6735" w:type="dxa"/>
            <w:gridSpan w:val="4"/>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95" w:right="3286" w:hanging="2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、首都信息发展股份有限公司（</w:t>
            </w:r>
            <w:r>
              <w:rPr>
                <w:rFonts w:ascii="Times New Roman" w:hAnsi="Times New Roman" w:cs="Times New Roman" w:eastAsia="Times New Roman" w:hint="default"/>
                <w:sz w:val="18"/>
                <w:szCs w:val="18"/>
              </w:rPr>
              <w:t>HK1075</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183,454,175.60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持股比例：</w:t>
            </w:r>
            <w:r>
              <w:rPr>
                <w:rFonts w:ascii="Times New Roman" w:hAnsi="Times New Roman" w:cs="Times New Roman" w:eastAsia="Times New Roman" w:hint="default"/>
                <w:sz w:val="18"/>
                <w:szCs w:val="18"/>
              </w:rPr>
              <w:t>63.31%</w:t>
            </w:r>
          </w:p>
          <w:p>
            <w:pPr>
              <w:pStyle w:val="TableParagraph"/>
              <w:spacing w:line="338" w:lineRule="auto" w:before="20"/>
              <w:ind w:left="295" w:right="1976"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、绿色动力环保集团股份有限公司（</w:t>
            </w:r>
            <w:r>
              <w:rPr>
                <w:rFonts w:ascii="Times New Roman" w:hAnsi="Times New Roman" w:cs="Times New Roman" w:eastAsia="Times New Roman" w:hint="default"/>
                <w:sz w:val="18"/>
                <w:szCs w:val="18"/>
              </w:rPr>
              <w:t>HK1330</w:t>
            </w:r>
            <w:r>
              <w:rPr>
                <w:rFonts w:ascii="宋体" w:hAnsi="宋体" w:cs="宋体" w:eastAsia="宋体" w:hint="default"/>
                <w:sz w:val="18"/>
                <w:szCs w:val="18"/>
              </w:rPr>
              <w:t>、</w:t>
            </w:r>
            <w:r>
              <w:rPr>
                <w:rFonts w:ascii="Times New Roman" w:hAnsi="Times New Roman" w:cs="Times New Roman" w:eastAsia="Times New Roman" w:hint="default"/>
                <w:sz w:val="18"/>
                <w:szCs w:val="18"/>
              </w:rPr>
              <w:t>SH601330</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501,189,618.00 </w:t>
            </w:r>
            <w:r>
              <w:rPr>
                <w:rFonts w:ascii="宋体" w:hAnsi="宋体" w:cs="宋体" w:eastAsia="宋体" w:hint="default"/>
                <w:sz w:val="18"/>
                <w:szCs w:val="18"/>
              </w:rPr>
              <w:t>股</w:t>
            </w:r>
          </w:p>
          <w:p>
            <w:pPr>
              <w:pStyle w:val="TableParagraph"/>
              <w:spacing w:line="240" w:lineRule="auto" w:before="22"/>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43.16%</w:t>
            </w:r>
          </w:p>
        </w:tc>
      </w:tr>
    </w:tbl>
    <w:p>
      <w:pPr>
        <w:pStyle w:val="BodyText"/>
        <w:spacing w:line="240" w:lineRule="auto" w:before="67"/>
        <w:ind w:right="982"/>
        <w:jc w:val="left"/>
      </w:pPr>
      <w:r>
        <w:rPr/>
        <w:t>实际控制人报告期内变更</w:t>
      </w:r>
    </w:p>
    <w:p>
      <w:pPr>
        <w:pStyle w:val="BodyText"/>
        <w:spacing w:line="35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16"/>
          <w:szCs w:val="16"/>
        </w:rPr>
      </w:pPr>
    </w:p>
    <w:p>
      <w:pPr>
        <w:spacing w:line="3672" w:lineRule="exact"/>
        <w:ind w:left="1355"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3590" cy="233172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3590" cy="2331720"/>
                    </a:xfrm>
                    <a:prstGeom prst="rect">
                      <a:avLst/>
                    </a:prstGeom>
                  </pic:spPr>
                </pic:pic>
              </a:graphicData>
            </a:graphic>
          </wp:inline>
        </w:drawing>
      </w:r>
      <w:r>
        <w:rPr>
          <w:rFonts w:ascii="宋体" w:hAnsi="宋体" w:cs="宋体" w:eastAsia="宋体" w:hint="default"/>
          <w:position w:val="-72"/>
          <w:sz w:val="20"/>
          <w:szCs w:val="20"/>
        </w:rPr>
      </w:r>
    </w:p>
    <w:p>
      <w:pPr>
        <w:spacing w:after="0" w:line="3672" w:lineRule="exact"/>
        <w:rPr>
          <w:rFonts w:ascii="宋体" w:hAnsi="宋体" w:cs="宋体" w:eastAsia="宋体" w:hint="default"/>
          <w:sz w:val="20"/>
          <w:szCs w:val="20"/>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实际控制人通过信托或其他资产管理方式控制公司</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79"/>
        <w:gridCol w:w="1107"/>
        <w:gridCol w:w="1558"/>
        <w:gridCol w:w="1418"/>
        <w:gridCol w:w="2907"/>
      </w:tblGrid>
      <w:tr>
        <w:trPr>
          <w:trHeight w:val="713"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98" w:right="70"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3"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林艳坤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28,980.8609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应用信息系统的建设与运维</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982"/>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959" w:right="0"/>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432" w:right="0"/>
        <w:jc w:val="left"/>
        <w:rPr>
          <w:b w:val="0"/>
          <w:bCs w:val="0"/>
        </w:rPr>
      </w:pPr>
      <w:r>
        <w:rPr/>
        <w:pict>
          <v:shape style="position:absolute;margin-left:491.02301pt;margin-top:32.855602pt;width:63.5pt;height:66.5pt;mso-position-horizontal-relative:page;mso-position-vertical-relative:paragraph;z-index:-7722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08"/>
        <w:gridCol w:w="852"/>
        <w:gridCol w:w="566"/>
        <w:gridCol w:w="566"/>
        <w:gridCol w:w="569"/>
        <w:gridCol w:w="1558"/>
        <w:gridCol w:w="1560"/>
        <w:gridCol w:w="850"/>
        <w:gridCol w:w="710"/>
        <w:gridCol w:w="747"/>
        <w:gridCol w:w="797"/>
        <w:gridCol w:w="799"/>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59"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9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 w:right="31"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2,202,208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1,101,104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3,303,312</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275,319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825,957</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1" w:right="60"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495,471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247,735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557,506</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445,905</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 w:right="60" w:firstLine="2"/>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程小茁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170,914</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1" w:right="60" w:hanging="27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4,074,618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669,332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1,898,308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5,303,594</w:t>
            </w:r>
          </w:p>
        </w:tc>
      </w:tr>
    </w:tbl>
    <w:p>
      <w:pPr>
        <w:spacing w:line="240" w:lineRule="auto" w:before="3"/>
        <w:rPr>
          <w:rFonts w:ascii="宋体" w:hAnsi="宋体" w:cs="宋体" w:eastAsia="宋体" w:hint="default"/>
          <w:b/>
          <w:bCs/>
          <w:sz w:val="18"/>
          <w:szCs w:val="18"/>
        </w:rPr>
      </w:pPr>
    </w:p>
    <w:p>
      <w:pPr>
        <w:pStyle w:val="Heading2"/>
        <w:spacing w:line="240" w:lineRule="auto" w:before="26"/>
        <w:ind w:left="432"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429" w:type="dxa"/>
        <w:tblLayout w:type="fixed"/>
        <w:tblCellMar>
          <w:top w:w="0" w:type="dxa"/>
          <w:left w:w="0" w:type="dxa"/>
          <w:bottom w:w="0" w:type="dxa"/>
          <w:right w:w="0" w:type="dxa"/>
        </w:tblCellMar>
        <w:tblLook w:val="01E0"/>
      </w:tblPr>
      <w:tblGrid>
        <w:gridCol w:w="707"/>
        <w:gridCol w:w="1277"/>
        <w:gridCol w:w="566"/>
        <w:gridCol w:w="1702"/>
        <w:gridCol w:w="5315"/>
      </w:tblGrid>
      <w:tr>
        <w:trPr>
          <w:trHeight w:val="40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748" w:footer="979" w:top="1060" w:bottom="1160" w:left="70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1277"/>
        <w:gridCol w:w="566"/>
        <w:gridCol w:w="1702"/>
        <w:gridCol w:w="5315"/>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公司第三届董事会第四次会议审议通过，同意聘任吴伟东女士担任 公司副总经理，其任期为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程小茁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55"/>
              <w:jc w:val="left"/>
              <w:rPr>
                <w:rFonts w:ascii="宋体" w:hAnsi="宋体" w:cs="宋体" w:eastAsia="宋体" w:hint="default"/>
                <w:sz w:val="18"/>
                <w:szCs w:val="18"/>
              </w:rPr>
            </w:pPr>
            <w:r>
              <w:rPr>
                <w:rFonts w:ascii="宋体" w:hAnsi="宋体" w:cs="宋体" w:eastAsia="宋体" w:hint="default"/>
                <w:sz w:val="18"/>
                <w:szCs w:val="18"/>
              </w:rPr>
              <w:t>公司第三届董事会第九次会议审议通过，同意聘任程小茁先生担任 公司副总经理，其任期为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因个人原因申请辞去公司董事职务。</w:t>
            </w:r>
          </w:p>
        </w:tc>
      </w:tr>
    </w:tbl>
    <w:p>
      <w:pPr>
        <w:spacing w:line="240" w:lineRule="auto" w:before="3"/>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6"/>
        <w:rPr>
          <w:rFonts w:ascii="宋体" w:hAnsi="宋体" w:cs="宋体" w:eastAsia="宋体" w:hint="default"/>
          <w:sz w:val="13"/>
          <w:szCs w:val="13"/>
        </w:rPr>
      </w:pPr>
    </w:p>
    <w:p>
      <w:pPr>
        <w:pStyle w:val="Heading4"/>
        <w:spacing w:line="240" w:lineRule="auto"/>
        <w:ind w:left="573" w:right="0"/>
        <w:jc w:val="left"/>
      </w:pPr>
      <w:r>
        <w:rPr>
          <w:rFonts w:ascii="Times New Roman" w:hAnsi="Times New Roman" w:cs="Times New Roman" w:eastAsia="Times New Roman" w:hint="default"/>
        </w:rPr>
        <w:t>1</w:t>
      </w:r>
      <w:r>
        <w:rPr/>
        <w:t>、詹榜华先生：</w:t>
      </w:r>
      <w:r>
        <w:rPr>
          <w:rFonts w:ascii="Times New Roman" w:hAnsi="Times New Roman" w:cs="Times New Roman" w:eastAsia="Times New Roman" w:hint="default"/>
        </w:rPr>
        <w:t>1964</w:t>
      </w:r>
      <w:r>
        <w:rPr/>
        <w:t>年出生，中国国籍，无境外永久居留权。</w:t>
      </w:r>
      <w:r>
        <w:rPr>
          <w:rFonts w:ascii="Times New Roman" w:hAnsi="Times New Roman" w:cs="Times New Roman" w:eastAsia="Times New Roman" w:hint="default"/>
        </w:rPr>
        <w:t>1988</w:t>
      </w:r>
      <w:r>
        <w:rPr/>
        <w:t>年毕业于中南大学，获硕士学位；</w:t>
      </w:r>
    </w:p>
    <w:p>
      <w:pPr>
        <w:pStyle w:val="Heading4"/>
        <w:spacing w:line="264" w:lineRule="auto" w:before="21"/>
        <w:ind w:right="1126"/>
        <w:jc w:val="both"/>
      </w:pPr>
      <w:r>
        <w:rPr>
          <w:rFonts w:ascii="Times New Roman" w:hAnsi="Times New Roman" w:cs="Times New Roman" w:eastAsia="Times New Roman" w:hint="default"/>
          <w:spacing w:val="-2"/>
        </w:rPr>
        <w:t>2004</w:t>
      </w:r>
      <w:r>
        <w:rPr>
          <w:spacing w:val="-2"/>
        </w:rPr>
        <w:t>年毕业于北京邮电大学，获博士学位。</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2002</w:t>
      </w:r>
      <w:r>
        <w:rPr>
          <w:spacing w:val="-2"/>
        </w:rPr>
        <w:t>年任职于解放军某研究所，任副研究员；</w:t>
      </w:r>
      <w:r>
        <w:rPr>
          <w:rFonts w:ascii="Times New Roman" w:hAnsi="Times New Roman" w:cs="Times New Roman" w:eastAsia="Times New Roman" w:hint="default"/>
          <w:spacing w:val="-2"/>
        </w:rPr>
        <w:t>2002</w:t>
      </w:r>
      <w:r>
        <w:rPr>
          <w:spacing w:val="-2"/>
        </w:rPr>
        <w:t>年</w:t>
      </w:r>
      <w:r>
        <w:rPr>
          <w:spacing w:val="-29"/>
        </w:rPr>
        <w:t> </w:t>
      </w:r>
      <w:r>
        <w:rPr>
          <w:spacing w:val="-2"/>
        </w:rPr>
        <w:t>至今任职于本公司，历任总经理，现任公司董事长，兼任北京邮电大学兼职教授、全国信息安全标准化技</w:t>
      </w:r>
      <w:r>
        <w:rPr>
          <w:spacing w:val="-50"/>
        </w:rPr>
        <w:t> </w:t>
      </w:r>
      <w:r>
        <w:rPr>
          <w:spacing w:val="-50"/>
        </w:rPr>
      </w:r>
      <w:r>
        <w:rPr>
          <w:spacing w:val="-4"/>
        </w:rPr>
        <w:t>术委员会委员和</w:t>
      </w:r>
      <w:r>
        <w:rPr>
          <w:rFonts w:ascii="Times New Roman" w:hAnsi="Times New Roman" w:cs="Times New Roman" w:eastAsia="Times New Roman" w:hint="default"/>
          <w:spacing w:val="-4"/>
        </w:rPr>
        <w:t>WG3</w:t>
      </w:r>
      <w:r>
        <w:rPr>
          <w:spacing w:val="-4"/>
        </w:rPr>
        <w:t>组、</w:t>
      </w:r>
      <w:r>
        <w:rPr>
          <w:rFonts w:ascii="Times New Roman" w:hAnsi="Times New Roman" w:cs="Times New Roman" w:eastAsia="Times New Roman" w:hint="default"/>
          <w:spacing w:val="-4"/>
        </w:rPr>
        <w:t>WG4</w:t>
      </w:r>
      <w:r>
        <w:rPr>
          <w:spacing w:val="-4"/>
        </w:rPr>
        <w:t>组副组长、全国版权标准化技术委员会委员、国家密码行业标准化技术委员</w:t>
      </w:r>
      <w:r>
        <w:rPr>
          <w:spacing w:val="-17"/>
        </w:rPr>
        <w:t> </w:t>
      </w:r>
      <w:r>
        <w:rPr>
          <w:spacing w:val="-17"/>
        </w:rPr>
      </w:r>
      <w:r>
        <w:rPr>
          <w:spacing w:val="-2"/>
        </w:rPr>
        <w:t>会副主任委员、国家商用密码应用技术体系研究总体工作组专家、北京市信息化专家咨询委员会委员、北</w:t>
      </w:r>
      <w:r>
        <w:rPr>
          <w:spacing w:val="-44"/>
        </w:rPr>
        <w:t> </w:t>
      </w:r>
      <w:r>
        <w:rPr>
          <w:spacing w:val="-44"/>
        </w:rPr>
      </w:r>
      <w:r>
        <w:rPr>
          <w:spacing w:val="-2"/>
        </w:rPr>
        <w:t>京市商用密码行业协会会长、中国密码学会电子认证专业委员会副主任委员、中国保密协会科学技术分会</w:t>
      </w:r>
      <w:r>
        <w:rPr>
          <w:spacing w:val="-44"/>
        </w:rPr>
        <w:t> </w:t>
      </w:r>
      <w:r>
        <w:rPr>
          <w:spacing w:val="-44"/>
        </w:rPr>
      </w:r>
      <w:r>
        <w:rPr/>
        <w:t>副主任委员、未来移动通信论坛</w:t>
      </w:r>
      <w:r>
        <w:rPr>
          <w:rFonts w:ascii="Times New Roman" w:hAnsi="Times New Roman" w:cs="Times New Roman" w:eastAsia="Times New Roman" w:hint="default"/>
        </w:rPr>
        <w:t>5G</w:t>
      </w:r>
      <w:r>
        <w:rPr/>
        <w:t>信息安全工作组副主席等。曾获</w:t>
      </w:r>
      <w:r>
        <w:rPr>
          <w:rFonts w:ascii="Times New Roman" w:hAnsi="Times New Roman" w:cs="Times New Roman" w:eastAsia="Times New Roman" w:hint="default"/>
        </w:rPr>
        <w:t>“</w:t>
      </w:r>
      <w:r>
        <w:rPr/>
        <w:t>国家科技进步二等奖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Times New Roman" w:hAnsi="Times New Roman" w:cs="Times New Roman" w:eastAsia="Times New Roman" w:hint="default"/>
        </w:rPr>
        <w:t>2014</w:t>
      </w:r>
      <w:r>
        <w:rPr/>
        <w:t>中国计</w:t>
      </w:r>
      <w:r>
        <w:rPr>
          <w:spacing w:val="-36"/>
        </w:rPr>
        <w:t> </w:t>
      </w:r>
      <w:r>
        <w:rPr>
          <w:spacing w:val="-36"/>
        </w:rPr>
      </w:r>
      <w:r>
        <w:rPr/>
        <w:t>算机行业发展成就奖之人物成就奖</w:t>
      </w:r>
      <w:r>
        <w:rPr>
          <w:rFonts w:ascii="Times New Roman" w:hAnsi="Times New Roman" w:cs="Times New Roman" w:eastAsia="Times New Roman" w:hint="default"/>
        </w:rPr>
        <w:t>”</w:t>
      </w:r>
      <w:r>
        <w:rPr/>
        <w:t>等。</w:t>
      </w:r>
    </w:p>
    <w:p>
      <w:pPr>
        <w:pStyle w:val="Heading4"/>
        <w:spacing w:line="256" w:lineRule="auto" w:before="118"/>
        <w:ind w:right="982" w:firstLine="420"/>
        <w:jc w:val="left"/>
      </w:pPr>
      <w:r>
        <w:rPr>
          <w:rFonts w:ascii="Times New Roman" w:hAnsi="Times New Roman" w:cs="Times New Roman" w:eastAsia="Times New Roman" w:hint="default"/>
        </w:rPr>
        <w:t>2</w:t>
      </w:r>
      <w:r>
        <w:rPr/>
        <w:t>、林雪焰先生：</w:t>
      </w:r>
      <w:r>
        <w:rPr>
          <w:rFonts w:ascii="Times New Roman" w:hAnsi="Times New Roman" w:cs="Times New Roman" w:eastAsia="Times New Roman" w:hint="default"/>
        </w:rPr>
        <w:t>1972</w:t>
      </w:r>
      <w:r>
        <w:rPr/>
        <w:t>年出生，中国国籍，无境外永久居留权。</w:t>
      </w:r>
      <w:r>
        <w:rPr>
          <w:rFonts w:ascii="Times New Roman" w:hAnsi="Times New Roman" w:cs="Times New Roman" w:eastAsia="Times New Roman" w:hint="default"/>
        </w:rPr>
        <w:t>1999</w:t>
      </w:r>
      <w:r>
        <w:rPr/>
        <w:t>年毕业于电子科技集团第</w:t>
      </w:r>
      <w:r>
        <w:rPr>
          <w:rFonts w:ascii="Times New Roman" w:hAnsi="Times New Roman" w:cs="Times New Roman" w:eastAsia="Times New Roman" w:hint="default"/>
        </w:rPr>
        <w:t>30</w:t>
      </w:r>
      <w:r>
        <w:rPr/>
        <w:t>研究</w:t>
      </w:r>
      <w:r>
        <w:rPr>
          <w:spacing w:val="2"/>
          <w:w w:val="100"/>
        </w:rPr>
        <w:t> </w:t>
      </w:r>
      <w:r>
        <w:rPr>
          <w:spacing w:val="-2"/>
        </w:rPr>
        <w:t>所，获硕士学位。</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年任职于电子科技集团第</w:t>
      </w:r>
      <w:r>
        <w:rPr>
          <w:rFonts w:ascii="Times New Roman" w:hAnsi="Times New Roman" w:cs="Times New Roman" w:eastAsia="Times New Roman" w:hint="default"/>
          <w:spacing w:val="-2"/>
        </w:rPr>
        <w:t>29</w:t>
      </w:r>
      <w:r>
        <w:rPr>
          <w:spacing w:val="-2"/>
        </w:rPr>
        <w:t>研究所；</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2005</w:t>
      </w:r>
      <w:r>
        <w:rPr>
          <w:spacing w:val="-2"/>
        </w:rPr>
        <w:t>年分别任职于成都卫士</w:t>
      </w:r>
      <w:r>
        <w:rPr>
          <w:spacing w:val="-26"/>
        </w:rPr>
        <w:t> </w:t>
      </w:r>
      <w:r>
        <w:rPr>
          <w:spacing w:val="-26"/>
        </w:rPr>
      </w:r>
      <w:r>
        <w:rPr>
          <w:spacing w:val="-2"/>
        </w:rPr>
        <w:t>通信息产业股份有限公司、北京天威诚信电子商务服务有限公司、北京创原天地科技有限公司；</w:t>
      </w:r>
      <w:r>
        <w:rPr>
          <w:rFonts w:ascii="Times New Roman" w:hAnsi="Times New Roman" w:cs="Times New Roman" w:eastAsia="Times New Roman" w:hint="default"/>
          <w:spacing w:val="-2"/>
        </w:rPr>
        <w:t>2005</w:t>
      </w:r>
      <w:r>
        <w:rPr>
          <w:spacing w:val="-2"/>
        </w:rPr>
        <w:t>年至</w:t>
      </w:r>
      <w:r>
        <w:rPr>
          <w:spacing w:val="-43"/>
        </w:rPr>
        <w:t> </w:t>
      </w:r>
      <w:r>
        <w:rPr>
          <w:spacing w:val="-3"/>
        </w:rPr>
        <w:t>今任职于本公司，曾任公司副总经理，现任公司董事、总经理。曾获</w:t>
      </w:r>
      <w:r>
        <w:rPr>
          <w:rFonts w:ascii="Times New Roman" w:hAnsi="Times New Roman" w:cs="Times New Roman" w:eastAsia="Times New Roman" w:hint="default"/>
          <w:spacing w:val="-3"/>
        </w:rPr>
        <w:t>“</w:t>
      </w:r>
      <w:r>
        <w:rPr>
          <w:spacing w:val="-3"/>
        </w:rPr>
        <w:t>北京市科技进步奖</w:t>
      </w:r>
      <w:r>
        <w:rPr>
          <w:rFonts w:ascii="Times New Roman" w:hAnsi="Times New Roman" w:cs="Times New Roman" w:eastAsia="Times New Roman" w:hint="default"/>
          <w:spacing w:val="-3"/>
        </w:rPr>
        <w:t>(</w:t>
      </w:r>
      <w:r>
        <w:rPr>
          <w:spacing w:val="-3"/>
        </w:rPr>
        <w:t>省部级</w:t>
      </w:r>
      <w:r>
        <w:rPr>
          <w:rFonts w:ascii="Times New Roman" w:hAnsi="Times New Roman" w:cs="Times New Roman" w:eastAsia="Times New Roman" w:hint="default"/>
          <w:spacing w:val="-3"/>
        </w:rPr>
        <w:t>)</w:t>
      </w:r>
      <w:r>
        <w:rPr>
          <w:spacing w:val="-3"/>
        </w:rPr>
        <w:t>三等奖</w:t>
      </w:r>
      <w:r>
        <w:rPr>
          <w:rFonts w:ascii="Times New Roman" w:hAnsi="Times New Roman" w:cs="Times New Roman" w:eastAsia="Times New Roman" w:hint="default"/>
          <w:spacing w:val="-3"/>
        </w:rPr>
        <w:t>”</w:t>
      </w:r>
      <w:r>
        <w:rPr>
          <w:spacing w:val="-3"/>
        </w:rPr>
        <w:t>、</w:t>
      </w:r>
      <w:r>
        <w:rPr>
          <w:spacing w:val="-7"/>
        </w:rPr>
        <w:t> </w:t>
      </w:r>
      <w:r>
        <w:rPr>
          <w:rFonts w:ascii="Times New Roman" w:hAnsi="Times New Roman" w:cs="Times New Roman" w:eastAsia="Times New Roman" w:hint="default"/>
        </w:rPr>
        <w:t>“</w:t>
      </w:r>
      <w:r>
        <w:rPr/>
        <w:t>国家密码科技进步奖</w:t>
      </w:r>
      <w:r>
        <w:rPr>
          <w:rFonts w:ascii="Times New Roman" w:hAnsi="Times New Roman" w:cs="Times New Roman" w:eastAsia="Times New Roman" w:hint="default"/>
        </w:rPr>
        <w:t>(</w:t>
      </w:r>
      <w:r>
        <w:rPr/>
        <w:t>省部级</w:t>
      </w:r>
      <w:r>
        <w:rPr>
          <w:rFonts w:ascii="Times New Roman" w:hAnsi="Times New Roman" w:cs="Times New Roman" w:eastAsia="Times New Roman" w:hint="default"/>
        </w:rPr>
        <w:t>)</w:t>
      </w:r>
      <w:r>
        <w:rPr/>
        <w:t>二等奖</w:t>
      </w:r>
      <w:r>
        <w:rPr>
          <w:rFonts w:ascii="Times New Roman" w:hAnsi="Times New Roman" w:cs="Times New Roman" w:eastAsia="Times New Roman" w:hint="default"/>
        </w:rPr>
        <w:t>”</w:t>
      </w:r>
      <w:r>
        <w:rPr/>
        <w:t>等。</w:t>
      </w:r>
    </w:p>
    <w:p>
      <w:pPr>
        <w:pStyle w:val="Heading4"/>
        <w:spacing w:line="240" w:lineRule="auto" w:before="125"/>
        <w:ind w:left="573" w:right="982"/>
        <w:jc w:val="left"/>
      </w:pPr>
      <w:r>
        <w:rPr>
          <w:rFonts w:ascii="Times New Roman" w:hAnsi="Times New Roman" w:cs="Times New Roman" w:eastAsia="Times New Roman" w:hint="default"/>
        </w:rPr>
        <w:t>3</w:t>
      </w:r>
      <w:r>
        <w:rPr/>
        <w:t>、卢磊先生：</w:t>
      </w:r>
      <w:r>
        <w:rPr>
          <w:rFonts w:ascii="Times New Roman" w:hAnsi="Times New Roman" w:cs="Times New Roman" w:eastAsia="Times New Roman" w:hint="default"/>
        </w:rPr>
        <w:t>1980</w:t>
      </w:r>
      <w:r>
        <w:rPr/>
        <w:t>年出生，中国国籍，无境外永久居留权。</w:t>
      </w:r>
      <w:r>
        <w:rPr>
          <w:rFonts w:ascii="Times New Roman" w:hAnsi="Times New Roman" w:cs="Times New Roman" w:eastAsia="Times New Roman" w:hint="default"/>
        </w:rPr>
        <w:t>2003</w:t>
      </w:r>
      <w:r>
        <w:rPr/>
        <w:t>年毕业于复旦大学，获学士学位。</w:t>
      </w:r>
    </w:p>
    <w:p>
      <w:pPr>
        <w:pStyle w:val="Heading4"/>
        <w:spacing w:line="261" w:lineRule="auto" w:before="21"/>
        <w:ind w:right="1105"/>
        <w:jc w:val="both"/>
      </w:pPr>
      <w:r>
        <w:rPr>
          <w:rFonts w:ascii="Times New Roman" w:hAnsi="Times New Roman" w:cs="Times New Roman" w:eastAsia="Times New Roman" w:hint="default"/>
          <w:spacing w:val="-2"/>
        </w:rPr>
        <w:t>2016</w:t>
      </w:r>
      <w:r>
        <w:rPr>
          <w:spacing w:val="-2"/>
        </w:rPr>
        <w:t>年毕业于南开大学，获高级管理人员工商管理硕士学位。</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年任职于北大青鸟华育国际</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23"/>
        </w:rPr>
        <w:t> </w:t>
      </w:r>
      <w:r>
        <w:rPr>
          <w:spacing w:val="-2"/>
        </w:rPr>
        <w:t>培训中心，任策划经理；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年任职于北京大岳咨询公司，任项目经理；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2014</w:t>
      </w:r>
      <w:r>
        <w:rPr>
          <w:spacing w:val="-2"/>
        </w:rPr>
        <w:t>年任职于</w:t>
      </w:r>
      <w:r>
        <w:rPr>
          <w:spacing w:val="-34"/>
        </w:rPr>
        <w:t> </w:t>
      </w:r>
      <w:r>
        <w:rPr>
          <w:spacing w:val="-34"/>
        </w:rPr>
      </w:r>
      <w:r>
        <w:rPr>
          <w:spacing w:val="-2"/>
        </w:rPr>
        <w:t>北京市国有资产经营有限责任公司，历任金融资产管理部项目经理、科技与现代制造业投资部项目经理、</w:t>
      </w:r>
      <w:r>
        <w:rPr>
          <w:spacing w:val="-21"/>
        </w:rPr>
        <w:t> </w:t>
      </w:r>
      <w:r>
        <w:rPr>
          <w:spacing w:val="-21"/>
        </w:rPr>
      </w:r>
      <w:r>
        <w:rPr/>
        <w:t>高级经理。现任本公司董事，首都信息发展股份有限公司副总裁、董事会秘书。</w:t>
      </w:r>
    </w:p>
    <w:p>
      <w:pPr>
        <w:pStyle w:val="Heading4"/>
        <w:spacing w:line="261" w:lineRule="auto" w:before="138"/>
        <w:ind w:right="1126" w:firstLine="420"/>
        <w:jc w:val="both"/>
      </w:pPr>
      <w:r>
        <w:rPr>
          <w:rFonts w:ascii="Times New Roman" w:hAnsi="Times New Roman" w:cs="Times New Roman" w:eastAsia="Times New Roman" w:hint="default"/>
        </w:rPr>
        <w:t>4</w:t>
      </w:r>
      <w:r>
        <w:rPr/>
        <w:t>、蒋峰先生：</w:t>
      </w:r>
      <w:r>
        <w:rPr>
          <w:rFonts w:ascii="Times New Roman" w:hAnsi="Times New Roman" w:cs="Times New Roman" w:eastAsia="Times New Roman" w:hint="default"/>
        </w:rPr>
        <w:t>1981</w:t>
      </w:r>
      <w:r>
        <w:rPr/>
        <w:t>年出生，中国国籍，无境外永久居留权。</w:t>
      </w:r>
      <w:r>
        <w:rPr>
          <w:rFonts w:ascii="Times New Roman" w:hAnsi="Times New Roman" w:cs="Times New Roman" w:eastAsia="Times New Roman" w:hint="default"/>
        </w:rPr>
        <w:t>2005</w:t>
      </w:r>
      <w:r>
        <w:rPr/>
        <w:t>年毕业于北京大学，获电子系、经</w:t>
      </w:r>
      <w:r>
        <w:rPr>
          <w:w w:val="100"/>
        </w:rPr>
        <w:t> </w:t>
      </w:r>
      <w:r>
        <w:rPr>
          <w:spacing w:val="-2"/>
        </w:rPr>
        <w:t>济学双学士学位。</w:t>
      </w:r>
      <w:r>
        <w:rPr>
          <w:rFonts w:ascii="Times New Roman" w:hAnsi="Times New Roman" w:cs="Times New Roman" w:eastAsia="Times New Roman" w:hint="default"/>
          <w:spacing w:val="-2"/>
        </w:rPr>
        <w:t>2008</w:t>
      </w:r>
      <w:r>
        <w:rPr>
          <w:spacing w:val="-2"/>
        </w:rPr>
        <w:t>年毕业于工信部电信科技研究院，获通信工程硕士学位。</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2017</w:t>
      </w:r>
      <w:r>
        <w:rPr>
          <w:spacing w:val="-2"/>
        </w:rPr>
        <w:t>年先后任职</w:t>
      </w:r>
      <w:r>
        <w:rPr>
          <w:spacing w:val="-34"/>
        </w:rPr>
        <w:t> </w:t>
      </w:r>
      <w:r>
        <w:rPr>
          <w:spacing w:val="-34"/>
        </w:rPr>
      </w:r>
      <w:r>
        <w:rPr>
          <w:spacing w:val="-2"/>
        </w:rPr>
        <w:t>于工信部电信研究院、中国普天信息产业股份有限公司。报告期内担任本公司董事、首都信息发展股份有</w:t>
      </w:r>
      <w:r>
        <w:rPr>
          <w:spacing w:val="-44"/>
        </w:rPr>
        <w:t> </w:t>
      </w:r>
      <w:r>
        <w:rPr>
          <w:spacing w:val="-44"/>
        </w:rPr>
      </w:r>
      <w:r>
        <w:rPr/>
        <w:t>限公司投资部副总经理。</w:t>
      </w:r>
    </w:p>
    <w:p>
      <w:pPr>
        <w:pStyle w:val="Heading4"/>
        <w:spacing w:line="261" w:lineRule="auto" w:before="138"/>
        <w:ind w:right="982" w:firstLine="420"/>
        <w:jc w:val="left"/>
      </w:pPr>
      <w:r>
        <w:rPr>
          <w:rFonts w:ascii="Times New Roman" w:hAnsi="Times New Roman" w:cs="Times New Roman" w:eastAsia="Times New Roman" w:hint="default"/>
        </w:rPr>
        <w:t>5</w:t>
      </w:r>
      <w:r>
        <w:rPr/>
        <w:t>、雷毅平先生：</w:t>
      </w:r>
      <w:r>
        <w:rPr>
          <w:rFonts w:ascii="Times New Roman" w:hAnsi="Times New Roman" w:cs="Times New Roman" w:eastAsia="Times New Roman" w:hint="default"/>
        </w:rPr>
        <w:t>1985</w:t>
      </w:r>
      <w:r>
        <w:rPr/>
        <w:t>年出生，中国国籍，无境外永久居留权。</w:t>
      </w:r>
      <w:r>
        <w:rPr>
          <w:rFonts w:ascii="Times New Roman" w:hAnsi="Times New Roman" w:cs="Times New Roman" w:eastAsia="Times New Roman" w:hint="default"/>
        </w:rPr>
        <w:t>2009</w:t>
      </w:r>
      <w:r>
        <w:rPr/>
        <w:t>年毕业于北京工业大学，获学士</w:t>
      </w:r>
      <w:r>
        <w:rPr>
          <w:w w:val="100"/>
        </w:rPr>
        <w:t> </w:t>
      </w:r>
      <w:r>
        <w:rPr>
          <w:spacing w:val="-4"/>
        </w:rPr>
        <w:t>学位。</w:t>
      </w:r>
      <w:r>
        <w:rPr>
          <w:rFonts w:ascii="Times New Roman" w:hAnsi="Times New Roman" w:cs="Times New Roman" w:eastAsia="Times New Roman" w:hint="default"/>
          <w:spacing w:val="-4"/>
        </w:rPr>
        <w:t>2011</w:t>
      </w:r>
      <w:r>
        <w:rPr>
          <w:spacing w:val="-4"/>
        </w:rPr>
        <w:t>年毕业于澳大利亚新南威尔士大学，获硕士学位。</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2016</w:t>
      </w:r>
      <w:r>
        <w:rPr>
          <w:spacing w:val="-4"/>
        </w:rPr>
        <w:t>年先后任职于英利能源（北京）</w:t>
      </w:r>
      <w:r>
        <w:rPr>
          <w:spacing w:val="-36"/>
        </w:rPr>
        <w:t> </w:t>
      </w:r>
      <w:r>
        <w:rPr>
          <w:spacing w:val="-36"/>
        </w:rPr>
      </w:r>
      <w:r>
        <w:rPr>
          <w:spacing w:val="-2"/>
        </w:rPr>
        <w:t>有限公司、中清能绿洲科技股份有限公司、北京天星资本股份有限公司。现任本公司董事、北京工业发展</w:t>
      </w:r>
      <w:r>
        <w:rPr>
          <w:spacing w:val="-50"/>
        </w:rPr>
        <w:t> </w:t>
      </w:r>
      <w:r>
        <w:rPr>
          <w:spacing w:val="-50"/>
        </w:rPr>
      </w:r>
      <w:r>
        <w:rPr/>
        <w:t>投资管理有限公司高级投资经理。</w:t>
      </w:r>
    </w:p>
    <w:p>
      <w:pPr>
        <w:pStyle w:val="Heading4"/>
        <w:spacing w:line="256" w:lineRule="auto" w:before="138"/>
        <w:ind w:right="1126" w:firstLine="420"/>
        <w:jc w:val="both"/>
      </w:pPr>
      <w:r>
        <w:rPr>
          <w:rFonts w:ascii="Times New Roman" w:hAnsi="Times New Roman" w:cs="Times New Roman" w:eastAsia="Times New Roman" w:hint="default"/>
        </w:rPr>
        <w:t>6</w:t>
      </w:r>
      <w:r>
        <w:rPr/>
        <w:t>、王渝次先生：</w:t>
      </w:r>
      <w:r>
        <w:rPr>
          <w:rFonts w:ascii="Times New Roman" w:hAnsi="Times New Roman" w:cs="Times New Roman" w:eastAsia="Times New Roman" w:hint="default"/>
        </w:rPr>
        <w:t>1953</w:t>
      </w:r>
      <w:r>
        <w:rPr/>
        <w:t>年出生，中国国籍，无境外永久居留权。</w:t>
      </w:r>
      <w:r>
        <w:rPr>
          <w:rFonts w:ascii="Times New Roman" w:hAnsi="Times New Roman" w:cs="Times New Roman" w:eastAsia="Times New Roman" w:hint="default"/>
        </w:rPr>
        <w:t>1998</w:t>
      </w:r>
      <w:r>
        <w:rPr/>
        <w:t>年毕业于陕西财经学院商业经济</w:t>
      </w:r>
      <w:r>
        <w:rPr>
          <w:w w:val="100"/>
        </w:rPr>
        <w:t> </w:t>
      </w:r>
      <w:r>
        <w:rPr>
          <w:spacing w:val="-2"/>
        </w:rPr>
        <w:t>学专业，获经济学博士学位。</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1995</w:t>
      </w:r>
      <w:r>
        <w:rPr>
          <w:spacing w:val="-2"/>
        </w:rPr>
        <w:t>年就职于中共中央办公厅；</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2001</w:t>
      </w:r>
      <w:r>
        <w:rPr>
          <w:spacing w:val="-2"/>
        </w:rPr>
        <w:t>年就职于中央财经领</w:t>
      </w:r>
      <w:r>
        <w:rPr>
          <w:spacing w:val="-27"/>
        </w:rPr>
        <w:t> </w:t>
      </w:r>
      <w:r>
        <w:rPr>
          <w:spacing w:val="-27"/>
        </w:rPr>
      </w:r>
      <w:r>
        <w:rPr>
          <w:spacing w:val="-2"/>
        </w:rPr>
        <w:t>导小组办公室，历任秘书组处长、副组长、经贸组巡视员；</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2006</w:t>
      </w:r>
      <w:r>
        <w:rPr>
          <w:spacing w:val="-2"/>
        </w:rPr>
        <w:t>年就职于国务院信息化工作办公</w:t>
      </w:r>
      <w:r>
        <w:rPr>
          <w:spacing w:val="-38"/>
        </w:rPr>
        <w:t> </w:t>
      </w:r>
      <w:r>
        <w:rPr>
          <w:spacing w:val="-38"/>
        </w:rPr>
      </w:r>
      <w:r>
        <w:rPr>
          <w:spacing w:val="-2"/>
        </w:rPr>
        <w:t>室，担任综合组副组长、国家信息化专家委秘书长、网络与信息安全组组长；</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2012</w:t>
      </w:r>
      <w:r>
        <w:rPr>
          <w:spacing w:val="-2"/>
        </w:rPr>
        <w:t>年就职于国家</w:t>
      </w:r>
      <w:r>
        <w:rPr>
          <w:spacing w:val="-41"/>
        </w:rPr>
        <w:t> </w:t>
      </w:r>
      <w:r>
        <w:rPr>
          <w:spacing w:val="-41"/>
        </w:rPr>
      </w:r>
      <w:r>
        <w:rPr/>
        <w:t>邮政局，担任副局长；</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2016</w:t>
      </w:r>
      <w:r>
        <w:rPr/>
        <w:t>年担任中央企业专职外部董事。现任本公司独立董事。</w:t>
      </w:r>
    </w:p>
    <w:p>
      <w:pPr>
        <w:pStyle w:val="Heading4"/>
        <w:spacing w:line="240" w:lineRule="auto" w:before="125"/>
        <w:ind w:left="573" w:right="982"/>
        <w:jc w:val="left"/>
      </w:pPr>
      <w:r>
        <w:rPr>
          <w:rFonts w:ascii="Times New Roman" w:hAnsi="Times New Roman" w:cs="Times New Roman" w:eastAsia="Times New Roman" w:hint="default"/>
        </w:rPr>
        <w:t>7</w:t>
      </w:r>
      <w:r>
        <w:rPr/>
        <w:t>、杜美杰女士：</w:t>
      </w:r>
      <w:r>
        <w:rPr>
          <w:rFonts w:ascii="Times New Roman" w:hAnsi="Times New Roman" w:cs="Times New Roman" w:eastAsia="Times New Roman" w:hint="default"/>
        </w:rPr>
        <w:t>1975</w:t>
      </w:r>
      <w:r>
        <w:rPr/>
        <w:t>年出生，中国国籍，无境外永久居留权。中国人民大学商学院会计系管理学博</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64" w:lineRule="auto" w:before="36"/>
        <w:ind w:right="1128"/>
        <w:jc w:val="both"/>
      </w:pPr>
      <w:r>
        <w:rPr>
          <w:spacing w:val="-2"/>
        </w:rPr>
        <w:t>士，北京大学光华管理学院博士后。曾先后取得中国注册会计师、美国注册内部审计师、美国注册管理会</w:t>
      </w:r>
      <w:r>
        <w:rPr>
          <w:spacing w:val="-50"/>
        </w:rPr>
        <w:t> </w:t>
      </w:r>
      <w:r>
        <w:rPr>
          <w:spacing w:val="-50"/>
        </w:rPr>
      </w:r>
      <w:r>
        <w:rPr>
          <w:spacing w:val="-3"/>
        </w:rPr>
        <w:t>计师等资格证书。现任本公司独立董事，北京语言大学商学院会计系副教授、会计系主任、</w:t>
      </w:r>
      <w:r>
        <w:rPr>
          <w:rFonts w:ascii="Times New Roman" w:hAnsi="Times New Roman" w:cs="Times New Roman" w:eastAsia="Times New Roman" w:hint="default"/>
          <w:spacing w:val="-3"/>
        </w:rPr>
        <w:t>MPAcc</w:t>
      </w:r>
      <w:r>
        <w:rPr>
          <w:spacing w:val="-3"/>
        </w:rPr>
        <w:t>中心主</w:t>
      </w:r>
      <w:r>
        <w:rPr>
          <w:spacing w:val="-6"/>
        </w:rPr>
        <w:t> </w:t>
      </w:r>
      <w:r>
        <w:rPr>
          <w:spacing w:val="-6"/>
        </w:rPr>
      </w:r>
      <w:r>
        <w:rPr/>
        <w:t>任。</w:t>
      </w:r>
    </w:p>
    <w:p>
      <w:pPr>
        <w:pStyle w:val="Heading4"/>
        <w:spacing w:line="256" w:lineRule="auto" w:before="136"/>
        <w:ind w:right="1128" w:firstLine="420"/>
        <w:jc w:val="both"/>
      </w:pPr>
      <w:r>
        <w:rPr>
          <w:rFonts w:ascii="Times New Roman" w:hAnsi="Times New Roman" w:cs="Times New Roman" w:eastAsia="Times New Roman" w:hint="default"/>
        </w:rPr>
        <w:t>8</w:t>
      </w:r>
      <w:r>
        <w:rPr/>
        <w:t>、张文亮先生：</w:t>
      </w:r>
      <w:r>
        <w:rPr>
          <w:rFonts w:ascii="Times New Roman" w:hAnsi="Times New Roman" w:cs="Times New Roman" w:eastAsia="Times New Roman" w:hint="default"/>
        </w:rPr>
        <w:t>1977</w:t>
      </w:r>
      <w:r>
        <w:rPr/>
        <w:t>年出生，中国国籍，无境外永久居留权。</w:t>
      </w:r>
      <w:r>
        <w:rPr>
          <w:rFonts w:ascii="Times New Roman" w:hAnsi="Times New Roman" w:cs="Times New Roman" w:eastAsia="Times New Roman" w:hint="default"/>
        </w:rPr>
        <w:t>2001</w:t>
      </w:r>
      <w:r>
        <w:rPr/>
        <w:t>年毕业于北京大学法学院，获学</w:t>
      </w:r>
      <w:r>
        <w:rPr>
          <w:w w:val="100"/>
        </w:rPr>
        <w:t> </w:t>
      </w:r>
      <w:r>
        <w:rPr/>
        <w:t>士学位，</w:t>
      </w:r>
      <w:r>
        <w:rPr>
          <w:rFonts w:ascii="Times New Roman" w:hAnsi="Times New Roman" w:cs="Times New Roman" w:eastAsia="Times New Roman" w:hint="default"/>
        </w:rPr>
        <w:t>2009</w:t>
      </w:r>
      <w:r>
        <w:rPr/>
        <w:t>年取得律师执业资格。现任本公司独立董事、北京观韬中茂律师事务所合伙人。</w:t>
      </w:r>
    </w:p>
    <w:p>
      <w:pPr>
        <w:pStyle w:val="Heading4"/>
        <w:spacing w:line="240" w:lineRule="auto" w:before="125"/>
        <w:ind w:left="573" w:right="0"/>
        <w:jc w:val="left"/>
      </w:pPr>
      <w:r>
        <w:rPr>
          <w:rFonts w:ascii="Times New Roman" w:hAnsi="Times New Roman" w:cs="Times New Roman" w:eastAsia="Times New Roman" w:hint="default"/>
        </w:rPr>
        <w:t>9</w:t>
      </w:r>
      <w:r>
        <w:rPr/>
        <w:t>、吴舜皋先生：</w:t>
      </w:r>
      <w:r>
        <w:rPr>
          <w:rFonts w:ascii="Times New Roman" w:hAnsi="Times New Roman" w:cs="Times New Roman" w:eastAsia="Times New Roman" w:hint="default"/>
        </w:rPr>
        <w:t>1965</w:t>
      </w:r>
      <w:r>
        <w:rPr/>
        <w:t>年出生，中国国籍，无境外永久居留权。</w:t>
      </w:r>
      <w:r>
        <w:rPr>
          <w:rFonts w:ascii="Times New Roman" w:hAnsi="Times New Roman" w:cs="Times New Roman" w:eastAsia="Times New Roman" w:hint="default"/>
        </w:rPr>
        <w:t>1986</w:t>
      </w:r>
      <w:r>
        <w:rPr/>
        <w:t>年毕业于武汉大学，获学士学位。</w:t>
      </w:r>
    </w:p>
    <w:p>
      <w:pPr>
        <w:pStyle w:val="Heading4"/>
        <w:spacing w:line="256" w:lineRule="auto" w:before="21"/>
        <w:ind w:right="982"/>
        <w:jc w:val="left"/>
      </w:pPr>
      <w:r>
        <w:rPr>
          <w:rFonts w:ascii="Times New Roman" w:hAnsi="Times New Roman" w:cs="Times New Roman" w:eastAsia="Times New Roman" w:hint="default"/>
          <w:spacing w:val="-4"/>
        </w:rPr>
        <w:t>1986</w:t>
      </w:r>
      <w:r>
        <w:rPr>
          <w:spacing w:val="-4"/>
        </w:rPr>
        <w:t>年至</w:t>
      </w:r>
      <w:r>
        <w:rPr>
          <w:rFonts w:ascii="Times New Roman" w:hAnsi="Times New Roman" w:cs="Times New Roman" w:eastAsia="Times New Roman" w:hint="default"/>
          <w:spacing w:val="-4"/>
        </w:rPr>
        <w:t>2003</w:t>
      </w:r>
      <w:r>
        <w:rPr>
          <w:spacing w:val="-4"/>
        </w:rPr>
        <w:t>年任职于解放军某研究所，任高级工程师；</w:t>
      </w:r>
      <w:r>
        <w:rPr>
          <w:rFonts w:ascii="Times New Roman" w:hAnsi="Times New Roman" w:cs="Times New Roman" w:eastAsia="Times New Roman" w:hint="default"/>
          <w:spacing w:val="-4"/>
        </w:rPr>
        <w:t>2003</w:t>
      </w:r>
      <w:r>
        <w:rPr>
          <w:spacing w:val="-4"/>
        </w:rPr>
        <w:t>年至今任职于本公司，现任公司监事会主席。</w:t>
      </w:r>
      <w:r>
        <w:rPr>
          <w:spacing w:val="-28"/>
        </w:rPr>
        <w:t> </w:t>
      </w:r>
      <w:r>
        <w:rPr>
          <w:spacing w:val="-28"/>
        </w:rPr>
      </w:r>
      <w:r>
        <w:rPr/>
        <w:t>曾获</w:t>
      </w:r>
      <w:r>
        <w:rPr>
          <w:rFonts w:ascii="Times New Roman" w:hAnsi="Times New Roman" w:cs="Times New Roman" w:eastAsia="Times New Roman" w:hint="default"/>
        </w:rPr>
        <w:t>“</w:t>
      </w:r>
      <w:r>
        <w:rPr/>
        <w:t>国家科技进步二等奖</w:t>
      </w:r>
      <w:r>
        <w:rPr>
          <w:rFonts w:ascii="Times New Roman" w:hAnsi="Times New Roman" w:cs="Times New Roman" w:eastAsia="Times New Roman" w:hint="default"/>
        </w:rPr>
        <w:t>”</w:t>
      </w:r>
      <w:r>
        <w:rPr/>
        <w:t>。</w:t>
      </w:r>
    </w:p>
    <w:p>
      <w:pPr>
        <w:pStyle w:val="Heading4"/>
        <w:spacing w:line="256" w:lineRule="auto" w:before="125"/>
        <w:ind w:right="982" w:firstLine="420"/>
        <w:jc w:val="left"/>
      </w:pPr>
      <w:r>
        <w:rPr>
          <w:rFonts w:ascii="Times New Roman" w:hAnsi="Times New Roman" w:cs="Times New Roman" w:eastAsia="Times New Roman" w:hint="default"/>
        </w:rPr>
        <w:t>10</w:t>
      </w:r>
      <w:r>
        <w:rPr/>
        <w:t>、刘明哲先生：</w:t>
      </w:r>
      <w:r>
        <w:rPr>
          <w:rFonts w:ascii="Times New Roman" w:hAnsi="Times New Roman" w:cs="Times New Roman" w:eastAsia="Times New Roman" w:hint="default"/>
        </w:rPr>
        <w:t>1981</w:t>
      </w:r>
      <w:r>
        <w:rPr/>
        <w:t>年出生，中国国籍，无境外永久居留权。</w:t>
      </w:r>
      <w:r>
        <w:rPr>
          <w:rFonts w:ascii="Times New Roman" w:hAnsi="Times New Roman" w:cs="Times New Roman" w:eastAsia="Times New Roman" w:hint="default"/>
        </w:rPr>
        <w:t>2005</w:t>
      </w:r>
      <w:r>
        <w:rPr/>
        <w:t>年毕业于北京物资学院。</w:t>
      </w:r>
      <w:r>
        <w:rPr>
          <w:rFonts w:ascii="Times New Roman" w:hAnsi="Times New Roman" w:cs="Times New Roman" w:eastAsia="Times New Roman" w:hint="default"/>
        </w:rPr>
        <w:t>2005</w:t>
      </w:r>
      <w:r>
        <w:rPr/>
        <w:t>年</w:t>
      </w:r>
      <w:r>
        <w:rPr>
          <w:w w:val="100"/>
        </w:rPr>
        <w:t> </w:t>
      </w:r>
      <w:r>
        <w:rPr/>
        <w:t>至</w:t>
      </w:r>
      <w:r>
        <w:rPr>
          <w:rFonts w:ascii="Times New Roman" w:hAnsi="Times New Roman" w:cs="Times New Roman" w:eastAsia="Times New Roman" w:hint="default"/>
        </w:rPr>
        <w:t>2007</w:t>
      </w:r>
      <w:r>
        <w:rPr/>
        <w:t>年任职于北京七六一通信雷达有限责任公司；</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2012</w:t>
      </w:r>
      <w:r>
        <w:rPr/>
        <w:t>年任职于北京北广电子集团有限责任公</w:t>
      </w:r>
      <w:r>
        <w:rPr>
          <w:w w:val="100"/>
        </w:rPr>
        <w:t> </w:t>
      </w:r>
      <w:r>
        <w:rPr>
          <w:spacing w:val="-2"/>
        </w:rPr>
        <w:t>司，任财务部副部长；</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月任职于北京市国有资产经营有限责任公司，任财务部副总经理；</w:t>
      </w:r>
      <w:r>
        <w:rPr>
          <w:spacing w:val="-34"/>
        </w:rPr>
        <w:t> </w:t>
      </w:r>
      <w:r>
        <w:rPr>
          <w:spacing w:val="-34"/>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月至今，任职于北京水晶石数字科技股份有限公司担任副总经理（财务总监），现任本公司监事。</w:t>
      </w:r>
    </w:p>
    <w:p>
      <w:pPr>
        <w:pStyle w:val="Heading4"/>
        <w:spacing w:line="256" w:lineRule="auto" w:before="125"/>
        <w:ind w:right="1126" w:firstLine="420"/>
        <w:jc w:val="both"/>
      </w:pPr>
      <w:r>
        <w:rPr>
          <w:rFonts w:ascii="Times New Roman" w:hAnsi="Times New Roman" w:cs="Times New Roman" w:eastAsia="Times New Roman" w:hint="default"/>
          <w:spacing w:val="-2"/>
        </w:rPr>
        <w:t>11</w:t>
      </w:r>
      <w:r>
        <w:rPr>
          <w:spacing w:val="-2"/>
        </w:rPr>
        <w:t>、李志梅女士：</w:t>
      </w:r>
      <w:r>
        <w:rPr>
          <w:rFonts w:ascii="Times New Roman" w:hAnsi="Times New Roman" w:cs="Times New Roman" w:eastAsia="Times New Roman" w:hint="default"/>
          <w:spacing w:val="-2"/>
        </w:rPr>
        <w:t>1970</w:t>
      </w:r>
      <w:r>
        <w:rPr>
          <w:spacing w:val="-2"/>
        </w:rPr>
        <w:t>年出生，中国国籍，无境外永久居留权。</w:t>
      </w:r>
      <w:r>
        <w:rPr>
          <w:rFonts w:ascii="Times New Roman" w:hAnsi="Times New Roman" w:cs="Times New Roman" w:eastAsia="Times New Roman" w:hint="default"/>
          <w:spacing w:val="-2"/>
        </w:rPr>
        <w:t>1992</w:t>
      </w:r>
      <w:r>
        <w:rPr>
          <w:spacing w:val="-2"/>
        </w:rPr>
        <w:t>年毕业于辽宁广播电视大学对外</w:t>
      </w:r>
      <w:r>
        <w:rPr>
          <w:w w:val="100"/>
        </w:rPr>
        <w:t> </w:t>
      </w:r>
      <w:r>
        <w:rPr>
          <w:spacing w:val="-2"/>
        </w:rPr>
        <w:t>经济贸易专业。</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2001</w:t>
      </w:r>
      <w:r>
        <w:rPr>
          <w:spacing w:val="-2"/>
        </w:rPr>
        <w:t>年任职于北京华科电子技术公司，任财务主管；</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年先后任职于</w:t>
      </w:r>
      <w:r>
        <w:rPr>
          <w:spacing w:val="-37"/>
        </w:rPr>
        <w:t> </w:t>
      </w:r>
      <w:r>
        <w:rPr>
          <w:spacing w:val="-37"/>
        </w:rPr>
      </w:r>
      <w:r>
        <w:rPr/>
        <w:t>北京美加教育集团、北京金汛新世纪机器人制造有限公司、荣诚机电</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有限公司。现任本公司监事、</w:t>
      </w:r>
      <w:r>
        <w:rPr>
          <w:spacing w:val="-59"/>
        </w:rPr>
        <w:t> </w:t>
      </w:r>
      <w:r>
        <w:rPr>
          <w:spacing w:val="-59"/>
        </w:rPr>
      </w:r>
      <w:r>
        <w:rPr/>
        <w:t>首都信息发展股份有限公司审计部经理。</w:t>
      </w:r>
    </w:p>
    <w:p>
      <w:pPr>
        <w:pStyle w:val="Heading4"/>
        <w:spacing w:line="256" w:lineRule="auto" w:before="142"/>
        <w:ind w:right="982" w:firstLine="420"/>
        <w:jc w:val="left"/>
      </w:pPr>
      <w:r>
        <w:rPr>
          <w:rFonts w:ascii="Times New Roman" w:hAnsi="Times New Roman" w:cs="Times New Roman" w:eastAsia="Times New Roman" w:hint="default"/>
          <w:spacing w:val="-2"/>
        </w:rPr>
        <w:t>12</w:t>
      </w:r>
      <w:r>
        <w:rPr>
          <w:spacing w:val="-2"/>
        </w:rPr>
        <w:t>、张益谦先生：</w:t>
      </w:r>
      <w:r>
        <w:rPr>
          <w:rFonts w:ascii="Times New Roman" w:hAnsi="Times New Roman" w:cs="Times New Roman" w:eastAsia="Times New Roman" w:hint="default"/>
          <w:spacing w:val="-2"/>
        </w:rPr>
        <w:t>1978</w:t>
      </w:r>
      <w:r>
        <w:rPr>
          <w:spacing w:val="-2"/>
        </w:rPr>
        <w:t>年出生，中国国籍，无境外永久居留权。</w:t>
      </w:r>
      <w:r>
        <w:rPr>
          <w:rFonts w:ascii="Times New Roman" w:hAnsi="Times New Roman" w:cs="Times New Roman" w:eastAsia="Times New Roman" w:hint="default"/>
          <w:spacing w:val="-2"/>
        </w:rPr>
        <w:t>2012</w:t>
      </w:r>
      <w:r>
        <w:rPr>
          <w:spacing w:val="-2"/>
        </w:rPr>
        <w:t>年毕业于北京航空航天大学软件</w:t>
      </w:r>
      <w:r>
        <w:rPr>
          <w:w w:val="100"/>
        </w:rPr>
        <w:t> </w:t>
      </w:r>
      <w:r>
        <w:rPr>
          <w:spacing w:val="-5"/>
        </w:rPr>
        <w:t>工程领域工程专业，获工程硕士学位。</w:t>
      </w:r>
      <w:r>
        <w:rPr>
          <w:rFonts w:ascii="Times New Roman" w:hAnsi="Times New Roman" w:cs="Times New Roman" w:eastAsia="Times New Roman" w:hint="default"/>
          <w:spacing w:val="-5"/>
        </w:rPr>
        <w:t>2001</w:t>
      </w:r>
      <w:r>
        <w:rPr>
          <w:spacing w:val="-5"/>
        </w:rPr>
        <w:t>年至今任职于本公司，历任销售代表、政府与公共服务部经理、</w:t>
      </w:r>
      <w:r>
        <w:rPr>
          <w:spacing w:val="-3"/>
        </w:rPr>
        <w:t> </w:t>
      </w:r>
      <w:r>
        <w:rPr>
          <w:spacing w:val="-3"/>
        </w:rPr>
      </w:r>
      <w:r>
        <w:rPr/>
        <w:t>大客户中心总监、营销中心总监、公司总监，现任公司副总经理。</w:t>
      </w:r>
    </w:p>
    <w:p>
      <w:pPr>
        <w:pStyle w:val="Heading4"/>
        <w:spacing w:line="256" w:lineRule="auto" w:before="143"/>
        <w:ind w:right="982" w:firstLine="420"/>
        <w:jc w:val="left"/>
      </w:pPr>
      <w:r>
        <w:rPr>
          <w:rFonts w:ascii="Times New Roman" w:hAnsi="Times New Roman" w:cs="Times New Roman" w:eastAsia="Times New Roman" w:hint="default"/>
          <w:spacing w:val="-2"/>
        </w:rPr>
        <w:t>13</w:t>
      </w:r>
      <w:r>
        <w:rPr>
          <w:spacing w:val="-2"/>
        </w:rPr>
        <w:t>、侯鹏亮先生：</w:t>
      </w:r>
      <w:r>
        <w:rPr>
          <w:rFonts w:ascii="Times New Roman" w:hAnsi="Times New Roman" w:cs="Times New Roman" w:eastAsia="Times New Roman" w:hint="default"/>
          <w:spacing w:val="-2"/>
        </w:rPr>
        <w:t>1975</w:t>
      </w:r>
      <w:r>
        <w:rPr>
          <w:spacing w:val="-2"/>
        </w:rPr>
        <w:t>年出生，中国国籍，无境外永久居留权。</w:t>
      </w:r>
      <w:r>
        <w:rPr>
          <w:rFonts w:ascii="Times New Roman" w:hAnsi="Times New Roman" w:cs="Times New Roman" w:eastAsia="Times New Roman" w:hint="default"/>
          <w:spacing w:val="-2"/>
        </w:rPr>
        <w:t>1997</w:t>
      </w:r>
      <w:r>
        <w:rPr>
          <w:spacing w:val="-2"/>
        </w:rPr>
        <w:t>毕业于江汉大学计算机技术系分</w:t>
      </w:r>
      <w:r>
        <w:rPr>
          <w:w w:val="100"/>
        </w:rPr>
        <w:t> </w:t>
      </w:r>
      <w:r>
        <w:rPr>
          <w:spacing w:val="-2"/>
        </w:rPr>
        <w:t>析测试专业，大学专科学历；</w:t>
      </w:r>
      <w:r>
        <w:rPr>
          <w:rFonts w:ascii="Times New Roman" w:hAnsi="Times New Roman" w:cs="Times New Roman" w:eastAsia="Times New Roman" w:hint="default"/>
          <w:spacing w:val="-2"/>
        </w:rPr>
        <w:t>2004</w:t>
      </w:r>
      <w:r>
        <w:rPr>
          <w:spacing w:val="-2"/>
        </w:rPr>
        <w:t>毕业于武汉大学软件工程专业，在职硕士研究生学历。</w:t>
      </w:r>
      <w:r>
        <w:rPr>
          <w:rFonts w:ascii="Times New Roman" w:hAnsi="Times New Roman" w:cs="Times New Roman" w:eastAsia="Times New Roman" w:hint="default"/>
          <w:spacing w:val="-2"/>
        </w:rPr>
        <w:t>1997</w:t>
      </w:r>
      <w:r>
        <w:rPr>
          <w:spacing w:val="-2"/>
        </w:rPr>
        <w:t>至</w:t>
      </w:r>
      <w:r>
        <w:rPr>
          <w:rFonts w:ascii="Times New Roman" w:hAnsi="Times New Roman" w:cs="Times New Roman" w:eastAsia="Times New Roman" w:hint="default"/>
          <w:spacing w:val="-2"/>
        </w:rPr>
        <w:t>2011</w:t>
      </w:r>
      <w:r>
        <w:rPr>
          <w:spacing w:val="-2"/>
        </w:rPr>
        <w:t>年分</w:t>
      </w:r>
      <w:r>
        <w:rPr>
          <w:spacing w:val="-37"/>
        </w:rPr>
        <w:t> </w:t>
      </w:r>
      <w:r>
        <w:rPr/>
        <w:t>别任职于武汉维豪信息技术有限公司、上海维豪信息安全有限公司。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月至今任职于本公司，现任</w:t>
      </w:r>
      <w:r>
        <w:rPr>
          <w:spacing w:val="-25"/>
        </w:rPr>
        <w:t> </w:t>
      </w:r>
      <w:r>
        <w:rPr>
          <w:spacing w:val="-25"/>
        </w:rPr>
      </w:r>
      <w:r>
        <w:rPr>
          <w:spacing w:val="-7"/>
          <w:w w:val="100"/>
        </w:rPr>
        <w:t>公司副总经理。曾先后荣获</w:t>
      </w:r>
      <w:r>
        <w:rPr>
          <w:rFonts w:ascii="Times New Roman" w:hAnsi="Times New Roman" w:cs="Times New Roman" w:eastAsia="Times New Roman" w:hint="default"/>
          <w:spacing w:val="-7"/>
          <w:w w:val="100"/>
        </w:rPr>
        <w:t>“</w:t>
      </w:r>
      <w:r>
        <w:rPr>
          <w:spacing w:val="-7"/>
          <w:w w:val="100"/>
        </w:rPr>
        <w:t>武汉市科技进步三等奖</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上海市科技进步一等奖</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北京市科学技术三等奖</w:t>
      </w:r>
      <w:r>
        <w:rPr>
          <w:rFonts w:ascii="Times New Roman" w:hAnsi="Times New Roman" w:cs="Times New Roman" w:eastAsia="Times New Roman" w:hint="default"/>
          <w:spacing w:val="-7"/>
          <w:w w:val="100"/>
        </w:rPr>
        <w:t>”</w:t>
      </w:r>
      <w:r>
        <w:rPr>
          <w:spacing w:val="-7"/>
          <w:w w:val="100"/>
        </w:rPr>
        <w:t>，</w:t>
      </w:r>
      <w:r>
        <w:rPr>
          <w:spacing w:val="-86"/>
          <w:w w:val="100"/>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工业控制系统密码应用研究项目</w:t>
      </w:r>
      <w:r>
        <w:rPr>
          <w:rFonts w:ascii="Times New Roman" w:hAnsi="Times New Roman" w:cs="Times New Roman" w:eastAsia="Times New Roman" w:hint="default"/>
        </w:rPr>
        <w:t>”</w:t>
      </w:r>
      <w:r>
        <w:rPr/>
        <w:t>获得省部级密码奖三等奖。</w:t>
      </w:r>
    </w:p>
    <w:p>
      <w:pPr>
        <w:pStyle w:val="Heading4"/>
        <w:spacing w:line="256" w:lineRule="auto" w:before="125"/>
        <w:ind w:right="1126" w:firstLine="420"/>
        <w:jc w:val="both"/>
      </w:pPr>
      <w:r>
        <w:rPr>
          <w:rFonts w:ascii="Times New Roman" w:hAnsi="Times New Roman" w:cs="Times New Roman" w:eastAsia="Times New Roman" w:hint="default"/>
          <w:spacing w:val="-2"/>
        </w:rPr>
        <w:t>14</w:t>
      </w:r>
      <w:r>
        <w:rPr>
          <w:spacing w:val="-2"/>
        </w:rPr>
        <w:t>、齐秀彬女士：</w:t>
      </w:r>
      <w:r>
        <w:rPr>
          <w:rFonts w:ascii="Times New Roman" w:hAnsi="Times New Roman" w:cs="Times New Roman" w:eastAsia="Times New Roman" w:hint="default"/>
          <w:spacing w:val="-2"/>
        </w:rPr>
        <w:t>1977</w:t>
      </w:r>
      <w:r>
        <w:rPr>
          <w:spacing w:val="-2"/>
        </w:rPr>
        <w:t>年出生，中国国籍，无境外永久居留权。</w:t>
      </w:r>
      <w:r>
        <w:rPr>
          <w:rFonts w:ascii="Times New Roman" w:hAnsi="Times New Roman" w:cs="Times New Roman" w:eastAsia="Times New Roman" w:hint="default"/>
          <w:spacing w:val="-2"/>
        </w:rPr>
        <w:t>2001</w:t>
      </w:r>
      <w:r>
        <w:rPr>
          <w:spacing w:val="-2"/>
        </w:rPr>
        <w:t>年毕业于哈尔滨工业大学，获硕</w:t>
      </w:r>
      <w:r>
        <w:rPr>
          <w:spacing w:val="-3"/>
          <w:w w:val="100"/>
        </w:rPr>
        <w:t> </w:t>
      </w:r>
      <w:r>
        <w:rPr>
          <w:spacing w:val="-6"/>
        </w:rPr>
        <w:t>士学位。</w:t>
      </w:r>
      <w:r>
        <w:rPr>
          <w:rFonts w:ascii="Times New Roman" w:hAnsi="Times New Roman" w:cs="Times New Roman" w:eastAsia="Times New Roman" w:hint="default"/>
          <w:spacing w:val="-6"/>
        </w:rPr>
        <w:t>2001</w:t>
      </w:r>
      <w:r>
        <w:rPr>
          <w:spacing w:val="-6"/>
        </w:rPr>
        <w:t>年至</w:t>
      </w:r>
      <w:r>
        <w:rPr>
          <w:rFonts w:ascii="Times New Roman" w:hAnsi="Times New Roman" w:cs="Times New Roman" w:eastAsia="Times New Roman" w:hint="default"/>
          <w:spacing w:val="-6"/>
        </w:rPr>
        <w:t>2016</w:t>
      </w:r>
      <w:r>
        <w:rPr>
          <w:spacing w:val="-6"/>
        </w:rPr>
        <w:t>年就职于大唐电信科技股份有限公司，</w:t>
      </w:r>
      <w:r>
        <w:rPr>
          <w:rFonts w:ascii="Times New Roman" w:hAnsi="Times New Roman" w:cs="Times New Roman" w:eastAsia="Times New Roman" w:hint="default"/>
          <w:spacing w:val="-6"/>
        </w:rPr>
        <w:t>2005</w:t>
      </w:r>
      <w:r>
        <w:rPr>
          <w:spacing w:val="-6"/>
        </w:rPr>
        <w:t>年至</w:t>
      </w:r>
      <w:r>
        <w:rPr>
          <w:rFonts w:ascii="Times New Roman" w:hAnsi="Times New Roman" w:cs="Times New Roman" w:eastAsia="Times New Roman" w:hint="default"/>
          <w:spacing w:val="-6"/>
        </w:rPr>
        <w:t>2016</w:t>
      </w:r>
      <w:r>
        <w:rPr>
          <w:spacing w:val="-6"/>
        </w:rPr>
        <w:t>年担任该公司董事会秘书，</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年至</w:t>
      </w:r>
      <w:r>
        <w:rPr>
          <w:rFonts w:ascii="Times New Roman" w:hAnsi="Times New Roman" w:cs="Times New Roman" w:eastAsia="Times New Roman" w:hint="default"/>
        </w:rPr>
        <w:t>2016</w:t>
      </w:r>
      <w:r>
        <w:rPr/>
        <w:t>年兼任总法律顾问；</w:t>
      </w:r>
      <w:r>
        <w:rPr>
          <w:rFonts w:ascii="Times New Roman" w:hAnsi="Times New Roman" w:cs="Times New Roman" w:eastAsia="Times New Roman" w:hint="default"/>
        </w:rPr>
        <w:t>2017</w:t>
      </w:r>
      <w:r>
        <w:rPr/>
        <w:t>年至今任职于本公司，现任公司副总经理、董事会秘书。</w:t>
      </w:r>
    </w:p>
    <w:p>
      <w:pPr>
        <w:pStyle w:val="Heading4"/>
        <w:spacing w:line="256" w:lineRule="auto" w:before="125"/>
        <w:ind w:right="1126" w:firstLine="420"/>
        <w:jc w:val="both"/>
      </w:pPr>
      <w:r>
        <w:rPr>
          <w:rFonts w:ascii="Times New Roman" w:hAnsi="Times New Roman" w:cs="Times New Roman" w:eastAsia="Times New Roman" w:hint="default"/>
          <w:spacing w:val="-2"/>
        </w:rPr>
        <w:t>15</w:t>
      </w:r>
      <w:r>
        <w:rPr>
          <w:spacing w:val="-2"/>
        </w:rPr>
        <w:t>、吴伟东女士：</w:t>
      </w:r>
      <w:r>
        <w:rPr>
          <w:rFonts w:ascii="Times New Roman" w:hAnsi="Times New Roman" w:cs="Times New Roman" w:eastAsia="Times New Roman" w:hint="default"/>
          <w:spacing w:val="-2"/>
        </w:rPr>
        <w:t>1969</w:t>
      </w:r>
      <w:r>
        <w:rPr>
          <w:spacing w:val="-2"/>
        </w:rPr>
        <w:t>年出生，中国国籍，无境外永久居留权。</w:t>
      </w:r>
      <w:r>
        <w:rPr>
          <w:rFonts w:ascii="Times New Roman" w:hAnsi="Times New Roman" w:cs="Times New Roman" w:eastAsia="Times New Roman" w:hint="default"/>
          <w:spacing w:val="-2"/>
        </w:rPr>
        <w:t>1991</w:t>
      </w:r>
      <w:r>
        <w:rPr>
          <w:spacing w:val="-2"/>
        </w:rPr>
        <w:t>年毕业于中国人民大学社会学专</w:t>
      </w:r>
      <w:r>
        <w:rPr>
          <w:w w:val="100"/>
        </w:rPr>
        <w:t> </w:t>
      </w:r>
      <w:r>
        <w:rPr>
          <w:spacing w:val="-2"/>
        </w:rPr>
        <w:t>业，获法学学士学位。</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2017</w:t>
      </w:r>
      <w:r>
        <w:rPr>
          <w:spacing w:val="-2"/>
        </w:rPr>
        <w:t>年先后任职于北京市人事局政策法规处、华理经济文化发展公司、北</w:t>
      </w:r>
      <w:r>
        <w:rPr>
          <w:spacing w:val="-43"/>
        </w:rPr>
        <w:t> </w:t>
      </w:r>
      <w:r>
        <w:rPr>
          <w:spacing w:val="-43"/>
        </w:rPr>
      </w:r>
      <w:r>
        <w:rPr/>
        <w:t>京大发正大有限公司、北京科技园建设（集团）股份有限公司、首都信息发展股份有限公司；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spacing w:val="-24"/>
        </w:rPr>
        <w:t> </w:t>
      </w:r>
      <w:r>
        <w:rPr/>
        <w:t>至今任职于本公司，现任公司副总经理。</w:t>
      </w:r>
    </w:p>
    <w:p>
      <w:pPr>
        <w:pStyle w:val="Heading4"/>
        <w:spacing w:line="256" w:lineRule="auto" w:before="142"/>
        <w:ind w:right="1126" w:firstLine="420"/>
        <w:jc w:val="both"/>
      </w:pPr>
      <w:r>
        <w:rPr>
          <w:rFonts w:ascii="Times New Roman" w:hAnsi="Times New Roman" w:cs="Times New Roman" w:eastAsia="Times New Roman" w:hint="default"/>
          <w:spacing w:val="-2"/>
        </w:rPr>
        <w:t>16</w:t>
      </w:r>
      <w:r>
        <w:rPr>
          <w:spacing w:val="-2"/>
        </w:rPr>
        <w:t>、程小茁先生：</w:t>
      </w:r>
      <w:r>
        <w:rPr>
          <w:rFonts w:ascii="Times New Roman" w:hAnsi="Times New Roman" w:cs="Times New Roman" w:eastAsia="Times New Roman" w:hint="default"/>
          <w:spacing w:val="-2"/>
        </w:rPr>
        <w:t>1975</w:t>
      </w:r>
      <w:r>
        <w:rPr>
          <w:spacing w:val="-2"/>
        </w:rPr>
        <w:t>年出生，中国国籍，无境外永久居留权。</w:t>
      </w:r>
      <w:r>
        <w:rPr>
          <w:rFonts w:ascii="Times New Roman" w:hAnsi="Times New Roman" w:cs="Times New Roman" w:eastAsia="Times New Roman" w:hint="default"/>
          <w:spacing w:val="-2"/>
        </w:rPr>
        <w:t>2000</w:t>
      </w:r>
      <w:r>
        <w:rPr>
          <w:spacing w:val="-2"/>
        </w:rPr>
        <w:t>年毕业于辽宁石油化工大学计算</w:t>
      </w:r>
      <w:r>
        <w:rPr>
          <w:w w:val="100"/>
        </w:rPr>
        <w:t> </w:t>
      </w:r>
      <w:r>
        <w:rPr>
          <w:spacing w:val="-2"/>
        </w:rPr>
        <w:t>机应用技术专业，获工学硕士学位。</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2004</w:t>
      </w:r>
      <w:r>
        <w:rPr>
          <w:spacing w:val="-2"/>
        </w:rPr>
        <w:t>年任职于首都信息发展股份有限公司，历任开发部工程</w:t>
      </w:r>
      <w:r>
        <w:rPr>
          <w:spacing w:val="-36"/>
        </w:rPr>
        <w:t> </w:t>
      </w:r>
      <w:r>
        <w:rPr>
          <w:spacing w:val="-36"/>
        </w:rPr>
      </w:r>
      <w:r>
        <w:rPr>
          <w:spacing w:val="-2"/>
        </w:rPr>
        <w:t>师、项目经理、售前工程师；</w:t>
      </w:r>
      <w:r>
        <w:rPr>
          <w:rFonts w:ascii="Times New Roman" w:hAnsi="Times New Roman" w:cs="Times New Roman" w:eastAsia="Times New Roman" w:hint="default"/>
          <w:spacing w:val="-2"/>
        </w:rPr>
        <w:t>2004</w:t>
      </w:r>
      <w:r>
        <w:rPr>
          <w:spacing w:val="-2"/>
        </w:rPr>
        <w:t>年至今任职于本公司，现任公司副总经理，曾荣获北京市科技进步三等</w:t>
      </w:r>
      <w:r>
        <w:rPr>
          <w:spacing w:val="-40"/>
        </w:rPr>
        <w:t> </w:t>
      </w:r>
      <w:r>
        <w:rPr>
          <w:spacing w:val="-40"/>
        </w:rPr>
      </w:r>
      <w:r>
        <w:rPr/>
        <w:t>奖。</w:t>
      </w:r>
    </w:p>
    <w:p>
      <w:pPr>
        <w:pStyle w:val="Heading4"/>
        <w:spacing w:line="256" w:lineRule="auto" w:before="142"/>
        <w:ind w:right="1126" w:firstLine="420"/>
        <w:jc w:val="both"/>
      </w:pPr>
      <w:r>
        <w:rPr>
          <w:rFonts w:ascii="Times New Roman" w:hAnsi="Times New Roman" w:cs="Times New Roman" w:eastAsia="Times New Roman" w:hint="default"/>
          <w:spacing w:val="-2"/>
        </w:rPr>
        <w:t>17</w:t>
      </w:r>
      <w:r>
        <w:rPr>
          <w:spacing w:val="-2"/>
        </w:rPr>
        <w:t>、高青山先生：</w:t>
      </w:r>
      <w:r>
        <w:rPr>
          <w:rFonts w:ascii="Times New Roman" w:hAnsi="Times New Roman" w:cs="Times New Roman" w:eastAsia="Times New Roman" w:hint="default"/>
          <w:spacing w:val="-2"/>
        </w:rPr>
        <w:t>1976</w:t>
      </w:r>
      <w:r>
        <w:rPr>
          <w:spacing w:val="-2"/>
        </w:rPr>
        <w:t>年出生，中国国籍，无境外永久居留权。</w:t>
      </w:r>
      <w:r>
        <w:rPr>
          <w:rFonts w:ascii="Times New Roman" w:hAnsi="Times New Roman" w:cs="Times New Roman" w:eastAsia="Times New Roman" w:hint="default"/>
          <w:spacing w:val="-2"/>
        </w:rPr>
        <w:t>2000</w:t>
      </w:r>
      <w:r>
        <w:rPr>
          <w:spacing w:val="-2"/>
        </w:rPr>
        <w:t>年毕业于郑州轻工业学院会计学</w:t>
      </w:r>
      <w:r>
        <w:rPr>
          <w:w w:val="100"/>
        </w:rPr>
        <w:t> </w:t>
      </w:r>
      <w:r>
        <w:rPr>
          <w:spacing w:val="-2"/>
        </w:rPr>
        <w:t>专业，获学士学位。</w:t>
      </w:r>
      <w:r>
        <w:rPr>
          <w:rFonts w:ascii="Times New Roman" w:hAnsi="Times New Roman" w:cs="Times New Roman" w:eastAsia="Times New Roman" w:hint="default"/>
          <w:spacing w:val="-2"/>
        </w:rPr>
        <w:t>2000</w:t>
      </w:r>
      <w:r>
        <w:rPr>
          <w:spacing w:val="-2"/>
        </w:rPr>
        <w:t>年任职于贵州航天乌江机电设备有限公司财务部，</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月，任职</w:t>
      </w:r>
      <w:r>
        <w:rPr>
          <w:spacing w:val="-33"/>
        </w:rPr>
        <w:t> </w:t>
      </w:r>
      <w:r>
        <w:rPr>
          <w:spacing w:val="-33"/>
        </w:rPr>
      </w:r>
      <w:r>
        <w:rPr/>
        <w:t>于致同会计师事务所审计部，历任审计员、审计经理、高级经理、审计总监。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月至今任职于本公</w:t>
      </w:r>
      <w:r>
        <w:rPr>
          <w:spacing w:val="-24"/>
        </w:rPr>
        <w:t> </w:t>
      </w:r>
      <w:r>
        <w:rPr>
          <w:spacing w:val="-24"/>
        </w:rPr>
      </w:r>
      <w:r>
        <w:rPr/>
        <w:t>司，现任公司财务负责人。</w:t>
      </w:r>
    </w:p>
    <w:p>
      <w:pPr>
        <w:pStyle w:val="BodyText"/>
        <w:spacing w:line="240" w:lineRule="auto" w:before="81"/>
        <w:ind w:right="0"/>
        <w:jc w:val="both"/>
      </w:pPr>
      <w:r>
        <w:rPr/>
        <w:t>在股东单位任职情况</w:t>
      </w:r>
    </w:p>
    <w:p>
      <w:pPr>
        <w:spacing w:after="0" w:line="24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133"/>
        <w:gridCol w:w="1560"/>
        <w:gridCol w:w="1561"/>
        <w:gridCol w:w="134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108"/>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9" w:right="3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01" w:right="108" w:hanging="89"/>
              <w:jc w:val="left"/>
              <w:rPr>
                <w:rFonts w:ascii="宋体" w:hAnsi="宋体" w:cs="宋体" w:eastAsia="宋体" w:hint="default"/>
                <w:sz w:val="18"/>
                <w:szCs w:val="18"/>
              </w:rPr>
            </w:pPr>
            <w:r>
              <w:rPr>
                <w:rFonts w:ascii="宋体" w:hAnsi="宋体" w:cs="宋体" w:eastAsia="宋体" w:hint="default"/>
                <w:sz w:val="18"/>
                <w:szCs w:val="18"/>
              </w:rPr>
              <w:t>计划财务部 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92" w:right="19" w:hanging="26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1" w:right="108" w:hanging="269"/>
              <w:jc w:val="left"/>
              <w:rPr>
                <w:rFonts w:ascii="宋体" w:hAnsi="宋体" w:cs="宋体" w:eastAsia="宋体" w:hint="default"/>
                <w:sz w:val="18"/>
                <w:szCs w:val="18"/>
              </w:rPr>
            </w:pPr>
            <w:r>
              <w:rPr>
                <w:rFonts w:ascii="宋体" w:hAnsi="宋体" w:cs="宋体" w:eastAsia="宋体" w:hint="default"/>
                <w:sz w:val="18"/>
                <w:szCs w:val="18"/>
              </w:rPr>
              <w:t>投资部副总 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2" w:right="108"/>
              <w:jc w:val="center"/>
              <w:rPr>
                <w:rFonts w:ascii="宋体" w:hAnsi="宋体" w:cs="宋体" w:eastAsia="宋体" w:hint="default"/>
                <w:sz w:val="18"/>
                <w:szCs w:val="18"/>
              </w:rPr>
            </w:pPr>
            <w:r>
              <w:rPr>
                <w:rFonts w:ascii="宋体" w:hAnsi="宋体" w:cs="宋体" w:eastAsia="宋体" w:hint="default"/>
                <w:sz w:val="18"/>
                <w:szCs w:val="18"/>
              </w:rPr>
              <w:t>雄安分公司 常务副总经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审计部经理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在其他单位任职情况</w:t>
      </w:r>
    </w:p>
    <w:p>
      <w:pPr>
        <w:pStyle w:val="BodyText"/>
        <w:spacing w:line="240" w:lineRule="auto" w:before="11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133"/>
        <w:gridCol w:w="1560"/>
        <w:gridCol w:w="1561"/>
        <w:gridCol w:w="1346"/>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北京邮电大学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全国信息安全标准化技术委员会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hanging="2"/>
              <w:jc w:val="center"/>
              <w:rPr>
                <w:rFonts w:ascii="宋体" w:hAnsi="宋体" w:cs="宋体" w:eastAsia="宋体" w:hint="default"/>
                <w:sz w:val="18"/>
                <w:szCs w:val="18"/>
              </w:rPr>
            </w:pPr>
            <w:r>
              <w:rPr>
                <w:rFonts w:ascii="宋体" w:hAnsi="宋体" w:cs="宋体" w:eastAsia="宋体" w:hint="default"/>
                <w:sz w:val="18"/>
                <w:szCs w:val="18"/>
              </w:rPr>
              <w:t>委员、</w:t>
            </w:r>
            <w:r>
              <w:rPr>
                <w:rFonts w:ascii="Times New Roman" w:hAnsi="Times New Roman" w:cs="Times New Roman" w:eastAsia="Times New Roman" w:hint="default"/>
                <w:sz w:val="18"/>
                <w:szCs w:val="18"/>
              </w:rPr>
              <w:t>WG3 </w:t>
            </w:r>
            <w:r>
              <w:rPr>
                <w:rFonts w:ascii="宋体" w:hAnsi="宋体" w:cs="宋体" w:eastAsia="宋体" w:hint="default"/>
                <w:spacing w:val="-16"/>
                <w:w w:val="99"/>
                <w:sz w:val="18"/>
                <w:szCs w:val="18"/>
              </w:rPr>
              <w:t>组、</w:t>
            </w:r>
            <w:r>
              <w:rPr>
                <w:rFonts w:ascii="Times New Roman" w:hAnsi="Times New Roman" w:cs="Times New Roman" w:eastAsia="Times New Roman" w:hint="default"/>
                <w:spacing w:val="-16"/>
                <w:w w:val="99"/>
                <w:sz w:val="18"/>
                <w:szCs w:val="18"/>
              </w:rPr>
              <w:t>WG4</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组副 组长</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全国版权标准化技术委员会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国家密码行业标准化技术委员会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2" w:right="27" w:hanging="992"/>
              <w:jc w:val="left"/>
              <w:rPr>
                <w:rFonts w:ascii="宋体" w:hAnsi="宋体" w:cs="宋体" w:eastAsia="宋体" w:hint="default"/>
                <w:sz w:val="18"/>
                <w:szCs w:val="18"/>
              </w:rPr>
            </w:pPr>
            <w:r>
              <w:rPr>
                <w:rFonts w:ascii="宋体" w:hAnsi="宋体" w:cs="宋体" w:eastAsia="宋体" w:hint="default"/>
                <w:sz w:val="18"/>
                <w:szCs w:val="18"/>
              </w:rPr>
              <w:t>国家商用密码应用技术体系研究总 体工作组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北京市信息化专家咨询委员会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北京市商用密码行业协会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中国密码学会电子认证专业委员会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中国保密协会科学技术分会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202" w:right="50" w:hanging="1145"/>
              <w:jc w:val="left"/>
              <w:rPr>
                <w:rFonts w:ascii="宋体" w:hAnsi="宋体" w:cs="宋体" w:eastAsia="宋体" w:hint="default"/>
                <w:sz w:val="18"/>
                <w:szCs w:val="18"/>
              </w:rPr>
            </w:pPr>
            <w:r>
              <w:rPr>
                <w:rFonts w:ascii="宋体" w:hAnsi="宋体" w:cs="宋体" w:eastAsia="宋体" w:hint="default"/>
                <w:sz w:val="18"/>
                <w:szCs w:val="18"/>
              </w:rPr>
              <w:t>未来移动通信论坛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信息安全工 作组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中国密码学会电子认证专业委员会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中国网络安全产业联盟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133"/>
        <w:gridCol w:w="1560"/>
        <w:gridCol w:w="1561"/>
        <w:gridCol w:w="1346"/>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国家密码行业标准化技术委员会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北京文化体育科技有限公司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厦门融通信息技术有限公司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11" w:right="27" w:hanging="108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北京首信网创网络信息服务有限责 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首信医联信息技术有限公司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厦门融通信息技术有限公司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首信科技发展有限公司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北京工业发展投资管理有限公司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2" w:right="108" w:hanging="360"/>
              <w:jc w:val="left"/>
              <w:rPr>
                <w:rFonts w:ascii="宋体" w:hAnsi="宋体" w:cs="宋体" w:eastAsia="宋体" w:hint="default"/>
                <w:sz w:val="18"/>
                <w:szCs w:val="18"/>
              </w:rPr>
            </w:pPr>
            <w:r>
              <w:rPr>
                <w:rFonts w:ascii="宋体" w:hAnsi="宋体" w:cs="宋体" w:eastAsia="宋体" w:hint="default"/>
                <w:sz w:val="18"/>
                <w:szCs w:val="18"/>
              </w:rPr>
              <w:t>高级投资经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北京新能源汽车股份有限公司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北京语言大学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hanging="1"/>
              <w:jc w:val="center"/>
              <w:rPr>
                <w:rFonts w:ascii="宋体" w:hAnsi="宋体" w:cs="宋体" w:eastAsia="宋体" w:hint="default"/>
                <w:sz w:val="18"/>
                <w:szCs w:val="18"/>
              </w:rPr>
            </w:pPr>
            <w:r>
              <w:rPr>
                <w:rFonts w:ascii="宋体" w:hAnsi="宋体" w:cs="宋体" w:eastAsia="宋体" w:hint="default"/>
                <w:sz w:val="18"/>
                <w:szCs w:val="18"/>
              </w:rPr>
              <w:t>商学院会计 系副教授、会 计系主任、 </w:t>
            </w:r>
            <w:r>
              <w:rPr>
                <w:rFonts w:ascii="Times New Roman" w:hAnsi="Times New Roman" w:cs="Times New Roman" w:eastAsia="Times New Roman" w:hint="default"/>
                <w:spacing w:val="-4"/>
                <w:sz w:val="18"/>
                <w:szCs w:val="18"/>
              </w:rPr>
              <w:t>MPAcc</w:t>
            </w:r>
            <w:r>
              <w:rPr>
                <w:rFonts w:ascii="Times New Roman" w:hAnsi="Times New Roman" w:cs="Times New Roman" w:eastAsia="Times New Roman" w:hint="default"/>
                <w:sz w:val="18"/>
                <w:szCs w:val="18"/>
              </w:rPr>
              <w:t> </w:t>
            </w:r>
            <w:r>
              <w:rPr>
                <w:rFonts w:ascii="宋体" w:hAnsi="宋体" w:cs="宋体" w:eastAsia="宋体" w:hint="default"/>
                <w:sz w:val="18"/>
                <w:szCs w:val="18"/>
              </w:rPr>
              <w:t>中心 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福建实达集团股份有限公司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北京凯普林光电科技股份有限公司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北京观韬中茂律师事务所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天津捷强动力装备股份有限公司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2" w:right="19" w:hanging="449"/>
              <w:jc w:val="left"/>
              <w:rPr>
                <w:rFonts w:ascii="宋体" w:hAnsi="宋体" w:cs="宋体" w:eastAsia="宋体" w:hint="default"/>
                <w:sz w:val="18"/>
                <w:szCs w:val="18"/>
              </w:rPr>
            </w:pPr>
            <w:r>
              <w:rPr>
                <w:rFonts w:ascii="宋体" w:hAnsi="宋体" w:cs="宋体" w:eastAsia="宋体" w:hint="default"/>
                <w:sz w:val="18"/>
                <w:szCs w:val="18"/>
              </w:rPr>
              <w:t>执行董事、经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北京水晶石数字科技股份有限公司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01" w:right="19" w:hanging="178"/>
              <w:jc w:val="left"/>
              <w:rPr>
                <w:rFonts w:ascii="宋体" w:hAnsi="宋体" w:cs="宋体" w:eastAsia="宋体" w:hint="default"/>
                <w:sz w:val="18"/>
                <w:szCs w:val="18"/>
              </w:rPr>
            </w:pPr>
            <w:r>
              <w:rPr>
                <w:rFonts w:ascii="宋体" w:hAnsi="宋体" w:cs="宋体" w:eastAsia="宋体" w:hint="default"/>
                <w:sz w:val="18"/>
                <w:szCs w:val="18"/>
              </w:rPr>
              <w:t>副总经理（财 务总监）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北京集成电路设计园有限责任公司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北京华誉能源技术股份有限公司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厦门融通信息技术有限责任公司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首信医联信息技术有限公司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中天信安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133"/>
        <w:gridCol w:w="1560"/>
        <w:gridCol w:w="1561"/>
        <w:gridCol w:w="1346"/>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中天信安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公司现任及报告期内离任董事、监事和高级管理人员近三年证券监管机构处罚的情况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董事、监事、高级管理人员报酬的决策程序、确定依据、实际支付情况</w:t>
      </w:r>
    </w:p>
    <w:p>
      <w:pPr>
        <w:pStyle w:val="Heading4"/>
        <w:spacing w:line="430" w:lineRule="atLeast" w:before="20"/>
        <w:ind w:left="573" w:right="982"/>
        <w:jc w:val="left"/>
      </w:pPr>
      <w:r>
        <w:rPr/>
        <w:t>（一）董事、监事、高级管理人员报酬的决策程序</w:t>
      </w:r>
      <w:r>
        <w:rPr>
          <w:w w:val="100"/>
        </w:rPr>
        <w:t> </w:t>
      </w:r>
      <w:r>
        <w:rPr>
          <w:spacing w:val="-2"/>
        </w:rPr>
        <w:t>公司董事、监事报酬由股东大会决定，高级管理人员报酬由董事会决定；与公司签署劳动合同的非独</w:t>
      </w:r>
    </w:p>
    <w:p>
      <w:pPr>
        <w:pStyle w:val="Heading4"/>
        <w:spacing w:line="273" w:lineRule="auto" w:before="37"/>
        <w:ind w:right="982"/>
        <w:jc w:val="left"/>
      </w:pPr>
      <w:r>
        <w:rPr>
          <w:spacing w:val="-2"/>
        </w:rPr>
        <w:t>立董事、监事、高级管理人员报酬由公司支付，非独立董事、监事不另外支付津贴。独立董事津贴根据股</w:t>
      </w:r>
      <w:r>
        <w:rPr>
          <w:spacing w:val="-42"/>
        </w:rPr>
        <w:t> </w:t>
      </w:r>
      <w:r>
        <w:rPr>
          <w:spacing w:val="-42"/>
        </w:rPr>
      </w:r>
      <w:r>
        <w:rPr/>
        <w:t>东大会通过的决议进行支付。</w:t>
      </w:r>
    </w:p>
    <w:p>
      <w:pPr>
        <w:pStyle w:val="Heading4"/>
        <w:spacing w:line="376" w:lineRule="auto" w:before="127"/>
        <w:ind w:left="573" w:right="982"/>
        <w:jc w:val="left"/>
      </w:pPr>
      <w:r>
        <w:rPr/>
        <w:t>（二）董事、监事、高级管理人员报酬确定依据</w:t>
      </w:r>
      <w:r>
        <w:rPr>
          <w:w w:val="100"/>
        </w:rPr>
        <w:t> </w:t>
      </w:r>
      <w:r>
        <w:rPr>
          <w:spacing w:val="-2"/>
        </w:rPr>
        <w:t>依据公司盈利水平及董事、监事、高级管理人员的职责履行情况并结合年度绩效完成情况综合确定。</w:t>
      </w:r>
    </w:p>
    <w:p>
      <w:pPr>
        <w:pStyle w:val="Heading4"/>
        <w:spacing w:line="240" w:lineRule="auto" w:before="37"/>
        <w:ind w:left="573" w:right="982"/>
        <w:jc w:val="left"/>
      </w:pPr>
      <w:r>
        <w:rPr/>
        <w:t>（三）董事、监事、高级管理人员报酬的实际支付情况</w:t>
      </w:r>
    </w:p>
    <w:p>
      <w:pPr>
        <w:pStyle w:val="Heading4"/>
        <w:spacing w:line="273" w:lineRule="auto" w:before="157"/>
        <w:ind w:right="982" w:firstLine="420"/>
        <w:jc w:val="left"/>
      </w:pPr>
      <w:r>
        <w:rPr>
          <w:spacing w:val="-2"/>
        </w:rPr>
        <w:t>公司董事、监事、高级管理人员基本工资已按月支付，绩效年薪根据公司相关规定发放；公司独立董</w:t>
      </w:r>
      <w:r>
        <w:rPr>
          <w:w w:val="100"/>
        </w:rPr>
        <w:t> </w:t>
      </w:r>
      <w:r>
        <w:rPr/>
        <w:t>事津贴已按照确定的薪酬标准全额支付。</w:t>
      </w:r>
    </w:p>
    <w:p>
      <w:pPr>
        <w:pStyle w:val="BodyText"/>
        <w:spacing w:line="240" w:lineRule="auto" w:before="67"/>
        <w:ind w:right="982"/>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121"/>
        <w:gridCol w:w="1118"/>
        <w:gridCol w:w="1121"/>
        <w:gridCol w:w="1738"/>
        <w:gridCol w:w="173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2" w:right="53" w:hanging="540"/>
              <w:jc w:val="left"/>
              <w:rPr>
                <w:rFonts w:ascii="宋体" w:hAnsi="宋体" w:cs="宋体" w:eastAsia="宋体" w:hint="default"/>
                <w:sz w:val="18"/>
                <w:szCs w:val="18"/>
              </w:rPr>
            </w:pPr>
            <w:r>
              <w:rPr>
                <w:rFonts w:ascii="宋体" w:hAnsi="宋体" w:cs="宋体" w:eastAsia="宋体" w:hint="default"/>
                <w:sz w:val="18"/>
                <w:szCs w:val="18"/>
              </w:rPr>
              <w:t>从公司获得的税前报 酬总额</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5" w:right="50" w:hanging="540"/>
              <w:jc w:val="left"/>
              <w:rPr>
                <w:rFonts w:ascii="宋体" w:hAnsi="宋体" w:cs="宋体" w:eastAsia="宋体" w:hint="default"/>
                <w:sz w:val="18"/>
                <w:szCs w:val="18"/>
              </w:rPr>
            </w:pPr>
            <w:r>
              <w:rPr>
                <w:rFonts w:ascii="宋体" w:hAnsi="宋体" w:cs="宋体" w:eastAsia="宋体" w:hint="default"/>
                <w:sz w:val="18"/>
                <w:szCs w:val="18"/>
              </w:rPr>
              <w:t>是否在公司关联方获 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王瑜次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10" w:right="46"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程小茁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121"/>
        <w:gridCol w:w="1118"/>
        <w:gridCol w:w="1121"/>
        <w:gridCol w:w="1738"/>
        <w:gridCol w:w="173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854.09</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2"/>
        <w:jc w:val="left"/>
      </w:pPr>
      <w:r>
        <w:rPr/>
        <w:t>公司董事、高级管理人员报告期内被授予的股权激励情况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1,172</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1,172</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ind w:right="1126" w:firstLine="420"/>
        <w:jc w:val="both"/>
      </w:pPr>
      <w:r>
        <w:rPr>
          <w:spacing w:val="-2"/>
        </w:rPr>
        <w:t>员工的薪酬依据公司的薪酬制度按时发放，公司根据岗位价值、个人能力核定员工的固定工资，根据</w:t>
      </w:r>
      <w:r>
        <w:rPr>
          <w:w w:val="100"/>
        </w:rPr>
        <w:t> </w:t>
      </w:r>
      <w:r>
        <w:rPr>
          <w:spacing w:val="-2"/>
        </w:rPr>
        <w:t>公司及个人业绩核定员工的绩效奖金，薪酬分配向核心人才和绩优人才倾斜，确保核心人才收入水平的市</w:t>
      </w:r>
      <w:r>
        <w:rPr>
          <w:spacing w:val="-43"/>
        </w:rPr>
        <w:t> </w:t>
      </w:r>
      <w:r>
        <w:rPr>
          <w:spacing w:val="-43"/>
        </w:rPr>
      </w:r>
      <w:r>
        <w:rPr/>
        <w:t>场竞争力。</w:t>
      </w:r>
    </w:p>
    <w:p>
      <w:pPr>
        <w:pStyle w:val="BodyText"/>
        <w:spacing w:line="240" w:lineRule="auto" w:before="67"/>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12"/>
          <w:szCs w:val="12"/>
        </w:rPr>
      </w:pPr>
    </w:p>
    <w:p>
      <w:pPr>
        <w:pStyle w:val="Heading4"/>
        <w:spacing w:line="240" w:lineRule="auto"/>
        <w:ind w:left="573" w:right="982"/>
        <w:jc w:val="left"/>
      </w:pPr>
      <w:r>
        <w:rPr/>
        <w:t>公司核心技术人员保持稳定，报告期内未发生变动。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ind w:right="1126" w:firstLine="420"/>
        <w:jc w:val="both"/>
      </w:pPr>
      <w:r>
        <w:rPr>
          <w:spacing w:val="-3"/>
        </w:rPr>
        <w:t>公司搭建了以领导力、专业力、文化力为中心的培训体系。领导力培训针对管理者及后备人员，系统</w:t>
      </w:r>
      <w:r>
        <w:rPr>
          <w:w w:val="100"/>
        </w:rPr>
        <w:t> </w:t>
      </w:r>
      <w:r>
        <w:rPr>
          <w:spacing w:val="-2"/>
        </w:rPr>
        <w:t>全面提升其领导能力。报告期内公司开展了针对中高层管理人员的远航计划、针对一线经理人的船长计划</w:t>
      </w:r>
      <w:r>
        <w:rPr>
          <w:spacing w:val="-44"/>
        </w:rPr>
        <w:t> </w:t>
      </w:r>
      <w:r>
        <w:rPr>
          <w:spacing w:val="-44"/>
        </w:rPr>
      </w:r>
      <w:r>
        <w:rPr>
          <w:spacing w:val="-2"/>
        </w:rPr>
        <w:t>等。专业力培训是基于岗位胜任能力的要求，进行与岗位相关的技能培训。报告期内公司专业力培训的项</w:t>
      </w:r>
      <w:r>
        <w:rPr>
          <w:spacing w:val="-43"/>
        </w:rPr>
        <w:t> </w:t>
      </w:r>
      <w:r>
        <w:rPr>
          <w:spacing w:val="-43"/>
        </w:rPr>
      </w:r>
      <w:r>
        <w:rPr>
          <w:spacing w:val="-2"/>
        </w:rPr>
        <w:t>目有技术专家分享会、产品经理培训、项目管理培训等。文化力培训是企业文化建设的一部分，传递公司</w:t>
      </w:r>
      <w:r>
        <w:rPr>
          <w:spacing w:val="-48"/>
        </w:rPr>
        <w:t> </w:t>
      </w:r>
      <w:r>
        <w:rPr>
          <w:spacing w:val="-48"/>
        </w:rPr>
      </w:r>
      <w:r>
        <w:rPr>
          <w:spacing w:val="-2"/>
        </w:rPr>
        <w:t>文化的途径。报告期内除对新员工培训外，还开展了外派人员培训。同时，在课程库和讲师库建设方面也</w:t>
      </w:r>
      <w:r>
        <w:rPr>
          <w:spacing w:val="-46"/>
        </w:rPr>
        <w:t> </w:t>
      </w:r>
      <w:r>
        <w:rPr>
          <w:spacing w:val="-46"/>
        </w:rPr>
      </w:r>
      <w:r>
        <w:rPr/>
        <w:t>有一定程度的提升。</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Heading4"/>
        <w:spacing w:line="273" w:lineRule="auto"/>
        <w:ind w:right="1126" w:firstLine="420"/>
        <w:jc w:val="both"/>
      </w:pPr>
      <w:r>
        <w:rPr>
          <w:spacing w:val="-2"/>
        </w:rPr>
        <w:t>公司严格按照《公司法》、《证券法》、《上市公司治理准则》、《深圳证券交易所创业板股票上市</w:t>
      </w:r>
      <w:r>
        <w:rPr>
          <w:w w:val="100"/>
        </w:rPr>
        <w:t> </w:t>
      </w:r>
      <w:r>
        <w:rPr>
          <w:spacing w:val="-2"/>
        </w:rPr>
        <w:t>规则》、《深圳证券交易所创业板上市公司规范运作指引》等有关法律法规的要求，结合本公司的实际情</w:t>
      </w:r>
      <w:r>
        <w:rPr>
          <w:spacing w:val="-43"/>
        </w:rPr>
        <w:t> </w:t>
      </w:r>
      <w:r>
        <w:rPr>
          <w:spacing w:val="-43"/>
        </w:rPr>
      </w:r>
      <w:r>
        <w:rPr/>
        <w:t>况不断完善公司法人治理结构，建立健全公司内部控制体系，保证公司规范运作，提升公司治理水平。</w:t>
      </w:r>
    </w:p>
    <w:p>
      <w:pPr>
        <w:pStyle w:val="Heading4"/>
        <w:spacing w:line="273" w:lineRule="auto" w:before="127"/>
        <w:ind w:right="982" w:firstLine="420"/>
        <w:jc w:val="left"/>
      </w:pPr>
      <w:r>
        <w:rPr>
          <w:spacing w:val="-2"/>
        </w:rPr>
        <w:t>报告期内，公司股东大会、董事会、监事会依法规范运作，公司治理的实际状况符合证券监管部门有</w:t>
      </w:r>
      <w:r>
        <w:rPr>
          <w:w w:val="100"/>
        </w:rPr>
        <w:t> </w:t>
      </w:r>
      <w:r>
        <w:rPr/>
        <w:t>关上市公司治理的法律法规和规范性文件的要求。</w:t>
      </w:r>
    </w:p>
    <w:p>
      <w:pPr>
        <w:pStyle w:val="Heading4"/>
        <w:spacing w:line="357" w:lineRule="auto" w:before="127"/>
        <w:ind w:left="573" w:right="982" w:firstLine="2"/>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100"/>
        </w:rPr>
        <w:t> </w:t>
      </w:r>
      <w:r>
        <w:rPr>
          <w:spacing w:val="-2"/>
        </w:rPr>
        <w:t>公司股东大会的召集、召开均严格按照《公司法》、《上市公司股东大会规则》、《深圳证券交易所</w:t>
      </w:r>
    </w:p>
    <w:p>
      <w:pPr>
        <w:pStyle w:val="Heading4"/>
        <w:spacing w:line="209" w:lineRule="exact"/>
        <w:ind w:right="0"/>
        <w:jc w:val="both"/>
      </w:pPr>
      <w:r>
        <w:rPr/>
        <w:t>创业板上市公司规范运作指引》以及《公司章程》的要求规范运行，确保所有股东特别是中小股东享有平</w:t>
      </w:r>
    </w:p>
    <w:p>
      <w:pPr>
        <w:pStyle w:val="Heading4"/>
        <w:spacing w:line="256" w:lineRule="auto" w:before="37"/>
        <w:ind w:right="1107"/>
        <w:jc w:val="both"/>
      </w:pPr>
      <w:r>
        <w:rPr>
          <w:spacing w:val="-2"/>
        </w:rPr>
        <w:t>等地位和合法权利。报告期内，公司共召开</w:t>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2</w:t>
      </w:r>
      <w:r>
        <w:rPr>
          <w:spacing w:val="-2"/>
        </w:rPr>
        <w:t>次临时股东大会，均由公司董事会召集，</w:t>
      </w:r>
      <w:r>
        <w:rPr>
          <w:spacing w:val="-21"/>
        </w:rPr>
        <w:t> </w:t>
      </w:r>
      <w:r>
        <w:rPr>
          <w:spacing w:val="-21"/>
        </w:rPr>
      </w:r>
      <w:r>
        <w:rPr/>
        <w:t>股东大会的召开及决议内容合法有效，并由见证律师出具《法律意见书》。</w:t>
      </w:r>
    </w:p>
    <w:p>
      <w:pPr>
        <w:pStyle w:val="Heading4"/>
        <w:spacing w:line="430" w:lineRule="atLeast" w:before="3"/>
        <w:ind w:left="573" w:right="982" w:firstLine="2"/>
        <w:jc w:val="left"/>
      </w:pPr>
      <w:r>
        <w:rPr>
          <w:rFonts w:ascii="Times New Roman" w:hAnsi="Times New Roman" w:cs="Times New Roman" w:eastAsia="Times New Roman" w:hint="default"/>
          <w:b/>
          <w:bCs/>
        </w:rPr>
        <w:t>2</w:t>
      </w:r>
      <w:r>
        <w:rPr>
          <w:rFonts w:ascii="宋体" w:hAnsi="宋体" w:cs="宋体" w:eastAsia="宋体" w:hint="default"/>
          <w:b/>
          <w:bCs/>
        </w:rPr>
        <w:t>、董事与董事会</w:t>
      </w:r>
      <w:r>
        <w:rPr>
          <w:rFonts w:ascii="宋体" w:hAnsi="宋体" w:cs="宋体" w:eastAsia="宋体" w:hint="default"/>
          <w:b/>
          <w:bCs/>
          <w:w w:val="100"/>
        </w:rPr>
        <w:t> </w:t>
      </w:r>
      <w:r>
        <w:rPr>
          <w:spacing w:val="-2"/>
        </w:rPr>
        <w:t>公司董事会由</w:t>
      </w:r>
      <w:r>
        <w:rPr>
          <w:rFonts w:ascii="Times New Roman" w:hAnsi="Times New Roman" w:cs="Times New Roman" w:eastAsia="Times New Roman" w:hint="default"/>
          <w:spacing w:val="-2"/>
        </w:rPr>
        <w:t>8</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名，董事会的人数及人员构成符合有关法律法规和《公司</w:t>
      </w:r>
    </w:p>
    <w:p>
      <w:pPr>
        <w:pStyle w:val="Heading4"/>
        <w:spacing w:line="268" w:lineRule="auto" w:before="21"/>
        <w:ind w:right="1127"/>
        <w:jc w:val="both"/>
      </w:pPr>
      <w:r>
        <w:rPr/>
        <w:t>章程》的要求。报告期内，公司共召开</w:t>
      </w:r>
      <w:r>
        <w:rPr>
          <w:rFonts w:ascii="Times New Roman" w:hAnsi="Times New Roman" w:cs="Times New Roman" w:eastAsia="Times New Roman" w:hint="default"/>
        </w:rPr>
        <w:t>9</w:t>
      </w:r>
      <w:r>
        <w:rPr/>
        <w:t>次董事会会议。公司董事会严格按照《公司法》、《深圳证券交</w:t>
      </w:r>
      <w:r>
        <w:rPr>
          <w:spacing w:val="-23"/>
        </w:rPr>
        <w:t> </w:t>
      </w:r>
      <w:r>
        <w:rPr>
          <w:spacing w:val="-23"/>
        </w:rPr>
      </w:r>
      <w:r>
        <w:rPr>
          <w:spacing w:val="-2"/>
        </w:rPr>
        <w:t>易所创业板上市公司规范运作指引》以及《公司章程》的要求规范运行，董事会召集、召开及决议内容合</w:t>
      </w:r>
      <w:r>
        <w:rPr>
          <w:spacing w:val="-43"/>
        </w:rPr>
        <w:t> </w:t>
      </w:r>
      <w:r>
        <w:rPr>
          <w:spacing w:val="-43"/>
        </w:rPr>
      </w:r>
      <w:r>
        <w:rPr>
          <w:spacing w:val="-2"/>
        </w:rPr>
        <w:t>法有效。公司董事严格按照相关规定，积极出席相关会议，勤勉规范履行职责，认真审议各项议案，促使</w:t>
      </w:r>
      <w:r>
        <w:rPr>
          <w:spacing w:val="-43"/>
        </w:rPr>
        <w:t> </w:t>
      </w:r>
      <w:r>
        <w:rPr>
          <w:spacing w:val="-43"/>
        </w:rPr>
      </w:r>
      <w:r>
        <w:rPr/>
        <w:t>董事会规范高效运作、科学审慎决策，积极维护公司和股东利益。</w:t>
      </w:r>
    </w:p>
    <w:p>
      <w:pPr>
        <w:pStyle w:val="Heading4"/>
        <w:spacing w:line="432" w:lineRule="exact" w:before="31"/>
        <w:ind w:left="573" w:right="982" w:firstLine="2"/>
        <w:jc w:val="left"/>
      </w:pPr>
      <w:r>
        <w:rPr>
          <w:rFonts w:ascii="Times New Roman" w:hAnsi="Times New Roman" w:cs="Times New Roman" w:eastAsia="Times New Roman" w:hint="default"/>
          <w:b/>
          <w:bCs/>
        </w:rPr>
        <w:t>3</w:t>
      </w:r>
      <w:r>
        <w:rPr>
          <w:rFonts w:ascii="宋体" w:hAnsi="宋体" w:cs="宋体" w:eastAsia="宋体" w:hint="default"/>
          <w:b/>
          <w:bCs/>
        </w:rPr>
        <w:t>、监事与监事会</w:t>
      </w:r>
      <w:r>
        <w:rPr>
          <w:rFonts w:ascii="宋体" w:hAnsi="宋体" w:cs="宋体" w:eastAsia="宋体" w:hint="default"/>
          <w:b/>
          <w:bCs/>
          <w:w w:val="100"/>
        </w:rPr>
        <w:t> </w:t>
      </w:r>
      <w:r>
        <w:rPr>
          <w:spacing w:val="-2"/>
        </w:rPr>
        <w:t>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1</w:t>
      </w:r>
      <w:r>
        <w:rPr>
          <w:spacing w:val="-2"/>
        </w:rPr>
        <w:t>名，监事会的人数及人员构成符合有关法律法规和《公司</w:t>
      </w:r>
    </w:p>
    <w:p>
      <w:pPr>
        <w:pStyle w:val="Heading4"/>
        <w:spacing w:line="271" w:lineRule="exact"/>
        <w:ind w:right="0"/>
        <w:jc w:val="both"/>
      </w:pPr>
      <w:r>
        <w:rPr/>
        <w:t>章程》的要求。报告期内，公司共召开</w:t>
      </w:r>
      <w:r>
        <w:rPr>
          <w:rFonts w:ascii="Times New Roman" w:hAnsi="Times New Roman" w:cs="Times New Roman" w:eastAsia="Times New Roman" w:hint="default"/>
        </w:rPr>
        <w:t>6</w:t>
      </w:r>
      <w:r>
        <w:rPr/>
        <w:t>次监事会会议。公司监事会严格按照《公司法》、《深圳证券交</w:t>
      </w:r>
    </w:p>
    <w:p>
      <w:pPr>
        <w:pStyle w:val="Heading4"/>
        <w:spacing w:line="273" w:lineRule="auto" w:before="21"/>
        <w:ind w:right="1126"/>
        <w:jc w:val="both"/>
      </w:pPr>
      <w:r>
        <w:rPr>
          <w:spacing w:val="-2"/>
        </w:rPr>
        <w:t>易所创业板上市公司规范运作指引》以及《公司章程》的要求规范运行，公司监事认真履行监事职责，及</w:t>
      </w:r>
      <w:r>
        <w:rPr>
          <w:spacing w:val="-42"/>
        </w:rPr>
        <w:t> </w:t>
      </w:r>
      <w:r>
        <w:rPr>
          <w:spacing w:val="-42"/>
        </w:rPr>
      </w:r>
      <w:r>
        <w:rPr>
          <w:spacing w:val="-2"/>
        </w:rPr>
        <w:t>时了解公司的生产经营情况，监督公司财务及资金运作等情况，检查公司董事及高级管理人员执行职务行</w:t>
      </w:r>
      <w:r>
        <w:rPr>
          <w:spacing w:val="-44"/>
        </w:rPr>
        <w:t> </w:t>
      </w:r>
      <w:r>
        <w:rPr>
          <w:spacing w:val="-44"/>
        </w:rPr>
      </w:r>
      <w:r>
        <w:rPr/>
        <w:t>为，核查公司经营管理层实施公司股东大会和董事会决议情况，切实维护公司和股东的合法权益。</w:t>
      </w:r>
    </w:p>
    <w:p>
      <w:pPr>
        <w:pStyle w:val="BodyText"/>
        <w:spacing w:line="240" w:lineRule="auto" w:before="67"/>
        <w:ind w:right="0"/>
        <w:jc w:val="both"/>
      </w:pPr>
      <w:r>
        <w:rPr/>
        <w:t>公司治理的实际状况与中国证监会发布的有关上市公司治理的规范性文件是否存在重大差异</w:t>
      </w:r>
    </w:p>
    <w:p>
      <w:pPr>
        <w:pStyle w:val="BodyText"/>
        <w:spacing w:line="340"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982" w:firstLine="420"/>
        <w:jc w:val="left"/>
      </w:pPr>
      <w:r>
        <w:rPr>
          <w:spacing w:val="-5"/>
        </w:rPr>
        <w:t>公司严格按照《公司法》、《证券法》和《公司章程》的要求规范运作，在业务、人员、资产、机构、</w:t>
      </w:r>
      <w:r>
        <w:rPr>
          <w:w w:val="100"/>
        </w:rPr>
        <w:t> </w:t>
      </w:r>
      <w:r>
        <w:rPr>
          <w:spacing w:val="-2"/>
        </w:rPr>
        <w:t>财务等方面与控股股东完全分开，独立运作经营。报告期内不存在不能保证独立性、不能保持自主经营能</w:t>
      </w:r>
      <w:r>
        <w:rPr>
          <w:spacing w:val="-42"/>
        </w:rPr>
        <w:t> </w:t>
      </w:r>
      <w:r>
        <w:rPr>
          <w:spacing w:val="-42"/>
        </w:rPr>
      </w:r>
      <w:r>
        <w:rPr/>
        <w:t>力的情况。</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274"/>
        <w:gridCol w:w="853"/>
        <w:gridCol w:w="1699"/>
        <w:gridCol w:w="1560"/>
        <w:gridCol w:w="2905"/>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1" w:right="60"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94" w:right="67"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62.81%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2018-019)</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62" w:right="67" w:hanging="29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2018-037)</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94" w:right="67"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62.94%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2018-054)</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82"/>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firstLine="420"/>
        <w:jc w:val="both"/>
      </w:pPr>
      <w:r>
        <w:rPr>
          <w:spacing w:val="-2"/>
        </w:rPr>
        <w:t>报告期内，独立董事根据《公司法》、《独立董事工作制度》、《公司章程》等有关规定和要求，勤</w:t>
      </w:r>
      <w:r>
        <w:rPr>
          <w:w w:val="100"/>
        </w:rPr>
        <w:t> </w:t>
      </w:r>
      <w:r>
        <w:rPr>
          <w:spacing w:val="-2"/>
        </w:rPr>
        <w:t>勉尽责地行使权利和履行义务，出席董事会和股东大会，对公司利润分配、内部控制、对外担保、聘请审</w:t>
      </w:r>
      <w:r>
        <w:rPr>
          <w:spacing w:val="-43"/>
        </w:rPr>
        <w:t> </w:t>
      </w:r>
      <w:r>
        <w:rPr>
          <w:spacing w:val="-43"/>
        </w:rPr>
      </w:r>
      <w:r>
        <w:rPr>
          <w:spacing w:val="-2"/>
        </w:rPr>
        <w:t>计机构、关联交易、聘任高级管理人员、募集资金使用及管理、变更公司会计政策等重要事项发表独立意</w:t>
      </w:r>
      <w:r>
        <w:rPr>
          <w:spacing w:val="-47"/>
        </w:rPr>
        <w:t> </w:t>
      </w:r>
      <w:r>
        <w:rPr>
          <w:spacing w:val="-47"/>
        </w:rPr>
      </w:r>
      <w:r>
        <w:rPr/>
        <w:t>见，并对公司财务及生产经营活动进行监督，维护公司和股东的合法权益。</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Heading4"/>
        <w:spacing w:line="264" w:lineRule="auto"/>
        <w:ind w:right="982" w:firstLine="420"/>
        <w:jc w:val="left"/>
      </w:pPr>
      <w:r>
        <w:rPr>
          <w:spacing w:val="-2"/>
        </w:rPr>
        <w:t>公司董事会下设</w:t>
      </w:r>
      <w:r>
        <w:rPr>
          <w:rFonts w:ascii="Times New Roman" w:hAnsi="Times New Roman" w:cs="Times New Roman" w:eastAsia="Times New Roman" w:hint="default"/>
          <w:spacing w:val="-2"/>
        </w:rPr>
        <w:t>4</w:t>
      </w:r>
      <w:r>
        <w:rPr>
          <w:spacing w:val="-2"/>
        </w:rPr>
        <w:t>个专门委员会，分别为战略委员会、审计委员会、薪酬与考核委员会、提名委员会。</w:t>
      </w:r>
      <w:r>
        <w:rPr>
          <w:w w:val="100"/>
        </w:rPr>
        <w:t> </w:t>
      </w:r>
      <w:r>
        <w:rPr>
          <w:spacing w:val="-2"/>
        </w:rPr>
        <w:t>各专门委员会严格按照《公司章程》及各专门委员会实施细则的规定认真履行职责。报告期内，各专门委</w:t>
      </w:r>
      <w:r>
        <w:rPr>
          <w:spacing w:val="-47"/>
        </w:rPr>
        <w:t> </w:t>
      </w:r>
      <w:r>
        <w:rPr>
          <w:spacing w:val="-47"/>
        </w:rPr>
      </w:r>
      <w:r>
        <w:rPr/>
        <w:t>员会履职情况如下：</w:t>
      </w:r>
    </w:p>
    <w:p>
      <w:pPr>
        <w:pStyle w:val="Heading4"/>
        <w:spacing w:line="357" w:lineRule="auto" w:before="136"/>
        <w:ind w:left="573" w:right="982"/>
        <w:jc w:val="left"/>
      </w:pPr>
      <w:r>
        <w:rPr>
          <w:rFonts w:ascii="Times New Roman" w:hAnsi="Times New Roman" w:cs="Times New Roman" w:eastAsia="Times New Roman" w:hint="default"/>
          <w:b/>
          <w:bCs/>
        </w:rPr>
        <w:t>1</w:t>
      </w:r>
      <w:r>
        <w:rPr>
          <w:rFonts w:ascii="宋体" w:hAnsi="宋体" w:cs="宋体" w:eastAsia="宋体" w:hint="default"/>
          <w:b/>
          <w:bCs/>
        </w:rPr>
        <w:t>、战略委员会</w:t>
      </w:r>
      <w:r>
        <w:rPr>
          <w:rFonts w:ascii="宋体" w:hAnsi="宋体" w:cs="宋体" w:eastAsia="宋体" w:hint="default"/>
          <w:b/>
          <w:bCs/>
          <w:spacing w:val="-103"/>
        </w:rPr>
        <w:t> </w:t>
      </w:r>
      <w:r>
        <w:rPr>
          <w:spacing w:val="-2"/>
        </w:rPr>
        <w:t>报告期内，战略委员会严格按照《公司章程》及《公司董事会战略委员会实施细则》等相关规定，认</w:t>
      </w:r>
    </w:p>
    <w:p>
      <w:pPr>
        <w:pStyle w:val="Heading4"/>
        <w:spacing w:line="209" w:lineRule="exact"/>
        <w:ind w:right="0"/>
        <w:jc w:val="both"/>
      </w:pPr>
      <w:r>
        <w:rPr/>
        <w:t>真审议公司募集资金使用及管理、收购中天信安部分股权等事项，确保公司募集资金使用及管理、股权收</w:t>
      </w:r>
    </w:p>
    <w:p>
      <w:pPr>
        <w:pStyle w:val="Heading4"/>
        <w:spacing w:line="273" w:lineRule="auto" w:before="37"/>
        <w:ind w:right="982"/>
        <w:jc w:val="left"/>
      </w:pPr>
      <w:r>
        <w:rPr>
          <w:spacing w:val="-7"/>
        </w:rPr>
        <w:t>购符合《深圳证券交易所创业板股票上市规则》、《深圳证券交易所创业板上市公司规范运作指引》及《公</w:t>
      </w:r>
      <w:r>
        <w:rPr>
          <w:spacing w:val="-19"/>
        </w:rPr>
        <w:t> </w:t>
      </w:r>
      <w:r>
        <w:rPr>
          <w:spacing w:val="-19"/>
        </w:rPr>
      </w:r>
      <w:r>
        <w:rPr/>
        <w:t>司章程》等相关规定，切实履行战略委员会职责。</w:t>
      </w:r>
    </w:p>
    <w:p>
      <w:pPr>
        <w:pStyle w:val="Heading4"/>
        <w:spacing w:line="357" w:lineRule="auto" w:before="127"/>
        <w:ind w:left="573" w:right="982"/>
        <w:jc w:val="left"/>
      </w:pPr>
      <w:r>
        <w:rPr>
          <w:rFonts w:ascii="Times New Roman" w:hAnsi="Times New Roman" w:cs="Times New Roman" w:eastAsia="Times New Roman" w:hint="default"/>
          <w:b/>
          <w:bCs/>
        </w:rPr>
        <w:t>2</w:t>
      </w:r>
      <w:r>
        <w:rPr>
          <w:rFonts w:ascii="宋体" w:hAnsi="宋体" w:cs="宋体" w:eastAsia="宋体" w:hint="default"/>
          <w:b/>
          <w:bCs/>
        </w:rPr>
        <w:t>、审计委员会</w:t>
      </w:r>
      <w:r>
        <w:rPr>
          <w:rFonts w:ascii="宋体" w:hAnsi="宋体" w:cs="宋体" w:eastAsia="宋体" w:hint="default"/>
          <w:b/>
          <w:bCs/>
          <w:spacing w:val="-103"/>
        </w:rPr>
        <w:t> </w:t>
      </w:r>
      <w:r>
        <w:rPr>
          <w:spacing w:val="-5"/>
        </w:rPr>
        <w:t>报告期内，审计委员会根据中国证监会等相关要求，多次组织年报审计沟通会，对年报审计工作安排、</w:t>
      </w:r>
    </w:p>
    <w:p>
      <w:pPr>
        <w:pStyle w:val="Heading4"/>
        <w:spacing w:line="209" w:lineRule="exact"/>
        <w:ind w:right="0"/>
        <w:jc w:val="both"/>
      </w:pPr>
      <w:r>
        <w:rPr/>
        <w:t>关键审计事项、公司财务状况等进行沟通，有效监督公司年报编制与披露工作；同时，公司审计委员会严</w:t>
      </w:r>
    </w:p>
    <w:p>
      <w:pPr>
        <w:pStyle w:val="Heading4"/>
        <w:spacing w:line="273" w:lineRule="auto" w:before="37"/>
        <w:ind w:right="1126"/>
        <w:jc w:val="both"/>
      </w:pPr>
      <w:r>
        <w:rPr>
          <w:spacing w:val="-2"/>
        </w:rPr>
        <w:t>格按照《公司章程》及《公司董事会审计委员会实施细则》等相关规定，对定期报告、聘请审计机构、内</w:t>
      </w:r>
      <w:r>
        <w:rPr>
          <w:spacing w:val="-45"/>
        </w:rPr>
        <w:t> </w:t>
      </w:r>
      <w:r>
        <w:rPr>
          <w:spacing w:val="-45"/>
        </w:rPr>
      </w:r>
      <w:r>
        <w:rPr>
          <w:spacing w:val="-2"/>
        </w:rPr>
        <w:t>部控制、募集资金存放与使用情况专项报告、控股股东及其他关联方占用资金情况等相关事项进行认真审</w:t>
      </w:r>
      <w:r>
        <w:rPr>
          <w:spacing w:val="-43"/>
        </w:rPr>
        <w:t> </w:t>
      </w:r>
      <w:r>
        <w:rPr>
          <w:spacing w:val="-43"/>
        </w:rPr>
      </w:r>
      <w:r>
        <w:rPr/>
        <w:t>议，切实履行审计委员会职责。</w:t>
      </w:r>
    </w:p>
    <w:p>
      <w:pPr>
        <w:pStyle w:val="Heading4"/>
        <w:spacing w:line="357" w:lineRule="auto" w:before="127"/>
        <w:ind w:left="573" w:right="982"/>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100"/>
        </w:rPr>
        <w:t> </w:t>
      </w:r>
      <w:r>
        <w:rPr>
          <w:spacing w:val="-2"/>
        </w:rPr>
        <w:t>报告期内，薪酬与考核委员会严格按照《公司章程》及《公司董事会薪酬与考核委员会实施细则》等</w:t>
      </w:r>
    </w:p>
    <w:p>
      <w:pPr>
        <w:pStyle w:val="Heading4"/>
        <w:spacing w:line="225" w:lineRule="exact"/>
        <w:ind w:right="0"/>
        <w:jc w:val="both"/>
      </w:pPr>
      <w:r>
        <w:rPr/>
        <w:t>相关规定，对公司董事及高级管理人员</w:t>
      </w:r>
      <w:r>
        <w:rPr>
          <w:rFonts w:ascii="Times New Roman" w:hAnsi="Times New Roman" w:cs="Times New Roman" w:eastAsia="Times New Roman" w:hint="default"/>
        </w:rPr>
        <w:t>2017</w:t>
      </w:r>
      <w:r>
        <w:rPr/>
        <w:t>年度履职和绩效情况、公司董监事薪酬方案、公司高级管理人</w:t>
      </w:r>
    </w:p>
    <w:p>
      <w:pPr>
        <w:pStyle w:val="Heading4"/>
        <w:spacing w:line="240" w:lineRule="auto" w:before="21"/>
        <w:ind w:right="0"/>
        <w:jc w:val="both"/>
      </w:pPr>
      <w:r>
        <w:rPr/>
        <w:t>员</w:t>
      </w:r>
      <w:r>
        <w:rPr>
          <w:rFonts w:ascii="Times New Roman" w:hAnsi="Times New Roman" w:cs="Times New Roman" w:eastAsia="Times New Roman" w:hint="default"/>
        </w:rPr>
        <w:t>2018</w:t>
      </w:r>
      <w:r>
        <w:rPr/>
        <w:t>年薪酬等进行审议评价，切实履行薪酬与考核委员会职责。</w:t>
      </w:r>
    </w:p>
    <w:p>
      <w:pPr>
        <w:pStyle w:val="Heading4"/>
        <w:spacing w:line="290" w:lineRule="auto" w:before="141"/>
        <w:ind w:left="573" w:right="982"/>
        <w:jc w:val="left"/>
      </w:pPr>
      <w:r>
        <w:rPr>
          <w:rFonts w:ascii="Times New Roman" w:hAnsi="Times New Roman" w:cs="Times New Roman" w:eastAsia="Times New Roman" w:hint="default"/>
          <w:b/>
          <w:bCs/>
        </w:rPr>
        <w:t>4</w:t>
      </w:r>
      <w:r>
        <w:rPr>
          <w:rFonts w:ascii="宋体" w:hAnsi="宋体" w:cs="宋体" w:eastAsia="宋体" w:hint="default"/>
          <w:b/>
          <w:bCs/>
        </w:rPr>
        <w:t>、提名委员会</w:t>
      </w:r>
      <w:r>
        <w:rPr>
          <w:rFonts w:ascii="宋体" w:hAnsi="宋体" w:cs="宋体" w:eastAsia="宋体" w:hint="default"/>
          <w:b/>
          <w:bCs/>
          <w:spacing w:val="-103"/>
        </w:rPr>
        <w:t> </w:t>
      </w:r>
      <w:r>
        <w:rPr>
          <w:spacing w:val="-2"/>
        </w:rPr>
        <w:t>报告期内，提名委员会严格按照《公司章程》及《公司董事会提名委员会实施细则》等相关规定，对</w:t>
      </w:r>
    </w:p>
    <w:p>
      <w:pPr>
        <w:pStyle w:val="Heading4"/>
        <w:spacing w:line="273" w:lineRule="auto"/>
        <w:ind w:right="982"/>
        <w:jc w:val="left"/>
      </w:pPr>
      <w:r>
        <w:rPr>
          <w:spacing w:val="-2"/>
        </w:rPr>
        <w:t>公司提名高级管理人员进行认真审议，确保公司高级管理人员具备履行职责所必须的经营和管理经验、业</w:t>
      </w:r>
      <w:r>
        <w:rPr>
          <w:spacing w:val="-44"/>
        </w:rPr>
        <w:t> </w:t>
      </w:r>
      <w:r>
        <w:rPr>
          <w:spacing w:val="-44"/>
        </w:rPr>
      </w:r>
      <w:r>
        <w:rPr/>
        <w:t>务专长，提名程序符合《上市公司治理准则》及《公司章程》等相关规定。</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1126" w:firstLine="420"/>
        <w:jc w:val="both"/>
      </w:pPr>
      <w:r>
        <w:rPr>
          <w:spacing w:val="-2"/>
        </w:rPr>
        <w:t>公司建立了高级管理人员的薪酬与公司业绩挂钩的绩效考核与激励约束机制，公司高级管理人员实行</w:t>
      </w:r>
      <w:r>
        <w:rPr>
          <w:w w:val="100"/>
        </w:rPr>
        <w:t> </w:t>
      </w:r>
      <w:r>
        <w:rPr>
          <w:spacing w:val="-2"/>
        </w:rPr>
        <w:t>基本年薪和绩效年薪相结合的薪酬制度。由董事会薪酬与考核委员会根据公司年度经营目标完成情况和高</w:t>
      </w:r>
      <w:r>
        <w:rPr>
          <w:spacing w:val="-43"/>
        </w:rPr>
        <w:t> </w:t>
      </w:r>
      <w:r>
        <w:rPr>
          <w:spacing w:val="-43"/>
        </w:rPr>
      </w:r>
      <w:r>
        <w:rPr/>
        <w:t>级管理人员的业绩与述职情况进行考评。公司根据考评结果兑现其绩效年薪。</w:t>
      </w:r>
    </w:p>
    <w:p>
      <w:pPr>
        <w:spacing w:after="0" w:line="273" w:lineRule="auto"/>
        <w:jc w:val="both"/>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1139"/>
        <w:jc w:val="right"/>
      </w:pPr>
      <w:r>
        <w:rPr/>
        <w:pict>
          <v:shape style="position:absolute;margin-left:56.400002pt;margin-top:-162.678268pt;width:480pt;height:553.8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0"/>
                    <w:gridCol w:w="3827"/>
                    <w:gridCol w:w="3053"/>
                  </w:tblGrid>
                  <w:tr>
                    <w:trPr>
                      <w:trHeight w:val="401"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71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3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2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vMerge w:val="restart"/>
                        <w:tcBorders>
                          <w:top w:val="single" w:sz="4" w:space="0" w:color="000000"/>
                          <w:left w:val="single" w:sz="4" w:space="0" w:color="000000"/>
                          <w:right w:val="single" w:sz="4" w:space="0" w:color="000000"/>
                        </w:tcBorders>
                      </w:tcPr>
                      <w:p>
                        <w:pPr>
                          <w:pStyle w:val="TableParagraph"/>
                          <w:spacing w:line="314" w:lineRule="auto" w:before="51"/>
                          <w:ind w:left="30"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、重大缺陷：公司董事、监事或高级管理人员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舞弊行为并给公司造成重要损失和不利影响；公</w:t>
                        </w:r>
                        <w:r>
                          <w:rPr>
                            <w:rFonts w:ascii="宋体" w:hAnsi="宋体" w:cs="宋体" w:eastAsia="宋体" w:hint="default"/>
                            <w:sz w:val="18"/>
                            <w:szCs w:val="18"/>
                          </w:rPr>
                          <w:t> 司更正已公告的财务报表；注册会计师发现的却 </w:t>
                        </w:r>
                        <w:r>
                          <w:rPr>
                            <w:rFonts w:ascii="宋体" w:hAnsi="宋体" w:cs="宋体" w:eastAsia="宋体" w:hint="default"/>
                            <w:spacing w:val="8"/>
                            <w:sz w:val="18"/>
                            <w:szCs w:val="18"/>
                          </w:rPr>
                          <w:t>未被公司内部控制识别的当期财务报表重大错</w:t>
                        </w:r>
                        <w:r>
                          <w:rPr>
                            <w:rFonts w:ascii="宋体" w:hAnsi="宋体" w:cs="宋体" w:eastAsia="宋体" w:hint="default"/>
                            <w:sz w:val="18"/>
                            <w:szCs w:val="18"/>
                          </w:rPr>
                          <w:t> 报；审计委员会和审计部对公司内部控制监督无 </w:t>
                        </w:r>
                        <w:r>
                          <w:rPr>
                            <w:rFonts w:ascii="宋体" w:hAnsi="宋体" w:cs="宋体" w:eastAsia="宋体" w:hint="default"/>
                            <w:spacing w:val="3"/>
                            <w:sz w:val="18"/>
                            <w:szCs w:val="18"/>
                          </w:rPr>
                          <w:t>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、重要缺陷：未依照公认会计准则选择和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应用会计政策；未建立反舞弊程序和控制措施； </w:t>
                        </w:r>
                        <w:r>
                          <w:rPr>
                            <w:rFonts w:ascii="宋体" w:hAnsi="宋体" w:cs="宋体" w:eastAsia="宋体" w:hint="default"/>
                            <w:spacing w:val="8"/>
                            <w:sz w:val="18"/>
                            <w:szCs w:val="18"/>
                          </w:rPr>
                          <w:t>对于非常规或特殊交易的账务处理没有建立相</w:t>
                        </w:r>
                        <w:r>
                          <w:rPr>
                            <w:rFonts w:ascii="宋体" w:hAnsi="宋体" w:cs="宋体" w:eastAsia="宋体" w:hint="default"/>
                            <w:sz w:val="18"/>
                            <w:szCs w:val="18"/>
                          </w:rPr>
                          <w:t> </w:t>
                        </w:r>
                        <w:r>
                          <w:rPr>
                            <w:rFonts w:ascii="宋体" w:hAnsi="宋体" w:cs="宋体" w:eastAsia="宋体" w:hint="default"/>
                            <w:spacing w:val="8"/>
                            <w:sz w:val="18"/>
                            <w:szCs w:val="18"/>
                          </w:rPr>
                          <w:t>应的控制机制或没有实施且没有相应的补偿性</w:t>
                        </w:r>
                        <w:r>
                          <w:rPr>
                            <w:rFonts w:ascii="宋体" w:hAnsi="宋体" w:cs="宋体" w:eastAsia="宋体" w:hint="default"/>
                            <w:sz w:val="18"/>
                            <w:szCs w:val="18"/>
                          </w:rPr>
                          <w:t> 控制；对于期末财务报告过程的控制存在一项或 </w:t>
                        </w:r>
                        <w:r>
                          <w:rPr>
                            <w:rFonts w:ascii="宋体" w:hAnsi="宋体" w:cs="宋体" w:eastAsia="宋体" w:hint="default"/>
                            <w:spacing w:val="8"/>
                            <w:sz w:val="18"/>
                            <w:szCs w:val="18"/>
                          </w:rPr>
                          <w:t>多项缺陷且不能合理保证编制的财务报表达到</w:t>
                        </w:r>
                        <w:r>
                          <w:rPr>
                            <w:rFonts w:ascii="宋体" w:hAnsi="宋体" w:cs="宋体" w:eastAsia="宋体" w:hint="default"/>
                            <w:sz w:val="18"/>
                            <w:szCs w:val="18"/>
                          </w:rPr>
                          <w:t> </w:t>
                        </w:r>
                        <w:r>
                          <w:rPr>
                            <w:rFonts w:ascii="宋体" w:hAnsi="宋体" w:cs="宋体" w:eastAsia="宋体" w:hint="default"/>
                            <w:spacing w:val="3"/>
                            <w:sz w:val="18"/>
                            <w:szCs w:val="18"/>
                          </w:rPr>
                          <w:t>真实、完整的目标。</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、一般缺陷：除上述重大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缺陷、重要缺陷以外的其他控制缺陷。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6" w:right="-4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z w:val="18"/>
                            <w:szCs w:val="18"/>
                          </w:rPr>
                          <w:t> 重要业务缺乏制度控制或系统性失效， </w:t>
                        </w:r>
                        <w:r>
                          <w:rPr>
                            <w:rFonts w:ascii="宋体" w:hAnsi="宋体" w:cs="宋体" w:eastAsia="宋体" w:hint="default"/>
                            <w:spacing w:val="-4"/>
                            <w:sz w:val="18"/>
                            <w:szCs w:val="18"/>
                          </w:rPr>
                          <w:t>且缺乏有效的补偿性控制；内部控制评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价的结果特别是重大缺陷未得到整改； 其他对公司产生重大负面影响的情形。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、重要缺陷：决策程序导致出现一般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性失误；重要业务制度或系统存在缺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陷；内部控制评价的结果特别是重要缺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陷未得到整改；其他对公司产生较大负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面影响的情形。</w:t>
                        </w:r>
                        <w:r>
                          <w:rPr>
                            <w:rFonts w:ascii="宋体" w:hAnsi="宋体" w:cs="宋体" w:eastAsia="宋体" w:hint="default"/>
                            <w:spacing w:val="-18"/>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、一般缺陷：决策程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序效率不高；一般业务制度或系统存在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缺陷；一般缺陷未得到整改。</w:t>
                        </w:r>
                      </w:p>
                    </w:tc>
                  </w:tr>
                  <w:tr>
                    <w:trPr>
                      <w:trHeight w:val="391" w:hRule="exact"/>
                    </w:trPr>
                    <w:tc>
                      <w:tcPr>
                        <w:tcW w:w="2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877" w:hRule="exact"/>
                    </w:trPr>
                    <w:tc>
                      <w:tcPr>
                        <w:tcW w:w="2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941" w:hRule="exact"/>
                    </w:trPr>
                    <w:tc>
                      <w:tcPr>
                        <w:tcW w:w="2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30"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w:t>
                        </w:r>
                        <w:r>
                          <w:rPr>
                            <w:rFonts w:ascii="宋体" w:hAnsi="宋体" w:cs="宋体" w:eastAsia="宋体" w:hint="default"/>
                            <w:spacing w:val="-84"/>
                            <w:sz w:val="18"/>
                            <w:szCs w:val="18"/>
                          </w:rPr>
                          <w:t> </w:t>
                        </w:r>
                        <w:r>
                          <w:rPr>
                            <w:rFonts w:ascii="宋体" w:hAnsi="宋体" w:cs="宋体" w:eastAsia="宋体" w:hint="default"/>
                            <w:sz w:val="18"/>
                            <w:szCs w:val="18"/>
                          </w:rPr>
                          <w:t>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3" w:type="dxa"/>
                        <w:vMerge w:val="restart"/>
                        <w:tcBorders>
                          <w:top w:val="single" w:sz="4" w:space="0" w:color="000000"/>
                          <w:left w:val="single" w:sz="10" w:space="0" w:color="FFFFFF"/>
                          <w:right w:val="single" w:sz="10" w:space="0" w:color="FFFFFF"/>
                        </w:tcBorders>
                      </w:tcPr>
                      <w:p>
                        <w:pPr>
                          <w:pStyle w:val="TableParagraph"/>
                          <w:spacing w:line="307" w:lineRule="auto" w:before="52"/>
                          <w:ind w:left="19"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sz w:val="18"/>
                            <w:szCs w:val="18"/>
                          </w:rPr>
                          <w:t>陷导致的直接经济损失金额</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11"/>
                            <w:sz w:val="18"/>
                            <w:szCs w:val="18"/>
                          </w:rPr>
                          <w:t>100</w:t>
                        </w:r>
                        <w:r>
                          <w:rPr>
                            <w:rFonts w:ascii="Times New Roman" w:hAnsi="Times New Roman" w:cs="Times New Roman" w:eastAsia="Times New Roman" w:hint="default"/>
                            <w:spacing w:val="6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告内部控</w:t>
                        </w:r>
                        <w:r>
                          <w:rPr>
                            <w:rFonts w:ascii="宋体" w:hAnsi="宋体" w:cs="宋体" w:eastAsia="宋体" w:hint="default"/>
                            <w:spacing w:val="17"/>
                            <w:sz w:val="18"/>
                            <w:szCs w:val="18"/>
                          </w:rPr>
                          <w:t> </w:t>
                        </w:r>
                        <w:r>
                          <w:rPr>
                            <w:rFonts w:ascii="宋体" w:hAnsi="宋体" w:cs="宋体" w:eastAsia="宋体" w:hint="default"/>
                            <w:sz w:val="18"/>
                            <w:szCs w:val="18"/>
                          </w:rPr>
                          <w:t>制缺陷导致的直接经济损失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务报告内部控制缺陷导致的直接经济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4" w:hRule="exact"/>
                    </w:trPr>
                    <w:tc>
                      <w:tcPr>
                        <w:tcW w:w="2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7"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941" w:hRule="exact"/>
                    </w:trPr>
                    <w:tc>
                      <w:tcPr>
                        <w:tcW w:w="2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r>
                    <w:trPr>
                      <w:trHeight w:val="401"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内部控制鉴证报告</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我们认为，北京数字认证公司于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 与财务报表相关的内部控制。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会计师事务所是否出具非标准意见的内部控制鉴证报告</w:t>
      </w:r>
    </w:p>
    <w:p>
      <w:pPr>
        <w:pStyle w:val="BodyText"/>
        <w:spacing w:line="340"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982"/>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982"/>
        <w:jc w:val="left"/>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110ZA3271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pStyle w:val="BodyText"/>
        <w:spacing w:line="240" w:lineRule="auto" w:before="49"/>
        <w:ind w:left="0" w:right="978"/>
        <w:jc w:val="center"/>
      </w:pPr>
      <w:r>
        <w:rPr/>
        <w:t>审计报告正文</w:t>
      </w:r>
    </w:p>
    <w:p>
      <w:pPr>
        <w:spacing w:line="240" w:lineRule="auto" w:before="9"/>
        <w:rPr>
          <w:rFonts w:ascii="宋体" w:hAnsi="宋体" w:cs="宋体" w:eastAsia="宋体" w:hint="default"/>
          <w:sz w:val="10"/>
          <w:szCs w:val="10"/>
        </w:rPr>
      </w:pPr>
    </w:p>
    <w:p>
      <w:pPr>
        <w:pStyle w:val="Heading3"/>
        <w:spacing w:line="376" w:lineRule="auto" w:before="36"/>
        <w:ind w:left="575" w:right="6474" w:hanging="423"/>
        <w:jc w:val="left"/>
        <w:rPr>
          <w:b w:val="0"/>
          <w:bCs w:val="0"/>
        </w:rPr>
      </w:pPr>
      <w:r>
        <w:rPr>
          <w:spacing w:val="-1"/>
        </w:rPr>
        <w:t>北京数字认证股份有限公司全体股东：</w:t>
      </w:r>
      <w:r>
        <w:rPr>
          <w:spacing w:val="-89"/>
        </w:rPr>
        <w:t> </w:t>
      </w:r>
      <w:r>
        <w:rPr>
          <w:spacing w:val="-89"/>
        </w:rPr>
      </w:r>
      <w:r>
        <w:rPr/>
        <w:t>一、审计意见</w:t>
      </w:r>
      <w:r>
        <w:rPr>
          <w:b w:val="0"/>
          <w:bCs w:val="0"/>
        </w:rPr>
      </w:r>
    </w:p>
    <w:p>
      <w:pPr>
        <w:pStyle w:val="Heading4"/>
        <w:spacing w:line="256" w:lineRule="auto" w:before="37"/>
        <w:ind w:right="1128" w:firstLine="420"/>
        <w:jc w:val="both"/>
      </w:pPr>
      <w:r>
        <w:rPr>
          <w:spacing w:val="-2"/>
        </w:rPr>
        <w:t>我们审计了北京数字认证股份有限公司（以下简称数字认证公司）财务报表，包括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spacing w:val="-3"/>
          <w:w w:val="100"/>
        </w:rPr>
        <w:t> </w:t>
      </w:r>
      <w:r>
        <w:rPr>
          <w:spacing w:val="-2"/>
        </w:rPr>
        <w:t>合并及公司资产负债表，</w:t>
      </w:r>
      <w:r>
        <w:rPr>
          <w:rFonts w:ascii="Times New Roman" w:hAnsi="Times New Roman" w:cs="Times New Roman" w:eastAsia="Times New Roman" w:hint="default"/>
          <w:spacing w:val="-2"/>
        </w:rPr>
        <w:t>2018</w:t>
      </w:r>
      <w:r>
        <w:rPr>
          <w:spacing w:val="-2"/>
        </w:rPr>
        <w:t>年度的合并及公司利润表、合并及公司现金流量表、合并及公司股东权益变</w:t>
      </w:r>
      <w:r>
        <w:rPr>
          <w:spacing w:val="-41"/>
        </w:rPr>
        <w:t> </w:t>
      </w:r>
      <w:r>
        <w:rPr>
          <w:spacing w:val="-41"/>
        </w:rPr>
      </w:r>
      <w:r>
        <w:rPr/>
        <w:t>动表以及相关财务报表附注。</w:t>
      </w:r>
    </w:p>
    <w:p>
      <w:pPr>
        <w:pStyle w:val="Heading4"/>
        <w:spacing w:line="240" w:lineRule="auto" w:before="143"/>
        <w:ind w:left="573" w:right="982"/>
        <w:jc w:val="left"/>
      </w:pPr>
      <w:r>
        <w:rPr/>
        <w:t>我们认为，后附的财务报表在所有重大方面按照企业会计准则的规定编制，公允反映了数字认证公司</w:t>
      </w:r>
    </w:p>
    <w:p>
      <w:pPr>
        <w:pStyle w:val="Heading4"/>
        <w:spacing w:line="240" w:lineRule="auto" w:before="37"/>
        <w:ind w:right="98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2018</w:t>
      </w:r>
      <w:r>
        <w:rPr/>
        <w:t>年度的合并及公司的经营成果和现金流量。</w:t>
      </w:r>
    </w:p>
    <w:p>
      <w:pPr>
        <w:spacing w:line="432" w:lineRule="exact" w:before="41"/>
        <w:ind w:left="590" w:right="982" w:hanging="15"/>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Heading4"/>
        <w:spacing w:line="271" w:lineRule="exact"/>
        <w:ind w:right="982"/>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部分进一步阐述了我们在这些准则下的责任。按照中国注册会计师职业道德守则，我们独立于数</w:t>
      </w:r>
    </w:p>
    <w:p>
      <w:pPr>
        <w:pStyle w:val="Heading4"/>
        <w:spacing w:line="273" w:lineRule="auto" w:before="21"/>
        <w:ind w:right="982"/>
        <w:jc w:val="left"/>
      </w:pPr>
      <w:r>
        <w:rPr>
          <w:spacing w:val="-2"/>
        </w:rPr>
        <w:t>字认证公司，并履行了职业道德方面的其他责任。我们相信，我们获取的审计证据是充分、适当的，为发</w:t>
      </w:r>
      <w:r>
        <w:rPr>
          <w:spacing w:val="-43"/>
        </w:rPr>
        <w:t> </w:t>
      </w:r>
      <w:r>
        <w:rPr>
          <w:spacing w:val="-43"/>
        </w:rPr>
      </w:r>
      <w:r>
        <w:rPr/>
        <w:t>表审计意见提供了基础。</w:t>
      </w:r>
    </w:p>
    <w:p>
      <w:pPr>
        <w:pStyle w:val="Heading4"/>
        <w:spacing w:line="432" w:lineRule="exact" w:before="27"/>
        <w:ind w:left="590" w:right="982" w:hanging="15"/>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3"/>
        </w:rPr>
        <w:t>关键审计事项是我们根据职业判断，认为对本期财务报表审计最为重要的事项。这些事项的应对以对</w:t>
      </w:r>
    </w:p>
    <w:p>
      <w:pPr>
        <w:pStyle w:val="Heading4"/>
        <w:spacing w:line="256" w:lineRule="exact"/>
        <w:ind w:right="982"/>
        <w:jc w:val="left"/>
      </w:pPr>
      <w:r>
        <w:rPr/>
        <w:t>财务报表整体进行审计并形成审计意见为背景，我们不对这些事项单独发表意见。</w:t>
      </w:r>
    </w:p>
    <w:p>
      <w:pPr>
        <w:pStyle w:val="Heading4"/>
        <w:spacing w:line="240" w:lineRule="auto" w:before="157"/>
        <w:ind w:left="590" w:right="982"/>
        <w:jc w:val="left"/>
      </w:pPr>
      <w:r>
        <w:rPr/>
        <w:t>劳务收入确认中完工百分比法的应用</w:t>
      </w:r>
    </w:p>
    <w:p>
      <w:pPr>
        <w:pStyle w:val="Heading4"/>
        <w:spacing w:line="240" w:lineRule="auto" w:before="157"/>
        <w:ind w:left="590" w:right="982"/>
        <w:jc w:val="left"/>
      </w:pPr>
      <w:r>
        <w:rPr>
          <w:rFonts w:ascii="Times New Roman" w:hAnsi="Times New Roman" w:cs="Times New Roman" w:eastAsia="Times New Roman" w:hint="default"/>
        </w:rPr>
        <w:t>1</w:t>
      </w:r>
      <w:r>
        <w:rPr/>
        <w:t>、事项描述</w:t>
      </w:r>
    </w:p>
    <w:p>
      <w:pPr>
        <w:pStyle w:val="Heading4"/>
        <w:spacing w:line="256" w:lineRule="auto" w:before="141"/>
        <w:ind w:right="1126" w:firstLine="437"/>
        <w:jc w:val="both"/>
      </w:pPr>
      <w:r>
        <w:rPr/>
        <w:t>数字认证公司会计政策和估计的披露参见附注三、</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，关于收入的金额的披露参见附注五、</w:t>
      </w:r>
      <w:r>
        <w:rPr>
          <w:rFonts w:ascii="Times New Roman" w:hAnsi="Times New Roman" w:cs="Times New Roman" w:eastAsia="Times New Roman" w:hint="default"/>
        </w:rPr>
        <w:t>24</w:t>
      </w:r>
      <w:r>
        <w:rPr/>
        <w:t>，附</w:t>
      </w:r>
      <w:r>
        <w:rPr>
          <w:spacing w:val="2"/>
          <w:w w:val="100"/>
        </w:rPr>
        <w:t> </w:t>
      </w:r>
      <w:r>
        <w:rPr/>
        <w:t>注十四、</w:t>
      </w:r>
      <w:r>
        <w:rPr>
          <w:rFonts w:ascii="Times New Roman" w:hAnsi="Times New Roman" w:cs="Times New Roman" w:eastAsia="Times New Roman" w:hint="default"/>
        </w:rPr>
        <w:t>4</w:t>
      </w:r>
      <w:r>
        <w:rPr/>
        <w:t>。</w:t>
      </w:r>
    </w:p>
    <w:p>
      <w:pPr>
        <w:pStyle w:val="Heading4"/>
        <w:spacing w:line="240" w:lineRule="auto" w:before="125"/>
        <w:ind w:left="590" w:right="982"/>
        <w:jc w:val="left"/>
      </w:pPr>
      <w:r>
        <w:rPr/>
        <w:t>数字认证公司的营业收入分为电子认证服务收入、安全集成收入和安全咨询与运维服务收入三类。</w:t>
      </w:r>
    </w:p>
    <w:p>
      <w:pPr>
        <w:pStyle w:val="Heading4"/>
        <w:spacing w:line="273" w:lineRule="auto" w:before="157"/>
        <w:ind w:right="1126" w:firstLine="437"/>
        <w:jc w:val="both"/>
      </w:pPr>
      <w:r>
        <w:rPr>
          <w:spacing w:val="-3"/>
        </w:rPr>
        <w:t>①电子认证服务收入主要包括数字证书收入、电子签名服务收入和证书介质收入，其中数字证书收入</w:t>
      </w:r>
      <w:r>
        <w:rPr>
          <w:w w:val="100"/>
        </w:rPr>
        <w:t> </w:t>
      </w:r>
      <w:r>
        <w:rPr>
          <w:spacing w:val="-2"/>
        </w:rPr>
        <w:t>在数字证书签发或更新生效当月开始在数字证书的有效期内分期确认收入；电子签名服务收入按照约定的</w:t>
      </w:r>
      <w:r>
        <w:rPr>
          <w:spacing w:val="-43"/>
        </w:rPr>
        <w:t> </w:t>
      </w:r>
      <w:r>
        <w:rPr>
          <w:spacing w:val="-43"/>
        </w:rPr>
      </w:r>
      <w:r>
        <w:rPr>
          <w:spacing w:val="-2"/>
        </w:rPr>
        <w:t>服务期限分期确认收入，约定电子签名服务单价的则按照双方确认的服务量及单价确认收入；证书介质收</w:t>
      </w:r>
      <w:r>
        <w:rPr>
          <w:spacing w:val="-43"/>
        </w:rPr>
        <w:t> </w:t>
      </w:r>
      <w:r>
        <w:rPr>
          <w:spacing w:val="-43"/>
        </w:rPr>
      </w:r>
      <w:r>
        <w:rPr/>
        <w:t>入在移交给客户并经客户验收后一次性确认收入。</w:t>
      </w:r>
    </w:p>
    <w:p>
      <w:pPr>
        <w:pStyle w:val="Heading4"/>
        <w:spacing w:line="240" w:lineRule="auto" w:before="127"/>
        <w:ind w:left="590" w:right="982"/>
        <w:jc w:val="left"/>
      </w:pPr>
      <w:r>
        <w:rPr>
          <w:spacing w:val="-5"/>
        </w:rPr>
        <w:t>②对于安全集成，根据合同的约定，在取得了客户的初步验收确认时，按照合同约定的金额确认收入。</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firstLine="437"/>
        <w:jc w:val="both"/>
      </w:pPr>
      <w:r>
        <w:rPr>
          <w:spacing w:val="-3"/>
        </w:rPr>
        <w:t>③安全咨询与运维服务在资产负债表日按完工百分比法确认收入。对于提供专业咨询研究并编制报告</w:t>
      </w:r>
      <w:r>
        <w:rPr>
          <w:w w:val="100"/>
        </w:rPr>
        <w:t> </w:t>
      </w:r>
      <w:r>
        <w:rPr/>
        <w:t>的咨询研究业务，在提交咨询研究报告且通过相关评审验收时一次性确认收入。</w:t>
      </w:r>
    </w:p>
    <w:p>
      <w:pPr>
        <w:pStyle w:val="Heading4"/>
        <w:spacing w:line="256" w:lineRule="auto" w:before="127"/>
        <w:ind w:right="1090" w:firstLine="437"/>
        <w:jc w:val="both"/>
      </w:pPr>
      <w:r>
        <w:rPr>
          <w:rFonts w:ascii="Times New Roman" w:hAnsi="Times New Roman" w:cs="Times New Roman" w:eastAsia="Times New Roman" w:hint="default"/>
          <w:spacing w:val="-2"/>
        </w:rPr>
        <w:t>2018</w:t>
      </w:r>
      <w:r>
        <w:rPr>
          <w:spacing w:val="-2"/>
        </w:rPr>
        <w:t>年数字认证公司的营业收入为人民币</w:t>
      </w:r>
      <w:r>
        <w:rPr>
          <w:rFonts w:ascii="Times New Roman" w:hAnsi="Times New Roman" w:cs="Times New Roman" w:eastAsia="Times New Roman" w:hint="default"/>
          <w:spacing w:val="-2"/>
        </w:rPr>
        <w:t>66,772.02</w:t>
      </w:r>
      <w:r>
        <w:rPr>
          <w:spacing w:val="-2"/>
        </w:rPr>
        <w:t>万元，其中电子认证服务收入共计</w:t>
      </w:r>
      <w:r>
        <w:rPr>
          <w:rFonts w:ascii="Times New Roman" w:hAnsi="Times New Roman" w:cs="Times New Roman" w:eastAsia="Times New Roman" w:hint="default"/>
          <w:spacing w:val="-2"/>
        </w:rPr>
        <w:t>26,439.81</w:t>
      </w:r>
      <w:r>
        <w:rPr>
          <w:spacing w:val="-2"/>
        </w:rPr>
        <w:t>万元，</w:t>
      </w:r>
      <w:r>
        <w:rPr>
          <w:spacing w:val="-3"/>
          <w:w w:val="100"/>
        </w:rPr>
        <w:t> </w:t>
      </w:r>
      <w:r>
        <w:rPr>
          <w:spacing w:val="5"/>
        </w:rPr>
        <w:t>电子认证服务收入中认证服务收入</w:t>
      </w:r>
      <w:r>
        <w:rPr>
          <w:rFonts w:ascii="Times New Roman" w:hAnsi="Times New Roman" w:cs="Times New Roman" w:eastAsia="Times New Roman" w:hint="default"/>
          <w:spacing w:val="5"/>
        </w:rPr>
        <w:t>21,274.65</w:t>
      </w:r>
      <w:r>
        <w:rPr>
          <w:spacing w:val="5"/>
        </w:rPr>
        <w:t>万元按完工百分比法确认收入；安全咨询与运维服务共计</w:t>
      </w:r>
      <w:r>
        <w:rPr>
          <w:spacing w:val="24"/>
        </w:rPr>
        <w:t> </w:t>
      </w:r>
      <w:r>
        <w:rPr>
          <w:spacing w:val="24"/>
        </w:rPr>
      </w:r>
      <w:r>
        <w:rPr>
          <w:rFonts w:ascii="Times New Roman" w:hAnsi="Times New Roman" w:cs="Times New Roman" w:eastAsia="Times New Roman" w:hint="default"/>
        </w:rPr>
        <w:t>14,453.50</w:t>
      </w:r>
      <w:r>
        <w:rPr/>
        <w:t>万元，全部按完工百分比确认收入。</w:t>
      </w:r>
    </w:p>
    <w:p>
      <w:pPr>
        <w:pStyle w:val="Heading4"/>
        <w:spacing w:line="273" w:lineRule="auto" w:before="125"/>
        <w:ind w:right="1126" w:firstLine="437"/>
        <w:jc w:val="both"/>
      </w:pPr>
      <w:r>
        <w:rPr>
          <w:spacing w:val="-3"/>
        </w:rPr>
        <w:t>在使用完工百分比法时，涉及对合同完工进度的估计、预计完成合同所需的总成本及预计合同是否会</w:t>
      </w:r>
      <w:r>
        <w:rPr>
          <w:w w:val="100"/>
        </w:rPr>
        <w:t> </w:t>
      </w:r>
      <w:r>
        <w:rPr>
          <w:spacing w:val="-2"/>
        </w:rPr>
        <w:t>引起亏损，这些往往需要管理层作出大量的判断。管理层的判断，一般以历史经验为基础；如果这些判断</w:t>
      </w:r>
      <w:r>
        <w:rPr>
          <w:spacing w:val="-50"/>
        </w:rPr>
        <w:t> </w:t>
      </w:r>
      <w:r>
        <w:rPr>
          <w:spacing w:val="-50"/>
        </w:rPr>
      </w:r>
      <w:r>
        <w:rPr>
          <w:spacing w:val="-2"/>
        </w:rPr>
        <w:t>的基础或环境发生了变化，可能会对确认的收入及成本金额产生重大影响。由于应用完工百分比法确认收</w:t>
      </w:r>
      <w:r>
        <w:rPr>
          <w:spacing w:val="-43"/>
        </w:rPr>
        <w:t> </w:t>
      </w:r>
      <w:r>
        <w:rPr>
          <w:spacing w:val="-43"/>
        </w:rPr>
      </w:r>
      <w:r>
        <w:rPr>
          <w:spacing w:val="-2"/>
        </w:rPr>
        <w:t>入需要运用大量的估计和专业判断，且对数字认证公司报告期的经营业绩具有重大影响，我们将该事项确</w:t>
      </w:r>
      <w:r>
        <w:rPr>
          <w:spacing w:val="-43"/>
        </w:rPr>
        <w:t> </w:t>
      </w:r>
      <w:r>
        <w:rPr>
          <w:spacing w:val="-43"/>
        </w:rPr>
      </w:r>
      <w:r>
        <w:rPr/>
        <w:t>定为关键审计事项。</w:t>
      </w:r>
    </w:p>
    <w:p>
      <w:pPr>
        <w:pStyle w:val="Heading4"/>
        <w:spacing w:line="357" w:lineRule="auto" w:before="128"/>
        <w:ind w:left="590" w:right="3554"/>
        <w:jc w:val="left"/>
      </w:pPr>
      <w:r>
        <w:rPr>
          <w:rFonts w:ascii="Times New Roman" w:hAnsi="Times New Roman" w:cs="Times New Roman" w:eastAsia="Times New Roman" w:hint="default"/>
        </w:rPr>
        <w:t>2</w:t>
      </w:r>
      <w:r>
        <w:rPr/>
        <w:t>、审计应对</w:t>
      </w:r>
      <w:r>
        <w:rPr>
          <w:w w:val="100"/>
        </w:rPr>
        <w:t> </w:t>
      </w:r>
      <w:r>
        <w:rPr>
          <w:spacing w:val="-2"/>
        </w:rPr>
        <w:t>我们对劳务收入确认中完工百分比法的应用实施的审计程序主要包括：</w:t>
      </w:r>
    </w:p>
    <w:p>
      <w:pPr>
        <w:pStyle w:val="Heading4"/>
        <w:spacing w:line="240" w:lineRule="auto" w:before="54"/>
        <w:ind w:left="590" w:right="982"/>
        <w:jc w:val="left"/>
      </w:pPr>
      <w:r>
        <w:rPr/>
        <w:t>（</w:t>
      </w:r>
      <w:r>
        <w:rPr>
          <w:rFonts w:ascii="Times New Roman" w:hAnsi="Times New Roman" w:cs="Times New Roman" w:eastAsia="Times New Roman" w:hint="default"/>
        </w:rPr>
        <w:t>1</w:t>
      </w:r>
      <w:r>
        <w:rPr/>
        <w:t>）了解并评价了项目管理流程及内部控制制度，并执行了控制测试。</w:t>
      </w:r>
    </w:p>
    <w:p>
      <w:pPr>
        <w:pStyle w:val="Heading4"/>
        <w:spacing w:line="256" w:lineRule="auto" w:before="141"/>
        <w:ind w:right="1105" w:firstLine="437"/>
        <w:jc w:val="both"/>
      </w:pPr>
      <w:r>
        <w:rPr/>
        <w:t>（</w:t>
      </w:r>
      <w:r>
        <w:rPr>
          <w:rFonts w:ascii="Times New Roman" w:hAnsi="Times New Roman" w:cs="Times New Roman" w:eastAsia="Times New Roman" w:hint="default"/>
        </w:rPr>
        <w:t>2</w:t>
      </w:r>
      <w:r>
        <w:rPr/>
        <w:t>）对重要项目的预计完成合同所需的总成本的合理性和实际发生的成本的真实性进行测试，抽样</w:t>
      </w:r>
      <w:r>
        <w:rPr>
          <w:w w:val="100"/>
        </w:rPr>
        <w:t> </w:t>
      </w:r>
      <w:r>
        <w:rPr>
          <w:spacing w:val="-2"/>
        </w:rPr>
        <w:t>检查大额采购合同、发票、出入库单、工时费用分配表等支持性文件并对存货的出入库进行截止性测试。</w:t>
      </w:r>
    </w:p>
    <w:p>
      <w:pPr>
        <w:pStyle w:val="Heading4"/>
        <w:spacing w:line="256" w:lineRule="auto" w:before="142"/>
        <w:ind w:right="1129" w:firstLine="437"/>
        <w:jc w:val="both"/>
      </w:pPr>
      <w:r>
        <w:rPr/>
        <w:t>（</w:t>
      </w:r>
      <w:r>
        <w:rPr>
          <w:rFonts w:ascii="Times New Roman" w:hAnsi="Times New Roman" w:cs="Times New Roman" w:eastAsia="Times New Roman" w:hint="default"/>
        </w:rPr>
        <w:t>3</w:t>
      </w:r>
      <w:r>
        <w:rPr/>
        <w:t>）抽样选取重要项目的合同，查看合同金额、约定的完工进度、付款条件、双方主要的权利义务</w:t>
      </w:r>
      <w:r>
        <w:rPr>
          <w:w w:val="100"/>
        </w:rPr>
        <w:t> </w:t>
      </w:r>
      <w:r>
        <w:rPr/>
        <w:t>等关键条款。</w:t>
      </w:r>
    </w:p>
    <w:p>
      <w:pPr>
        <w:pStyle w:val="Heading4"/>
        <w:spacing w:line="256" w:lineRule="auto" w:before="142"/>
        <w:ind w:right="1129" w:firstLine="437"/>
        <w:jc w:val="both"/>
      </w:pPr>
      <w:r>
        <w:rPr/>
        <w:t>（</w:t>
      </w:r>
      <w:r>
        <w:rPr>
          <w:rFonts w:ascii="Times New Roman" w:hAnsi="Times New Roman" w:cs="Times New Roman" w:eastAsia="Times New Roman" w:hint="default"/>
        </w:rPr>
        <w:t>4</w:t>
      </w:r>
      <w:r>
        <w:rPr/>
        <w:t>）对本期安全咨询与运维服务确认收入的大额项目检查项目进度单和验收报告，并核查平台项目</w:t>
      </w:r>
      <w:r>
        <w:rPr>
          <w:w w:val="100"/>
        </w:rPr>
        <w:t> </w:t>
      </w:r>
      <w:r>
        <w:rPr/>
        <w:t>完工进度和外部进度单。</w:t>
      </w:r>
    </w:p>
    <w:p>
      <w:pPr>
        <w:pStyle w:val="Heading4"/>
        <w:spacing w:line="256" w:lineRule="auto" w:before="142"/>
        <w:ind w:right="1129" w:firstLine="437"/>
        <w:jc w:val="both"/>
      </w:pPr>
      <w:r>
        <w:rPr/>
        <w:t>（</w:t>
      </w:r>
      <w:r>
        <w:rPr>
          <w:rFonts w:ascii="Times New Roman" w:hAnsi="Times New Roman" w:cs="Times New Roman" w:eastAsia="Times New Roman" w:hint="default"/>
        </w:rPr>
        <w:t>5</w:t>
      </w:r>
      <w:r>
        <w:rPr/>
        <w:t>）对报告期内确认电子认证服务收入的大额客户及确认安全咨询与运维服务收入的大额项目执行</w:t>
      </w:r>
      <w:r>
        <w:rPr>
          <w:w w:val="100"/>
        </w:rPr>
        <w:t> </w:t>
      </w:r>
      <w:r>
        <w:rPr/>
        <w:t>函证程序。</w:t>
      </w:r>
    </w:p>
    <w:p>
      <w:pPr>
        <w:pStyle w:val="Heading4"/>
        <w:spacing w:line="264" w:lineRule="auto" w:before="142"/>
        <w:ind w:right="1129" w:firstLine="437"/>
        <w:jc w:val="both"/>
      </w:pPr>
      <w:r>
        <w:rPr/>
        <w:t>（</w:t>
      </w:r>
      <w:r>
        <w:rPr>
          <w:rFonts w:ascii="Times New Roman" w:hAnsi="Times New Roman" w:cs="Times New Roman" w:eastAsia="Times New Roman" w:hint="default"/>
        </w:rPr>
        <w:t>6</w:t>
      </w:r>
      <w:r>
        <w:rPr/>
        <w:t>）对本期确认的电子认证服务收入，核查直属渠道的运行服务平台数据以及渠道供应商的结算单</w:t>
      </w:r>
      <w:r>
        <w:rPr>
          <w:w w:val="100"/>
        </w:rPr>
        <w:t> </w:t>
      </w:r>
      <w:r>
        <w:rPr>
          <w:spacing w:val="-2"/>
        </w:rPr>
        <w:t>与财务数据是否一致，对最终用户进行电话回访，并根据实际发生的成本、完成合同预算及回函情况，通</w:t>
      </w:r>
      <w:r>
        <w:rPr>
          <w:spacing w:val="-47"/>
        </w:rPr>
        <w:t> </w:t>
      </w:r>
      <w:r>
        <w:rPr>
          <w:spacing w:val="-47"/>
        </w:rPr>
      </w:r>
      <w:r>
        <w:rPr/>
        <w:t>过重新计算完工百分比法确认的收入金额来验证企业分期收入的准确性。</w:t>
      </w:r>
    </w:p>
    <w:p>
      <w:pPr>
        <w:pStyle w:val="Heading4"/>
        <w:spacing w:line="273" w:lineRule="auto" w:before="136"/>
        <w:ind w:right="1133" w:firstLine="437"/>
        <w:jc w:val="both"/>
      </w:pPr>
      <w:r>
        <w:rPr>
          <w:spacing w:val="2"/>
        </w:rPr>
        <w:t>我们所实施的审计程序及获得的审计证据能够说明数字认证公司管理层对报告期内劳务收入确认完</w:t>
      </w:r>
      <w:r>
        <w:rPr>
          <w:w w:val="100"/>
        </w:rPr>
        <w:t> </w:t>
      </w:r>
      <w:r>
        <w:rPr/>
        <w:t>工百分比法的应用中所作出的相关估计和判断是合理的。</w:t>
      </w:r>
    </w:p>
    <w:p>
      <w:pPr>
        <w:pStyle w:val="Heading4"/>
        <w:spacing w:line="432" w:lineRule="exact" w:before="27"/>
        <w:ind w:left="590" w:right="982" w:hanging="15"/>
        <w:jc w:val="left"/>
      </w:pPr>
      <w:r>
        <w:rPr>
          <w:rFonts w:ascii="宋体" w:hAnsi="宋体" w:cs="宋体" w:eastAsia="宋体" w:hint="default"/>
          <w:b/>
          <w:bCs/>
        </w:rPr>
        <w:t>四、其他信息</w:t>
      </w:r>
      <w:r>
        <w:rPr>
          <w:rFonts w:ascii="宋体" w:hAnsi="宋体" w:cs="宋体" w:eastAsia="宋体" w:hint="default"/>
          <w:b/>
          <w:bCs/>
          <w:spacing w:val="-104"/>
        </w:rPr>
        <w:t> </w:t>
      </w:r>
      <w:r>
        <w:rPr>
          <w:spacing w:val="-3"/>
        </w:rPr>
        <w:t>数字认证公司管理层（以下简称管理层）对其他信息负责。其他信息包括数字认证公司</w:t>
      </w:r>
      <w:r>
        <w:rPr>
          <w:rFonts w:ascii="Times New Roman" w:hAnsi="Times New Roman" w:cs="Times New Roman" w:eastAsia="Times New Roman" w:hint="default"/>
          <w:spacing w:val="-3"/>
        </w:rPr>
        <w:t>2018</w:t>
      </w:r>
      <w:r>
        <w:rPr>
          <w:spacing w:val="-3"/>
        </w:rPr>
        <w:t>年年度报</w:t>
      </w:r>
    </w:p>
    <w:p>
      <w:pPr>
        <w:pStyle w:val="Heading4"/>
        <w:spacing w:line="255" w:lineRule="exact"/>
        <w:ind w:right="982"/>
        <w:jc w:val="left"/>
      </w:pPr>
      <w:r>
        <w:rPr/>
        <w:t>告中涵盖的信息，但不包括财务报表和我们的审计报告。</w:t>
      </w:r>
    </w:p>
    <w:p>
      <w:pPr>
        <w:pStyle w:val="Heading4"/>
        <w:spacing w:line="430" w:lineRule="atLeast" w:before="2"/>
        <w:ind w:left="590" w:right="982"/>
        <w:jc w:val="left"/>
      </w:pPr>
      <w:r>
        <w:rPr/>
        <w:t>我们对财务报表发表的审计意见不涵盖其他信息，我们也不对其他信息发表任何形式的鉴证结论。</w:t>
      </w:r>
      <w:r>
        <w:rPr>
          <w:w w:val="100"/>
        </w:rPr>
        <w:t> </w:t>
      </w:r>
      <w:r>
        <w:rPr>
          <w:spacing w:val="-3"/>
        </w:rPr>
        <w:t>结合我们对财务报表的审计，我们的责任是阅读其他信息，在此过程中，考虑其他信息是否与财务报</w:t>
      </w:r>
    </w:p>
    <w:p>
      <w:pPr>
        <w:pStyle w:val="Heading4"/>
        <w:spacing w:line="240" w:lineRule="auto" w:before="37"/>
        <w:ind w:right="982"/>
        <w:jc w:val="left"/>
      </w:pPr>
      <w:r>
        <w:rPr/>
        <w:t>表或我们在审计过程中了解到的情况存在重大不一致或者似乎存在重大错报。</w:t>
      </w:r>
    </w:p>
    <w:p>
      <w:pPr>
        <w:pStyle w:val="Heading4"/>
        <w:spacing w:line="273" w:lineRule="auto" w:before="157"/>
        <w:ind w:right="1126" w:firstLine="437"/>
        <w:jc w:val="both"/>
      </w:pPr>
      <w:r>
        <w:rPr>
          <w:spacing w:val="-3"/>
        </w:rPr>
        <w:t>基于我们已执行的工作，如果我们确定其他信息存在重大错报，我们应当报告该事实。在这方面，我</w:t>
      </w:r>
      <w:r>
        <w:rPr>
          <w:w w:val="100"/>
        </w:rPr>
        <w:t> </w:t>
      </w:r>
      <w:r>
        <w:rPr/>
        <w:t>们无任何事项需要报告。</w:t>
      </w:r>
    </w:p>
    <w:p>
      <w:pPr>
        <w:spacing w:line="432" w:lineRule="exact" w:before="27"/>
        <w:ind w:left="590" w:right="982" w:hanging="15"/>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数字认证公司管理层负责按照企业会计准则的规定编制财务报表，使其实现公允反映，并设计、执行</w:t>
      </w:r>
    </w:p>
    <w:p>
      <w:pPr>
        <w:pStyle w:val="Heading4"/>
        <w:spacing w:line="255" w:lineRule="exact"/>
        <w:ind w:right="982"/>
        <w:jc w:val="left"/>
      </w:pPr>
      <w:r>
        <w:rPr/>
        <w:t>和维护必要的内部控制，以使财务报表不存在由于舞弊或错误导致的重大错报。</w:t>
      </w:r>
    </w:p>
    <w:p>
      <w:pPr>
        <w:spacing w:after="0" w:line="255" w:lineRule="exact"/>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982" w:firstLine="437"/>
        <w:jc w:val="left"/>
      </w:pPr>
      <w:r>
        <w:rPr>
          <w:spacing w:val="-3"/>
        </w:rPr>
        <w:t>在编制财务报表时，管理层负责评估数字认证公司的持续经营能力，披露与持续经营相关的事项（如</w:t>
      </w:r>
      <w:r>
        <w:rPr>
          <w:w w:val="100"/>
        </w:rPr>
        <w:t> </w:t>
      </w:r>
      <w:r>
        <w:rPr/>
        <w:t>适用），并运用持续经营假设，除非管理层计划清算数字认证公司、终止运营或别无其他现实的选择。</w:t>
      </w:r>
    </w:p>
    <w:p>
      <w:pPr>
        <w:spacing w:line="376" w:lineRule="auto" w:before="127"/>
        <w:ind w:left="575" w:right="2654" w:firstLine="14"/>
        <w:jc w:val="left"/>
        <w:rPr>
          <w:rFonts w:ascii="宋体" w:hAnsi="宋体" w:cs="宋体" w:eastAsia="宋体" w:hint="default"/>
          <w:sz w:val="21"/>
          <w:szCs w:val="21"/>
        </w:rPr>
      </w:pPr>
      <w:r>
        <w:rPr>
          <w:rFonts w:ascii="宋体" w:hAnsi="宋体" w:cs="宋体" w:eastAsia="宋体" w:hint="default"/>
          <w:spacing w:val="-2"/>
          <w:sz w:val="21"/>
          <w:szCs w:val="21"/>
        </w:rPr>
        <w:t>治理层负责监督数字认证公司的财务报告过程。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Heading4"/>
        <w:spacing w:line="273" w:lineRule="auto" w:before="37"/>
        <w:ind w:right="1126" w:firstLine="437"/>
        <w:jc w:val="both"/>
      </w:pPr>
      <w:r>
        <w:rPr>
          <w:spacing w:val="-3"/>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Heading4"/>
        <w:spacing w:line="273" w:lineRule="auto" w:before="127"/>
        <w:ind w:right="982" w:firstLine="437"/>
        <w:jc w:val="left"/>
      </w:pPr>
      <w:r>
        <w:rPr>
          <w:spacing w:val="-3"/>
        </w:rPr>
        <w:t>在按照审计准则执行审计工作的过程中，我们运用职业判断，并保持职业怀疑。同时，我们也执行以</w:t>
      </w:r>
      <w:r>
        <w:rPr>
          <w:w w:val="100"/>
        </w:rPr>
        <w:t> </w:t>
      </w:r>
      <w:r>
        <w:rPr/>
        <w:t>下工作：</w:t>
      </w:r>
    </w:p>
    <w:p>
      <w:pPr>
        <w:pStyle w:val="Heading4"/>
        <w:spacing w:line="266" w:lineRule="auto" w:before="127"/>
        <w:ind w:right="982" w:firstLine="437"/>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4"/>
        <w:spacing w:line="240" w:lineRule="auto" w:before="134"/>
        <w:ind w:left="590" w:right="98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Heading4"/>
        <w:spacing w:line="240" w:lineRule="auto" w:before="21"/>
        <w:ind w:right="982"/>
        <w:jc w:val="left"/>
      </w:pPr>
      <w:r>
        <w:rPr/>
        <w:t>见。</w:t>
      </w:r>
    </w:p>
    <w:p>
      <w:pPr>
        <w:pStyle w:val="Heading4"/>
        <w:spacing w:line="240" w:lineRule="auto" w:before="157"/>
        <w:ind w:left="590" w:right="98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240" w:lineRule="auto" w:before="141"/>
        <w:ind w:left="590" w:right="982"/>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）对管理层使用持续经营假设的恰当性得出结论。同时，根据获取的审计证据，就可能导致对数</w:t>
      </w:r>
    </w:p>
    <w:p>
      <w:pPr>
        <w:pStyle w:val="Heading4"/>
        <w:spacing w:line="273" w:lineRule="auto" w:before="21"/>
        <w:ind w:right="1105"/>
        <w:jc w:val="both"/>
      </w:pPr>
      <w:r>
        <w:rPr>
          <w:spacing w:val="-2"/>
        </w:rPr>
        <w:t>字认证公司的持续经营能力产生重大疑虑的事项或情况是否存在重大不确定性得出结论。如果我们得出结</w:t>
      </w:r>
      <w:r>
        <w:rPr>
          <w:spacing w:val="-42"/>
        </w:rPr>
        <w:t> </w:t>
      </w:r>
      <w:r>
        <w:rPr>
          <w:spacing w:val="-42"/>
        </w:rPr>
      </w:r>
      <w:r>
        <w:rPr>
          <w:spacing w:val="-2"/>
        </w:rPr>
        <w:t>论认为存在重大不确定性，审计准则要求我们在审计报告中提请报表使用者注意财务报表中的相关披露；</w:t>
      </w:r>
      <w:r>
        <w:rPr>
          <w:spacing w:val="-21"/>
        </w:rPr>
        <w:t> </w:t>
      </w:r>
      <w:r>
        <w:rPr>
          <w:spacing w:val="-21"/>
        </w:rPr>
      </w:r>
      <w:r>
        <w:rPr>
          <w:spacing w:val="-2"/>
        </w:rPr>
        <w:t>如果披露不充分，我们应当发表非无保留意见。我们的结论基于截至审计报告日可获得的信息。然而，未</w:t>
      </w:r>
      <w:r>
        <w:rPr>
          <w:spacing w:val="-47"/>
        </w:rPr>
        <w:t> </w:t>
      </w:r>
      <w:r>
        <w:rPr>
          <w:spacing w:val="-47"/>
        </w:rPr>
      </w:r>
      <w:r>
        <w:rPr/>
        <w:t>来的事项或情况可能导致数字认证公司不能持续经营。</w:t>
      </w:r>
    </w:p>
    <w:p>
      <w:pPr>
        <w:pStyle w:val="Heading4"/>
        <w:spacing w:line="256" w:lineRule="auto" w:before="127"/>
        <w:ind w:right="1129" w:firstLine="437"/>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r>
        <w:rPr>
          <w:w w:val="100"/>
        </w:rPr>
        <w:t> </w:t>
      </w:r>
      <w:r>
        <w:rPr/>
        <w:t>和事项。</w:t>
      </w:r>
    </w:p>
    <w:p>
      <w:pPr>
        <w:pStyle w:val="Heading4"/>
        <w:spacing w:line="256" w:lineRule="auto" w:before="142"/>
        <w:ind w:right="1129" w:firstLine="437"/>
        <w:jc w:val="both"/>
      </w:pPr>
      <w:r>
        <w:rPr/>
        <w:t>（</w:t>
      </w:r>
      <w:r>
        <w:rPr>
          <w:rFonts w:ascii="Times New Roman" w:hAnsi="Times New Roman" w:cs="Times New Roman" w:eastAsia="Times New Roman" w:hint="default"/>
        </w:rPr>
        <w:t>6</w:t>
      </w:r>
      <w:r>
        <w:rPr/>
        <w:t>）就数字认证公司中实体或业务活动的财务信息获取充分、适当的审计证据，以对财务报表发表</w:t>
      </w:r>
      <w:r>
        <w:rPr>
          <w:w w:val="100"/>
        </w:rPr>
        <w:t> </w:t>
      </w:r>
      <w:r>
        <w:rPr/>
        <w:t>意见。我们负责指导、监督和执行集团审计，并对审计意见承担全部责任。</w:t>
      </w:r>
    </w:p>
    <w:p>
      <w:pPr>
        <w:pStyle w:val="Heading4"/>
        <w:spacing w:line="273" w:lineRule="auto" w:before="142"/>
        <w:ind w:right="1126" w:firstLine="437"/>
        <w:jc w:val="both"/>
      </w:pPr>
      <w:r>
        <w:rPr>
          <w:spacing w:val="-3"/>
        </w:rPr>
        <w:t>我们与治理层就计划的审计范围、时间安排和重大审计发现等事项进行沟通，包括沟通我们在审计中</w:t>
      </w:r>
      <w:r>
        <w:rPr>
          <w:w w:val="100"/>
        </w:rPr>
        <w:t> </w:t>
      </w:r>
      <w:r>
        <w:rPr/>
        <w:t>识别出的值得关注的内部控制缺陷。</w:t>
      </w:r>
    </w:p>
    <w:p>
      <w:pPr>
        <w:pStyle w:val="Heading4"/>
        <w:spacing w:line="273" w:lineRule="auto" w:before="127"/>
        <w:ind w:right="1126" w:firstLine="437"/>
        <w:jc w:val="both"/>
      </w:pPr>
      <w:r>
        <w:rPr>
          <w:spacing w:val="-3"/>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Heading4"/>
        <w:spacing w:line="273" w:lineRule="auto" w:before="127"/>
        <w:ind w:right="1126" w:firstLine="437"/>
        <w:jc w:val="both"/>
      </w:pPr>
      <w:r>
        <w:rPr>
          <w:spacing w:val="-3"/>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507" w:type="dxa"/>
        <w:tblLayout w:type="fixed"/>
        <w:tblCellMar>
          <w:top w:w="0" w:type="dxa"/>
          <w:left w:w="0" w:type="dxa"/>
          <w:bottom w:w="0" w:type="dxa"/>
          <w:right w:w="0" w:type="dxa"/>
        </w:tblCellMar>
        <w:tblLook w:val="01E0"/>
      </w:tblPr>
      <w:tblGrid>
        <w:gridCol w:w="3468"/>
        <w:gridCol w:w="3259"/>
      </w:tblGrid>
      <w:tr>
        <w:trPr>
          <w:trHeight w:val="523" w:hRule="exact"/>
        </w:trPr>
        <w:tc>
          <w:tcPr>
            <w:tcW w:w="346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3259" w:type="dxa"/>
            <w:tcBorders>
              <w:top w:val="nil" w:sz="6" w:space="0" w:color="auto"/>
              <w:left w:val="nil" w:sz="6" w:space="0" w:color="auto"/>
              <w:bottom w:val="nil" w:sz="6" w:space="0" w:color="auto"/>
              <w:right w:val="nil" w:sz="6" w:space="0" w:color="auto"/>
            </w:tcBorders>
          </w:tcPr>
          <w:p>
            <w:pPr>
              <w:pStyle w:val="TableParagraph"/>
              <w:spacing w:line="211" w:lineRule="exact"/>
              <w:ind w:left="1585"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37"/>
              <w:ind w:left="1585"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bl>
    <w:p>
      <w:pPr>
        <w:spacing w:after="0" w:line="240" w:lineRule="auto"/>
        <w:jc w:val="left"/>
        <w:rPr>
          <w:rFonts w:ascii="宋体" w:hAnsi="宋体" w:cs="宋体" w:eastAsia="宋体" w:hint="default"/>
          <w:sz w:val="21"/>
          <w:szCs w:val="21"/>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tbl>
      <w:tblPr>
        <w:tblW w:w="0" w:type="auto"/>
        <w:jc w:val="left"/>
        <w:tblInd w:w="507" w:type="dxa"/>
        <w:tblLayout w:type="fixed"/>
        <w:tblCellMar>
          <w:top w:w="0" w:type="dxa"/>
          <w:left w:w="0" w:type="dxa"/>
          <w:bottom w:w="0" w:type="dxa"/>
          <w:right w:w="0" w:type="dxa"/>
        </w:tblCellMar>
        <w:tblLook w:val="01E0"/>
      </w:tblPr>
      <w:tblGrid>
        <w:gridCol w:w="2786"/>
        <w:gridCol w:w="4191"/>
      </w:tblGrid>
      <w:tr>
        <w:trPr>
          <w:trHeight w:val="583" w:hRule="exact"/>
        </w:trPr>
        <w:tc>
          <w:tcPr>
            <w:tcW w:w="2786" w:type="dxa"/>
            <w:tcBorders>
              <w:top w:val="nil" w:sz="6" w:space="0" w:color="auto"/>
              <w:left w:val="nil" w:sz="6" w:space="0" w:color="auto"/>
              <w:bottom w:val="nil" w:sz="6" w:space="0" w:color="auto"/>
              <w:right w:val="nil" w:sz="6" w:space="0" w:color="auto"/>
            </w:tcBorders>
          </w:tcPr>
          <w:p>
            <w:pPr/>
          </w:p>
        </w:tc>
        <w:tc>
          <w:tcPr>
            <w:tcW w:w="4191" w:type="dxa"/>
            <w:tcBorders>
              <w:top w:val="nil" w:sz="6" w:space="0" w:color="auto"/>
              <w:left w:val="nil" w:sz="6" w:space="0" w:color="auto"/>
              <w:bottom w:val="nil" w:sz="6" w:space="0" w:color="auto"/>
              <w:right w:val="nil" w:sz="6" w:space="0" w:color="auto"/>
            </w:tcBorders>
          </w:tcPr>
          <w:p>
            <w:pPr>
              <w:pStyle w:val="TableParagraph"/>
              <w:spacing w:line="211" w:lineRule="exact"/>
              <w:ind w:left="2267"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95"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76" w:right="0"/>
              <w:jc w:val="left"/>
              <w:rPr>
                <w:rFonts w:ascii="宋体" w:hAnsi="宋体" w:cs="宋体" w:eastAsia="宋体" w:hint="default"/>
                <w:sz w:val="21"/>
                <w:szCs w:val="21"/>
              </w:rPr>
            </w:pPr>
            <w:r>
              <w:rPr>
                <w:rFonts w:ascii="宋体" w:hAnsi="宋体" w:cs="宋体" w:eastAsia="宋体" w:hint="default"/>
                <w:sz w:val="21"/>
                <w:szCs w:val="21"/>
              </w:rPr>
              <w:t>二Ｏ一九年三月二十一日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982"/>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编制单位：北京数字认证股份有限公司</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675,685,333.13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482,912,497.52</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178,957,338.68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142,573,415.38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178,589,035.30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141,573,415.38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33,237,919.75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44,131,611.30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22,880,774.49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24,068,691.85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124,314,909.58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72,934,934.30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8,089,176.68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104,427,727.29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1,043,165,452.31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871,048,877.64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16,418,491.64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11,153,905.81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21,147,473.93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16,311,060.43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9,908,134.61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5,178,985.97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253,404.99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33,565,663.14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26,959,233.22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82,242,887.18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60,297,185.43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1,125,408,339.49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931,346,063.07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76,764,889.05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301,962,290.50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193,632,423.20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85,904,845.56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25,512,026.50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35,473,808.56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8,235,995.87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5,379,440.97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499,834,365.26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372,304,055.97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13,612,332.09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13,612,332.09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513,091,351.74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385,916,388.06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206,686,143.36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242,254,231.31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24,727,641.08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253,479,868.97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198,447,802.62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612,316,987.75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545,429,675.01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612,316,987.75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545,429,675.01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1,125,408,339.49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931,346,063.07</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before="44"/>
        <w:ind w:left="0" w:right="1223"/>
        <w:jc w:val="right"/>
      </w:pPr>
      <w:r>
        <w:rPr/>
        <w:t>法定代表人：詹榜华</w:t>
        <w:tab/>
      </w:r>
      <w:r>
        <w:rPr>
          <w:spacing w:val="-1"/>
        </w:rPr>
        <w:t>主管会计工作负责人：林雪焰</w:t>
        <w:tab/>
      </w:r>
      <w:r>
        <w:rPr/>
        <w:t>会计机构负责人：高青山</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494,611,466.53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389,820,366.87</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145,570,300.25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132,338,695.76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145,570,300.25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132,338,695.76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3,354,543.37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9,919,481.62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52,619,181.06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22,452,139.47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50,265,342.11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50,451,312.87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746,420,833.32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704,981,996.59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64,186,460.94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13,404,218.94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10,142,604.28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4,410,167.90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4,374,077.04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30,659,119.97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26,119,115.59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113,326,667.75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61,329,796.91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859,747,501.07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766,311,793.50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65,295,525.57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75,758,443.50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147,097,237.24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101,965,469.87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59,867,196.53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45,091,599.59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20,117,024.14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31,790,674.26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7,234,760.27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3,833,790.00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299,611,743.75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258,439,977.22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11,196,700.57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13,612,332.09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11,196,700.57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13,612,332.09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310,808,444.32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272,052,309.31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206,700,460.52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242,254,231.31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24,727,641.08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190,087,620.81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147,277,611.80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548,939,056.75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494,259,484.19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859,747,501.07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766,311,793.50</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667,720,172.71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519,848,359.34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667,720,172.71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519,848,359.34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1"/>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587,439,495.06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453,266,146.71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276,330,853.28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217,352,457.39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1"/>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4,047,660.22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2,993,260.00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102,619,143.46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83,571,357.58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107,257,821.86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86,633,798.50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83,958,490.28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53,683,464.64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-2,804,615.10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-3,409,131.34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3,156,575.09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3,667,165.02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16,030,141.06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12,440,939.94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14,176,124.24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13,748,053.97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4,471,616.70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15,865,879.85</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-2,167,326.22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-552,634.19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-21,846.96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98,912,871.45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96,174,299.49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98,912,871.45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96,124,299.49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12,457,470.76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13,011,646.37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83,112,653.12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83,112,653.12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84,245,509.94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-1,132,856.82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83,112,653.12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86,455,400.69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84,245,509.94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-1,132,856.82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0.7020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0.7205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0.7020</w:t>
            </w:r>
          </w:p>
        </w:tc>
      </w:tr>
    </w:tbl>
    <w:p>
      <w:pPr>
        <w:pStyle w:val="BodyText"/>
        <w:tabs>
          <w:tab w:pos="3578" w:val="left" w:leader="none"/>
          <w:tab w:pos="7721" w:val="left" w:leader="none"/>
        </w:tabs>
        <w:spacing w:line="624" w:lineRule="auto" w:before="49"/>
        <w:ind w:right="1223"/>
        <w:jc w:val="left"/>
      </w:pPr>
      <w:r>
        <w:rPr/>
        <w:t>本期发生同一控制下企业合并的，被合并方在合并前实现的净利润为：元，上期被合并方实现的净利润为：元。 法定代表人：詹榜华</w:t>
        <w:tab/>
      </w:r>
      <w:r>
        <w:rPr>
          <w:spacing w:val="-1"/>
        </w:rPr>
        <w:t>主管会计工作负责人：林雪焰</w:t>
        <w:tab/>
      </w:r>
      <w:r>
        <w:rPr/>
        <w:t>会计机构负责人：高青山</w:t>
      </w:r>
    </w:p>
    <w:p>
      <w:pPr>
        <w:pStyle w:val="Heading3"/>
        <w:spacing w:line="240" w:lineRule="auto" w:before="68"/>
        <w:ind w:right="98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after="0" w:line="240" w:lineRule="auto"/>
        <w:jc w:val="right"/>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430,913,044.93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356,024,952.00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141,661,126.75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129,366,540.38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3,454,296.84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2,506,950.30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77,285,027.12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62,145,931.03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74,425,739.94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65,471,182.84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55,456,960.69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36,934,495.15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-2,199,692.89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-3,120,315.43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2,458,050.55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3,336,603.20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13,677,448.30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10,354,487.48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12,251,001.95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12,346,608.07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5,705,476.02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2,976,033.57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-3,259,768.27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-21,846.96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85,093,069.01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67,666,474.93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85,093,069.01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67,666,474.93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10,859,725.66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11,407,362.92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74,233,343.35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56,259,112.01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74,233,343.35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56,259,112.01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74,233,343.35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56,259,112.01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0" w:right="0"/>
              <w:jc w:val="left"/>
              <w:rPr>
                <w:rFonts w:ascii="Times New Roman" w:hAnsi="Times New Roman" w:cs="Times New Roman" w:eastAsia="Times New Roman" w:hint="default"/>
                <w:sz w:val="18"/>
                <w:szCs w:val="18"/>
              </w:rPr>
            </w:pPr>
            <w:r>
              <w:rPr>
                <w:rFonts w:ascii="Times New Roman"/>
                <w:sz w:val="18"/>
              </w:rPr>
              <w:t>793,118,294.71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631,383,385.89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8,225,571.21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8,277,640.54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15,282,358.97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13,841,893.21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816,626,224.89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653,502,919.64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276,914,149.58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212,363,608.75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259,037,963.51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195,943,642.23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66,973,355.23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58,428,430.19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85,737,694.55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71,443,887.15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688,663,162.87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538,179,568.32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127,963,062.02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115,323,351.32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6,365,244.29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2,976,033.57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-179,556.29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406,384,444.29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52,798,477.28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19,040,115.88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7,594,081.31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322,040,115.88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157,594,081.31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84,344,328.41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-104,795,604.03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1,773,910.00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1,773,910.00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1,773,910.00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-22,226,090.00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188,307,390.43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-11,698,342.71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465,844,561.63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477,542,904.34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654,151,952.06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465,844,561.63</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493,758,185.45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404,102,272.91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6,718,496.36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6,932,394.65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12,073,630.91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14,919,573.38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512,550,312.72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425,954,240.94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120,304,610.04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124,783,628.51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174,795,791.37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137,078,523.73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57,187,943.67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41,520,949.08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88,448,488.96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58,320,476.78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440,736,834.04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361,703,578.10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71,813,478.68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64,250,662.84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8,965,244.29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2,976,033.57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378,984,444.29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52,978,033.57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9,736,462.50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2,467,480.34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322,736,462.50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152,467,480.34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56,247,981.79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-99,489,446.77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104,061,460.47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-59,238,783.93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378,041,842.24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437,280,626.17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482,103,302.71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378,041,842.24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24,727,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641.08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198,447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,802.62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545,429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,675.01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24,727,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641.08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198,447</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,802.62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545,429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,675.01</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-35,568,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087.95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55,032,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066.35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66,887,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312.74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 w:right="0"/>
              <w:jc w:val="left"/>
              <w:rPr>
                <w:rFonts w:ascii="Times New Roman" w:hAnsi="Times New Roman" w:cs="Times New Roman" w:eastAsia="Times New Roman" w:hint="default"/>
                <w:sz w:val="18"/>
                <w:szCs w:val="18"/>
              </w:rPr>
            </w:pPr>
            <w:r>
              <w:rPr>
                <w:rFonts w:ascii="Times New Roman"/>
                <w:sz w:val="18"/>
              </w:rPr>
              <w:t>86,455,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400.69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86,455,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400.69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4,431,9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4,431,9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12.05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4,431,9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4,431,9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12.05</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 w:right="0"/>
              <w:jc w:val="left"/>
              <w:rPr>
                <w:rFonts w:ascii="Times New Roman" w:hAnsi="Times New Roman" w:cs="Times New Roman" w:eastAsia="Times New Roman" w:hint="default"/>
                <w:sz w:val="18"/>
                <w:szCs w:val="18"/>
              </w:rPr>
            </w:pPr>
            <w:r>
              <w:rPr>
                <w:rFonts w:ascii="Times New Roman"/>
                <w:sz w:val="18"/>
              </w:rPr>
              <w:t>7,423,3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-31,423,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-24,000,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5" w:right="0"/>
              <w:jc w:val="left"/>
              <w:rPr>
                <w:rFonts w:ascii="Times New Roman" w:hAnsi="Times New Roman" w:cs="Times New Roman" w:eastAsia="Times New Roman" w:hint="default"/>
                <w:sz w:val="18"/>
                <w:szCs w:val="18"/>
              </w:rPr>
            </w:pPr>
            <w:r>
              <w:rPr>
                <w:rFonts w:ascii="Times New Roman"/>
                <w:sz w:val="18"/>
              </w:rPr>
              <w:t>34.34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9" w:right="0"/>
              <w:jc w:val="left"/>
              <w:rPr>
                <w:rFonts w:ascii="Times New Roman" w:hAnsi="Times New Roman" w:cs="Times New Roman" w:eastAsia="Times New Roman" w:hint="default"/>
                <w:sz w:val="18"/>
                <w:szCs w:val="18"/>
              </w:rPr>
            </w:pPr>
            <w:r>
              <w:rPr>
                <w:rFonts w:ascii="Times New Roman"/>
                <w:sz w:val="18"/>
              </w:rPr>
              <w:t>334.34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206,686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32,150,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975.42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253,479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,868.97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612,316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,987.75</w:t>
            </w:r>
          </w:p>
        </w:tc>
      </w:tr>
    </w:tbl>
    <w:p>
      <w:pPr>
        <w:pStyle w:val="BodyText"/>
        <w:spacing w:line="240" w:lineRule="auto" w:before="49"/>
        <w:ind w:right="982"/>
        <w:jc w:val="left"/>
      </w:pPr>
      <w:r>
        <w:rPr/>
        <w:t>上期金额</w:t>
      </w:r>
    </w:p>
    <w:p>
      <w:pPr>
        <w:pStyle w:val="BodyText"/>
        <w:spacing w:line="240" w:lineRule="auto" w:before="119"/>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5"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19,101,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729.88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143,828</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,203.88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7.55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484,649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,157.52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729.88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143,828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,203.88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484,649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,157.52</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54,619,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598.74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535,007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60,780,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517.49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84,245,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509.94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856.82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83,112,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653.12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64.37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64.37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64.37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64.37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-29,625,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911.20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11.20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24,727,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641.08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198,447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,802.62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545,429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,675.01</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本期金额</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24,727,64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147,277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494,259,4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84.19</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24,727,64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147,277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494,259,4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84.19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-35,553,7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7,423,334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42,810,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009.01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54,679,57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2.56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343.35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74,233,34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3.35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4,446,229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4,446,229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4,446,229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4,446,229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7,423,334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-31,423,</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334.34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7,423,334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34.34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206,700,4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60.52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32,150,97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190,087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,620.81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548,939,0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56.75</w:t>
            </w:r>
          </w:p>
        </w:tc>
      </w:tr>
    </w:tbl>
    <w:p>
      <w:pPr>
        <w:pStyle w:val="BodyText"/>
        <w:spacing w:line="240" w:lineRule="auto" w:before="49"/>
        <w:ind w:right="982"/>
        <w:jc w:val="left"/>
      </w:pPr>
      <w:r>
        <w:rPr/>
        <w:t>上期金额</w:t>
      </w:r>
    </w:p>
    <w:p>
      <w:pPr>
        <w:pStyle w:val="BodyText"/>
        <w:spacing w:line="240" w:lineRule="auto" w:before="117"/>
        <w:ind w:left="0" w:right="1131"/>
        <w:jc w:val="right"/>
      </w:pPr>
      <w:r>
        <w:rPr/>
        <w:t>单位：元</w:t>
      </w:r>
    </w:p>
    <w:p>
      <w:pPr>
        <w:spacing w:after="0" w:line="240" w:lineRule="auto"/>
        <w:jc w:val="right"/>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19,101,72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123,194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,410.99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464,550,3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72.18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19,101,72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123,194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,410.99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464,550,3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72.18</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5,625,911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24,083,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200.81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29,709,11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112.01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56,259,11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2.01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5,625,911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-29,625,</w:t>
            </w:r>
          </w:p>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911.20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5,625,911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11.20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24,727,64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147,277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494,259,4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84.19</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rFonts w:ascii="Times New Roman" w:hAnsi="Times New Roman" w:cs="Times New Roman" w:eastAsia="Times New Roman" w:hint="default"/>
        </w:rPr>
        <w:t>1</w:t>
      </w:r>
      <w:r>
        <w:rPr/>
        <w:t>、公司概况</w:t>
      </w:r>
    </w:p>
    <w:p>
      <w:pPr>
        <w:spacing w:line="240" w:lineRule="auto" w:before="13"/>
        <w:rPr>
          <w:rFonts w:ascii="宋体" w:hAnsi="宋体" w:cs="宋体" w:eastAsia="宋体" w:hint="default"/>
          <w:sz w:val="13"/>
          <w:szCs w:val="13"/>
        </w:rPr>
      </w:pPr>
    </w:p>
    <w:p>
      <w:pPr>
        <w:pStyle w:val="BodyText"/>
        <w:spacing w:line="240" w:lineRule="auto"/>
        <w:ind w:left="513" w:right="982"/>
        <w:jc w:val="left"/>
      </w:pPr>
      <w:r>
        <w:rPr/>
        <w:t>北京数字认证股份有限公司是经北京市工商行政管理局核准</w:t>
      </w:r>
      <w:r>
        <w:rPr>
          <w:spacing w:val="-82"/>
        </w:rPr>
        <w:t>，</w:t>
      </w:r>
      <w:r>
        <w:rPr/>
        <w:t>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日由首都</w:t>
      </w:r>
      <w:r>
        <w:rPr>
          <w:spacing w:val="-3"/>
        </w:rPr>
        <w:t>信</w:t>
      </w:r>
      <w:r>
        <w:rPr/>
        <w:t>息发展股份有限公司与上海</w:t>
      </w:r>
    </w:p>
    <w:p>
      <w:pPr>
        <w:pStyle w:val="BodyText"/>
        <w:spacing w:line="300" w:lineRule="auto" w:before="63"/>
        <w:ind w:right="1131"/>
        <w:jc w:val="both"/>
      </w:pPr>
      <w:r>
        <w:rPr/>
        <w:t>市电子商务安全证书管理中心有限公司共同在北京市投资设立。公司设立时注册资本为人民币</w:t>
      </w:r>
      <w:r>
        <w:rPr>
          <w:spacing w:val="-6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8"/>
        </w:rPr>
        <w:t> </w:t>
      </w:r>
      <w:r>
        <w:rPr>
          <w:spacing w:val="-4"/>
        </w:rPr>
        <w:t>万元，其中首都信息发展</w:t>
      </w:r>
      <w:r>
        <w:rPr/>
        <w:t> 股份有限公司出资额为</w:t>
      </w:r>
      <w:r>
        <w:rPr>
          <w:spacing w:val="-50"/>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t>万元，占</w:t>
      </w:r>
      <w:r>
        <w:rPr>
          <w:spacing w:val="-50"/>
        </w:rPr>
        <w:t> </w:t>
      </w:r>
      <w:r>
        <w:rPr>
          <w:rFonts w:ascii="Times New Roman" w:hAnsi="Times New Roman" w:cs="Times New Roman" w:eastAsia="Times New Roman" w:hint="default"/>
        </w:rPr>
        <w:t>90%</w:t>
      </w:r>
      <w:r>
        <w:rPr/>
        <w:t>，上海市电子商务安全证书管理中心有限公司出资额为</w:t>
      </w:r>
      <w:r>
        <w:rPr>
          <w:spacing w:val="-50"/>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万元，占</w:t>
      </w:r>
      <w:r>
        <w:rPr>
          <w:spacing w:val="-51"/>
        </w:rPr>
        <w:t> </w:t>
      </w:r>
      <w:r>
        <w:rPr>
          <w:rFonts w:ascii="Times New Roman" w:hAnsi="Times New Roman" w:cs="Times New Roman" w:eastAsia="Times New Roman" w:hint="default"/>
        </w:rPr>
        <w:t>10%</w:t>
      </w:r>
      <w:r>
        <w:rPr/>
        <w:t>。上述出 资业经北京永拓会计师事务所有限责任公司审验并出具京永验字（</w:t>
      </w:r>
      <w:r>
        <w:rPr>
          <w:rFonts w:ascii="Times New Roman" w:hAnsi="Times New Roman" w:cs="Times New Roman" w:eastAsia="Times New Roman" w:hint="default"/>
        </w:rPr>
        <w:t>2001</w:t>
      </w:r>
      <w:r>
        <w:rPr/>
        <w:t>）第</w:t>
      </w:r>
      <w:r>
        <w:rPr>
          <w:spacing w:val="-53"/>
        </w:rPr>
        <w:t> </w:t>
      </w:r>
      <w:r>
        <w:rPr>
          <w:rFonts w:ascii="Times New Roman" w:hAnsi="Times New Roman" w:cs="Times New Roman" w:eastAsia="Times New Roman" w:hint="default"/>
        </w:rPr>
        <w:t>015</w:t>
      </w:r>
      <w:r>
        <w:rPr>
          <w:rFonts w:ascii="Times New Roman" w:hAnsi="Times New Roman" w:cs="Times New Roman" w:eastAsia="Times New Roman" w:hint="default"/>
          <w:spacing w:val="-7"/>
        </w:rPr>
        <w:t> </w:t>
      </w:r>
      <w:r>
        <w:rPr>
          <w:spacing w:val="-3"/>
        </w:rPr>
        <w:t>号验资报告。本公司于</w:t>
      </w:r>
      <w:r>
        <w:rPr>
          <w:spacing w:val="-5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日在</w:t>
      </w:r>
    </w:p>
    <w:p>
      <w:pPr>
        <w:pStyle w:val="BodyText"/>
        <w:spacing w:line="240" w:lineRule="auto" w:before="13"/>
        <w:ind w:right="0"/>
        <w:jc w:val="both"/>
      </w:pPr>
      <w:r>
        <w:rPr/>
        <w:t>北京市工商行政管理局办理工商登记，领取了注册号为</w:t>
      </w:r>
      <w:r>
        <w:rPr>
          <w:spacing w:val="-55"/>
        </w:rPr>
        <w:t> </w:t>
      </w:r>
      <w:r>
        <w:rPr>
          <w:rFonts w:ascii="Times New Roman" w:hAnsi="Times New Roman" w:cs="Times New Roman" w:eastAsia="Times New Roman" w:hint="default"/>
        </w:rPr>
        <w:t>1100001196650</w:t>
      </w:r>
      <w:r>
        <w:rPr>
          <w:rFonts w:ascii="Times New Roman" w:hAnsi="Times New Roman" w:cs="Times New Roman" w:eastAsia="Times New Roman" w:hint="default"/>
          <w:spacing w:val="-7"/>
        </w:rPr>
        <w:t> </w:t>
      </w:r>
      <w:r>
        <w:rPr/>
        <w:t>的企业法人营业执照。</w:t>
      </w:r>
    </w:p>
    <w:p>
      <w:pPr>
        <w:pStyle w:val="BodyText"/>
        <w:spacing w:line="240" w:lineRule="auto" w:before="103"/>
        <w:ind w:left="513" w:right="982"/>
        <w:jc w:val="left"/>
      </w:pPr>
      <w:r>
        <w:rPr>
          <w:rFonts w:ascii="Times New Roman" w:hAnsi="Times New Roman" w:cs="Times New Roman" w:eastAsia="Times New Roman" w:hint="default"/>
        </w:rPr>
        <w:t>2004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日，首都信息发展股份有限公司和北京市国有资产经营有限责任公司签订股权转让协议，根据该协议，</w:t>
      </w:r>
    </w:p>
    <w:p>
      <w:pPr>
        <w:pStyle w:val="BodyText"/>
        <w:spacing w:line="302" w:lineRule="auto" w:before="63"/>
        <w:ind w:right="1040"/>
        <w:jc w:val="both"/>
      </w:pPr>
      <w:r>
        <w:rPr/>
        <w:t>首都信息发展股份有限公司将其持有的</w:t>
      </w:r>
      <w:r>
        <w:rPr>
          <w:spacing w:val="-40"/>
        </w:rPr>
        <w:t> </w:t>
      </w:r>
      <w:r>
        <w:rPr>
          <w:rFonts w:ascii="Times New Roman" w:hAnsi="Times New Roman" w:cs="Times New Roman" w:eastAsia="Times New Roman" w:hint="default"/>
        </w:rPr>
        <w:t>250</w:t>
      </w:r>
      <w:r>
        <w:rPr>
          <w:rFonts w:ascii="Times New Roman" w:hAnsi="Times New Roman" w:cs="Times New Roman" w:eastAsia="Times New Roman" w:hint="default"/>
          <w:spacing w:val="5"/>
        </w:rPr>
        <w:t> </w:t>
      </w:r>
      <w:r>
        <w:rPr>
          <w:spacing w:val="-3"/>
        </w:rPr>
        <w:t>万元股份转让给北京市国有资产经营有限责任公司。转让后，北京市国有资产经</w:t>
      </w:r>
      <w:r>
        <w:rPr>
          <w:spacing w:val="-80"/>
        </w:rPr>
        <w:t> </w:t>
      </w:r>
      <w:r>
        <w:rPr>
          <w:spacing w:val="-80"/>
        </w:rPr>
      </w:r>
      <w:r>
        <w:rPr/>
        <w:t>营有限责任公司出资额为</w:t>
      </w:r>
      <w:r>
        <w:rPr>
          <w:spacing w:val="-33"/>
        </w:rPr>
        <w:t> </w:t>
      </w:r>
      <w:r>
        <w:rPr>
          <w:rFonts w:ascii="Times New Roman" w:hAnsi="Times New Roman" w:cs="Times New Roman" w:eastAsia="Times New Roman" w:hint="default"/>
        </w:rPr>
        <w:t>250</w:t>
      </w:r>
      <w:r>
        <w:rPr>
          <w:rFonts w:ascii="Times New Roman" w:hAnsi="Times New Roman" w:cs="Times New Roman" w:eastAsia="Times New Roman" w:hint="default"/>
          <w:spacing w:val="13"/>
        </w:rPr>
        <w:t> </w:t>
      </w:r>
      <w:r>
        <w:rPr/>
        <w:t>万元（占</w:t>
      </w:r>
      <w:r>
        <w:rPr>
          <w:spacing w:val="-33"/>
        </w:rPr>
        <w:t> </w:t>
      </w:r>
      <w:r>
        <w:rPr>
          <w:rFonts w:ascii="Times New Roman" w:hAnsi="Times New Roman" w:cs="Times New Roman" w:eastAsia="Times New Roman" w:hint="default"/>
          <w:spacing w:val="-5"/>
        </w:rPr>
        <w:t>50%</w:t>
      </w:r>
      <w:r>
        <w:rPr>
          <w:spacing w:val="-5"/>
        </w:rPr>
        <w:t>），首都信息发展股份有限公司出资额为</w:t>
      </w:r>
      <w:r>
        <w:rPr>
          <w:spacing w:val="-33"/>
        </w:rPr>
        <w:t> </w:t>
      </w:r>
      <w:r>
        <w:rPr>
          <w:rFonts w:ascii="Times New Roman" w:hAnsi="Times New Roman" w:cs="Times New Roman" w:eastAsia="Times New Roman" w:hint="default"/>
        </w:rPr>
        <w:t>200</w:t>
      </w:r>
      <w:r>
        <w:rPr>
          <w:rFonts w:ascii="Times New Roman" w:hAnsi="Times New Roman" w:cs="Times New Roman" w:eastAsia="Times New Roman" w:hint="default"/>
          <w:spacing w:val="13"/>
        </w:rPr>
        <w:t> </w:t>
      </w:r>
      <w:r>
        <w:rPr/>
        <w:t>万元（占</w:t>
      </w:r>
      <w:r>
        <w:rPr>
          <w:spacing w:val="-33"/>
        </w:rPr>
        <w:t> </w:t>
      </w:r>
      <w:r>
        <w:rPr>
          <w:rFonts w:ascii="Times New Roman" w:hAnsi="Times New Roman" w:cs="Times New Roman" w:eastAsia="Times New Roman" w:hint="default"/>
          <w:spacing w:val="-8"/>
        </w:rPr>
        <w:t>40%</w:t>
      </w:r>
      <w:r>
        <w:rPr>
          <w:spacing w:val="-8"/>
        </w:rPr>
        <w:t>），上海市电子商务</w:t>
      </w:r>
      <w:r>
        <w:rPr>
          <w:spacing w:val="-85"/>
        </w:rPr>
        <w:t> </w:t>
      </w:r>
      <w:r>
        <w:rPr>
          <w:spacing w:val="-85"/>
        </w:rPr>
      </w:r>
      <w:r>
        <w:rPr/>
        <w:t>安全证书管理中心有限公司出资额为</w:t>
      </w:r>
      <w:r>
        <w:rPr>
          <w:spacing w:val="-37"/>
        </w:rPr>
        <w:t> </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8"/>
        </w:rPr>
        <w:t> </w:t>
      </w:r>
      <w:r>
        <w:rPr/>
        <w:t>万元（占</w:t>
      </w:r>
      <w:r>
        <w:rPr>
          <w:spacing w:val="-38"/>
        </w:rPr>
        <w:t> </w:t>
      </w:r>
      <w:r>
        <w:rPr>
          <w:rFonts w:ascii="Times New Roman" w:hAnsi="Times New Roman" w:cs="Times New Roman" w:eastAsia="Times New Roman" w:hint="default"/>
          <w:spacing w:val="-11"/>
        </w:rPr>
        <w:t>10%</w:t>
      </w:r>
      <w:r>
        <w:rPr>
          <w:spacing w:val="-11"/>
        </w:rPr>
        <w:t>）。</w:t>
      </w:r>
      <w:r>
        <w:rPr>
          <w:rFonts w:ascii="Times New Roman" w:hAnsi="Times New Roman" w:cs="Times New Roman" w:eastAsia="Times New Roman" w:hint="default"/>
          <w:spacing w:val="-11"/>
        </w:rPr>
        <w:t>2004</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1"/>
        </w:rPr>
        <w:t>日，本公司召开的第四次股东会一致通过由北京市</w:t>
      </w:r>
      <w:r>
        <w:rPr>
          <w:spacing w:val="-85"/>
        </w:rPr>
        <w:t> </w:t>
      </w:r>
      <w:r>
        <w:rPr>
          <w:spacing w:val="-85"/>
        </w:rPr>
      </w:r>
      <w:r>
        <w:rPr>
          <w:spacing w:val="-2"/>
        </w:rPr>
        <w:t>国有资产经营有限责任公司、首都信息发展股份有限公司、上海市电子商务安全证书管理中心有限公司组成新的股东会，并</w:t>
      </w:r>
      <w:r>
        <w:rPr>
          <w:spacing w:val="-63"/>
        </w:rPr>
        <w:t> </w:t>
      </w:r>
      <w:r>
        <w:rPr>
          <w:spacing w:val="-63"/>
        </w:rPr>
      </w:r>
      <w:r>
        <w:rPr/>
        <w:t>同意将本公司的注册资本增加</w:t>
      </w:r>
      <w:r>
        <w:rPr>
          <w:spacing w:val="-4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t>万元，即由人民币</w:t>
      </w:r>
      <w:r>
        <w:rPr>
          <w:spacing w:val="-46"/>
        </w:rPr>
        <w:t> </w:t>
      </w:r>
      <w:r>
        <w:rPr>
          <w:rFonts w:ascii="Times New Roman" w:hAnsi="Times New Roman" w:cs="Times New Roman" w:eastAsia="Times New Roman" w:hint="default"/>
        </w:rPr>
        <w:t>500 </w:t>
      </w:r>
      <w:r>
        <w:rPr/>
        <w:t>万元增至</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万元。增资后北京市国有资产经营有限责任公司 出资额为</w:t>
      </w:r>
      <w:r>
        <w:rPr>
          <w:spacing w:val="-3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万元（占</w:t>
      </w:r>
      <w:r>
        <w:rPr>
          <w:spacing w:val="-33"/>
        </w:rPr>
        <w:t> </w:t>
      </w:r>
      <w:r>
        <w:rPr>
          <w:rFonts w:ascii="Times New Roman" w:hAnsi="Times New Roman" w:cs="Times New Roman" w:eastAsia="Times New Roman" w:hint="default"/>
          <w:spacing w:val="-5"/>
        </w:rPr>
        <w:t>50%</w:t>
      </w:r>
      <w:r>
        <w:rPr>
          <w:spacing w:val="-5"/>
        </w:rPr>
        <w:t>），首都信息发展股份有限公司出资额为</w:t>
      </w:r>
      <w:r>
        <w:rPr>
          <w:spacing w:val="-32"/>
        </w:rPr>
        <w:t> </w:t>
      </w:r>
      <w:r>
        <w:rPr>
          <w:rFonts w:ascii="Times New Roman" w:hAnsi="Times New Roman" w:cs="Times New Roman" w:eastAsia="Times New Roman" w:hint="default"/>
        </w:rPr>
        <w:t>934</w:t>
      </w:r>
      <w:r>
        <w:rPr>
          <w:rFonts w:ascii="Times New Roman" w:hAnsi="Times New Roman" w:cs="Times New Roman" w:eastAsia="Times New Roman" w:hint="default"/>
          <w:spacing w:val="13"/>
        </w:rPr>
        <w:t> </w:t>
      </w:r>
      <w:r>
        <w:rPr/>
        <w:t>万元（占</w:t>
      </w:r>
      <w:r>
        <w:rPr>
          <w:spacing w:val="-33"/>
        </w:rPr>
        <w:t> </w:t>
      </w:r>
      <w:r>
        <w:rPr>
          <w:rFonts w:ascii="Times New Roman" w:hAnsi="Times New Roman" w:cs="Times New Roman" w:eastAsia="Times New Roman" w:hint="default"/>
          <w:spacing w:val="-5"/>
        </w:rPr>
        <w:t>46.70%</w:t>
      </w:r>
      <w:r>
        <w:rPr>
          <w:spacing w:val="-5"/>
        </w:rPr>
        <w:t>），上海市电子商务安全证书管</w:t>
      </w:r>
      <w:r>
        <w:rPr>
          <w:spacing w:val="-85"/>
        </w:rPr>
        <w:t> </w:t>
      </w:r>
      <w:r>
        <w:rPr>
          <w:spacing w:val="-85"/>
        </w:rPr>
      </w:r>
      <w:r>
        <w:rPr/>
        <w:t>理中心有限公司出资额为</w:t>
      </w:r>
      <w:r>
        <w:rPr>
          <w:spacing w:val="-43"/>
        </w:rPr>
        <w:t> </w:t>
      </w:r>
      <w:r>
        <w:rPr>
          <w:rFonts w:ascii="Times New Roman" w:hAnsi="Times New Roman" w:cs="Times New Roman" w:eastAsia="Times New Roman" w:hint="default"/>
        </w:rPr>
        <w:t>66</w:t>
      </w:r>
      <w:r>
        <w:rPr>
          <w:rFonts w:ascii="Times New Roman" w:hAnsi="Times New Roman" w:cs="Times New Roman" w:eastAsia="Times New Roman" w:hint="default"/>
          <w:spacing w:val="2"/>
        </w:rPr>
        <w:t> </w:t>
      </w:r>
      <w:r>
        <w:rPr>
          <w:spacing w:val="-7"/>
        </w:rPr>
        <w:t>万元（占</w:t>
      </w:r>
      <w:r>
        <w:rPr>
          <w:spacing w:val="-43"/>
        </w:rPr>
        <w:t> </w:t>
      </w:r>
      <w:r>
        <w:rPr>
          <w:rFonts w:ascii="Times New Roman" w:hAnsi="Times New Roman" w:cs="Times New Roman" w:eastAsia="Times New Roman" w:hint="default"/>
          <w:spacing w:val="-11"/>
        </w:rPr>
        <w:t>3.30%</w:t>
      </w:r>
      <w:r>
        <w:rPr>
          <w:spacing w:val="-11"/>
        </w:rPr>
        <w:t>）。</w:t>
      </w:r>
      <w:r>
        <w:rPr>
          <w:rFonts w:ascii="Times New Roman" w:hAnsi="Times New Roman" w:cs="Times New Roman" w:eastAsia="Times New Roman" w:hint="default"/>
          <w:spacing w:val="-11"/>
        </w:rPr>
        <w:t>2004</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rPr>
        <w:t>4 </w:t>
      </w:r>
      <w:r>
        <w:rPr/>
        <w:t>月</w:t>
      </w:r>
      <w:r>
        <w:rPr>
          <w:spacing w:val="-44"/>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2"/>
        </w:rPr>
        <w:t> </w:t>
      </w:r>
      <w:r>
        <w:rPr>
          <w:spacing w:val="-2"/>
        </w:rPr>
        <w:t>日，公司依据北京市商业银行出具的《交存入资资金报告单》</w:t>
      </w:r>
    </w:p>
    <w:p>
      <w:pPr>
        <w:pStyle w:val="BodyText"/>
        <w:spacing w:line="240" w:lineRule="auto" w:before="11"/>
        <w:ind w:right="0"/>
        <w:jc w:val="both"/>
        <w:rPr>
          <w:rFonts w:ascii="Times New Roman" w:hAnsi="Times New Roman" w:cs="Times New Roman" w:eastAsia="Times New Roman" w:hint="default"/>
        </w:rPr>
      </w:pPr>
      <w:r>
        <w:rPr/>
        <w:t>进行了入资确认，并取得北京市工商局出具的《企业入资核查</w:t>
      </w:r>
      <w:r>
        <w:rPr>
          <w:spacing w:val="1"/>
        </w:rPr>
        <w:t>情</w:t>
      </w:r>
      <w:r>
        <w:rPr/>
        <w:t>况</w:t>
      </w:r>
      <w:r>
        <w:rPr>
          <w:spacing w:val="-92"/>
        </w:rPr>
        <w:t>》</w:t>
      </w:r>
      <w:r>
        <w:rPr/>
        <w:t>，确认</w:t>
      </w:r>
      <w:r>
        <w:rPr>
          <w:spacing w:val="-2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19"/>
        </w:rPr>
        <w:t> </w:t>
      </w:r>
      <w:r>
        <w:rPr/>
        <w:t>万元出</w:t>
      </w:r>
      <w:r>
        <w:rPr>
          <w:spacing w:val="-3"/>
        </w:rPr>
        <w:t>资</w:t>
      </w:r>
      <w:r>
        <w:rPr/>
        <w:t>款已足额缴付。</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年</w:t>
      </w:r>
      <w:r>
        <w:rPr>
          <w:spacing w:val="-21"/>
        </w:rPr>
        <w:t> </w:t>
      </w: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月</w:t>
      </w:r>
      <w:r>
        <w:rPr>
          <w:spacing w:val="-21"/>
        </w:rPr>
        <w:t> </w:t>
      </w:r>
      <w:r>
        <w:rPr>
          <w:rFonts w:ascii="Times New Roman" w:hAnsi="Times New Roman" w:cs="Times New Roman" w:eastAsia="Times New Roman" w:hint="default"/>
          <w:spacing w:val="-2"/>
        </w:rPr>
        <w:t>27</w:t>
      </w:r>
      <w:r>
        <w:rPr>
          <w:rFonts w:ascii="Times New Roman" w:hAnsi="Times New Roman" w:cs="Times New Roman" w:eastAsia="Times New Roman" w:hint="default"/>
        </w:rPr>
      </w:r>
    </w:p>
    <w:p>
      <w:pPr>
        <w:pStyle w:val="BodyText"/>
        <w:spacing w:line="240" w:lineRule="auto" w:before="63"/>
        <w:ind w:right="0"/>
        <w:jc w:val="both"/>
      </w:pPr>
      <w:r>
        <w:rPr/>
        <w:t>日，本公司在北京市工商行政管理局办理了工商变更登记手续。</w:t>
      </w:r>
    </w:p>
    <w:p>
      <w:pPr>
        <w:pStyle w:val="BodyText"/>
        <w:spacing w:line="240" w:lineRule="auto" w:before="117"/>
        <w:ind w:left="513" w:right="982"/>
        <w:jc w:val="left"/>
      </w:pPr>
      <w:r>
        <w:rPr>
          <w:rFonts w:ascii="Times New Roman" w:hAnsi="Times New Roman" w:cs="Times New Roman" w:eastAsia="Times New Roman" w:hint="default"/>
        </w:rPr>
        <w:t>2005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日，本公司股东上海市电子商务安全证书管理中心有限公司更名为上海市数字证书认证中心有限公司。</w:t>
      </w:r>
    </w:p>
    <w:p>
      <w:pPr>
        <w:pStyle w:val="BodyText"/>
        <w:spacing w:line="240" w:lineRule="auto" w:before="101"/>
        <w:ind w:left="513" w:right="982"/>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日，本公司召开的第七次股东会一致通过增加注册资本</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3"/>
        </w:rPr>
        <w:t>万元，即由人民币</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万元增至</w:t>
      </w:r>
      <w:r>
        <w:rPr>
          <w:spacing w:val="-4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w:t>
      </w:r>
    </w:p>
    <w:p>
      <w:pPr>
        <w:pStyle w:val="BodyText"/>
        <w:spacing w:line="240" w:lineRule="auto" w:before="63"/>
        <w:ind w:right="0"/>
        <w:jc w:val="both"/>
        <w:rPr>
          <w:rFonts w:ascii="Times New Roman" w:hAnsi="Times New Roman" w:cs="Times New Roman" w:eastAsia="Times New Roman" w:hint="default"/>
        </w:rPr>
      </w:pPr>
      <w:r>
        <w:rPr>
          <w:spacing w:val="-3"/>
        </w:rPr>
        <w:t>元。其中，北京市国有资产经营有限责任公司以现金方式增资</w:t>
      </w:r>
      <w:r>
        <w:rPr>
          <w:spacing w:val="-47"/>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万元，首都信息发展股份有限公司以现金方式增资</w:t>
      </w:r>
      <w:r>
        <w:rPr>
          <w:spacing w:val="-47"/>
        </w:rPr>
        <w:t> </w:t>
      </w:r>
      <w:r>
        <w:rPr>
          <w:rFonts w:ascii="Times New Roman" w:hAnsi="Times New Roman" w:cs="Times New Roman" w:eastAsia="Times New Roman" w:hint="default"/>
        </w:rPr>
        <w:t>497.40</w:t>
      </w:r>
    </w:p>
    <w:p>
      <w:pPr>
        <w:pStyle w:val="BodyText"/>
        <w:spacing w:line="300" w:lineRule="auto" w:before="63"/>
        <w:ind w:right="1127"/>
        <w:jc w:val="both"/>
      </w:pPr>
      <w:r>
        <w:rPr/>
        <w:t>万元</w:t>
      </w:r>
      <w:r>
        <w:rPr>
          <w:spacing w:val="-92"/>
        </w:rPr>
        <w:t>，</w:t>
      </w:r>
      <w:r>
        <w:rPr/>
        <w:t>上海市数字证书认证中</w:t>
      </w:r>
      <w:r>
        <w:rPr>
          <w:spacing w:val="2"/>
        </w:rPr>
        <w:t>心</w:t>
      </w:r>
      <w:r>
        <w:rPr/>
        <w:t>有限公司以现金方式</w:t>
      </w:r>
      <w:r>
        <w:rPr>
          <w:spacing w:val="1"/>
        </w:rPr>
        <w:t>增</w:t>
      </w:r>
      <w:r>
        <w:rPr/>
        <w:t>资</w:t>
      </w:r>
      <w:r>
        <w:rPr>
          <w:spacing w:val="-5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3"/>
        </w:rPr>
        <w:t> </w:t>
      </w:r>
      <w:r>
        <w:rPr/>
        <w:t>万元</w:t>
      </w:r>
      <w:r>
        <w:rPr>
          <w:spacing w:val="-92"/>
        </w:rPr>
        <w:t>。</w:t>
      </w:r>
      <w:r>
        <w:rPr/>
        <w:t>增资后北京市国有资产</w:t>
      </w:r>
      <w:r>
        <w:rPr>
          <w:spacing w:val="2"/>
        </w:rPr>
        <w:t>经</w:t>
      </w:r>
      <w:r>
        <w:rPr/>
        <w:t>营有限责任公司出资额为</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rPr>
        <w:t> </w:t>
      </w:r>
      <w:r>
        <w:rPr/>
        <w:t>万元（占</w:t>
      </w:r>
      <w:r>
        <w:rPr>
          <w:spacing w:val="-40"/>
        </w:rPr>
        <w:t> </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2"/>
        </w:rPr>
        <w:t>%</w:t>
      </w:r>
      <w:r>
        <w:rPr>
          <w:spacing w:val="-92"/>
        </w:rPr>
        <w:t>）</w:t>
      </w:r>
      <w:r>
        <w:rPr/>
        <w:t>，首都信息发展股份有限公司出资额为</w:t>
      </w:r>
      <w:r>
        <w:rPr>
          <w:spacing w:val="-3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.4</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万元（占</w:t>
      </w:r>
      <w:r>
        <w:rPr>
          <w:spacing w:val="-40"/>
        </w:rPr>
        <w:t> </w:t>
      </w:r>
      <w:r>
        <w:rPr>
          <w:rFonts w:ascii="Times New Roman" w:hAnsi="Times New Roman" w:cs="Times New Roman" w:eastAsia="Times New Roman" w:hint="default"/>
          <w:spacing w:val="1"/>
        </w:rPr>
        <w:t>47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71</w:t>
      </w:r>
      <w:r>
        <w:rPr>
          <w:rFonts w:ascii="Times New Roman" w:hAnsi="Times New Roman" w:cs="Times New Roman" w:eastAsia="Times New Roman" w:hint="default"/>
          <w:spacing w:val="-1"/>
        </w:rPr>
        <w:t>%</w:t>
      </w:r>
      <w:r>
        <w:rPr>
          <w:spacing w:val="-92"/>
        </w:rPr>
        <w:t>）</w:t>
      </w:r>
      <w:r>
        <w:rPr/>
        <w:t>，上海市数字证书认证中心有限公司出资</w:t>
      </w:r>
      <w:r>
        <w:rPr/>
        <w:t> 额为</w:t>
      </w:r>
      <w:r>
        <w:rPr>
          <w:spacing w:val="-28"/>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万元（占</w:t>
      </w:r>
      <w:r>
        <w:rPr>
          <w:spacing w:val="-3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1"/>
        </w:rPr>
        <w:t>%</w:t>
      </w:r>
      <w:r>
        <w:rPr>
          <w:spacing w:val="-92"/>
        </w:rPr>
        <w:t>）</w:t>
      </w:r>
      <w:r>
        <w:rPr/>
        <w:t>。本次变更业经北京大通会计师事务所审验并出具大通验字</w:t>
      </w:r>
      <w:r>
        <w:rPr>
          <w:spacing w:val="1"/>
        </w:rPr>
        <w:t>（</w:t>
      </w:r>
      <w:r>
        <w:rPr>
          <w:rFonts w:ascii="Times New Roman" w:hAnsi="Times New Roman" w:cs="Times New Roman" w:eastAsia="Times New Roman" w:hint="default"/>
          <w:spacing w:val="1"/>
        </w:rPr>
        <w:t>2005</w:t>
      </w:r>
      <w:r>
        <w:rPr>
          <w:spacing w:val="-3"/>
        </w:rPr>
        <w:t>）</w:t>
      </w:r>
      <w:r>
        <w:rPr/>
        <w:t>第</w:t>
      </w:r>
      <w:r>
        <w:rPr>
          <w:spacing w:val="-27"/>
        </w:rPr>
        <w:t> </w:t>
      </w:r>
      <w:r>
        <w:rPr>
          <w:rFonts w:ascii="Times New Roman" w:hAnsi="Times New Roman" w:cs="Times New Roman" w:eastAsia="Times New Roman" w:hint="default"/>
          <w:spacing w:val="-2"/>
        </w:rPr>
        <w:t>02</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号验资报告。</w:t>
      </w:r>
      <w:r>
        <w:rPr>
          <w:spacing w:val="-3"/>
        </w:rPr>
        <w:t>本</w:t>
      </w:r>
      <w:r>
        <w:rPr/>
        <w:t>公</w:t>
      </w:r>
    </w:p>
    <w:p>
      <w:pPr>
        <w:pStyle w:val="BodyText"/>
        <w:spacing w:line="240" w:lineRule="auto" w:before="13"/>
        <w:ind w:right="0"/>
        <w:jc w:val="both"/>
      </w:pPr>
      <w:r>
        <w:rPr/>
        <w:t>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日在北京</w:t>
      </w:r>
      <w:r>
        <w:rPr>
          <w:spacing w:val="-3"/>
        </w:rPr>
        <w:t>市</w:t>
      </w:r>
      <w:r>
        <w:rPr/>
        <w:t>工商行政管理局办理工商登记变更</w:t>
      </w:r>
      <w:r>
        <w:rPr>
          <w:spacing w:val="-75"/>
        </w:rPr>
        <w:t>，</w:t>
      </w:r>
      <w:r>
        <w:rPr/>
        <w:t>换领了注册号为</w:t>
      </w:r>
      <w:r>
        <w:rPr>
          <w:spacing w:val="-44"/>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00</w:t>
      </w:r>
      <w:r>
        <w:rPr>
          <w:rFonts w:ascii="Times New Roman" w:hAnsi="Times New Roman" w:cs="Times New Roman" w:eastAsia="Times New Roman" w:hint="default"/>
          <w:spacing w:val="1"/>
        </w:rPr>
        <w:t>01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的企业法人营业执</w:t>
      </w:r>
      <w:r>
        <w:rPr>
          <w:spacing w:val="-3"/>
        </w:rPr>
        <w:t>照</w:t>
      </w:r>
      <w:r>
        <w:rPr/>
        <w:t>。</w:t>
      </w:r>
    </w:p>
    <w:p>
      <w:pPr>
        <w:spacing w:after="0" w:line="24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日，本公司根据第十六次股东会决议和修改后的公司章程规定，增加注册资本人民币</w:t>
      </w:r>
      <w:r>
        <w:rPr>
          <w:spacing w:val="-38"/>
        </w:rPr>
        <w:t> </w:t>
      </w:r>
      <w:r>
        <w:rPr>
          <w:rFonts w:ascii="Times New Roman" w:hAnsi="Times New Roman" w:cs="Times New Roman" w:eastAsia="Times New Roman" w:hint="default"/>
        </w:rPr>
        <w:t>113</w:t>
      </w:r>
      <w:r>
        <w:rPr>
          <w:rFonts w:ascii="Times New Roman" w:hAnsi="Times New Roman" w:cs="Times New Roman" w:eastAsia="Times New Roman" w:hint="default"/>
          <w:spacing w:val="8"/>
        </w:rPr>
        <w:t> </w:t>
      </w:r>
      <w:r>
        <w:rPr/>
        <w:t>万元，资本公</w:t>
      </w:r>
    </w:p>
    <w:p>
      <w:pPr>
        <w:pStyle w:val="BodyText"/>
        <w:spacing w:line="240" w:lineRule="auto" w:before="63"/>
        <w:ind w:right="0"/>
        <w:jc w:val="both"/>
      </w:pPr>
      <w:r>
        <w:rPr/>
        <w:t>积人民币</w:t>
      </w:r>
      <w:r>
        <w:rPr>
          <w:spacing w:val="-42"/>
        </w:rPr>
        <w:t> </w:t>
      </w:r>
      <w:r>
        <w:rPr>
          <w:rFonts w:ascii="Times New Roman" w:hAnsi="Times New Roman" w:cs="Times New Roman" w:eastAsia="Times New Roman" w:hint="default"/>
        </w:rPr>
        <w:t>70</w:t>
      </w:r>
      <w:r>
        <w:rPr>
          <w:rFonts w:ascii="Times New Roman" w:hAnsi="Times New Roman" w:cs="Times New Roman" w:eastAsia="Times New Roman" w:hint="default"/>
          <w:spacing w:val="3"/>
        </w:rPr>
        <w:t> </w:t>
      </w:r>
      <w:r>
        <w:rPr>
          <w:spacing w:val="-5"/>
        </w:rPr>
        <w:t>万元，变更后的注册资本为人民币</w:t>
      </w:r>
      <w:r>
        <w:rPr>
          <w:spacing w:val="-42"/>
        </w:rPr>
        <w:t> </w:t>
      </w:r>
      <w:r>
        <w:rPr>
          <w:rFonts w:ascii="Times New Roman" w:hAnsi="Times New Roman" w:cs="Times New Roman" w:eastAsia="Times New Roman" w:hint="default"/>
        </w:rPr>
        <w:t>3,113</w:t>
      </w:r>
      <w:r>
        <w:rPr>
          <w:rFonts w:ascii="Times New Roman" w:hAnsi="Times New Roman" w:cs="Times New Roman" w:eastAsia="Times New Roman" w:hint="default"/>
          <w:spacing w:val="4"/>
        </w:rPr>
        <w:t> </w:t>
      </w:r>
      <w:r>
        <w:rPr>
          <w:spacing w:val="-6"/>
        </w:rPr>
        <w:t>万元。新增注册资本由本公司</w:t>
      </w:r>
      <w:r>
        <w:rPr>
          <w:spacing w:val="-43"/>
        </w:rPr>
        <w:t> </w:t>
      </w:r>
      <w:r>
        <w:rPr>
          <w:rFonts w:ascii="Times New Roman" w:hAnsi="Times New Roman" w:cs="Times New Roman" w:eastAsia="Times New Roman" w:hint="default"/>
        </w:rPr>
        <w:t>46</w:t>
      </w:r>
      <w:r>
        <w:rPr>
          <w:rFonts w:ascii="Times New Roman" w:hAnsi="Times New Roman" w:cs="Times New Roman" w:eastAsia="Times New Roman" w:hint="default"/>
          <w:spacing w:val="3"/>
        </w:rPr>
        <w:t> </w:t>
      </w:r>
      <w:r>
        <w:rPr/>
        <w:t>名核心员工通过增资扩股的方式认缴。</w:t>
      </w:r>
    </w:p>
    <w:p>
      <w:pPr>
        <w:pStyle w:val="BodyText"/>
        <w:spacing w:line="300" w:lineRule="auto" w:before="63"/>
        <w:ind w:right="1128"/>
        <w:jc w:val="both"/>
        <w:rPr>
          <w:rFonts w:ascii="Times New Roman" w:hAnsi="Times New Roman" w:cs="Times New Roman" w:eastAsia="Times New Roman" w:hint="default"/>
        </w:rPr>
      </w:pPr>
      <w:r>
        <w:rPr/>
        <w:t>增资后北京市国有资产经营有限责任公司出资额为</w:t>
      </w:r>
      <w:r>
        <w:rPr>
          <w:spacing w:val="-31"/>
        </w:rPr>
        <w:t> </w:t>
      </w:r>
      <w:r>
        <w:rPr>
          <w:rFonts w:ascii="Times New Roman" w:hAnsi="Times New Roman" w:cs="Times New Roman" w:eastAsia="Times New Roman" w:hint="default"/>
          <w:spacing w:val="-1"/>
        </w:rPr>
        <w:t>1,500</w:t>
      </w:r>
      <w:r>
        <w:rPr>
          <w:rFonts w:ascii="Times New Roman" w:hAnsi="Times New Roman" w:cs="Times New Roman" w:eastAsia="Times New Roman" w:hint="default"/>
          <w:spacing w:val="14"/>
        </w:rPr>
        <w:t> </w:t>
      </w:r>
      <w:r>
        <w:rPr>
          <w:spacing w:val="-1"/>
        </w:rPr>
        <w:t>万元（占</w:t>
      </w:r>
      <w:r>
        <w:rPr>
          <w:spacing w:val="-32"/>
        </w:rPr>
        <w:t> </w:t>
      </w:r>
      <w:r>
        <w:rPr>
          <w:rFonts w:ascii="Times New Roman" w:hAnsi="Times New Roman" w:cs="Times New Roman" w:eastAsia="Times New Roman" w:hint="default"/>
          <w:spacing w:val="-4"/>
        </w:rPr>
        <w:t>48.19%</w:t>
      </w:r>
      <w:r>
        <w:rPr>
          <w:spacing w:val="-4"/>
        </w:rPr>
        <w:t>），首都信息发展股份有限公司出资额为</w:t>
      </w:r>
      <w:r>
        <w:rPr>
          <w:spacing w:val="-31"/>
        </w:rPr>
        <w:t> </w:t>
      </w:r>
      <w:r>
        <w:rPr>
          <w:rFonts w:ascii="Times New Roman" w:hAnsi="Times New Roman" w:cs="Times New Roman" w:eastAsia="Times New Roman" w:hint="default"/>
          <w:spacing w:val="-1"/>
        </w:rPr>
        <w:t>1,431.40</w:t>
      </w:r>
      <w:r>
        <w:rPr>
          <w:rFonts w:ascii="Times New Roman" w:hAnsi="Times New Roman" w:cs="Times New Roman" w:eastAsia="Times New Roman" w:hint="default"/>
        </w:rPr>
        <w:t> </w:t>
      </w:r>
      <w:r>
        <w:rPr>
          <w:spacing w:val="-2"/>
        </w:rPr>
        <w:t>万元（占</w:t>
      </w:r>
      <w:r>
        <w:rPr>
          <w:spacing w:val="-41"/>
        </w:rPr>
        <w:t> </w:t>
      </w:r>
      <w:r>
        <w:rPr>
          <w:rFonts w:ascii="Times New Roman" w:hAnsi="Times New Roman" w:cs="Times New Roman" w:eastAsia="Times New Roman" w:hint="default"/>
          <w:spacing w:val="-4"/>
        </w:rPr>
        <w:t>45.98%</w:t>
      </w:r>
      <w:r>
        <w:rPr>
          <w:spacing w:val="-4"/>
        </w:rPr>
        <w:t>），上海市数字证书认证中心有限公司出资额为</w:t>
      </w:r>
      <w:r>
        <w:rPr>
          <w:spacing w:val="-41"/>
        </w:rPr>
        <w:t> </w:t>
      </w:r>
      <w:r>
        <w:rPr>
          <w:rFonts w:ascii="Times New Roman" w:hAnsi="Times New Roman" w:cs="Times New Roman" w:eastAsia="Times New Roman" w:hint="default"/>
          <w:spacing w:val="-1"/>
        </w:rPr>
        <w:t>68.60</w:t>
      </w:r>
      <w:r>
        <w:rPr>
          <w:rFonts w:ascii="Times New Roman" w:hAnsi="Times New Roman" w:cs="Times New Roman" w:eastAsia="Times New Roman" w:hint="default"/>
          <w:spacing w:val="5"/>
        </w:rPr>
        <w:t> </w:t>
      </w:r>
      <w:r>
        <w:rPr>
          <w:spacing w:val="-2"/>
        </w:rPr>
        <w:t>万元（占</w:t>
      </w:r>
      <w:r>
        <w:rPr>
          <w:spacing w:val="-42"/>
        </w:rPr>
        <w:t> </w:t>
      </w:r>
      <w:r>
        <w:rPr>
          <w:rFonts w:ascii="Times New Roman" w:hAnsi="Times New Roman" w:cs="Times New Roman" w:eastAsia="Times New Roman" w:hint="default"/>
          <w:spacing w:val="-9"/>
        </w:rPr>
        <w:t>2.20%</w:t>
      </w:r>
      <w:r>
        <w:rPr>
          <w:spacing w:val="-9"/>
        </w:rPr>
        <w:t>），员工出资额</w:t>
      </w:r>
      <w:r>
        <w:rPr>
          <w:spacing w:val="-41"/>
        </w:rPr>
        <w:t> </w:t>
      </w:r>
      <w:r>
        <w:rPr>
          <w:rFonts w:ascii="Times New Roman" w:hAnsi="Times New Roman" w:cs="Times New Roman" w:eastAsia="Times New Roman" w:hint="default"/>
          <w:spacing w:val="-3"/>
        </w:rPr>
        <w:t>113</w:t>
      </w:r>
      <w:r>
        <w:rPr>
          <w:rFonts w:ascii="Times New Roman" w:hAnsi="Times New Roman" w:cs="Times New Roman" w:eastAsia="Times New Roman" w:hint="default"/>
          <w:spacing w:val="4"/>
        </w:rPr>
        <w:t> </w:t>
      </w:r>
      <w:r>
        <w:rPr>
          <w:spacing w:val="-2"/>
        </w:rPr>
        <w:t>万元（占</w:t>
      </w:r>
      <w:r>
        <w:rPr>
          <w:spacing w:val="-42"/>
        </w:rPr>
        <w:t> </w:t>
      </w:r>
      <w:r>
        <w:rPr>
          <w:rFonts w:ascii="Times New Roman" w:hAnsi="Times New Roman" w:cs="Times New Roman" w:eastAsia="Times New Roman" w:hint="default"/>
          <w:spacing w:val="-27"/>
        </w:rPr>
        <w:t>3.63%</w:t>
      </w:r>
      <w:r>
        <w:rPr>
          <w:spacing w:val="-27"/>
        </w:rPr>
        <w:t>）。</w:t>
      </w:r>
      <w:r>
        <w:rPr>
          <w:spacing w:val="-92"/>
        </w:rPr>
        <w:t> </w:t>
      </w:r>
      <w:r>
        <w:rPr/>
        <w:t>本次变更业经京都天华会计师事务所有限公司审验并出具京都天华验字（</w:t>
      </w:r>
      <w:r>
        <w:rPr>
          <w:rFonts w:ascii="Times New Roman" w:hAnsi="Times New Roman" w:cs="Times New Roman" w:eastAsia="Times New Roman" w:hint="default"/>
        </w:rPr>
        <w:t>2010</w:t>
      </w:r>
      <w:r>
        <w:rPr/>
        <w:t>）第 </w:t>
      </w:r>
      <w:r>
        <w:rPr>
          <w:rFonts w:ascii="Times New Roman" w:hAnsi="Times New Roman" w:cs="Times New Roman" w:eastAsia="Times New Roman" w:hint="default"/>
        </w:rPr>
        <w:t>155 </w:t>
      </w:r>
      <w:r>
        <w:rPr/>
        <w:t>号验资报告。本公司于 </w:t>
      </w:r>
      <w:r>
        <w:rPr>
          <w:rFonts w:ascii="Times New Roman" w:hAnsi="Times New Roman" w:cs="Times New Roman" w:eastAsia="Times New Roman" w:hint="default"/>
        </w:rPr>
        <w:t>2010 </w:t>
      </w:r>
      <w:r>
        <w:rPr/>
        <w:t>年</w:t>
      </w:r>
      <w:r>
        <w:rPr>
          <w:spacing w:val="11"/>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rPr>
      </w:r>
    </w:p>
    <w:p>
      <w:pPr>
        <w:pStyle w:val="BodyText"/>
        <w:spacing w:line="240" w:lineRule="auto" w:before="13"/>
        <w:ind w:right="0"/>
        <w:jc w:val="both"/>
      </w:pP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日在北京市工商行政管理局办理工商登记变更。</w:t>
      </w:r>
    </w:p>
    <w:p>
      <w:pPr>
        <w:pStyle w:val="BodyText"/>
        <w:spacing w:line="240" w:lineRule="auto" w:before="103"/>
        <w:ind w:left="513" w:right="98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日，本公司根据第十九次股东会决议和修改后的公司章程规定，增加注册资本人民币</w:t>
      </w:r>
      <w:r>
        <w:rPr>
          <w:spacing w:val="-44"/>
        </w:rPr>
        <w:t> </w:t>
      </w:r>
      <w:r>
        <w:rPr>
          <w:rFonts w:ascii="Times New Roman" w:hAnsi="Times New Roman" w:cs="Times New Roman" w:eastAsia="Times New Roman" w:hint="default"/>
        </w:rPr>
        <w:t>92.3765</w:t>
      </w:r>
      <w:r>
        <w:rPr>
          <w:rFonts w:ascii="Times New Roman" w:hAnsi="Times New Roman" w:cs="Times New Roman" w:eastAsia="Times New Roman" w:hint="default"/>
          <w:spacing w:val="1"/>
        </w:rPr>
        <w:t> </w:t>
      </w:r>
      <w:r>
        <w:rPr/>
        <w:t>万元，变</w:t>
      </w:r>
    </w:p>
    <w:p>
      <w:pPr>
        <w:pStyle w:val="BodyText"/>
        <w:spacing w:line="240" w:lineRule="auto" w:before="63"/>
        <w:ind w:right="0"/>
        <w:jc w:val="both"/>
      </w:pPr>
      <w:r>
        <w:rPr/>
        <w:t>更后的注册资本为人民币</w:t>
      </w:r>
      <w:r>
        <w:rPr>
          <w:spacing w:val="-46"/>
        </w:rPr>
        <w:t> </w:t>
      </w:r>
      <w:r>
        <w:rPr>
          <w:rFonts w:ascii="Times New Roman" w:hAnsi="Times New Roman" w:cs="Times New Roman" w:eastAsia="Times New Roman" w:hint="default"/>
        </w:rPr>
        <w:t>3,205.3765</w:t>
      </w:r>
      <w:r>
        <w:rPr>
          <w:rFonts w:ascii="Times New Roman" w:hAnsi="Times New Roman" w:cs="Times New Roman" w:eastAsia="Times New Roman" w:hint="default"/>
          <w:spacing w:val="1"/>
        </w:rPr>
        <w:t> </w:t>
      </w:r>
      <w:r>
        <w:rPr/>
        <w:t>万元。新增注册资本由本公司</w:t>
      </w:r>
      <w:r>
        <w:rPr>
          <w:spacing w:val="-46"/>
        </w:rPr>
        <w:t> </w:t>
      </w:r>
      <w:r>
        <w:rPr>
          <w:rFonts w:ascii="Times New Roman" w:hAnsi="Times New Roman" w:cs="Times New Roman" w:eastAsia="Times New Roman" w:hint="default"/>
        </w:rPr>
        <w:t>46 </w:t>
      </w:r>
      <w:r>
        <w:rPr/>
        <w:t>名核心员工通过增资扩股的方式认缴。增资后北京市</w:t>
      </w:r>
    </w:p>
    <w:p>
      <w:pPr>
        <w:pStyle w:val="BodyText"/>
        <w:spacing w:line="300" w:lineRule="auto" w:before="63"/>
        <w:ind w:right="1128"/>
        <w:jc w:val="both"/>
        <w:rPr>
          <w:rFonts w:ascii="Times New Roman" w:hAnsi="Times New Roman" w:cs="Times New Roman" w:eastAsia="Times New Roman" w:hint="default"/>
        </w:rPr>
      </w:pPr>
      <w:r>
        <w:rPr/>
        <w:t>国有资产经营有限责任公司出资额为 </w:t>
      </w:r>
      <w:r>
        <w:rPr>
          <w:rFonts w:ascii="Times New Roman" w:hAnsi="Times New Roman" w:cs="Times New Roman" w:eastAsia="Times New Roman" w:hint="default"/>
        </w:rPr>
        <w:t>1,500 </w:t>
      </w:r>
      <w:r>
        <w:rPr/>
        <w:t>万元（占 </w:t>
      </w:r>
      <w:r>
        <w:rPr>
          <w:rFonts w:ascii="Times New Roman" w:hAnsi="Times New Roman" w:cs="Times New Roman" w:eastAsia="Times New Roman" w:hint="default"/>
          <w:spacing w:val="-4"/>
        </w:rPr>
        <w:t>46.7964%</w:t>
      </w:r>
      <w:r>
        <w:rPr>
          <w:spacing w:val="-4"/>
        </w:rPr>
        <w:t>），首都信息发展股份有限公司出资额为</w:t>
      </w:r>
      <w:r>
        <w:rPr/>
        <w:t> </w:t>
      </w:r>
      <w:r>
        <w:rPr>
          <w:rFonts w:ascii="Times New Roman" w:hAnsi="Times New Roman" w:cs="Times New Roman" w:eastAsia="Times New Roman" w:hint="default"/>
        </w:rPr>
        <w:t>1,431.40</w:t>
      </w:r>
      <w:r>
        <w:rPr>
          <w:rFonts w:ascii="Times New Roman" w:hAnsi="Times New Roman" w:cs="Times New Roman" w:eastAsia="Times New Roman" w:hint="default"/>
          <w:spacing w:val="5"/>
        </w:rPr>
        <w:t> </w:t>
      </w:r>
      <w:r>
        <w:rPr>
          <w:spacing w:val="-1"/>
        </w:rPr>
        <w:t>万元（占</w:t>
      </w:r>
      <w:r>
        <w:rPr/>
        <w:t> </w:t>
      </w:r>
      <w:r>
        <w:rPr>
          <w:rFonts w:ascii="Times New Roman" w:hAnsi="Times New Roman" w:cs="Times New Roman" w:eastAsia="Times New Roman" w:hint="default"/>
          <w:spacing w:val="-6"/>
        </w:rPr>
        <w:t>44.6562%</w:t>
      </w:r>
      <w:r>
        <w:rPr>
          <w:spacing w:val="-6"/>
        </w:rPr>
        <w:t>），上海市数字证书认证中心有限公司出资额为</w:t>
      </w:r>
      <w:r>
        <w:rPr>
          <w:spacing w:val="-38"/>
        </w:rPr>
        <w:t> </w:t>
      </w:r>
      <w:r>
        <w:rPr>
          <w:rFonts w:ascii="Times New Roman" w:hAnsi="Times New Roman" w:cs="Times New Roman" w:eastAsia="Times New Roman" w:hint="default"/>
          <w:spacing w:val="-1"/>
        </w:rPr>
        <w:t>68.60</w:t>
      </w:r>
      <w:r>
        <w:rPr>
          <w:rFonts w:ascii="Times New Roman" w:hAnsi="Times New Roman" w:cs="Times New Roman" w:eastAsia="Times New Roman" w:hint="default"/>
          <w:spacing w:val="8"/>
        </w:rPr>
        <w:t> </w:t>
      </w:r>
      <w:r>
        <w:rPr>
          <w:spacing w:val="-14"/>
        </w:rPr>
        <w:t>万元（占</w:t>
      </w:r>
      <w:r>
        <w:rPr>
          <w:spacing w:val="-38"/>
        </w:rPr>
        <w:t> </w:t>
      </w:r>
      <w:r>
        <w:rPr>
          <w:rFonts w:ascii="Times New Roman" w:hAnsi="Times New Roman" w:cs="Times New Roman" w:eastAsia="Times New Roman" w:hint="default"/>
          <w:spacing w:val="-11"/>
        </w:rPr>
        <w:t>2.1402%</w:t>
      </w:r>
      <w:r>
        <w:rPr>
          <w:spacing w:val="-11"/>
        </w:rPr>
        <w:t>），员工出资额</w:t>
      </w:r>
      <w:r>
        <w:rPr>
          <w:spacing w:val="-39"/>
        </w:rPr>
        <w:t> </w:t>
      </w:r>
      <w:r>
        <w:rPr>
          <w:rFonts w:ascii="Times New Roman" w:hAnsi="Times New Roman" w:cs="Times New Roman" w:eastAsia="Times New Roman" w:hint="default"/>
          <w:spacing w:val="-1"/>
        </w:rPr>
        <w:t>205.3765</w:t>
      </w:r>
      <w:r>
        <w:rPr>
          <w:rFonts w:ascii="Times New Roman" w:hAnsi="Times New Roman" w:cs="Times New Roman" w:eastAsia="Times New Roman" w:hint="default"/>
          <w:spacing w:val="9"/>
        </w:rPr>
        <w:t> </w:t>
      </w:r>
      <w:r>
        <w:rPr>
          <w:spacing w:val="-14"/>
        </w:rPr>
        <w:t>万元（占</w:t>
      </w:r>
      <w:r>
        <w:rPr>
          <w:spacing w:val="-42"/>
        </w:rPr>
        <w:t> </w:t>
      </w:r>
      <w:r>
        <w:rPr>
          <w:rFonts w:ascii="Times New Roman" w:hAnsi="Times New Roman" w:cs="Times New Roman" w:eastAsia="Times New Roman" w:hint="default"/>
          <w:spacing w:val="-21"/>
        </w:rPr>
        <w:t>6.4072%</w:t>
      </w:r>
      <w:r>
        <w:rPr>
          <w:spacing w:val="-21"/>
        </w:rPr>
        <w:t>）。</w:t>
      </w:r>
      <w:r>
        <w:rPr>
          <w:spacing w:val="-86"/>
        </w:rPr>
        <w:t> </w:t>
      </w:r>
      <w:r>
        <w:rPr/>
        <w:t>本次变更业经京都天华会计师事务所有限公司审验并出具京都天华验字（</w:t>
      </w:r>
      <w:r>
        <w:rPr>
          <w:rFonts w:ascii="Times New Roman" w:hAnsi="Times New Roman" w:cs="Times New Roman" w:eastAsia="Times New Roman" w:hint="default"/>
        </w:rPr>
        <w:t>2011</w:t>
      </w:r>
      <w:r>
        <w:rPr/>
        <w:t>）第 </w:t>
      </w:r>
      <w:r>
        <w:rPr>
          <w:rFonts w:ascii="Times New Roman" w:hAnsi="Times New Roman" w:cs="Times New Roman" w:eastAsia="Times New Roman" w:hint="default"/>
        </w:rPr>
        <w:t>0047 </w:t>
      </w:r>
      <w:r>
        <w:rPr/>
        <w:t>号验资报告。本公司于 </w:t>
      </w:r>
      <w:r>
        <w:rPr>
          <w:rFonts w:ascii="Times New Roman" w:hAnsi="Times New Roman" w:cs="Times New Roman" w:eastAsia="Times New Roman" w:hint="default"/>
        </w:rPr>
        <w:t>2011 </w:t>
      </w:r>
      <w:r>
        <w:rPr/>
        <w:t>年</w:t>
      </w:r>
      <w:r>
        <w:rPr>
          <w:spacing w:val="4"/>
        </w:rPr>
        <w:t> </w:t>
      </w:r>
      <w:r>
        <w:rPr>
          <w:rFonts w:ascii="Times New Roman" w:hAnsi="Times New Roman" w:cs="Times New Roman" w:eastAsia="Times New Roman" w:hint="default"/>
        </w:rPr>
        <w:t>5</w:t>
      </w:r>
    </w:p>
    <w:p>
      <w:pPr>
        <w:pStyle w:val="BodyText"/>
        <w:spacing w:line="240" w:lineRule="auto" w:before="13"/>
        <w:ind w:right="0"/>
        <w:jc w:val="both"/>
      </w:pPr>
      <w:r>
        <w:rPr/>
        <w:t>月</w:t>
      </w:r>
      <w:r>
        <w:rPr>
          <w:spacing w:val="-45"/>
        </w:rPr>
        <w:t> </w:t>
      </w:r>
      <w:r>
        <w:rPr>
          <w:rFonts w:ascii="Times New Roman" w:hAnsi="Times New Roman" w:cs="Times New Roman" w:eastAsia="Times New Roman" w:hint="default"/>
        </w:rPr>
        <w:t>23 </w:t>
      </w:r>
      <w:r>
        <w:rPr/>
        <w:t>日在北京市工商行政管理局办理工商登记变更。</w:t>
      </w:r>
    </w:p>
    <w:p>
      <w:pPr>
        <w:pStyle w:val="BodyText"/>
        <w:spacing w:line="240" w:lineRule="auto" w:before="101"/>
        <w:ind w:left="513" w:right="98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日，本公司全体股东共同签署《发起人协议》并通过修改后的公司章程。根据《发起人协议》和公司章</w:t>
      </w:r>
    </w:p>
    <w:p>
      <w:pPr>
        <w:pStyle w:val="BodyText"/>
        <w:spacing w:line="300" w:lineRule="auto" w:before="63"/>
        <w:ind w:right="1129"/>
        <w:jc w:val="both"/>
      </w:pPr>
      <w:r>
        <w:rPr/>
        <w:t>程，以</w:t>
      </w:r>
      <w:r>
        <w:rPr>
          <w:spacing w:val="-45"/>
        </w:rPr>
        <w:t> </w:t>
      </w:r>
      <w:r>
        <w:rPr>
          <w:rFonts w:ascii="Times New Roman" w:hAnsi="Times New Roman" w:cs="Times New Roman" w:eastAsia="Times New Roman" w:hint="default"/>
        </w:rPr>
        <w:t>2011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31 </w:t>
      </w:r>
      <w:r>
        <w:rPr/>
        <w:t>日的净资产以发起设立的方式整体变更为股份有限公司，总股本设置为</w:t>
      </w:r>
      <w:r>
        <w:rPr>
          <w:spacing w:val="-45"/>
        </w:rPr>
        <w:t> </w:t>
      </w:r>
      <w:r>
        <w:rPr>
          <w:rFonts w:ascii="Times New Roman" w:hAnsi="Times New Roman" w:cs="Times New Roman" w:eastAsia="Times New Roman" w:hint="default"/>
        </w:rPr>
        <w:t>4,700</w:t>
      </w:r>
      <w:r>
        <w:rPr>
          <w:rFonts w:ascii="Times New Roman" w:hAnsi="Times New Roman" w:cs="Times New Roman" w:eastAsia="Times New Roman" w:hint="default"/>
          <w:spacing w:val="2"/>
        </w:rPr>
        <w:t> </w:t>
      </w:r>
      <w:r>
        <w:rPr/>
        <w:t>万股，均为每股面值</w:t>
      </w:r>
      <w:r>
        <w:rPr>
          <w:spacing w:val="-46"/>
        </w:rPr>
        <w:t> </w:t>
      </w:r>
      <w:r>
        <w:rPr>
          <w:rFonts w:ascii="Times New Roman" w:hAnsi="Times New Roman" w:cs="Times New Roman" w:eastAsia="Times New Roman" w:hint="default"/>
        </w:rPr>
        <w:t>1 </w:t>
      </w:r>
      <w:r>
        <w:rPr/>
        <w:t>元的人民币普通股。其中，北京市国有资产经营有限责任公司持有 </w:t>
      </w:r>
      <w:r>
        <w:rPr>
          <w:rFonts w:ascii="Times New Roman" w:hAnsi="Times New Roman" w:cs="Times New Roman" w:eastAsia="Times New Roman" w:hint="default"/>
        </w:rPr>
        <w:t>2,199.4308 </w:t>
      </w:r>
      <w:r>
        <w:rPr/>
        <w:t>万股，占总股本的</w:t>
      </w:r>
      <w:r>
        <w:rPr>
          <w:spacing w:val="-56"/>
        </w:rPr>
        <w:t> </w:t>
      </w:r>
      <w:r>
        <w:rPr>
          <w:rFonts w:ascii="Times New Roman" w:hAnsi="Times New Roman" w:cs="Times New Roman" w:eastAsia="Times New Roman" w:hint="default"/>
        </w:rPr>
        <w:t>46.7964%</w:t>
      </w:r>
      <w:r>
        <w:rPr/>
        <w:t>；首都信息发展 股份有限公司持有</w:t>
      </w:r>
      <w:r>
        <w:rPr>
          <w:spacing w:val="-48"/>
        </w:rPr>
        <w:t> </w:t>
      </w:r>
      <w:r>
        <w:rPr>
          <w:rFonts w:ascii="Times New Roman" w:hAnsi="Times New Roman" w:cs="Times New Roman" w:eastAsia="Times New Roman" w:hint="default"/>
        </w:rPr>
        <w:t>2,098.8414</w:t>
      </w:r>
      <w:r>
        <w:rPr>
          <w:rFonts w:ascii="Times New Roman" w:hAnsi="Times New Roman" w:cs="Times New Roman" w:eastAsia="Times New Roman" w:hint="default"/>
          <w:spacing w:val="-4"/>
        </w:rPr>
        <w:t> </w:t>
      </w:r>
      <w:r>
        <w:rPr/>
        <w:t>万股，占总股本的</w:t>
      </w:r>
      <w:r>
        <w:rPr>
          <w:spacing w:val="-48"/>
        </w:rPr>
        <w:t> </w:t>
      </w:r>
      <w:r>
        <w:rPr>
          <w:rFonts w:ascii="Times New Roman" w:hAnsi="Times New Roman" w:cs="Times New Roman" w:eastAsia="Times New Roman" w:hint="default"/>
        </w:rPr>
        <w:t>44.6562%</w:t>
      </w:r>
      <w:r>
        <w:rPr/>
        <w:t>；上海市数字证书认证中心有限公司持有</w:t>
      </w:r>
      <w:r>
        <w:rPr>
          <w:spacing w:val="-48"/>
        </w:rPr>
        <w:t> </w:t>
      </w:r>
      <w:r>
        <w:rPr>
          <w:rFonts w:ascii="Times New Roman" w:hAnsi="Times New Roman" w:cs="Times New Roman" w:eastAsia="Times New Roman" w:hint="default"/>
        </w:rPr>
        <w:t>100.5894</w:t>
      </w:r>
      <w:r>
        <w:rPr>
          <w:rFonts w:ascii="Times New Roman" w:hAnsi="Times New Roman" w:cs="Times New Roman" w:eastAsia="Times New Roman" w:hint="default"/>
          <w:spacing w:val="-3"/>
        </w:rPr>
        <w:t> </w:t>
      </w:r>
      <w:r>
        <w:rPr/>
        <w:t>万股，占总股 本的</w:t>
      </w:r>
      <w:r>
        <w:rPr>
          <w:spacing w:val="-51"/>
        </w:rPr>
        <w:t> </w:t>
      </w:r>
      <w:r>
        <w:rPr>
          <w:rFonts w:ascii="Times New Roman" w:hAnsi="Times New Roman" w:cs="Times New Roman" w:eastAsia="Times New Roman" w:hint="default"/>
          <w:spacing w:val="-2"/>
        </w:rPr>
        <w:t>2.1402%</w:t>
      </w:r>
      <w:r>
        <w:rPr>
          <w:spacing w:val="-2"/>
        </w:rPr>
        <w:t>；员工持有</w:t>
      </w:r>
      <w:r>
        <w:rPr>
          <w:spacing w:val="-52"/>
        </w:rPr>
        <w:t> </w:t>
      </w:r>
      <w:r>
        <w:rPr>
          <w:rFonts w:ascii="Times New Roman" w:hAnsi="Times New Roman" w:cs="Times New Roman" w:eastAsia="Times New Roman" w:hint="default"/>
        </w:rPr>
        <w:t>301.1384</w:t>
      </w:r>
      <w:r>
        <w:rPr>
          <w:rFonts w:ascii="Times New Roman" w:hAnsi="Times New Roman" w:cs="Times New Roman" w:eastAsia="Times New Roman" w:hint="default"/>
          <w:spacing w:val="-4"/>
        </w:rPr>
        <w:t> </w:t>
      </w:r>
      <w:r>
        <w:rPr>
          <w:spacing w:val="-3"/>
        </w:rPr>
        <w:t>万股，占总股本的</w:t>
      </w:r>
      <w:r>
        <w:rPr>
          <w:spacing w:val="-53"/>
        </w:rPr>
        <w:t> </w:t>
      </w:r>
      <w:r>
        <w:rPr>
          <w:rFonts w:ascii="Times New Roman" w:hAnsi="Times New Roman" w:cs="Times New Roman" w:eastAsia="Times New Roman" w:hint="default"/>
        </w:rPr>
        <w:t>6.4072%</w:t>
      </w:r>
      <w:r>
        <w:rPr/>
        <w:t>。本次变更业经京都天华会计师事务所有限公司审验并出具京 都天华验字（</w:t>
      </w:r>
      <w:r>
        <w:rPr>
          <w:rFonts w:ascii="Times New Roman" w:hAnsi="Times New Roman" w:cs="Times New Roman" w:eastAsia="Times New Roman" w:hint="default"/>
        </w:rPr>
        <w:t>2011</w:t>
      </w:r>
      <w:r>
        <w:rPr/>
        <w:t>）第</w:t>
      </w:r>
      <w:r>
        <w:rPr>
          <w:spacing w:val="-48"/>
        </w:rPr>
        <w:t> </w:t>
      </w:r>
      <w:r>
        <w:rPr>
          <w:rFonts w:ascii="Times New Roman" w:hAnsi="Times New Roman" w:cs="Times New Roman" w:eastAsia="Times New Roman" w:hint="default"/>
        </w:rPr>
        <w:t>0170</w:t>
      </w:r>
      <w:r>
        <w:rPr>
          <w:rFonts w:ascii="Times New Roman" w:hAnsi="Times New Roman" w:cs="Times New Roman" w:eastAsia="Times New Roman" w:hint="default"/>
          <w:spacing w:val="-1"/>
        </w:rPr>
        <w:t> </w:t>
      </w:r>
      <w:r>
        <w:rPr/>
        <w:t>号验资报告。本公司于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日在北京市工商行政管理局办理工商登记变更。</w:t>
      </w:r>
    </w:p>
    <w:p>
      <w:pPr>
        <w:pStyle w:val="BodyText"/>
        <w:spacing w:line="240" w:lineRule="auto" w:before="53"/>
        <w:ind w:left="513" w:right="98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日，本公司根据第二次股东大会决议和修改后的章程规定，本公司申请增加注册资本人民币</w:t>
      </w:r>
      <w:r>
        <w:rPr>
          <w:spacing w:val="-41"/>
        </w:rPr>
        <w:t> </w:t>
      </w:r>
      <w:r>
        <w:rPr>
          <w:rFonts w:ascii="Times New Roman" w:hAnsi="Times New Roman" w:cs="Times New Roman" w:eastAsia="Times New Roman" w:hint="default"/>
        </w:rPr>
        <w:t>1,300</w:t>
      </w:r>
      <w:r>
        <w:rPr>
          <w:rFonts w:ascii="Times New Roman" w:hAnsi="Times New Roman" w:cs="Times New Roman" w:eastAsia="Times New Roman" w:hint="default"/>
          <w:spacing w:val="5"/>
        </w:rPr>
        <w:t> </w:t>
      </w:r>
      <w:r>
        <w:rPr/>
        <w:t>万元，</w:t>
      </w:r>
    </w:p>
    <w:p>
      <w:pPr>
        <w:pStyle w:val="BodyText"/>
        <w:spacing w:line="300" w:lineRule="auto" w:before="63"/>
        <w:ind w:right="1128"/>
        <w:jc w:val="both"/>
      </w:pPr>
      <w:r>
        <w:rPr/>
        <w:t>变更后的注册资本为人民币</w:t>
      </w:r>
      <w:r>
        <w:rPr>
          <w:spacing w:val="-41"/>
        </w:rPr>
        <w:t> </w:t>
      </w:r>
      <w:r>
        <w:rPr>
          <w:rFonts w:ascii="Times New Roman" w:hAnsi="Times New Roman" w:cs="Times New Roman" w:eastAsia="Times New Roman" w:hint="default"/>
        </w:rPr>
        <w:t>6,000</w:t>
      </w:r>
      <w:r>
        <w:rPr>
          <w:rFonts w:ascii="Times New Roman" w:hAnsi="Times New Roman" w:cs="Times New Roman" w:eastAsia="Times New Roman" w:hint="default"/>
          <w:spacing w:val="5"/>
        </w:rPr>
        <w:t> </w:t>
      </w:r>
      <w:r>
        <w:rPr>
          <w:spacing w:val="-7"/>
        </w:rPr>
        <w:t>万元。本次变更经京都天华会计师事务所有限公司审验并出具京都天华验字（</w:t>
      </w:r>
      <w:r>
        <w:rPr>
          <w:rFonts w:ascii="Times New Roman" w:hAnsi="Times New Roman" w:cs="Times New Roman" w:eastAsia="Times New Roman" w:hint="default"/>
          <w:spacing w:val="-7"/>
        </w:rPr>
        <w:t>2011</w:t>
      </w:r>
      <w:r>
        <w:rPr>
          <w:spacing w:val="-7"/>
        </w:rPr>
        <w:t>）第</w:t>
      </w:r>
      <w:r>
        <w:rPr>
          <w:spacing w:val="-42"/>
        </w:rPr>
        <w:t> </w:t>
      </w:r>
      <w:r>
        <w:rPr>
          <w:rFonts w:ascii="Times New Roman" w:hAnsi="Times New Roman" w:cs="Times New Roman" w:eastAsia="Times New Roman" w:hint="default"/>
          <w:spacing w:val="-1"/>
        </w:rPr>
        <w:t>0213</w:t>
      </w:r>
      <w:r>
        <w:rPr>
          <w:rFonts w:ascii="Times New Roman" w:hAnsi="Times New Roman" w:cs="Times New Roman" w:eastAsia="Times New Roman" w:hint="default"/>
        </w:rPr>
        <w:t> </w:t>
      </w:r>
      <w:r>
        <w:rPr/>
        <w:t>号验资报告。北京市国有资产经营有限责任公司持有 </w:t>
      </w:r>
      <w:r>
        <w:rPr>
          <w:rFonts w:ascii="Times New Roman" w:hAnsi="Times New Roman" w:cs="Times New Roman" w:eastAsia="Times New Roman" w:hint="default"/>
        </w:rPr>
        <w:t>2,199.4308 </w:t>
      </w:r>
      <w:r>
        <w:rPr/>
        <w:t>万股，占变更后股本的</w:t>
      </w:r>
      <w:r>
        <w:rPr>
          <w:spacing w:val="-57"/>
        </w:rPr>
        <w:t> </w:t>
      </w:r>
      <w:r>
        <w:rPr>
          <w:rFonts w:ascii="Times New Roman" w:hAnsi="Times New Roman" w:cs="Times New Roman" w:eastAsia="Times New Roman" w:hint="default"/>
        </w:rPr>
        <w:t>36.6572%</w:t>
      </w:r>
      <w:r>
        <w:rPr/>
        <w:t>；首都信息发展股份有限 公司持有</w:t>
      </w:r>
      <w:r>
        <w:rPr>
          <w:spacing w:val="-49"/>
        </w:rPr>
        <w:t> </w:t>
      </w:r>
      <w:r>
        <w:rPr>
          <w:rFonts w:ascii="Times New Roman" w:hAnsi="Times New Roman" w:cs="Times New Roman" w:eastAsia="Times New Roman" w:hint="default"/>
        </w:rPr>
        <w:t>2,098.8414</w:t>
      </w:r>
      <w:r>
        <w:rPr>
          <w:rFonts w:ascii="Times New Roman" w:hAnsi="Times New Roman" w:cs="Times New Roman" w:eastAsia="Times New Roman" w:hint="default"/>
          <w:spacing w:val="-3"/>
        </w:rPr>
        <w:t> </w:t>
      </w:r>
      <w:r>
        <w:rPr/>
        <w:t>万股，占变更后股本的</w:t>
      </w:r>
      <w:r>
        <w:rPr>
          <w:spacing w:val="-49"/>
        </w:rPr>
        <w:t> </w:t>
      </w:r>
      <w:r>
        <w:rPr>
          <w:rFonts w:ascii="Times New Roman" w:hAnsi="Times New Roman" w:cs="Times New Roman" w:eastAsia="Times New Roman" w:hint="default"/>
        </w:rPr>
        <w:t>34.9807%</w:t>
      </w:r>
      <w:r>
        <w:rPr/>
        <w:t>；上海市数字证书认证中心有限公司持有</w:t>
      </w:r>
      <w:r>
        <w:rPr>
          <w:spacing w:val="-50"/>
        </w:rPr>
        <w:t> </w:t>
      </w:r>
      <w:r>
        <w:rPr>
          <w:rFonts w:ascii="Times New Roman" w:hAnsi="Times New Roman" w:cs="Times New Roman" w:eastAsia="Times New Roman" w:hint="default"/>
        </w:rPr>
        <w:t>100.5894</w:t>
      </w:r>
      <w:r>
        <w:rPr>
          <w:rFonts w:ascii="Times New Roman" w:hAnsi="Times New Roman" w:cs="Times New Roman" w:eastAsia="Times New Roman" w:hint="default"/>
          <w:spacing w:val="-2"/>
        </w:rPr>
        <w:t> </w:t>
      </w:r>
      <w:r>
        <w:rPr/>
        <w:t>万股，占变更后股 本的</w:t>
      </w:r>
      <w:r>
        <w:rPr>
          <w:spacing w:val="-55"/>
        </w:rPr>
        <w:t> </w:t>
      </w:r>
      <w:r>
        <w:rPr>
          <w:rFonts w:ascii="Times New Roman" w:hAnsi="Times New Roman" w:cs="Times New Roman" w:eastAsia="Times New Roman" w:hint="default"/>
        </w:rPr>
        <w:t>1.6765%</w:t>
      </w:r>
      <w:r>
        <w:rPr/>
        <w:t>；北京科桥投资创业中心持有</w:t>
      </w:r>
      <w:r>
        <w:rPr>
          <w:spacing w:val="-55"/>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9"/>
        </w:rPr>
        <w:t> </w:t>
      </w:r>
      <w:r>
        <w:rPr/>
        <w:t>万股，占变更后股本的</w:t>
      </w:r>
      <w:r>
        <w:rPr>
          <w:spacing w:val="-55"/>
        </w:rPr>
        <w:t> </w:t>
      </w:r>
      <w:r>
        <w:rPr>
          <w:rFonts w:ascii="Times New Roman" w:hAnsi="Times New Roman" w:cs="Times New Roman" w:eastAsia="Times New Roman" w:hint="default"/>
        </w:rPr>
        <w:t>8.3333%</w:t>
      </w:r>
      <w:r>
        <w:rPr/>
        <w:t>，员工持有</w:t>
      </w:r>
      <w:r>
        <w:rPr>
          <w:spacing w:val="-55"/>
        </w:rPr>
        <w:t> </w:t>
      </w:r>
      <w:r>
        <w:rPr>
          <w:rFonts w:ascii="Times New Roman" w:hAnsi="Times New Roman" w:cs="Times New Roman" w:eastAsia="Times New Roman" w:hint="default"/>
        </w:rPr>
        <w:t>1,101.1384</w:t>
      </w:r>
      <w:r>
        <w:rPr>
          <w:rFonts w:ascii="Times New Roman" w:hAnsi="Times New Roman" w:cs="Times New Roman" w:eastAsia="Times New Roman" w:hint="default"/>
          <w:spacing w:val="-8"/>
        </w:rPr>
        <w:t> </w:t>
      </w:r>
      <w:r>
        <w:rPr>
          <w:spacing w:val="-3"/>
        </w:rPr>
        <w:t>万股，占变更后</w:t>
      </w:r>
      <w:r>
        <w:rPr/>
        <w:t> 股本的</w:t>
      </w:r>
      <w:r>
        <w:rPr>
          <w:spacing w:val="-46"/>
        </w:rPr>
        <w:t> </w:t>
      </w:r>
      <w:r>
        <w:rPr>
          <w:rFonts w:ascii="Times New Roman" w:hAnsi="Times New Roman" w:cs="Times New Roman" w:eastAsia="Times New Roman" w:hint="default"/>
        </w:rPr>
        <w:t>18.3523%</w:t>
      </w:r>
      <w:r>
        <w:rPr/>
        <w:t>。本公司于</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日在北京市工商行政管理局办理了工商登记变更。</w:t>
      </w:r>
    </w:p>
    <w:p>
      <w:pPr>
        <w:pStyle w:val="BodyText"/>
        <w:spacing w:line="240" w:lineRule="auto" w:before="53"/>
        <w:ind w:left="513" w:right="982"/>
        <w:jc w:val="left"/>
      </w:pP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3"/>
        </w:rPr>
        <w:t>日，本公司根据</w:t>
      </w:r>
      <w:r>
        <w:rPr>
          <w:spacing w:val="-46"/>
        </w:rPr>
        <w:t> </w:t>
      </w:r>
      <w:r>
        <w:rPr>
          <w:rFonts w:ascii="Times New Roman" w:hAnsi="Times New Roman" w:cs="Times New Roman" w:eastAsia="Times New Roman" w:hint="default"/>
        </w:rPr>
        <w:t>2016 </w:t>
      </w:r>
      <w:r>
        <w:rPr/>
        <w:t>年第一次临时股东大会决议，申请增加注册资本人民币</w:t>
      </w:r>
      <w:r>
        <w:rPr>
          <w:spacing w:val="-46"/>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t>年</w:t>
      </w:r>
    </w:p>
    <w:p>
      <w:pPr>
        <w:pStyle w:val="BodyText"/>
        <w:spacing w:line="240" w:lineRule="auto" w:before="63"/>
        <w:ind w:right="0"/>
        <w:jc w:val="both"/>
      </w:pP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25 </w:t>
      </w:r>
      <w:r>
        <w:rPr>
          <w:spacing w:val="-4"/>
        </w:rPr>
        <w:t>日，经中国证券监督管理委员会证监许可（</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2863 </w:t>
      </w:r>
      <w:r>
        <w:rPr>
          <w:spacing w:val="-3"/>
        </w:rPr>
        <w:t>号文核准，同意本公司向社会公众发行人民币普通股（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3"/>
        </w:rPr>
        <w:t> </w:t>
      </w:r>
      <w:r>
        <w:rPr/>
        <w:t>股）</w:t>
      </w:r>
    </w:p>
    <w:p>
      <w:pPr>
        <w:pStyle w:val="BodyText"/>
        <w:spacing w:line="240" w:lineRule="auto" w:before="63"/>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股（每股面值</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2"/>
        </w:rPr>
        <w:t>）</w:t>
      </w:r>
      <w:r>
        <w:rPr/>
        <w:t>。本次发行采用网下向询</w:t>
      </w:r>
      <w:r>
        <w:rPr>
          <w:spacing w:val="2"/>
        </w:rPr>
        <w:t>价</w:t>
      </w:r>
      <w:r>
        <w:rPr/>
        <w:t>对象配售和网上按市值申购定价发行相结合的方式进行，</w:t>
      </w:r>
      <w:r>
        <w:rPr>
          <w:spacing w:val="1"/>
        </w:rPr>
        <w:t>每</w:t>
      </w:r>
      <w:r>
        <w:rPr/>
        <w:t>股</w:t>
      </w:r>
    </w:p>
    <w:p>
      <w:pPr>
        <w:pStyle w:val="BodyText"/>
        <w:spacing w:line="240" w:lineRule="auto" w:before="63"/>
        <w:ind w:right="0"/>
        <w:jc w:val="both"/>
      </w:pPr>
      <w:r>
        <w:rPr/>
        <w:t>发行价为</w:t>
      </w:r>
      <w:r>
        <w:rPr>
          <w:spacing w:val="-46"/>
        </w:rPr>
        <w:t> </w:t>
      </w:r>
      <w:r>
        <w:rPr>
          <w:rFonts w:ascii="Times New Roman" w:hAnsi="Times New Roman" w:cs="Times New Roman" w:eastAsia="Times New Roman" w:hint="default"/>
        </w:rPr>
        <w:t>13.32 </w:t>
      </w:r>
      <w:r>
        <w:rPr/>
        <w:t>元。变更后的注册资本为人民币</w:t>
      </w:r>
      <w:r>
        <w:rPr>
          <w:spacing w:val="-46"/>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1"/>
        </w:rPr>
        <w:t> </w:t>
      </w:r>
      <w:r>
        <w:rPr/>
        <w:t>元。截至</w:t>
      </w:r>
      <w:r>
        <w:rPr>
          <w:spacing w:val="-46"/>
        </w:rPr>
        <w:t> </w:t>
      </w:r>
      <w:r>
        <w:rPr>
          <w:rFonts w:ascii="Times New Roman" w:hAnsi="Times New Roman" w:cs="Times New Roman" w:eastAsia="Times New Roman" w:hint="default"/>
        </w:rPr>
        <w:t>2016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日止，本公司已收到社会公众股东</w:t>
      </w:r>
    </w:p>
    <w:p>
      <w:pPr>
        <w:pStyle w:val="BodyText"/>
        <w:spacing w:line="240" w:lineRule="auto" w:before="63"/>
        <w:ind w:right="0"/>
        <w:jc w:val="both"/>
      </w:pPr>
      <w:r>
        <w:rPr>
          <w:spacing w:val="7"/>
        </w:rPr>
        <w:t>认缴股款人民</w:t>
      </w:r>
      <w:r>
        <w:rPr/>
        <w:t>币</w:t>
      </w:r>
      <w:r>
        <w:rPr>
          <w:spacing w:val="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rFonts w:ascii="Times New Roman" w:hAnsi="Times New Roman" w:cs="Times New Roman" w:eastAsia="Times New Roman" w:hint="default"/>
          <w:spacing w:val="9"/>
        </w:rPr>
        <w:t> </w:t>
      </w:r>
      <w:r>
        <w:rPr>
          <w:spacing w:val="7"/>
        </w:rPr>
        <w:t>元（已扣除发行费</w:t>
      </w:r>
      <w:r>
        <w:rPr>
          <w:spacing w:val="4"/>
        </w:rPr>
        <w:t>人</w:t>
      </w:r>
      <w:r>
        <w:rPr>
          <w:spacing w:val="7"/>
        </w:rPr>
        <w:t>民</w:t>
      </w:r>
      <w:r>
        <w:rPr/>
        <w:t>币</w:t>
      </w:r>
      <w:r>
        <w:rPr>
          <w:spacing w:val="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8"/>
        </w:rPr>
        <w:t> </w:t>
      </w:r>
      <w:r>
        <w:rPr>
          <w:spacing w:val="7"/>
        </w:rPr>
        <w:t>元</w:t>
      </w:r>
      <w:r>
        <w:rPr>
          <w:spacing w:val="-85"/>
        </w:rPr>
        <w:t>）</w:t>
      </w:r>
      <w:r>
        <w:rPr>
          <w:spacing w:val="7"/>
        </w:rPr>
        <w:t>，其中：</w:t>
      </w:r>
      <w:r>
        <w:rPr>
          <w:spacing w:val="4"/>
        </w:rPr>
        <w:t>股</w:t>
      </w:r>
      <w:r>
        <w:rPr/>
        <w:t>本</w:t>
      </w:r>
      <w:r>
        <w:rPr>
          <w:spacing w:val="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9"/>
        </w:rPr>
        <w:t> </w:t>
      </w:r>
      <w:r>
        <w:rPr>
          <w:spacing w:val="7"/>
        </w:rPr>
        <w:t>元，</w:t>
      </w:r>
      <w:r>
        <w:rPr>
          <w:spacing w:val="4"/>
        </w:rPr>
        <w:t>资</w:t>
      </w:r>
      <w:r>
        <w:rPr>
          <w:spacing w:val="7"/>
        </w:rPr>
        <w:t>本</w:t>
      </w:r>
      <w:r>
        <w:rPr>
          <w:spacing w:val="4"/>
        </w:rPr>
        <w:t>公</w:t>
      </w:r>
      <w:r>
        <w:rPr/>
        <w:t>积</w:t>
      </w:r>
    </w:p>
    <w:p>
      <w:pPr>
        <w:pStyle w:val="BodyText"/>
        <w:spacing w:line="300" w:lineRule="auto" w:before="63"/>
        <w:ind w:right="982"/>
        <w:jc w:val="left"/>
      </w:pPr>
      <w:r>
        <w:rPr>
          <w:rFonts w:ascii="Times New Roman" w:hAnsi="Times New Roman" w:cs="Times New Roman" w:eastAsia="Times New Roman" w:hint="default"/>
        </w:rPr>
        <w:t>220,400,000.00</w:t>
      </w:r>
      <w:r>
        <w:rPr>
          <w:rFonts w:ascii="Times New Roman" w:hAnsi="Times New Roman" w:cs="Times New Roman" w:eastAsia="Times New Roman" w:hint="default"/>
          <w:spacing w:val="9"/>
        </w:rPr>
        <w:t> </w:t>
      </w:r>
      <w:r>
        <w:rPr>
          <w:spacing w:val="-3"/>
        </w:rPr>
        <w:t>元，社会公众股东全部以货币资金形式出资，其中，北京市国有资产经营有限责任公司持有</w:t>
      </w:r>
      <w:r>
        <w:rPr>
          <w:spacing w:val="-37"/>
        </w:rPr>
        <w:t> </w:t>
      </w:r>
      <w:r>
        <w:rPr>
          <w:rFonts w:ascii="Times New Roman" w:hAnsi="Times New Roman" w:cs="Times New Roman" w:eastAsia="Times New Roman" w:hint="default"/>
        </w:rPr>
        <w:t>2,099.4308</w:t>
      </w:r>
      <w:r>
        <w:rPr>
          <w:rFonts w:ascii="Times New Roman" w:hAnsi="Times New Roman" w:cs="Times New Roman" w:eastAsia="Times New Roman" w:hint="default"/>
          <w:spacing w:val="8"/>
        </w:rPr>
        <w:t> </w:t>
      </w:r>
      <w:r>
        <w:rPr/>
        <w:t>万股，</w:t>
      </w:r>
      <w:r>
        <w:rPr>
          <w:spacing w:val="-88"/>
        </w:rPr>
        <w:t> </w:t>
      </w:r>
      <w:r>
        <w:rPr>
          <w:spacing w:val="-88"/>
        </w:rPr>
      </w:r>
      <w:r>
        <w:rPr/>
        <w:t>占变更后股本的</w:t>
      </w:r>
      <w:r>
        <w:rPr>
          <w:spacing w:val="-50"/>
        </w:rPr>
        <w:t> </w:t>
      </w:r>
      <w:r>
        <w:rPr>
          <w:rFonts w:ascii="Times New Roman" w:hAnsi="Times New Roman" w:cs="Times New Roman" w:eastAsia="Times New Roman" w:hint="default"/>
        </w:rPr>
        <w:t>26.2429%</w:t>
      </w:r>
      <w:r>
        <w:rPr/>
        <w:t>；首都信息发展股份有限公司持有</w:t>
      </w:r>
      <w:r>
        <w:rPr>
          <w:spacing w:val="-50"/>
        </w:rPr>
        <w:t> </w:t>
      </w:r>
      <w:r>
        <w:rPr>
          <w:rFonts w:ascii="Times New Roman" w:hAnsi="Times New Roman" w:cs="Times New Roman" w:eastAsia="Times New Roman" w:hint="default"/>
        </w:rPr>
        <w:t>2,098.8414</w:t>
      </w:r>
      <w:r>
        <w:rPr>
          <w:rFonts w:ascii="Times New Roman" w:hAnsi="Times New Roman" w:cs="Times New Roman" w:eastAsia="Times New Roman" w:hint="default"/>
          <w:spacing w:val="-3"/>
        </w:rPr>
        <w:t> </w:t>
      </w:r>
      <w:r>
        <w:rPr/>
        <w:t>万股，占变更后股本的</w:t>
      </w:r>
      <w:r>
        <w:rPr>
          <w:spacing w:val="-51"/>
        </w:rPr>
        <w:t> </w:t>
      </w:r>
      <w:r>
        <w:rPr>
          <w:rFonts w:ascii="Times New Roman" w:hAnsi="Times New Roman" w:cs="Times New Roman" w:eastAsia="Times New Roman" w:hint="default"/>
        </w:rPr>
        <w:t>26.2355%</w:t>
      </w:r>
      <w:r>
        <w:rPr/>
        <w:t>；上海市数字证书 认证中心有限公司持有 </w:t>
      </w:r>
      <w:r>
        <w:rPr>
          <w:rFonts w:ascii="Times New Roman" w:hAnsi="Times New Roman" w:cs="Times New Roman" w:eastAsia="Times New Roman" w:hint="default"/>
        </w:rPr>
        <w:t>96.016  </w:t>
      </w:r>
      <w:r>
        <w:rPr/>
        <w:t>万股，占变更后股本的 </w:t>
      </w:r>
      <w:r>
        <w:rPr>
          <w:rFonts w:ascii="Times New Roman" w:hAnsi="Times New Roman" w:cs="Times New Roman" w:eastAsia="Times New Roman" w:hint="default"/>
        </w:rPr>
        <w:t>1.2002%</w:t>
      </w:r>
      <w:r>
        <w:rPr/>
        <w:t>，北京科桥投资创业中心持有 </w:t>
      </w:r>
      <w:r>
        <w:rPr>
          <w:rFonts w:ascii="Times New Roman" w:hAnsi="Times New Roman" w:cs="Times New Roman" w:eastAsia="Times New Roman" w:hint="default"/>
        </w:rPr>
        <w:t>500 </w:t>
      </w:r>
      <w:r>
        <w:rPr>
          <w:rFonts w:ascii="Times New Roman" w:hAnsi="Times New Roman" w:cs="Times New Roman" w:eastAsia="Times New Roman" w:hint="default"/>
          <w:spacing w:val="35"/>
        </w:rPr>
        <w:t> </w:t>
      </w:r>
      <w:r>
        <w:rPr/>
        <w:t>万股，占变更后股本的</w:t>
      </w:r>
    </w:p>
    <w:p>
      <w:pPr>
        <w:pStyle w:val="BodyText"/>
        <w:spacing w:line="300" w:lineRule="auto" w:before="13"/>
        <w:ind w:right="1128"/>
        <w:jc w:val="both"/>
      </w:pPr>
      <w:r>
        <w:rPr>
          <w:rFonts w:ascii="Times New Roman" w:hAnsi="Times New Roman" w:cs="Times New Roman" w:eastAsia="Times New Roman" w:hint="default"/>
        </w:rPr>
        <w:t>6.2500%</w:t>
      </w:r>
      <w:r>
        <w:rPr/>
        <w:t>；全国社会保障基金理事会转持一户持有</w:t>
      </w:r>
      <w:r>
        <w:rPr>
          <w:spacing w:val="-51"/>
        </w:rPr>
        <w:t> </w:t>
      </w:r>
      <w:r>
        <w:rPr>
          <w:rFonts w:ascii="Times New Roman" w:hAnsi="Times New Roman" w:cs="Times New Roman" w:eastAsia="Times New Roman" w:hint="default"/>
        </w:rPr>
        <w:t>104.5734</w:t>
      </w:r>
      <w:r>
        <w:rPr>
          <w:rFonts w:ascii="Times New Roman" w:hAnsi="Times New Roman" w:cs="Times New Roman" w:eastAsia="Times New Roman" w:hint="default"/>
          <w:spacing w:val="-5"/>
        </w:rPr>
        <w:t> </w:t>
      </w:r>
      <w:r>
        <w:rPr/>
        <w:t>万股，占变更后股本的</w:t>
      </w:r>
      <w:r>
        <w:rPr>
          <w:spacing w:val="-51"/>
        </w:rPr>
        <w:t> </w:t>
      </w:r>
      <w:r>
        <w:rPr>
          <w:rFonts w:ascii="Times New Roman" w:hAnsi="Times New Roman" w:cs="Times New Roman" w:eastAsia="Times New Roman" w:hint="default"/>
        </w:rPr>
        <w:t>1.3072%</w:t>
      </w:r>
      <w:r>
        <w:rPr/>
        <w:t>；员工持有</w:t>
      </w:r>
      <w:r>
        <w:rPr>
          <w:spacing w:val="-51"/>
        </w:rPr>
        <w:t> </w:t>
      </w:r>
      <w:r>
        <w:rPr>
          <w:rFonts w:ascii="Times New Roman" w:hAnsi="Times New Roman" w:cs="Times New Roman" w:eastAsia="Times New Roman" w:hint="default"/>
        </w:rPr>
        <w:t>1,101.1384</w:t>
      </w:r>
      <w:r>
        <w:rPr>
          <w:rFonts w:ascii="Times New Roman" w:hAnsi="Times New Roman" w:cs="Times New Roman" w:eastAsia="Times New Roman" w:hint="default"/>
          <w:spacing w:val="-5"/>
        </w:rPr>
        <w:t> </w:t>
      </w:r>
      <w:r>
        <w:rPr/>
        <w:t>万股，占 变更后股本的</w:t>
      </w:r>
      <w:r>
        <w:rPr>
          <w:spacing w:val="-31"/>
        </w:rPr>
        <w:t> </w:t>
      </w:r>
      <w:r>
        <w:rPr>
          <w:rFonts w:ascii="Times New Roman" w:hAnsi="Times New Roman" w:cs="Times New Roman" w:eastAsia="Times New Roman" w:hint="default"/>
        </w:rPr>
        <w:t>13.7642%</w:t>
      </w:r>
      <w:r>
        <w:rPr/>
        <w:t>；社会公众股持有</w:t>
      </w:r>
      <w:r>
        <w:rPr>
          <w:spacing w:val="-3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6"/>
        </w:rPr>
        <w:t> </w:t>
      </w:r>
      <w:r>
        <w:rPr/>
        <w:t>万股，占变更后股本的</w:t>
      </w:r>
      <w:r>
        <w:rPr>
          <w:spacing w:val="-31"/>
        </w:rPr>
        <w:t> </w:t>
      </w:r>
      <w:r>
        <w:rPr>
          <w:rFonts w:ascii="Times New Roman" w:hAnsi="Times New Roman" w:cs="Times New Roman" w:eastAsia="Times New Roman" w:hint="default"/>
        </w:rPr>
        <w:t>25%</w:t>
      </w:r>
      <w:r>
        <w:rPr/>
        <w:t>。上述增资业经致同会计师事务所（特殊普通 合伙）审验，并于</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日出具致同验字（</w:t>
      </w:r>
      <w:r>
        <w:rPr>
          <w:rFonts w:ascii="Times New Roman" w:hAnsi="Times New Roman" w:cs="Times New Roman" w:eastAsia="Times New Roman" w:hint="default"/>
        </w:rPr>
        <w:t>2016</w:t>
      </w:r>
      <w:r>
        <w:rPr/>
        <w:t>）第</w:t>
      </w:r>
      <w:r>
        <w:rPr>
          <w:spacing w:val="-42"/>
        </w:rPr>
        <w:t> </w:t>
      </w:r>
      <w:r>
        <w:rPr>
          <w:rFonts w:ascii="Times New Roman" w:hAnsi="Times New Roman" w:cs="Times New Roman" w:eastAsia="Times New Roman" w:hint="default"/>
        </w:rPr>
        <w:t>110ZC0705</w:t>
      </w:r>
      <w:r>
        <w:rPr>
          <w:rFonts w:ascii="Times New Roman" w:hAnsi="Times New Roman" w:cs="Times New Roman" w:eastAsia="Times New Roman" w:hint="default"/>
          <w:spacing w:val="5"/>
        </w:rPr>
        <w:t> </w:t>
      </w:r>
      <w:r>
        <w:rPr/>
        <w:t>号验资报告。本次发行完成后，公司于</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p>
    <w:p>
      <w:pPr>
        <w:pStyle w:val="BodyText"/>
        <w:spacing w:line="240" w:lineRule="auto" w:before="13"/>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23 </w:t>
      </w:r>
      <w:r>
        <w:rPr/>
        <w:t>日在深圳证券交易所上市交易，本公司于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日在北京市工商行政管理局办理了工商登记变更。</w:t>
      </w:r>
    </w:p>
    <w:p>
      <w:pPr>
        <w:pStyle w:val="BodyText"/>
        <w:spacing w:line="307" w:lineRule="auto" w:before="101"/>
        <w:ind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日，本公司根据第二届董事会第二十次会议决议，选举詹榜华先生为公司第二届董事会董事长，任期与 </w:t>
      </w:r>
      <w:r>
        <w:rPr>
          <w:spacing w:val="-2"/>
        </w:rPr>
        <w:t>第二届董事会董事任期一致。根据《北京数字认证股份有限公司章程》的规定，董事长为公司的法定代表人，故公司的法定</w:t>
      </w:r>
      <w:r>
        <w:rPr>
          <w:spacing w:val="-67"/>
        </w:rPr>
        <w:t> </w:t>
      </w:r>
      <w:r>
        <w:rPr>
          <w:spacing w:val="-67"/>
        </w:rPr>
      </w:r>
      <w:r>
        <w:rPr>
          <w:spacing w:val="12"/>
        </w:rPr>
        <w:t>代表人变更为詹榜华先生。本公司于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12"/>
        </w:rPr>
        <w:t>日在北京市工商管理局办理了工商登记变更，三证合一号为</w:t>
      </w:r>
      <w:r>
        <w:rPr/>
        <w:t> </w:t>
      </w:r>
      <w:r>
        <w:rPr>
          <w:rFonts w:ascii="Times New Roman" w:hAnsi="Times New Roman" w:cs="Times New Roman" w:eastAsia="Times New Roman" w:hint="default"/>
        </w:rPr>
        <w:t>91110108722619411A</w:t>
      </w:r>
      <w:r>
        <w:rPr>
          <w:rFonts w:ascii="Times New Roman" w:hAnsi="Times New Roman" w:cs="Times New Roman" w:eastAsia="Times New Roman" w:hint="default"/>
          <w:spacing w:val="10"/>
        </w:rPr>
        <w:t> </w:t>
      </w:r>
      <w:r>
        <w:rPr/>
        <w:t>。</w:t>
      </w:r>
    </w:p>
    <w:p>
      <w:pPr>
        <w:pStyle w:val="BodyText"/>
        <w:spacing w:line="240" w:lineRule="auto" w:before="48"/>
        <w:ind w:left="513" w:right="982"/>
        <w:jc w:val="left"/>
      </w:pP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日，本公司根据</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日通过的</w:t>
      </w:r>
      <w:r>
        <w:rPr>
          <w:spacing w:val="-49"/>
        </w:rPr>
        <w:t> </w:t>
      </w:r>
      <w:r>
        <w:rPr>
          <w:rFonts w:ascii="Times New Roman" w:hAnsi="Times New Roman" w:cs="Times New Roman" w:eastAsia="Times New Roman" w:hint="default"/>
        </w:rPr>
        <w:t>2017 </w:t>
      </w:r>
      <w:r>
        <w:rPr/>
        <w:t>年年度股东大会决议，以资本公积金向全体股东每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p>
    <w:p>
      <w:pPr>
        <w:pStyle w:val="BodyText"/>
        <w:spacing w:line="240" w:lineRule="auto" w:before="63"/>
        <w:ind w:right="0"/>
        <w:jc w:val="both"/>
      </w:pPr>
      <w:r>
        <w:rPr/>
        <w:t>转增</w:t>
      </w:r>
      <w:r>
        <w:rPr>
          <w:spacing w:val="-45"/>
        </w:rPr>
        <w:t> </w:t>
      </w:r>
      <w:r>
        <w:rPr>
          <w:rFonts w:ascii="Times New Roman" w:hAnsi="Times New Roman" w:cs="Times New Roman" w:eastAsia="Times New Roman" w:hint="default"/>
        </w:rPr>
        <w:t>5 </w:t>
      </w:r>
      <w:r>
        <w:rPr/>
        <w:t>股，转增后本公司股本总额为</w:t>
      </w:r>
      <w:r>
        <w:rPr>
          <w:spacing w:val="-45"/>
        </w:rPr>
        <w:t> </w:t>
      </w:r>
      <w:r>
        <w:rPr>
          <w:rFonts w:ascii="Times New Roman" w:hAnsi="Times New Roman" w:cs="Times New Roman" w:eastAsia="Times New Roman" w:hint="default"/>
        </w:rPr>
        <w:t>12,000.00 </w:t>
      </w:r>
      <w:r>
        <w:rPr/>
        <w:t>万股。本公司于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 </w:t>
      </w:r>
      <w:r>
        <w:rPr/>
        <w:t>日在北京市工商管理局办理了工商登记变更。</w:t>
      </w:r>
    </w:p>
    <w:p>
      <w:pPr>
        <w:pStyle w:val="BodyText"/>
        <w:spacing w:line="240" w:lineRule="auto" w:before="103"/>
        <w:ind w:left="513" w:right="982"/>
        <w:jc w:val="left"/>
      </w:pPr>
      <w:r>
        <w:rPr/>
        <w:t>本公司注册地址：北京市海淀区北四环西路</w:t>
      </w:r>
      <w:r>
        <w:rPr>
          <w:spacing w:val="-45"/>
        </w:rPr>
        <w:t> </w:t>
      </w:r>
      <w:r>
        <w:rPr>
          <w:rFonts w:ascii="Times New Roman" w:hAnsi="Times New Roman" w:cs="Times New Roman" w:eastAsia="Times New Roman" w:hint="default"/>
        </w:rPr>
        <w:t>68</w:t>
      </w:r>
      <w:r>
        <w:rPr>
          <w:rFonts w:ascii="Times New Roman" w:hAnsi="Times New Roman" w:cs="Times New Roman" w:eastAsia="Times New Roman" w:hint="default"/>
          <w:spacing w:val="-2"/>
        </w:rPr>
        <w:t> </w:t>
      </w:r>
      <w:r>
        <w:rPr/>
        <w:t>号</w:t>
      </w:r>
      <w:r>
        <w:rPr>
          <w:spacing w:val="-46"/>
        </w:rPr>
        <w:t> </w:t>
      </w:r>
      <w:r>
        <w:rPr>
          <w:rFonts w:ascii="Times New Roman" w:hAnsi="Times New Roman" w:cs="Times New Roman" w:eastAsia="Times New Roman" w:hint="default"/>
        </w:rPr>
        <w:t>1501</w:t>
      </w:r>
      <w:r>
        <w:rPr>
          <w:rFonts w:ascii="Times New Roman" w:hAnsi="Times New Roman" w:cs="Times New Roman" w:eastAsia="Times New Roman" w:hint="default"/>
          <w:spacing w:val="1"/>
        </w:rPr>
        <w:t> </w:t>
      </w:r>
      <w:r>
        <w:rPr/>
        <w:t>号。</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43" w:firstLine="360"/>
        <w:jc w:val="both"/>
      </w:pPr>
      <w:r>
        <w:rPr>
          <w:spacing w:val="-4"/>
        </w:rPr>
        <w:t>本公司建立了股东大会、董事会、监事会的法人治理结构，设置了区域销售、行业销售、营销管理中心、产品研发中心、</w:t>
      </w:r>
      <w:r>
        <w:rPr/>
        <w:t> 电子认证服务中心、董事会办公室、审计部、财务部、人力资源部、综合管理部、采购部等职能部门。</w:t>
      </w:r>
    </w:p>
    <w:p>
      <w:pPr>
        <w:pStyle w:val="BodyText"/>
        <w:spacing w:line="338" w:lineRule="auto" w:before="59"/>
        <w:ind w:left="513" w:right="982"/>
        <w:jc w:val="left"/>
      </w:pPr>
      <w:r>
        <w:rPr/>
        <w:t>本公司拥有</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个全资子公司，即安信天行、数字认证（武汉）、数字医信。</w:t>
      </w:r>
      <w:r>
        <w:rPr>
          <w:spacing w:val="-75"/>
        </w:rPr>
        <w:t> </w:t>
      </w:r>
      <w:r>
        <w:rPr>
          <w:spacing w:val="-75"/>
        </w:rPr>
      </w:r>
      <w:r>
        <w:rPr>
          <w:spacing w:val="-2"/>
        </w:rPr>
        <w:t>本公司及其子公司业务性质和主要经营活动：电子认证服务，数字证书方面的技术开发、技术服务、技术培训，计算机</w:t>
      </w:r>
    </w:p>
    <w:p>
      <w:pPr>
        <w:pStyle w:val="BodyText"/>
        <w:spacing w:line="360" w:lineRule="auto" w:before="2"/>
        <w:ind w:left="513" w:right="3019" w:hanging="361"/>
        <w:jc w:val="left"/>
      </w:pPr>
      <w:r>
        <w:rPr/>
        <w:t>通信网络安全系统的开发，计算机系统集成，销售开发后的产品。 本财务报表及财务报表附注业经本公司第三届董事会第十五次会议于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t>日批准。</w:t>
      </w:r>
    </w:p>
    <w:p>
      <w:pPr>
        <w:pStyle w:val="BodyText"/>
        <w:spacing w:line="415" w:lineRule="auto" w:before="83"/>
        <w:ind w:left="513" w:right="982"/>
        <w:jc w:val="left"/>
      </w:pPr>
      <w:r>
        <w:rPr>
          <w:rFonts w:ascii="Times New Roman" w:hAnsi="Times New Roman" w:cs="Times New Roman" w:eastAsia="Times New Roman" w:hint="default"/>
        </w:rPr>
        <w:t>2</w:t>
      </w:r>
      <w:r>
        <w:rPr/>
        <w:t>、合并财务报表范围 </w:t>
      </w:r>
      <w:r>
        <w:rPr>
          <w:spacing w:val="-2"/>
        </w:rPr>
        <w:t>本报告期的合并财务报表范围包括本公司、安信天行、数字认证（武汉）和数字医信，其中数字认证（武汉）和数字医</w:t>
      </w:r>
    </w:p>
    <w:p>
      <w:pPr>
        <w:pStyle w:val="BodyText"/>
        <w:spacing w:line="194" w:lineRule="exact"/>
        <w:ind w:right="982"/>
        <w:jc w:val="left"/>
      </w:pPr>
      <w:r>
        <w:rPr/>
        <w:t>信为报告期新设立子公司，情况详见</w:t>
      </w:r>
      <w:r>
        <w:rPr>
          <w:rFonts w:ascii="Times New Roman" w:hAnsi="Times New Roman" w:cs="Times New Roman" w:eastAsia="Times New Roman" w:hint="default"/>
        </w:rPr>
        <w:t>“</w:t>
      </w:r>
      <w:r>
        <w:rPr/>
        <w:t>附注八、合并范围的变动</w:t>
      </w:r>
      <w:r>
        <w:rPr>
          <w:rFonts w:ascii="Times New Roman" w:hAnsi="Times New Roman" w:cs="Times New Roman" w:eastAsia="Times New Roman" w:hint="default"/>
        </w:rPr>
        <w:t>”</w:t>
      </w:r>
      <w:r>
        <w:rPr/>
        <w:t>。本公司在其他主体中的权益情况详见本</w:t>
      </w:r>
      <w:r>
        <w:rPr>
          <w:rFonts w:ascii="Times New Roman" w:hAnsi="Times New Roman" w:cs="Times New Roman" w:eastAsia="Times New Roman" w:hint="default"/>
        </w:rPr>
        <w:t>“</w:t>
      </w:r>
      <w:r>
        <w:rPr/>
        <w:t>附注九、在其他</w:t>
      </w:r>
    </w:p>
    <w:p>
      <w:pPr>
        <w:pStyle w:val="BodyText"/>
        <w:spacing w:line="240" w:lineRule="auto" w:before="63"/>
        <w:ind w:right="982"/>
        <w:jc w:val="left"/>
      </w:pPr>
      <w:r>
        <w:rPr/>
        <w:t>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71" w:firstLine="360"/>
        <w:jc w:val="both"/>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）编制。此外， 本集团还按照中国证监会《公开发行证券的公司信息披露编报规则第</w:t>
      </w:r>
      <w:r>
        <w:rPr>
          <w:spacing w:val="-24"/>
        </w:rPr>
        <w:t> </w:t>
      </w:r>
      <w:r>
        <w:rPr>
          <w:rFonts w:ascii="Times New Roman" w:hAnsi="Times New Roman" w:cs="Times New Roman" w:eastAsia="Times New Roman" w:hint="default"/>
        </w:rPr>
        <w:t>15</w:t>
      </w:r>
      <w:r>
        <w:rPr>
          <w:rFonts w:ascii="Times New Roman" w:hAnsi="Times New Roman" w:cs="Times New Roman" w:eastAsia="Times New Roman" w:hint="default"/>
          <w:spacing w:val="21"/>
        </w:rPr>
        <w:t> </w:t>
      </w:r>
      <w:r>
        <w:rPr>
          <w:spacing w:val="-6"/>
        </w:rPr>
        <w:t>号</w:t>
      </w:r>
      <w:r>
        <w:rPr>
          <w:rFonts w:ascii="Times New Roman" w:hAnsi="Times New Roman" w:cs="Times New Roman" w:eastAsia="Times New Roman" w:hint="default"/>
          <w:spacing w:val="-6"/>
        </w:rPr>
        <w:t>—</w:t>
      </w:r>
      <w:r>
        <w:rPr>
          <w:spacing w:val="-6"/>
        </w:rPr>
        <w:t>财务报告的一般规定》（</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21"/>
        </w:rPr>
        <w:t> </w:t>
      </w:r>
      <w:r>
        <w:rPr>
          <w:spacing w:val="-1"/>
        </w:rPr>
        <w:t>年修订）披露有</w:t>
      </w:r>
      <w:r>
        <w:rPr>
          <w:spacing w:val="-86"/>
        </w:rPr>
        <w:t> </w:t>
      </w:r>
      <w:r>
        <w:rPr>
          <w:spacing w:val="-86"/>
        </w:rPr>
      </w:r>
      <w:r>
        <w:rPr/>
        <w:t>关财务信息。</w:t>
      </w:r>
    </w:p>
    <w:p>
      <w:pPr>
        <w:pStyle w:val="BodyText"/>
        <w:spacing w:line="357" w:lineRule="auto" w:before="72"/>
        <w:ind w:left="513" w:right="1033"/>
        <w:jc w:val="left"/>
      </w:pPr>
      <w:r>
        <w:rPr/>
        <w:t>本财务报表以持续经营为基础列报。 本集团会计核算以权责发生制为基础。除某些金融工具外，本财务报表均以历史成本为计量基础。资产如果发生减值，</w:t>
      </w:r>
    </w:p>
    <w:p>
      <w:pPr>
        <w:pStyle w:val="BodyText"/>
        <w:spacing w:line="224" w:lineRule="exact"/>
        <w:ind w:right="982"/>
        <w:jc w:val="left"/>
      </w:pPr>
      <w:r>
        <w:rPr/>
        <w:t>则按照相关规定计提相应的减值准备。</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2" w:firstLine="360"/>
        <w:jc w:val="both"/>
      </w:pPr>
      <w:r>
        <w:rPr/>
        <w:t>本公司自本报告期末至少</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个月内具备持续经营能力，</w:t>
      </w:r>
      <w:r>
        <w:rPr>
          <w:spacing w:val="-56"/>
        </w:rPr>
        <w:t> </w:t>
      </w:r>
      <w:r>
        <w:rPr/>
        <w:t>无影响持续经营能力的重大事项，本公司以持续经营为基础编</w:t>
      </w:r>
      <w:r>
        <w:rPr/>
        <w:t> 制财务报表是合理的。</w:t>
      </w:r>
    </w:p>
    <w:p>
      <w:pPr>
        <w:spacing w:line="240" w:lineRule="auto" w:before="11"/>
        <w:rPr>
          <w:rFonts w:ascii="宋体" w:hAnsi="宋体" w:cs="宋体" w:eastAsia="宋体" w:hint="default"/>
          <w:sz w:val="21"/>
          <w:szCs w:val="21"/>
        </w:rPr>
      </w:pPr>
    </w:p>
    <w:p>
      <w:pPr>
        <w:pStyle w:val="Heading2"/>
        <w:spacing w:line="240" w:lineRule="auto"/>
        <w:ind w:right="982"/>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7333"/>
        <w:jc w:val="left"/>
      </w:pPr>
      <w:r>
        <w:rPr/>
        <w:t>公司是否需要遵守特殊行业的披露要求 是</w:t>
      </w:r>
    </w:p>
    <w:p>
      <w:pPr>
        <w:pStyle w:val="BodyText"/>
        <w:spacing w:line="357" w:lineRule="auto" w:before="27"/>
        <w:ind w:left="513" w:right="7873"/>
        <w:jc w:val="left"/>
      </w:pPr>
      <w:r>
        <w:rPr/>
        <w:t>软件与信息技术服务业 具体会计政策和会计估计提示：</w:t>
      </w:r>
    </w:p>
    <w:p>
      <w:pPr>
        <w:pStyle w:val="BodyText"/>
        <w:spacing w:line="316" w:lineRule="auto" w:before="29"/>
        <w:ind w:right="1133" w:firstLine="360"/>
        <w:jc w:val="both"/>
      </w:pPr>
      <w:r>
        <w:rPr>
          <w:spacing w:val="-2"/>
        </w:rPr>
        <w:t>本集团根据自身生产经营特点，确定固定资产折旧、无形资产摊销、研发费用资本化条件以及收入确认政策，具体会计</w:t>
      </w:r>
      <w:r>
        <w:rPr/>
        <w:t> 政策参见附注五、</w:t>
      </w:r>
      <w:r>
        <w:rPr>
          <w:rFonts w:ascii="Times New Roman" w:hAnsi="Times New Roman" w:cs="Times New Roman" w:eastAsia="Times New Roman" w:hint="default"/>
        </w:rPr>
        <w:t>15</w:t>
      </w:r>
      <w:r>
        <w:rPr/>
        <w:t>、附注五、</w:t>
      </w:r>
      <w:r>
        <w:rPr>
          <w:rFonts w:ascii="Times New Roman" w:hAnsi="Times New Roman" w:cs="Times New Roman" w:eastAsia="Times New Roman" w:hint="default"/>
        </w:rPr>
        <w:t>18</w:t>
      </w:r>
      <w:r>
        <w:rPr/>
        <w:t>、附注五、</w:t>
      </w:r>
      <w:r>
        <w:rPr>
          <w:rFonts w:ascii="Times New Roman" w:hAnsi="Times New Roman" w:cs="Times New Roman" w:eastAsia="Times New Roman" w:hint="default"/>
        </w:rPr>
        <w:t>18</w:t>
      </w:r>
      <w:r>
        <w:rPr/>
        <w:t>（</w:t>
      </w:r>
      <w:r>
        <w:rPr>
          <w:rFonts w:ascii="Times New Roman" w:hAnsi="Times New Roman" w:cs="Times New Roman" w:eastAsia="Times New Roman" w:hint="default"/>
        </w:rPr>
        <w:t>2</w:t>
      </w:r>
      <w:r>
        <w:rPr/>
        <w:t>）和附注五、</w:t>
      </w:r>
      <w:r>
        <w:rPr>
          <w:rFonts w:ascii="Times New Roman" w:hAnsi="Times New Roman" w:cs="Times New Roman" w:eastAsia="Times New Roman" w:hint="default"/>
        </w:rPr>
        <w:t>24</w:t>
      </w:r>
      <w:r>
        <w:rPr/>
        <w:t>。</w:t>
      </w:r>
    </w:p>
    <w:p>
      <w:pPr>
        <w:spacing w:line="240" w:lineRule="auto" w:before="4"/>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rPr>
          <w:rFonts w:ascii="Times New Roman" w:hAnsi="Times New Roman" w:cs="Times New Roman" w:eastAsia="Times New Roman" w:hint="default"/>
        </w:rPr>
      </w:pPr>
      <w:r>
        <w:rPr/>
        <w:t>本财务报表符合企业会计准则的要求，真实、完整地反映了本公司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日的合并及公司财务状况以及</w:t>
      </w:r>
      <w:r>
        <w:rPr>
          <w:spacing w:val="-51"/>
        </w:rPr>
        <w:t> </w:t>
      </w:r>
      <w:r>
        <w:rPr>
          <w:rFonts w:ascii="Times New Roman" w:hAnsi="Times New Roman" w:cs="Times New Roman" w:eastAsia="Times New Roman" w:hint="default"/>
        </w:rPr>
        <w:t>2018</w:t>
      </w:r>
    </w:p>
    <w:p>
      <w:pPr>
        <w:pStyle w:val="BodyText"/>
        <w:spacing w:line="240" w:lineRule="auto" w:before="63"/>
        <w:ind w:right="982"/>
        <w:jc w:val="left"/>
      </w:pPr>
      <w:r>
        <w:rPr/>
        <w:t>年度的合并及公司经营成果和合并及公司现金流量等有关信息。</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本集团会计期间采用公历年度，即每年自</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本集团的营业周期为</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本公司及境内子公司以人民币为记账本位币。本集团编制本财务报表时所采用的货币为人民币。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3"/>
        <w:ind w:left="513" w:right="982"/>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w:t>
      </w:r>
    </w:p>
    <w:p>
      <w:pPr>
        <w:pStyle w:val="BodyText"/>
        <w:spacing w:line="316" w:lineRule="auto" w:before="76"/>
        <w:ind w:right="982"/>
        <w:jc w:val="left"/>
      </w:pPr>
      <w:r>
        <w:rPr>
          <w:spacing w:val="-2"/>
        </w:rPr>
        <w:t>合并日被合并方在最终控制方合并财务报表中的账面价值计量。合并对价的账面价值与合并中取得的净资产账面价值的差额</w:t>
      </w:r>
      <w:r>
        <w:rPr>
          <w:spacing w:val="-64"/>
        </w:rPr>
        <w:t> </w:t>
      </w:r>
      <w:r>
        <w:rPr>
          <w:spacing w:val="-64"/>
        </w:rPr>
      </w:r>
      <w:r>
        <w:rPr/>
        <w:t>调整资本公积，资本公积不足冲减的，调整留存收益。</w:t>
      </w:r>
    </w:p>
    <w:p>
      <w:pPr>
        <w:pStyle w:val="BodyText"/>
        <w:spacing w:line="432" w:lineRule="exact" w:before="3"/>
        <w:ind w:left="513" w:right="982"/>
        <w:jc w:val="left"/>
      </w:pPr>
      <w:r>
        <w:rPr/>
        <w:t>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316" w:lineRule="auto" w:before="15"/>
        <w:ind w:right="982"/>
        <w:jc w:val="left"/>
      </w:pPr>
      <w:r>
        <w:rPr>
          <w:spacing w:val="-2"/>
        </w:rPr>
        <w:t>份额作为该项投资的初始投资成本；初始投资成本与合并前持有投资的账面价值加上合并日新支付对价的账面价值之和的差</w:t>
      </w:r>
      <w:r>
        <w:rPr>
          <w:spacing w:val="-64"/>
        </w:rPr>
        <w:t> </w:t>
      </w:r>
      <w:r>
        <w:rPr>
          <w:spacing w:val="-64"/>
        </w:rPr>
      </w:r>
      <w:r>
        <w:rPr/>
        <w:t>额，调整资本公积，资本公积不足冲减的，调整留存收益。</w:t>
      </w:r>
    </w:p>
    <w:p>
      <w:pPr>
        <w:pStyle w:val="BodyText"/>
        <w:spacing w:line="316" w:lineRule="auto" w:before="59"/>
        <w:ind w:right="1132"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取得的净资产账面价值的差额，调整资本公积，资本公积不足冲减的，调整留存收益。合并方在取得被合并方控制权之前持</w:t>
      </w:r>
      <w:r>
        <w:rPr>
          <w:spacing w:val="-66"/>
        </w:rPr>
        <w:t> </w:t>
      </w:r>
      <w:r>
        <w:rPr>
          <w:spacing w:val="-66"/>
        </w:rPr>
      </w:r>
      <w:r>
        <w:rPr>
          <w:spacing w:val="-2"/>
        </w:rPr>
        <w:t>有的长期股权投资，在取得原股权之日与合并方与被合并方同处于同一方最终控制之日孰晚日起至合并日之间已确认有关损</w:t>
      </w:r>
      <w:r>
        <w:rPr>
          <w:spacing w:val="-64"/>
        </w:rPr>
        <w:t> </w:t>
      </w:r>
      <w:r>
        <w:rPr>
          <w:spacing w:val="-64"/>
        </w:rPr>
      </w:r>
      <w:r>
        <w:rPr/>
        <w:t>益、其他综合收益和其他所有者权益变动，应分别冲减比较报表期间的期初留存收益或当期损益。</w:t>
      </w:r>
    </w:p>
    <w:p>
      <w:pPr>
        <w:pStyle w:val="BodyText"/>
        <w:spacing w:line="240" w:lineRule="auto" w:before="136"/>
        <w:ind w:left="513" w:right="982"/>
        <w:jc w:val="left"/>
      </w:pPr>
      <w:r>
        <w:rPr/>
        <w:t>（</w:t>
      </w:r>
      <w:r>
        <w:rPr>
          <w:rFonts w:ascii="Times New Roman" w:hAnsi="Times New Roman" w:cs="Times New Roman" w:eastAsia="Times New Roman" w:hint="default"/>
        </w:rPr>
        <w:t>2</w:t>
      </w:r>
      <w:r>
        <w:rPr/>
        <w:t>）非同一控制下的企业合并</w:t>
      </w:r>
    </w:p>
    <w:p>
      <w:pPr>
        <w:spacing w:line="240" w:lineRule="auto" w:before="2"/>
        <w:rPr>
          <w:rFonts w:ascii="宋体" w:hAnsi="宋体" w:cs="宋体" w:eastAsia="宋体" w:hint="default"/>
          <w:sz w:val="14"/>
          <w:szCs w:val="14"/>
        </w:rPr>
      </w:pPr>
    </w:p>
    <w:p>
      <w:pPr>
        <w:pStyle w:val="BodyText"/>
        <w:spacing w:line="316" w:lineRule="auto"/>
        <w:ind w:right="982" w:firstLine="360"/>
        <w:jc w:val="left"/>
      </w:pPr>
      <w:r>
        <w:rPr>
          <w:spacing w:val="-2"/>
        </w:rPr>
        <w:t>对于非同一控制下的企业合并，合并成本为购买日为取得对被购买方的控制权而付出的资产、发生或承担的负债以及发</w:t>
      </w:r>
      <w:r>
        <w:rPr/>
        <w:t> 行的权益性证券的公允价值。在购买日，取得的被购买方的资产、负债及或有负债按公允价值确认。</w:t>
      </w:r>
    </w:p>
    <w:p>
      <w:pPr>
        <w:pStyle w:val="BodyText"/>
        <w:spacing w:line="316" w:lineRule="auto" w:before="58"/>
        <w:ind w:right="982" w:firstLine="360"/>
        <w:jc w:val="left"/>
      </w:pPr>
      <w:r>
        <w:rPr>
          <w:spacing w:val="-2"/>
        </w:rPr>
        <w:t>对合并成本大于合并中取得的被购买方可辨认净资产公允价值份额的差额，确认为商誉，按成本扣除累计减值准备进行</w:t>
      </w:r>
      <w:r>
        <w:rPr/>
        <w:t> 后续计量；对合并成本小于合并中取得的被购买方可辨认净资产公允价值份额的差额，经复核后计入当期损益。</w:t>
      </w:r>
    </w:p>
    <w:p>
      <w:pPr>
        <w:pStyle w:val="BodyText"/>
        <w:spacing w:line="432" w:lineRule="exact" w:before="3"/>
        <w:ind w:left="513" w:right="982"/>
        <w:jc w:val="left"/>
      </w:pPr>
      <w:r>
        <w:rPr/>
        <w:t>通过多次交易分步实现非同一控制下的企业合并 </w:t>
      </w:r>
      <w:r>
        <w:rPr>
          <w:spacing w:val="-2"/>
        </w:rPr>
        <w:t>在个别财务报表中，以购买日之前所持被购买方的股权投资的账面价值与购买日新增投资成本之和，作为该项投资的初</w:t>
      </w:r>
    </w:p>
    <w:p>
      <w:pPr>
        <w:pStyle w:val="BodyText"/>
        <w:spacing w:line="316" w:lineRule="auto" w:before="15"/>
        <w:ind w:right="982"/>
        <w:jc w:val="left"/>
      </w:pPr>
      <w:r>
        <w:rPr>
          <w:spacing w:val="-4"/>
        </w:rPr>
        <w:t>始投资成本。购买日之前持有的股权投资因采用权益法核算而确认的其他综合收益，购买日对这部分其他综合收益不作处理，</w:t>
      </w:r>
      <w:r>
        <w:rPr>
          <w:spacing w:val="-44"/>
        </w:rPr>
        <w:t> </w:t>
      </w:r>
      <w:r>
        <w:rPr>
          <w:spacing w:val="-44"/>
        </w:rPr>
      </w:r>
      <w:r>
        <w:rPr>
          <w:spacing w:val="-2"/>
        </w:rPr>
        <w:t>在处置该项投资时采用与被投资单位直接处置相关资产或负债相同的基础进行会计处理；因被投资方除净损益、其他综合收</w:t>
      </w:r>
      <w:r>
        <w:rPr>
          <w:spacing w:val="-64"/>
        </w:rPr>
        <w:t> </w:t>
      </w:r>
      <w:r>
        <w:rPr>
          <w:spacing w:val="-64"/>
        </w:rPr>
      </w:r>
      <w:r>
        <w:rPr>
          <w:spacing w:val="-2"/>
        </w:rPr>
        <w:t>益和利润分配以外的其他所有者权益变动而确认的所有者权益，在处置该项投资时转入处置期间的当期损益。购买日之前持</w:t>
      </w:r>
      <w:r>
        <w:rPr>
          <w:spacing w:val="-64"/>
        </w:rPr>
        <w:t> </w:t>
      </w:r>
      <w:r>
        <w:rPr>
          <w:spacing w:val="-64"/>
        </w:rPr>
      </w:r>
      <w:r>
        <w:rPr/>
        <w:t>有的股权投资采用公允价值计量的，原计入其他综合收益的累计公允价值变动在改按成本法核算时转入当期损益。</w:t>
      </w:r>
    </w:p>
    <w:p>
      <w:pPr>
        <w:pStyle w:val="BodyText"/>
        <w:spacing w:line="319" w:lineRule="auto" w:before="59"/>
        <w:ind w:right="1034" w:firstLine="360"/>
        <w:jc w:val="left"/>
      </w:pPr>
      <w:r>
        <w:rPr/>
        <w:t>在合并财务报表中，合并成本为购买日支付的对价与购买日之前已经持有的被购买方的股权在购买日的公允价值之和。 </w:t>
      </w:r>
      <w:r>
        <w:rPr>
          <w:spacing w:val="-2"/>
        </w:rPr>
        <w:t>对于购买日之前已经持有的被购买方的股权，按照该股权在购买日的公允价值进行重新计量，公允价值与其账面价值之间的</w:t>
      </w:r>
      <w:r>
        <w:rPr>
          <w:spacing w:val="-64"/>
        </w:rPr>
        <w:t> </w:t>
      </w:r>
      <w:r>
        <w:rPr>
          <w:spacing w:val="-64"/>
        </w:rPr>
      </w:r>
      <w:r>
        <w:rPr/>
        <w:t>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spacing w:after="0" w:line="319"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w:t>
      </w:r>
      <w:r>
        <w:rPr>
          <w:rFonts w:ascii="Times New Roman" w:hAnsi="Times New Roman" w:cs="Times New Roman" w:eastAsia="Times New Roman" w:hint="default"/>
        </w:rPr>
        <w:t>3</w:t>
      </w:r>
      <w:r>
        <w:rPr/>
        <w:t>）企业合并中有关交易费用的处理</w:t>
      </w:r>
    </w:p>
    <w:p>
      <w:pPr>
        <w:spacing w:line="240" w:lineRule="auto" w:before="13"/>
        <w:rPr>
          <w:rFonts w:ascii="宋体" w:hAnsi="宋体" w:cs="宋体" w:eastAsia="宋体" w:hint="default"/>
          <w:sz w:val="13"/>
          <w:szCs w:val="13"/>
        </w:rPr>
      </w:pPr>
    </w:p>
    <w:p>
      <w:pPr>
        <w:pStyle w:val="BodyText"/>
        <w:spacing w:line="316" w:lineRule="auto"/>
        <w:ind w:right="982" w:firstLine="360"/>
        <w:jc w:val="left"/>
      </w:pPr>
      <w:r>
        <w:rPr>
          <w:spacing w:val="-2"/>
        </w:rPr>
        <w:t>为进行企业合并发生的审计、法律服务、评估咨询等中介费用以及其他相关管理费用，于发生时计入当期损益。作为合</w:t>
      </w:r>
      <w:r>
        <w:rPr/>
        <w:t> 并对价发行的权益性证券或债务性证券的交易费用，计入权益性证券或债务性证券的初始确认金额。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420" w:lineRule="atLeast" w:before="173"/>
        <w:ind w:left="513" w:right="982"/>
        <w:jc w:val="left"/>
      </w:pPr>
      <w:r>
        <w:rPr/>
        <w:t>（</w:t>
      </w:r>
      <w:r>
        <w:rPr>
          <w:rFonts w:ascii="Times New Roman" w:hAnsi="Times New Roman" w:cs="Times New Roman" w:eastAsia="Times New Roman" w:hint="default"/>
        </w:rPr>
        <w:t>1</w:t>
      </w:r>
      <w:r>
        <w:rPr/>
        <w:t>）合并范围 </w:t>
      </w:r>
      <w:r>
        <w:rPr>
          <w:spacing w:val="-2"/>
        </w:rPr>
        <w:t>合并财务报表的合并范围以控制为基础予以确定。控制，是指本公司拥有对被投资单位的权力，通过参与被投资单位的</w:t>
      </w:r>
    </w:p>
    <w:p>
      <w:pPr>
        <w:pStyle w:val="BodyText"/>
        <w:spacing w:line="316" w:lineRule="auto" w:before="76"/>
        <w:ind w:right="1131"/>
        <w:jc w:val="both"/>
      </w:pPr>
      <w:r>
        <w:rPr>
          <w:spacing w:val="-2"/>
        </w:rPr>
        <w:t>相关活动而享有可变回报，并且有能力运用对被投资单位的权力影响其回报金额。子公司，是指被本公司控制的主体（含企</w:t>
      </w:r>
      <w:r>
        <w:rPr>
          <w:spacing w:val="-64"/>
        </w:rPr>
        <w:t> </w:t>
      </w:r>
      <w:r>
        <w:rPr>
          <w:spacing w:val="-64"/>
        </w:rPr>
      </w:r>
      <w:r>
        <w:rPr>
          <w:spacing w:val="-4"/>
        </w:rPr>
        <w:t>业、被投资单位中可分割的部分、结构化主体等）。</w:t>
      </w:r>
    </w:p>
    <w:p>
      <w:pPr>
        <w:pStyle w:val="BodyText"/>
        <w:spacing w:line="240" w:lineRule="auto" w:before="137"/>
        <w:ind w:left="513" w:right="982"/>
        <w:jc w:val="left"/>
      </w:pPr>
      <w:r>
        <w:rPr/>
        <w:t>（</w:t>
      </w:r>
      <w:r>
        <w:rPr>
          <w:rFonts w:ascii="Times New Roman" w:hAnsi="Times New Roman" w:cs="Times New Roman" w:eastAsia="Times New Roman" w:hint="default"/>
        </w:rPr>
        <w:t>2</w:t>
      </w:r>
      <w:r>
        <w:rPr/>
        <w:t>）合并财务报表的编制方法</w:t>
      </w:r>
    </w:p>
    <w:p>
      <w:pPr>
        <w:spacing w:line="240" w:lineRule="auto" w:before="2"/>
        <w:rPr>
          <w:rFonts w:ascii="宋体" w:hAnsi="宋体" w:cs="宋体" w:eastAsia="宋体" w:hint="default"/>
          <w:sz w:val="14"/>
          <w:szCs w:val="14"/>
        </w:rPr>
      </w:pPr>
    </w:p>
    <w:p>
      <w:pPr>
        <w:pStyle w:val="BodyText"/>
        <w:spacing w:line="316" w:lineRule="auto"/>
        <w:ind w:right="982" w:firstLine="360"/>
        <w:jc w:val="left"/>
      </w:pPr>
      <w:r>
        <w:rPr>
          <w:spacing w:val="-2"/>
        </w:rPr>
        <w:t>合并财务报表以本公司和子公司的财务报表为基础，根据其他有关资料，由本公司编制。在编制合并财务报表时，本公</w:t>
      </w:r>
      <w:r>
        <w:rPr/>
        <w:t> 司和子公司的会计政策和会计期间要求保持一致，公司间的重大交易和往来余额予以抵销。</w:t>
      </w:r>
    </w:p>
    <w:p>
      <w:pPr>
        <w:pStyle w:val="BodyText"/>
        <w:spacing w:line="316" w:lineRule="auto" w:before="57"/>
        <w:ind w:right="982" w:firstLine="360"/>
        <w:jc w:val="left"/>
      </w:pPr>
      <w:r>
        <w:rPr>
          <w:spacing w:val="-2"/>
        </w:rPr>
        <w:t>在报告期内因同一控制下企业合并增加的子公司以及业务，视同该子公司以及业务自同受最终控制方控制之日起纳入本</w:t>
      </w:r>
      <w:r>
        <w:rPr/>
        <w:t> 公司的合并范围，将其自同受最终控制方控制之日起的经营成果、现金流量分别纳入合并利润表、合并现金流量表中。</w:t>
      </w:r>
    </w:p>
    <w:p>
      <w:pPr>
        <w:pStyle w:val="BodyText"/>
        <w:spacing w:line="316" w:lineRule="auto" w:before="59"/>
        <w:ind w:right="1034" w:firstLine="360"/>
        <w:jc w:val="left"/>
      </w:pPr>
      <w:r>
        <w:rPr/>
        <w:t>在报告期内因非同一控制下企业合并增加的子公司以及业务，将该子公司以及业务自购买日至报告期末的收入、费用、 利润纳入合并利润表，将其现金流量纳入合并现金流量表。</w:t>
      </w:r>
    </w:p>
    <w:p>
      <w:pPr>
        <w:pStyle w:val="BodyText"/>
        <w:spacing w:line="309" w:lineRule="auto" w:before="59"/>
        <w:ind w:right="1132" w:firstLine="360"/>
        <w:jc w:val="both"/>
      </w:pPr>
      <w:r>
        <w:rPr>
          <w:spacing w:val="-2"/>
        </w:rPr>
        <w:t>子公司的股东权益中不属于本公司所拥有的部分，作为少数股东权益在合并资产负债表中股东权益项下单独列示；子公</w:t>
      </w:r>
      <w:r>
        <w:rPr/>
        <w:t> </w:t>
      </w:r>
      <w:r>
        <w:rPr>
          <w:spacing w:val="-2"/>
        </w:rPr>
        <w:t>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w:t>
      </w:r>
      <w:r>
        <w:rPr>
          <w:spacing w:val="-46"/>
        </w:rPr>
        <w:t> </w:t>
      </w:r>
      <w:r>
        <w:rPr>
          <w:spacing w:val="-46"/>
        </w:rPr>
      </w:r>
      <w:r>
        <w:rPr/>
        <w:t>司的亏损超过了少数股东在该子公司期初所有者权益中所享有的份额，其余额仍冲减少数股东权益。</w:t>
      </w:r>
    </w:p>
    <w:p>
      <w:pPr>
        <w:pStyle w:val="BodyText"/>
        <w:spacing w:line="434" w:lineRule="exact" w:before="5"/>
        <w:ind w:left="513" w:right="982"/>
        <w:jc w:val="left"/>
      </w:pPr>
      <w:r>
        <w:rPr/>
        <w:t>（</w:t>
      </w:r>
      <w:r>
        <w:rPr>
          <w:rFonts w:ascii="Times New Roman" w:hAnsi="Times New Roman" w:cs="Times New Roman" w:eastAsia="Times New Roman" w:hint="default"/>
        </w:rPr>
        <w:t>3</w:t>
      </w:r>
      <w:r>
        <w:rPr/>
        <w:t>）购买子公司少数股东股权 因购买少数股权新取得的长期股权投资成本与按照新增持股比例计算应享有子公司自购买日或合并日开始持续计算的</w:t>
      </w:r>
    </w:p>
    <w:p>
      <w:pPr>
        <w:pStyle w:val="BodyText"/>
        <w:spacing w:line="316" w:lineRule="auto" w:before="15"/>
        <w:ind w:right="1131"/>
        <w:jc w:val="both"/>
      </w:pPr>
      <w:r>
        <w:rPr>
          <w:spacing w:val="-2"/>
        </w:rPr>
        <w:t>净资产份额之间的差额，以及在不丧失控制权的情况下因部分处置对子公司的股权投资而取得的处置价款与处置长期股权投</w:t>
      </w:r>
      <w:r>
        <w:rPr>
          <w:spacing w:val="-64"/>
        </w:rPr>
        <w:t> </w:t>
      </w:r>
      <w:r>
        <w:rPr>
          <w:spacing w:val="-64"/>
        </w:rPr>
      </w:r>
      <w:r>
        <w:rPr>
          <w:spacing w:val="-2"/>
        </w:rPr>
        <w:t>资相对应享有子公司自购买日或合并日开始持续计算的净资产份额之间的差额，均调整合并资产负债表中的资本公积，资本</w:t>
      </w:r>
      <w:r>
        <w:rPr>
          <w:spacing w:val="-63"/>
        </w:rPr>
        <w:t> </w:t>
      </w:r>
      <w:r>
        <w:rPr>
          <w:spacing w:val="-63"/>
        </w:rPr>
      </w:r>
      <w:r>
        <w:rPr/>
        <w:t>公积不足冲减的，调整留存收益。</w:t>
      </w:r>
    </w:p>
    <w:p>
      <w:pPr>
        <w:pStyle w:val="BodyText"/>
        <w:spacing w:line="240" w:lineRule="auto" w:before="136"/>
        <w:ind w:left="513" w:right="982"/>
        <w:jc w:val="left"/>
      </w:pPr>
      <w:r>
        <w:rPr/>
        <w:t>（</w:t>
      </w:r>
      <w:r>
        <w:rPr>
          <w:rFonts w:ascii="Times New Roman" w:hAnsi="Times New Roman" w:cs="Times New Roman" w:eastAsia="Times New Roman" w:hint="default"/>
        </w:rPr>
        <w:t>4</w:t>
      </w:r>
      <w:r>
        <w:rPr/>
        <w:t>）丧失子公司控制权的处理</w:t>
      </w:r>
    </w:p>
    <w:p>
      <w:pPr>
        <w:spacing w:line="240" w:lineRule="auto" w:before="2"/>
        <w:rPr>
          <w:rFonts w:ascii="宋体" w:hAnsi="宋体" w:cs="宋体" w:eastAsia="宋体" w:hint="default"/>
          <w:sz w:val="14"/>
          <w:szCs w:val="14"/>
        </w:rPr>
      </w:pPr>
    </w:p>
    <w:p>
      <w:pPr>
        <w:pStyle w:val="BodyText"/>
        <w:spacing w:line="319" w:lineRule="auto"/>
        <w:ind w:right="1132" w:firstLine="360"/>
        <w:jc w:val="both"/>
      </w:pPr>
      <w:r>
        <w:rPr>
          <w:spacing w:val="-2"/>
        </w:rPr>
        <w:t>因处置部分股权投资或其他原因丧失了对原有子公司控制权的，剩余股权按照其在丧失控制权日的公允价值进行重新计</w:t>
      </w:r>
      <w:r>
        <w:rPr/>
        <w:t> </w:t>
      </w:r>
      <w:r>
        <w:rPr>
          <w:spacing w:val="-2"/>
        </w:rPr>
        <w:t>量；处置股权取得的对价与剩余股权公允价值之和，减去按原持股比例计算应享有原有子公司自购买日开始持续计算的净资</w:t>
      </w:r>
      <w:r>
        <w:rPr>
          <w:spacing w:val="-64"/>
        </w:rPr>
        <w:t> </w:t>
      </w:r>
      <w:r>
        <w:rPr>
          <w:spacing w:val="-64"/>
        </w:rPr>
      </w:r>
      <w:r>
        <w:rPr/>
        <w:t>产账面价值的份额与商誉之和，形成的差额计入丧失控制权当期的投资收益。</w:t>
      </w:r>
    </w:p>
    <w:p>
      <w:pPr>
        <w:pStyle w:val="BodyText"/>
        <w:spacing w:line="316" w:lineRule="auto" w:before="55"/>
        <w:ind w:right="982" w:firstLine="360"/>
        <w:jc w:val="left"/>
      </w:pPr>
      <w:r>
        <w:rPr>
          <w:spacing w:val="-2"/>
        </w:rPr>
        <w:t>与原有子公司的股权投资相关的其他综合收益等，在丧失控制权时转入当期损益，由于被投资方重新计量设定收益计划</w:t>
      </w:r>
      <w:r>
        <w:rPr/>
        <w:t> 净负债或净资产变动而产生的其他综合收益除外。</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合营安排，是指一项由两个或两个以上的参与方共同控制的安排。本集团合营安排分为共同经营和合营企业。</w:t>
      </w:r>
    </w:p>
    <w:p>
      <w:pPr>
        <w:spacing w:line="240" w:lineRule="auto" w:before="11"/>
        <w:rPr>
          <w:rFonts w:ascii="宋体" w:hAnsi="宋体" w:cs="宋体" w:eastAsia="宋体" w:hint="default"/>
          <w:sz w:val="14"/>
          <w:szCs w:val="14"/>
        </w:rPr>
      </w:pPr>
    </w:p>
    <w:p>
      <w:pPr>
        <w:pStyle w:val="BodyText"/>
        <w:spacing w:line="417" w:lineRule="auto"/>
        <w:ind w:left="513" w:right="4273"/>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217" w:lineRule="exact"/>
        <w:ind w:left="513" w:right="982"/>
        <w:jc w:val="left"/>
      </w:pPr>
      <w:r>
        <w:rPr/>
        <w:t>本集团确认与共同经营中利益份额相关的下列项目，并按照相关企业会计准则的规定进行会计处理：</w:t>
      </w:r>
    </w:p>
    <w:p>
      <w:pPr>
        <w:pStyle w:val="BodyText"/>
        <w:spacing w:line="340" w:lineRule="auto" w:before="117"/>
        <w:ind w:left="513" w:right="5223"/>
        <w:jc w:val="left"/>
      </w:pP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38" w:lineRule="auto" w:before="44"/>
        <w:ind w:left="513" w:right="4883"/>
        <w:jc w:val="left"/>
      </w:pP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415" w:lineRule="auto" w:before="101"/>
        <w:ind w:left="513" w:right="5353"/>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21" w:lineRule="exact"/>
        <w:ind w:left="513" w:right="982"/>
        <w:jc w:val="left"/>
      </w:pPr>
      <w:r>
        <w:rPr/>
        <w:t>本集团按照长期股权投资有关权益法核算的规定对合营企业的投资进行会计处理。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82" w:firstLine="360"/>
        <w:jc w:val="left"/>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82"/>
        <w:jc w:val="left"/>
      </w:pPr>
      <w:r>
        <w:rPr/>
        <w:t>本集团发生外币业务，按照系统合理的方法确定的、与交易发生日即期汇率近似的汇率折算为记账本位币金额。 </w:t>
      </w:r>
      <w:r>
        <w:rPr>
          <w:spacing w:val="-2"/>
        </w:rPr>
        <w:t>资产负债表日，对外币货币性项目，采用资产负债表日即期汇率折算。因资产负债表日即期汇率与初始确认时或者前一</w:t>
      </w:r>
    </w:p>
    <w:p>
      <w:pPr>
        <w:pStyle w:val="BodyText"/>
        <w:spacing w:line="222" w:lineRule="exact"/>
        <w:ind w:right="982"/>
        <w:jc w:val="left"/>
      </w:pPr>
      <w:r>
        <w:rPr/>
        <w:t>资产负债表日即期汇率不同而产生的汇兑差额，计入当期损益；对以历史成本计量的外币非货币性项目，仍采用交易发生日</w:t>
      </w:r>
    </w:p>
    <w:p>
      <w:pPr>
        <w:pStyle w:val="BodyText"/>
        <w:spacing w:line="316" w:lineRule="auto" w:before="76"/>
        <w:ind w:right="982"/>
        <w:jc w:val="left"/>
      </w:pP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金融工具是指形成一个企业的金融资产，并形成其他单位的金融负债或权益工具的合同。</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w:t>
      </w:r>
      <w:r>
        <w:rPr>
          <w:rFonts w:ascii="Times New Roman" w:hAnsi="Times New Roman" w:cs="Times New Roman" w:eastAsia="Times New Roman" w:hint="default"/>
        </w:rPr>
        <w:t>1</w:t>
      </w:r>
      <w:r>
        <w:rPr/>
        <w:t>）金融工具的确认和终止确认</w:t>
      </w:r>
    </w:p>
    <w:p>
      <w:pPr>
        <w:spacing w:line="240" w:lineRule="auto" w:before="13"/>
        <w:rPr>
          <w:rFonts w:ascii="宋体" w:hAnsi="宋体" w:cs="宋体" w:eastAsia="宋体" w:hint="default"/>
          <w:sz w:val="13"/>
          <w:szCs w:val="13"/>
        </w:rPr>
      </w:pPr>
    </w:p>
    <w:p>
      <w:pPr>
        <w:pStyle w:val="BodyText"/>
        <w:spacing w:line="360" w:lineRule="auto"/>
        <w:ind w:left="513" w:right="4993"/>
        <w:jc w:val="left"/>
      </w:pPr>
      <w:r>
        <w:rPr/>
        <w:t>本集团于成为金融工具合同的一方时确认一项金融资产或金融负债。 金融资产满足下列条件之一的，终止确认：</w:t>
      </w:r>
    </w:p>
    <w:p>
      <w:pPr>
        <w:pStyle w:val="BodyText"/>
        <w:spacing w:line="240" w:lineRule="auto" w:before="27"/>
        <w:ind w:left="513" w:right="982"/>
        <w:jc w:val="left"/>
      </w:pPr>
      <w:r>
        <w:rPr/>
        <w:t>①</w:t>
      </w:r>
      <w:r>
        <w:rPr>
          <w:spacing w:val="1"/>
        </w:rPr>
        <w:t> </w:t>
      </w:r>
      <w:r>
        <w:rPr/>
        <w:t>收取该金融资产现金流量的合同权利终止；</w:t>
      </w:r>
    </w:p>
    <w:p>
      <w:pPr>
        <w:pStyle w:val="BodyText"/>
        <w:spacing w:line="360" w:lineRule="auto" w:before="115"/>
        <w:ind w:left="513" w:right="982"/>
        <w:jc w:val="left"/>
      </w:pPr>
      <w:r>
        <w:rPr/>
        <w:t>②</w:t>
      </w:r>
      <w:r>
        <w:rPr>
          <w:spacing w:val="1"/>
        </w:rPr>
        <w:t> </w:t>
      </w:r>
      <w:r>
        <w:rPr/>
        <w:t>该金融资产已转移，且符合下述金融资产转移的终止确认条件。</w:t>
      </w:r>
      <w:r>
        <w:rPr/>
        <w:t> </w:t>
      </w:r>
      <w:r>
        <w:rPr>
          <w:spacing w:val="-2"/>
        </w:rPr>
        <w:t>金融负债的现时义务全部或部分已经解除的，终止确认该金融负债或其一部分。本集团（债务人）与债权人之间签订协</w:t>
      </w:r>
    </w:p>
    <w:p>
      <w:pPr>
        <w:pStyle w:val="BodyText"/>
        <w:spacing w:line="223" w:lineRule="exact"/>
        <w:ind w:right="982"/>
        <w:jc w:val="left"/>
      </w:pPr>
      <w:r>
        <w:rPr/>
        <w:t>议，以承担新金融负债方式替换现存金融负债，且新金融负债与现存金融负债的合同条款实质上不同的，终止确认现存金融</w:t>
      </w:r>
    </w:p>
    <w:p>
      <w:pPr>
        <w:pStyle w:val="BodyText"/>
        <w:spacing w:line="360" w:lineRule="auto" w:before="76"/>
        <w:ind w:left="513" w:right="5353" w:hanging="361"/>
        <w:jc w:val="left"/>
      </w:pPr>
      <w:r>
        <w:rPr/>
        <w:t>负债，并同时确认新金融负债。 以常规方式买卖金融资产，按交易日进行会计确认和终止确认。</w:t>
      </w:r>
    </w:p>
    <w:p>
      <w:pPr>
        <w:pStyle w:val="BodyText"/>
        <w:spacing w:line="240" w:lineRule="auto" w:before="104"/>
        <w:ind w:left="513" w:right="982"/>
        <w:jc w:val="left"/>
      </w:pPr>
      <w:r>
        <w:rPr/>
        <w:t>（</w:t>
      </w:r>
      <w:r>
        <w:rPr>
          <w:rFonts w:ascii="Times New Roman" w:hAnsi="Times New Roman" w:cs="Times New Roman" w:eastAsia="Times New Roman" w:hint="default"/>
        </w:rPr>
        <w:t>2</w:t>
      </w:r>
      <w:r>
        <w:rPr/>
        <w:t>）金融资产分类和计量</w:t>
      </w:r>
    </w:p>
    <w:p>
      <w:pPr>
        <w:spacing w:line="240" w:lineRule="auto" w:before="2"/>
        <w:rPr>
          <w:rFonts w:ascii="宋体" w:hAnsi="宋体" w:cs="宋体" w:eastAsia="宋体" w:hint="default"/>
          <w:sz w:val="14"/>
          <w:szCs w:val="14"/>
        </w:rPr>
      </w:pPr>
    </w:p>
    <w:p>
      <w:pPr>
        <w:pStyle w:val="BodyText"/>
        <w:spacing w:line="316" w:lineRule="auto"/>
        <w:ind w:right="1034" w:firstLine="360"/>
        <w:jc w:val="left"/>
      </w:pPr>
      <w:r>
        <w:rPr/>
        <w:t>本集团的金融资产于初始确认时分为以下四类：以公允价值计量且其变动计入当期损益的金融资产、持有至到期投资、 应收款项、可供出售金融资产。</w:t>
      </w:r>
    </w:p>
    <w:p>
      <w:pPr>
        <w:pStyle w:val="BodyText"/>
        <w:spacing w:line="316" w:lineRule="auto" w:before="57"/>
        <w:ind w:right="982" w:firstLine="360"/>
        <w:jc w:val="left"/>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432" w:lineRule="exact" w:before="3"/>
        <w:ind w:left="513" w:right="982"/>
        <w:jc w:val="left"/>
      </w:pP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240" w:lineRule="auto" w:before="15"/>
        <w:ind w:right="982"/>
        <w:jc w:val="left"/>
      </w:pPr>
      <w:r>
        <w:rPr/>
        <w:t>计入当期损益的金融资产。对于此类金融资产，采用公允价值进行后续计量，公允价值变动形成的利得或损失以及与该等金</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439" w:lineRule="auto" w:before="44"/>
        <w:ind w:left="513" w:right="7154" w:hanging="361"/>
        <w:jc w:val="left"/>
      </w:pPr>
      <w:r>
        <w:rPr/>
        <w:t>融资产相关的股利和利息收入计入当期损益。 持有至到期投资</w:t>
      </w:r>
    </w:p>
    <w:p>
      <w:pPr>
        <w:pStyle w:val="BodyText"/>
        <w:spacing w:line="316" w:lineRule="auto" w:before="47"/>
        <w:ind w:right="982" w:firstLine="360"/>
        <w:jc w:val="left"/>
      </w:pPr>
      <w:r>
        <w:rPr>
          <w:spacing w:val="-4"/>
        </w:rPr>
        <w:t>持有至到期投资，是指到期日固定、回收金额固定或可确定，且本集团有明确意图和能力持有至到期的非衍生金融资产。</w:t>
      </w:r>
      <w:r>
        <w:rPr/>
        <w:t> </w:t>
      </w:r>
      <w:r>
        <w:rPr>
          <w:spacing w:val="-2"/>
        </w:rPr>
        <w:t>持有至到期投资采用实际利率法，按照摊余成本进行后续计量，其终止确认、发生减值或摊销产生的利得或损失，均计入当</w:t>
      </w:r>
      <w:r>
        <w:rPr>
          <w:spacing w:val="-64"/>
        </w:rPr>
        <w:t> </w:t>
      </w:r>
      <w:r>
        <w:rPr>
          <w:spacing w:val="-64"/>
        </w:rPr>
      </w:r>
      <w:r>
        <w:rPr/>
        <w:t>期损益。</w:t>
      </w:r>
    </w:p>
    <w:p>
      <w:pPr>
        <w:pStyle w:val="BodyText"/>
        <w:spacing w:line="432" w:lineRule="exact" w:before="3"/>
        <w:ind w:left="513" w:right="982"/>
        <w:jc w:val="left"/>
      </w:pPr>
      <w:r>
        <w:rPr/>
        <w:t>应收款项 </w:t>
      </w:r>
      <w:r>
        <w:rPr>
          <w:spacing w:val="-2"/>
        </w:rPr>
        <w:t>应收款项，是指在活跃市场中没有报价、回收金额固定或可确定的非衍生金融资产，包括应收票据、应收账款和其他应</w:t>
      </w:r>
    </w:p>
    <w:p>
      <w:pPr>
        <w:pStyle w:val="BodyText"/>
        <w:spacing w:line="300" w:lineRule="auto" w:before="15"/>
        <w:ind w:right="1131"/>
        <w:jc w:val="both"/>
      </w:pPr>
      <w:r>
        <w:rPr>
          <w:spacing w:val="-2"/>
        </w:rPr>
        <w:t>收款等（附注五、</w:t>
      </w:r>
      <w:r>
        <w:rPr>
          <w:rFonts w:ascii="Times New Roman" w:hAnsi="Times New Roman" w:cs="Times New Roman" w:eastAsia="Times New Roman" w:hint="default"/>
          <w:spacing w:val="-2"/>
        </w:rPr>
        <w:t>11</w:t>
      </w:r>
      <w:r>
        <w:rPr>
          <w:spacing w:val="-2"/>
        </w:rPr>
        <w:t>）。应收款项采用实际利率法，按摊余成本进行后续计量，在终止确认、发生减值或摊销时产生的利得</w:t>
      </w:r>
      <w:r>
        <w:rPr>
          <w:spacing w:val="-64"/>
        </w:rPr>
        <w:t> </w:t>
      </w:r>
      <w:r>
        <w:rPr>
          <w:spacing w:val="-64"/>
        </w:rPr>
      </w:r>
      <w:r>
        <w:rPr/>
        <w:t>或损失，计入当期损益。</w:t>
      </w:r>
    </w:p>
    <w:p>
      <w:pPr>
        <w:pStyle w:val="BodyText"/>
        <w:spacing w:line="432" w:lineRule="exact" w:before="16"/>
        <w:ind w:left="513" w:right="1033"/>
        <w:jc w:val="left"/>
      </w:pPr>
      <w:r>
        <w:rPr/>
        <w:t>可供出售金融资产 可供出售金融资产，是指初始确认时即指定为可供出售的非衍生金融资产，以及除上述金融资产类别以外的金融资产。</w:t>
      </w:r>
    </w:p>
    <w:p>
      <w:pPr>
        <w:pStyle w:val="BodyText"/>
        <w:spacing w:line="316" w:lineRule="auto" w:before="15"/>
        <w:ind w:right="1133"/>
        <w:jc w:val="both"/>
      </w:pPr>
      <w:r>
        <w:rPr>
          <w:spacing w:val="-2"/>
        </w:rPr>
        <w:t>可供出售金融资产采用公允价值进行后续计量，其折溢价采用实际利率法摊销并确认为利息收入。除减值损失及外币货币性</w:t>
      </w:r>
      <w:r>
        <w:rPr>
          <w:spacing w:val="-64"/>
        </w:rPr>
        <w:t> </w:t>
      </w:r>
      <w:r>
        <w:rPr>
          <w:spacing w:val="-64"/>
        </w:rPr>
      </w:r>
      <w:r>
        <w:rPr>
          <w:spacing w:val="-2"/>
        </w:rPr>
        <w:t>金融资产的汇兑差额确认为当期损益外，可供出售金融资产的公允价值变动确认为其他综合收益，在该金融资产终止确认时</w:t>
      </w:r>
      <w:r>
        <w:rPr>
          <w:spacing w:val="-64"/>
        </w:rPr>
        <w:t> </w:t>
      </w:r>
      <w:r>
        <w:rPr>
          <w:spacing w:val="-64"/>
        </w:rPr>
      </w:r>
      <w:r>
        <w:rPr/>
        <w:t>转出，计入当期损益。与可供出售金融资产相关的股利或利息收入，计入当期损益。</w:t>
      </w:r>
    </w:p>
    <w:p>
      <w:pPr>
        <w:pStyle w:val="BodyText"/>
        <w:spacing w:line="316" w:lineRule="auto" w:before="59"/>
        <w:ind w:right="982" w:firstLine="360"/>
        <w:jc w:val="left"/>
      </w:pPr>
      <w:r>
        <w:rPr>
          <w:spacing w:val="-2"/>
        </w:rPr>
        <w:t>对于在活跃市场中没有报价且其公允价值不能可靠计量的权益工具投资，以及与该权益工具挂钩并须通过交付该权益工</w:t>
      </w:r>
      <w:r>
        <w:rPr/>
        <w:t> 具结算的衍生金融资产，按成本计量。</w:t>
      </w:r>
    </w:p>
    <w:p>
      <w:pPr>
        <w:pStyle w:val="BodyText"/>
        <w:spacing w:line="240" w:lineRule="auto" w:before="136"/>
        <w:ind w:left="513" w:right="982"/>
        <w:jc w:val="left"/>
      </w:pPr>
      <w:r>
        <w:rPr/>
        <w:t>（</w:t>
      </w:r>
      <w:r>
        <w:rPr>
          <w:rFonts w:ascii="Times New Roman" w:hAnsi="Times New Roman" w:cs="Times New Roman" w:eastAsia="Times New Roman" w:hint="default"/>
        </w:rPr>
        <w:t>3</w:t>
      </w:r>
      <w:r>
        <w:rPr/>
        <w:t>）金融负债分类和计量</w:t>
      </w:r>
    </w:p>
    <w:p>
      <w:pPr>
        <w:spacing w:line="240" w:lineRule="auto" w:before="2"/>
        <w:rPr>
          <w:rFonts w:ascii="宋体" w:hAnsi="宋体" w:cs="宋体" w:eastAsia="宋体" w:hint="default"/>
          <w:sz w:val="14"/>
          <w:szCs w:val="14"/>
        </w:rPr>
      </w:pPr>
    </w:p>
    <w:p>
      <w:pPr>
        <w:pStyle w:val="BodyText"/>
        <w:spacing w:line="319" w:lineRule="auto"/>
        <w:ind w:right="982" w:firstLine="360"/>
        <w:jc w:val="left"/>
      </w:pPr>
      <w:r>
        <w:rPr>
          <w:spacing w:val="-2"/>
        </w:rPr>
        <w:t>本集团的金融负债于初始确认时分类为：以公允价值计量且其变动计入当期损益的金融负债、其他金融负债。对于未划</w:t>
      </w:r>
      <w:r>
        <w:rPr/>
        <w:t> 分为以公允价值计量且其变动计入当期损益的金融负债的，相关交易费用计入其初始确认金额。</w:t>
      </w:r>
    </w:p>
    <w:p>
      <w:pPr>
        <w:pStyle w:val="BodyText"/>
        <w:spacing w:line="240" w:lineRule="auto" w:before="134"/>
        <w:ind w:left="513" w:right="982"/>
        <w:jc w:val="left"/>
      </w:pPr>
      <w:r>
        <w:rPr/>
        <w:t>以公允价值计量且其变动计入当期损益的金融负债</w:t>
      </w:r>
    </w:p>
    <w:p>
      <w:pPr>
        <w:spacing w:line="240" w:lineRule="auto" w:before="3"/>
        <w:rPr>
          <w:rFonts w:ascii="宋体" w:hAnsi="宋体" w:cs="宋体" w:eastAsia="宋体" w:hint="default"/>
          <w:sz w:val="15"/>
          <w:szCs w:val="15"/>
        </w:rPr>
      </w:pPr>
    </w:p>
    <w:p>
      <w:pPr>
        <w:pStyle w:val="BodyText"/>
        <w:spacing w:line="316" w:lineRule="auto"/>
        <w:ind w:right="1130" w:firstLine="360"/>
        <w:jc w:val="both"/>
      </w:pPr>
      <w:r>
        <w:rPr>
          <w:spacing w:val="-2"/>
        </w:rPr>
        <w:t>以公允价值计量且其变动计入当期损益的金融负债，包括交易性金融负债和初始确认时指定为以公允价值计量且其变动</w:t>
      </w:r>
      <w:r>
        <w:rPr/>
        <w:t> </w:t>
      </w: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240" w:lineRule="auto" w:before="136"/>
        <w:ind w:left="513" w:right="982"/>
        <w:jc w:val="left"/>
      </w:pPr>
      <w:r>
        <w:rPr/>
        <w:t>其他金融负债</w:t>
      </w:r>
    </w:p>
    <w:p>
      <w:pPr>
        <w:spacing w:line="240" w:lineRule="auto" w:before="3"/>
        <w:rPr>
          <w:rFonts w:ascii="宋体" w:hAnsi="宋体" w:cs="宋体" w:eastAsia="宋体" w:hint="default"/>
          <w:sz w:val="15"/>
          <w:szCs w:val="15"/>
        </w:rPr>
      </w:pPr>
    </w:p>
    <w:p>
      <w:pPr>
        <w:pStyle w:val="BodyText"/>
        <w:spacing w:line="316" w:lineRule="auto"/>
        <w:ind w:right="1130" w:firstLine="360"/>
        <w:jc w:val="both"/>
      </w:pPr>
      <w:r>
        <w:rPr>
          <w:spacing w:val="-2"/>
        </w:rPr>
        <w:t>与在活跃市场中没有报价、公允价值不能可靠计量的权益工具挂钩并须通过交付该权益工具结算的衍生金融负债，按照</w:t>
      </w:r>
      <w:r>
        <w:rPr/>
        <w:t> </w:t>
      </w: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441" w:lineRule="auto" w:before="137"/>
        <w:ind w:left="513" w:right="6973"/>
        <w:jc w:val="left"/>
      </w:pPr>
      <w:r>
        <w:rPr/>
        <w:t>金融负债与权益工具的区分 金融负债，是指符合下列条件之一的负债：</w:t>
      </w:r>
    </w:p>
    <w:p>
      <w:pPr>
        <w:pStyle w:val="BodyText"/>
        <w:spacing w:line="199" w:lineRule="exact"/>
        <w:ind w:left="513" w:right="982"/>
        <w:jc w:val="left"/>
      </w:pPr>
      <w:r>
        <w:rPr/>
        <w:t>①向其他方交付现金或其他金融资产的合同义务。</w:t>
      </w:r>
    </w:p>
    <w:p>
      <w:pPr>
        <w:pStyle w:val="BodyText"/>
        <w:spacing w:line="240" w:lineRule="auto" w:before="117"/>
        <w:ind w:left="513" w:right="982"/>
        <w:jc w:val="left"/>
      </w:pPr>
      <w:r>
        <w:rPr/>
        <w:t>②在潜在不利条件下，与其他方交换金融资产或金融负债的合同义务。</w:t>
      </w:r>
    </w:p>
    <w:p>
      <w:pPr>
        <w:pStyle w:val="BodyText"/>
        <w:spacing w:line="240" w:lineRule="auto" w:before="117"/>
        <w:ind w:left="513" w:right="982"/>
        <w:jc w:val="left"/>
      </w:pPr>
      <w:r>
        <w:rPr/>
        <w:t>③将来须用或可用企业自身权益工具进行结算的非衍生工具合同，且企业根据该合同将交付可变数量的自身权益工具。</w:t>
      </w:r>
    </w:p>
    <w:p>
      <w:pPr>
        <w:pStyle w:val="BodyText"/>
        <w:spacing w:line="316" w:lineRule="auto" w:before="115"/>
        <w:ind w:right="982" w:firstLine="360"/>
        <w:jc w:val="left"/>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357" w:lineRule="auto" w:before="59"/>
        <w:ind w:left="513" w:right="982"/>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w:t>
      </w:r>
    </w:p>
    <w:p>
      <w:pPr>
        <w:pStyle w:val="BodyText"/>
        <w:spacing w:line="224" w:lineRule="exact"/>
        <w:ind w:right="0"/>
        <w:jc w:val="both"/>
      </w:pPr>
      <w:r>
        <w:rPr/>
        <w:t>现金或其他金融资产的替代品，还是为了使该工具持有方享有在发行方扣除所有负债后的资产中的剩余权益。如果是前者，</w:t>
      </w:r>
    </w:p>
    <w:p>
      <w:pPr>
        <w:spacing w:after="0" w:line="224" w:lineRule="exact"/>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该工具是本集团的金融负债；如果是后者，该工具是本集团的权益工具。</w:t>
      </w:r>
    </w:p>
    <w:p>
      <w:pPr>
        <w:spacing w:line="240" w:lineRule="auto" w:before="0"/>
        <w:rPr>
          <w:rFonts w:ascii="宋体" w:hAnsi="宋体" w:cs="宋体" w:eastAsia="宋体" w:hint="default"/>
          <w:sz w:val="15"/>
          <w:szCs w:val="15"/>
        </w:rPr>
      </w:pPr>
    </w:p>
    <w:p>
      <w:pPr>
        <w:pStyle w:val="BodyText"/>
        <w:spacing w:line="415" w:lineRule="auto"/>
        <w:ind w:left="513" w:right="6973"/>
        <w:jc w:val="left"/>
      </w:pPr>
      <w:r>
        <w:rPr/>
        <w:t>（</w:t>
      </w:r>
      <w:r>
        <w:rPr>
          <w:rFonts w:ascii="Times New Roman" w:hAnsi="Times New Roman" w:cs="Times New Roman" w:eastAsia="Times New Roman" w:hint="default"/>
        </w:rPr>
        <w:t>4</w:t>
      </w:r>
      <w:r>
        <w:rPr/>
        <w:t>）金融工具的公允价值 金融资产和金融负债的公允价值确定方法。</w:t>
      </w:r>
    </w:p>
    <w:p>
      <w:pPr>
        <w:pStyle w:val="BodyText"/>
        <w:spacing w:line="360" w:lineRule="auto" w:before="65"/>
        <w:ind w:left="513" w:right="982"/>
        <w:jc w:val="left"/>
      </w:pPr>
      <w:r>
        <w:rPr/>
        <w:t>公允价值是指市场参与者在计量日发生的有序交易中，出售一项资产所能收到或者转移一项负债所需支付的价格。 </w:t>
      </w:r>
      <w:r>
        <w:rPr>
          <w:spacing w:val="-2"/>
        </w:rPr>
        <w:t>本集团以公允价值计量相关资产或负债，假定出售资产或者转移负债的有序交易在相关资产或负债的主要市场进行；不</w:t>
      </w:r>
    </w:p>
    <w:p>
      <w:pPr>
        <w:pStyle w:val="BodyText"/>
        <w:spacing w:line="222" w:lineRule="exact"/>
        <w:ind w:right="982"/>
        <w:jc w:val="left"/>
      </w:pPr>
      <w:r>
        <w:rPr/>
        <w:t>存在主要市场的，本集团假定该交易在相关资产或负债的最有利市场进行。主要市场（或最有利市场）是本集团在计量日能</w:t>
      </w:r>
    </w:p>
    <w:p>
      <w:pPr>
        <w:pStyle w:val="BodyText"/>
        <w:spacing w:line="357" w:lineRule="auto" w:before="76"/>
        <w:ind w:left="513" w:right="982" w:hanging="361"/>
        <w:jc w:val="left"/>
      </w:pPr>
      <w:r>
        <w:rPr/>
        <w:t>够进入的交易市场。本集团采用市场参与者在对该资产或负债定价时为实现其经济利益最大化所使用的假设。 </w:t>
      </w:r>
      <w:r>
        <w:rPr>
          <w:spacing w:val="-2"/>
        </w:rPr>
        <w:t>存在活跃市场的金融资产或金融负债，本集团采用活跃市场中的报价确定其公允价值。金融工具不存在活跃市场的，本</w:t>
      </w:r>
    </w:p>
    <w:p>
      <w:pPr>
        <w:pStyle w:val="BodyText"/>
        <w:spacing w:line="224" w:lineRule="exact"/>
        <w:ind w:right="982"/>
        <w:jc w:val="left"/>
      </w:pPr>
      <w:r>
        <w:rPr/>
        <w:t>集团采用估值技术确定其公允价值。</w:t>
      </w:r>
    </w:p>
    <w:p>
      <w:pPr>
        <w:pStyle w:val="BodyText"/>
        <w:spacing w:line="316" w:lineRule="auto" w:before="118"/>
        <w:ind w:right="982" w:firstLine="360"/>
        <w:jc w:val="left"/>
      </w:pPr>
      <w:r>
        <w:rPr>
          <w:spacing w:val="-2"/>
        </w:rPr>
        <w:t>以公允价值计量非金融资产的，考虑市场参与者将该资产用于最佳用途产生经济利益的能力，或者将该资产出售给能够</w:t>
      </w:r>
      <w:r>
        <w:rPr/>
        <w:t> 用于最佳用途的其他市场参与者产生经济利益的能力。</w:t>
      </w:r>
    </w:p>
    <w:p>
      <w:pPr>
        <w:pStyle w:val="BodyText"/>
        <w:spacing w:line="316" w:lineRule="auto" w:before="59"/>
        <w:ind w:right="982" w:firstLine="360"/>
        <w:jc w:val="left"/>
      </w:pPr>
      <w:r>
        <w:rPr>
          <w:spacing w:val="-2"/>
        </w:rPr>
        <w:t>本集团采用在当前情况下适用并且有足够可利用数据和其他信息支持的估值技术，优先使用相关可观察输入值，只有在</w:t>
      </w:r>
      <w:r>
        <w:rPr/>
        <w:t> 可观察输入值无法取得或取得不切实可行的情况下，才使用不可观察输入值。</w:t>
      </w:r>
    </w:p>
    <w:p>
      <w:pPr>
        <w:pStyle w:val="BodyText"/>
        <w:spacing w:line="316" w:lineRule="auto" w:before="57"/>
        <w:ind w:right="1130" w:firstLine="360"/>
        <w:jc w:val="both"/>
      </w:pPr>
      <w:r>
        <w:rPr>
          <w:spacing w:val="-2"/>
        </w:rPr>
        <w:t>在财务报表中以公允价值计量或披露的资产和负债，根据对公允价值计量整体而言具有重要意义的最低层次输入值，确</w:t>
      </w:r>
      <w:r>
        <w:rPr/>
        <w:t> </w:t>
      </w:r>
      <w:r>
        <w:rPr>
          <w:spacing w:val="-2"/>
        </w:rPr>
        <w:t>定所属的公允价值层次：第一层次输入值，是在计量日能够取得的相同资产或负债在活跃市场上未经调整的报价；第二层次</w:t>
      </w:r>
      <w:r>
        <w:rPr>
          <w:spacing w:val="-63"/>
        </w:rPr>
        <w:t> </w:t>
      </w:r>
      <w:r>
        <w:rPr>
          <w:spacing w:val="-63"/>
        </w:rPr>
      </w:r>
      <w:r>
        <w:rPr>
          <w:spacing w:val="-2"/>
        </w:rPr>
        <w:t>输入值，是除第一层次输入值外相关资产或负债直接或间接可观察的输入值；第三层次输入值，是相关资产或负债的不可观</w:t>
      </w:r>
      <w:r>
        <w:rPr>
          <w:spacing w:val="-63"/>
        </w:rPr>
        <w:t> </w:t>
      </w:r>
      <w:r>
        <w:rPr>
          <w:spacing w:val="-63"/>
        </w:rPr>
      </w:r>
      <w:r>
        <w:rPr/>
        <w:t>察输入值。</w:t>
      </w:r>
    </w:p>
    <w:p>
      <w:pPr>
        <w:pStyle w:val="BodyText"/>
        <w:spacing w:line="316" w:lineRule="auto" w:before="59"/>
        <w:ind w:right="982" w:firstLine="360"/>
        <w:jc w:val="left"/>
      </w:pPr>
      <w:r>
        <w:rPr>
          <w:spacing w:val="-2"/>
        </w:rPr>
        <w:t>每个资产负债表日，本集团对在财务报表中确认的持续以公允价值计量的资产和负债进行重新评估，以确定是否在公允</w:t>
      </w:r>
      <w:r>
        <w:rPr/>
        <w:t> 价值计量层次之间发生转换。</w:t>
      </w:r>
    </w:p>
    <w:p>
      <w:pPr>
        <w:pStyle w:val="BodyText"/>
        <w:spacing w:line="432" w:lineRule="exact" w:before="4"/>
        <w:ind w:left="513" w:right="982"/>
        <w:jc w:val="left"/>
      </w:pPr>
      <w:r>
        <w:rPr/>
        <w:t>（</w:t>
      </w:r>
      <w:r>
        <w:rPr>
          <w:rFonts w:ascii="Times New Roman" w:hAnsi="Times New Roman" w:cs="Times New Roman" w:eastAsia="Times New Roman" w:hint="default"/>
        </w:rPr>
        <w:t>5</w:t>
      </w:r>
      <w:r>
        <w:rPr/>
        <w:t>）金融资产减值 除了以公允价值计量且其变动计入当期损益的金融资产外，本集团于资产负债表日对其他金融资产的账面价值进行检</w:t>
      </w:r>
    </w:p>
    <w:p>
      <w:pPr>
        <w:pStyle w:val="BodyText"/>
        <w:spacing w:line="316" w:lineRule="auto" w:before="15"/>
        <w:ind w:right="982"/>
        <w:jc w:val="left"/>
      </w:pPr>
      <w:r>
        <w:rPr>
          <w:spacing w:val="-2"/>
        </w:rPr>
        <w:t>查，有客观证据表明该金融资产发生减值的，计提减值准备。表明金融资产发生减值的客观证据，是指金融资产初始确认后</w:t>
      </w:r>
      <w:r>
        <w:rPr>
          <w:spacing w:val="-65"/>
        </w:rPr>
        <w:t> </w:t>
      </w:r>
      <w:r>
        <w:rPr>
          <w:spacing w:val="-65"/>
        </w:rPr>
      </w:r>
      <w:r>
        <w:rPr/>
        <w:t>实际发生的、对该金融资产的预计未来现金流量有影响，且企业能够对该影响进行可靠计量的事项。</w:t>
      </w:r>
    </w:p>
    <w:p>
      <w:pPr>
        <w:pStyle w:val="BodyText"/>
        <w:spacing w:line="240" w:lineRule="auto" w:before="59"/>
        <w:ind w:left="513" w:right="982"/>
        <w:jc w:val="left"/>
      </w:pPr>
      <w:r>
        <w:rPr/>
        <w:t>金融资产发生减值的客观证据，包括下列可观察到的情形：</w:t>
      </w:r>
    </w:p>
    <w:p>
      <w:pPr>
        <w:pStyle w:val="BodyText"/>
        <w:spacing w:line="240" w:lineRule="auto" w:before="115"/>
        <w:ind w:left="513" w:right="982"/>
        <w:jc w:val="left"/>
      </w:pPr>
      <w:r>
        <w:rPr/>
        <w:t>①发行方或债务人发生严重财务困难；</w:t>
      </w:r>
    </w:p>
    <w:p>
      <w:pPr>
        <w:pStyle w:val="BodyText"/>
        <w:spacing w:line="240" w:lineRule="auto" w:before="117"/>
        <w:ind w:left="513" w:right="982"/>
        <w:jc w:val="left"/>
      </w:pPr>
      <w:r>
        <w:rPr/>
        <w:t>②债务人违反了合同条款，如偿付利息或本金发生违约或逾期等；</w:t>
      </w:r>
    </w:p>
    <w:p>
      <w:pPr>
        <w:pStyle w:val="BodyText"/>
        <w:spacing w:line="240" w:lineRule="auto" w:before="117"/>
        <w:ind w:left="513" w:right="982"/>
        <w:jc w:val="left"/>
      </w:pPr>
      <w:r>
        <w:rPr/>
        <w:t>③本集团出于经济或法律等方面因素的考虑，对发生财务困难的债务人作出让步；</w:t>
      </w:r>
    </w:p>
    <w:p>
      <w:pPr>
        <w:pStyle w:val="BodyText"/>
        <w:spacing w:line="240" w:lineRule="auto" w:before="115"/>
        <w:ind w:left="513" w:right="982"/>
        <w:jc w:val="left"/>
      </w:pPr>
      <w:r>
        <w:rPr/>
        <w:t>④债务人很可能倒闭或者进行其他财务重组；</w:t>
      </w:r>
    </w:p>
    <w:p>
      <w:pPr>
        <w:pStyle w:val="BodyText"/>
        <w:spacing w:line="240" w:lineRule="auto" w:before="118"/>
        <w:ind w:left="513" w:right="982"/>
        <w:jc w:val="left"/>
      </w:pPr>
      <w:r>
        <w:rPr/>
        <w:t>⑤因发行方发生重大财务困难，导致金融资产无法在活跃市场继续交易；</w:t>
      </w:r>
    </w:p>
    <w:p>
      <w:pPr>
        <w:pStyle w:val="BodyText"/>
        <w:spacing w:line="316" w:lineRule="auto" w:before="117"/>
        <w:ind w:right="982"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before="57"/>
        <w:ind w:left="573" w:right="982"/>
        <w:jc w:val="left"/>
      </w:pPr>
      <w:r>
        <w:rPr>
          <w:rFonts w:ascii="Times New Roman" w:hAnsi="Times New Roman" w:cs="Times New Roman" w:eastAsia="Times New Roman" w:hint="default"/>
        </w:rPr>
        <w:t>-  </w:t>
      </w:r>
      <w:r>
        <w:rPr/>
        <w:t>该组金融资产的债务人支付能力逐步恶化；</w:t>
      </w:r>
    </w:p>
    <w:p>
      <w:pPr>
        <w:pStyle w:val="BodyText"/>
        <w:spacing w:line="240" w:lineRule="auto" w:before="103"/>
        <w:ind w:left="573" w:right="982"/>
        <w:jc w:val="left"/>
      </w:pPr>
      <w:r>
        <w:rPr>
          <w:rFonts w:ascii="Times New Roman" w:hAnsi="Times New Roman" w:cs="Times New Roman" w:eastAsia="Times New Roman" w:hint="default"/>
        </w:rPr>
        <w:t>-  </w:t>
      </w:r>
      <w:r>
        <w:rPr/>
        <w:t>债务人所在国家或地区经济出现了可能导致该组金融资产无法支付的状况；</w:t>
      </w:r>
    </w:p>
    <w:p>
      <w:pPr>
        <w:pStyle w:val="BodyText"/>
        <w:spacing w:line="240" w:lineRule="auto" w:before="103"/>
        <w:ind w:left="513" w:right="982"/>
        <w:jc w:val="left"/>
      </w:pPr>
      <w:r>
        <w:rPr/>
        <w:t>⑦债务人经营所处的技术、市场、经济或法律环境等发生重大不利变化，使权益工具投资人可能无法收回投资成本；</w:t>
      </w:r>
    </w:p>
    <w:p>
      <w:pPr>
        <w:pStyle w:val="BodyText"/>
        <w:spacing w:line="316" w:lineRule="auto" w:before="115"/>
        <w:ind w:right="1116" w:firstLine="360"/>
        <w:jc w:val="left"/>
      </w:pPr>
      <w:r>
        <w:rPr/>
        <w:t>⑧权益工具投资的公允价值发生严重或非暂时性下跌</w:t>
      </w:r>
      <w:r>
        <w:rPr>
          <w:spacing w:val="-82"/>
        </w:rPr>
        <w:t>，</w:t>
      </w:r>
      <w:r>
        <w:rPr/>
        <w:t>如权益工具投资于资产负债表日的公允价值低于其初始投资成本</w:t>
      </w:r>
      <w:r>
        <w:rPr/>
        <w:t> 超过</w:t>
      </w:r>
      <w:r>
        <w:rPr>
          <w:spacing w:val="-44"/>
        </w:rPr>
        <w:t> </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2"/>
        </w:rPr>
        <w:t>%</w:t>
      </w:r>
      <w:r>
        <w:rPr/>
        <w:t>（含</w:t>
      </w:r>
      <w:r>
        <w:rPr>
          <w:spacing w:val="-45"/>
        </w:rPr>
        <w:t> </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t>）或低于其初始投资成本持续时间超过</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个月（含</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个月</w:t>
      </w:r>
      <w:r>
        <w:rPr>
          <w:spacing w:val="-92"/>
        </w:rPr>
        <w:t>）</w:t>
      </w:r>
      <w:r>
        <w:rPr/>
        <w:t>。</w:t>
      </w:r>
    </w:p>
    <w:p>
      <w:pPr>
        <w:pStyle w:val="BodyText"/>
        <w:spacing w:line="300" w:lineRule="auto" w:before="40"/>
        <w:ind w:right="1119" w:firstLine="360"/>
        <w:jc w:val="left"/>
      </w:pPr>
      <w:r>
        <w:rPr/>
        <w:t>低于其初始投资成本持续时间超过</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个月（含</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个月）是指，权益工具投资公允价值月度均值连续</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个月均低于其 初始投资成本。</w:t>
      </w:r>
    </w:p>
    <w:p>
      <w:pPr>
        <w:pStyle w:val="BodyText"/>
        <w:spacing w:line="436" w:lineRule="auto" w:before="72"/>
        <w:ind w:left="513" w:right="6973"/>
        <w:jc w:val="left"/>
      </w:pPr>
      <w:r>
        <w:rPr/>
        <w:t>⑨其他表明金融资产发生减值的客观证据。 以摊余成本计量的金融资产</w:t>
      </w:r>
    </w:p>
    <w:p>
      <w:pPr>
        <w:spacing w:after="0" w:line="43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如果有客观证据表明该金融资产发生减值，则将该金融资产的账面价值减记至预计未来现金流量（不包括尚未发生的未</w:t>
      </w:r>
      <w:r>
        <w:rPr/>
        <w:t> </w:t>
      </w: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pStyle w:val="BodyText"/>
        <w:spacing w:line="316" w:lineRule="auto" w:before="59"/>
        <w:ind w:right="1133" w:firstLine="360"/>
        <w:jc w:val="both"/>
      </w:pPr>
      <w:r>
        <w:rPr>
          <w:spacing w:val="-2"/>
        </w:rPr>
        <w:t>对单项金额重大的金融资产单独进行减值测试，如有客观证据表明其已发生减值，确认减值损失，计入当期损益；对单</w:t>
      </w:r>
      <w:r>
        <w:rPr/>
        <w:t> 项金额不重大的金融资产，单独进行减值测试或包括在具有类似信用风险特征的金融资产组合中进行减值测试。</w:t>
      </w:r>
    </w:p>
    <w:p>
      <w:pPr>
        <w:pStyle w:val="BodyText"/>
        <w:spacing w:line="316" w:lineRule="auto" w:before="57"/>
        <w:ind w:right="1044" w:firstLine="360"/>
        <w:jc w:val="both"/>
      </w:pPr>
      <w:r>
        <w:rPr/>
        <w:t>单独测试未发生减值的金融</w:t>
      </w:r>
      <w:r>
        <w:rPr>
          <w:spacing w:val="2"/>
        </w:rPr>
        <w:t>资</w:t>
      </w:r>
      <w:r>
        <w:rPr/>
        <w:t>产（包括单项金额重大和不</w:t>
      </w:r>
      <w:r>
        <w:rPr>
          <w:spacing w:val="2"/>
        </w:rPr>
        <w:t>重</w:t>
      </w:r>
      <w:r>
        <w:rPr/>
        <w:t>大的金融资产</w:t>
      </w:r>
      <w:r>
        <w:rPr>
          <w:spacing w:val="-89"/>
        </w:rPr>
        <w:t>）</w:t>
      </w:r>
      <w:r>
        <w:rPr/>
        <w:t>，包括在具有类似信用风险特征</w:t>
      </w:r>
      <w:r>
        <w:rPr>
          <w:spacing w:val="1"/>
        </w:rPr>
        <w:t>的</w:t>
      </w:r>
      <w:r>
        <w:rPr/>
        <w:t>金融资产</w:t>
      </w:r>
      <w:r>
        <w:rPr/>
        <w:t> 组合中再进行减值测试</w:t>
      </w:r>
      <w:r>
        <w:rPr>
          <w:spacing w:val="-87"/>
        </w:rPr>
        <w:t>；</w:t>
      </w:r>
      <w:r>
        <w:rPr/>
        <w:t>已单项确认减值损失的金融资产</w:t>
      </w:r>
      <w:r>
        <w:rPr>
          <w:spacing w:val="-87"/>
        </w:rPr>
        <w:t>，</w:t>
      </w:r>
      <w:r>
        <w:rPr/>
        <w:t>不包括在具有类似信用风险特征的金融资产组合中进行减值测试。</w:t>
      </w:r>
    </w:p>
    <w:p>
      <w:pPr>
        <w:pStyle w:val="BodyText"/>
        <w:spacing w:line="316" w:lineRule="auto" w:before="59"/>
        <w:ind w:right="1131"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432" w:lineRule="exact" w:before="4"/>
        <w:ind w:left="513" w:right="982"/>
        <w:jc w:val="left"/>
      </w:pPr>
      <w:r>
        <w:rPr/>
        <w:t>可供出售金融资产 </w:t>
      </w:r>
      <w:r>
        <w:rPr>
          <w:spacing w:val="-2"/>
        </w:rPr>
        <w:t>如果有客观证据表明该金融资产发生减值，原直接计入其他综合收益的因公允价值下降形成的累计损失，予以转出，计</w:t>
      </w:r>
    </w:p>
    <w:p>
      <w:pPr>
        <w:pStyle w:val="BodyText"/>
        <w:spacing w:line="316" w:lineRule="auto" w:before="15"/>
        <w:ind w:right="982"/>
        <w:jc w:val="left"/>
      </w:pPr>
      <w:r>
        <w:rPr>
          <w:spacing w:val="-2"/>
        </w:rPr>
        <w:t>入当期损益。该转出的累计损失，为可供出售金融资产的初始取得成本扣除已收回本金和已摊销金额、当前公允价值和原已</w:t>
      </w:r>
      <w:r>
        <w:rPr>
          <w:spacing w:val="-63"/>
        </w:rPr>
        <w:t> </w:t>
      </w:r>
      <w:r>
        <w:rPr>
          <w:spacing w:val="-63"/>
        </w:rPr>
      </w:r>
      <w:r>
        <w:rPr/>
        <w:t>计入损益的减值损失后的余额。</w:t>
      </w:r>
    </w:p>
    <w:p>
      <w:pPr>
        <w:pStyle w:val="BodyText"/>
        <w:spacing w:line="316" w:lineRule="auto" w:before="59"/>
        <w:ind w:right="1132"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w:t>
      </w:r>
    </w:p>
    <w:p>
      <w:pPr>
        <w:pStyle w:val="BodyText"/>
        <w:spacing w:line="240" w:lineRule="auto" w:before="136"/>
        <w:ind w:left="513" w:right="982"/>
        <w:jc w:val="left"/>
      </w:pPr>
      <w:r>
        <w:rPr/>
        <w:t>以成本计量的金融资产</w:t>
      </w:r>
    </w:p>
    <w:p>
      <w:pPr>
        <w:spacing w:line="240" w:lineRule="auto" w:before="3"/>
        <w:rPr>
          <w:rFonts w:ascii="宋体" w:hAnsi="宋体" w:cs="宋体" w:eastAsia="宋体" w:hint="default"/>
          <w:sz w:val="15"/>
          <w:szCs w:val="15"/>
        </w:rPr>
      </w:pPr>
    </w:p>
    <w:p>
      <w:pPr>
        <w:pStyle w:val="BodyText"/>
        <w:spacing w:line="319" w:lineRule="auto"/>
        <w:ind w:right="1131" w:firstLine="360"/>
        <w:jc w:val="both"/>
      </w:pPr>
      <w:r>
        <w:rPr>
          <w:spacing w:val="-2"/>
        </w:rPr>
        <w:t>在活跃市场中没有报价且其公允价值不能可靠计量的权益工具投资，或与该权益工具挂钩并须通过交付该权益工具结算</w:t>
      </w:r>
      <w:r>
        <w:rPr/>
        <w:t> </w:t>
      </w:r>
      <w:r>
        <w:rPr>
          <w:spacing w:val="-2"/>
        </w:rPr>
        <w:t>的衍生金融资产发生减值时，将该金融资产的账面价值，与按照类似金融资产当时市场收益率对未来现金流量折现确定的现</w:t>
      </w:r>
      <w:r>
        <w:rPr>
          <w:spacing w:val="-63"/>
        </w:rPr>
        <w:t> </w:t>
      </w:r>
      <w:r>
        <w:rPr>
          <w:spacing w:val="-63"/>
        </w:rPr>
      </w:r>
      <w:r>
        <w:rPr/>
        <w:t>值之间的差额，确认为减值损失，计入当期损益。发生的减值损失一经确认，不得转回。</w:t>
      </w:r>
    </w:p>
    <w:p>
      <w:pPr>
        <w:pStyle w:val="BodyText"/>
        <w:spacing w:line="417" w:lineRule="auto" w:before="134"/>
        <w:ind w:left="513" w:right="2114"/>
        <w:jc w:val="left"/>
      </w:pPr>
      <w:r>
        <w:rPr/>
        <w:t>（</w:t>
      </w:r>
      <w:r>
        <w:rPr>
          <w:rFonts w:ascii="Times New Roman" w:hAnsi="Times New Roman" w:cs="Times New Roman" w:eastAsia="Times New Roman" w:hint="default"/>
        </w:rPr>
        <w:t>6</w:t>
      </w:r>
      <w:r>
        <w:rPr/>
        <w:t>）金融资产转移 </w:t>
      </w:r>
      <w:r>
        <w:rPr>
          <w:spacing w:val="-3"/>
        </w:rPr>
        <w:t>金融资产转移，是指将金融资产让与或交付给该金融资产发行方以外的另一方（转入方）。</w:t>
      </w:r>
    </w:p>
    <w:p>
      <w:pPr>
        <w:pStyle w:val="BodyText"/>
        <w:spacing w:line="217" w:lineRule="exact"/>
        <w:ind w:left="513" w:right="982"/>
        <w:jc w:val="left"/>
      </w:pPr>
      <w:r>
        <w:rPr/>
        <w:t>本集团已将金融资产所有权上几乎所有的风险和报酬转移给转入方的，终止确认该金融资产；保留了金融资产所有权上</w:t>
      </w:r>
    </w:p>
    <w:p>
      <w:pPr>
        <w:pStyle w:val="BodyText"/>
        <w:spacing w:line="360" w:lineRule="auto" w:before="76"/>
        <w:ind w:left="513" w:right="982" w:hanging="361"/>
        <w:jc w:val="left"/>
      </w:pPr>
      <w:r>
        <w:rPr/>
        <w:t>几乎所有的风险和报酬的，不终止确认该金融资产。 </w:t>
      </w:r>
      <w:r>
        <w:rPr>
          <w:spacing w:val="-2"/>
        </w:rPr>
        <w:t>本集团既没有转移也没有保留金融资产所有权上几乎所有的风险和报酬的，分别下列情况处理：放弃了对该金融资产控</w:t>
      </w:r>
    </w:p>
    <w:p>
      <w:pPr>
        <w:pStyle w:val="BodyText"/>
        <w:spacing w:line="222" w:lineRule="exact"/>
        <w:ind w:right="982"/>
        <w:jc w:val="left"/>
      </w:pPr>
      <w:r>
        <w:rPr/>
        <w:t>制的，终止确认该金融资产并确认产生的资产和负债；未放弃对该金融资产控制的，按照其继续涉入所转移金融资产的程度</w:t>
      </w:r>
    </w:p>
    <w:p>
      <w:pPr>
        <w:pStyle w:val="BodyText"/>
        <w:spacing w:line="240" w:lineRule="auto" w:before="76"/>
        <w:ind w:right="982"/>
        <w:jc w:val="left"/>
      </w:pPr>
      <w:r>
        <w:rPr/>
        <w:t>确认有关金融资产，并相应确认有关负债。</w:t>
      </w:r>
    </w:p>
    <w:p>
      <w:pPr>
        <w:pStyle w:val="BodyText"/>
        <w:spacing w:line="420" w:lineRule="atLeast" w:before="25"/>
        <w:ind w:left="513" w:right="982"/>
        <w:jc w:val="left"/>
      </w:pPr>
      <w:r>
        <w:rPr/>
        <w:t>（</w:t>
      </w:r>
      <w:r>
        <w:rPr>
          <w:rFonts w:ascii="Times New Roman" w:hAnsi="Times New Roman" w:cs="Times New Roman" w:eastAsia="Times New Roman" w:hint="default"/>
        </w:rPr>
        <w:t>7</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before="76"/>
        <w:ind w:right="982"/>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715"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万元）以上的应收款项为单项金额重大的 应收款项。</w:t>
            </w:r>
          </w:p>
        </w:tc>
      </w:tr>
      <w:tr>
        <w:trPr>
          <w:trHeight w:val="71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对于单项金额重大的应收款项单独进行减值测试，有客观证据表明发生了 减值，根据其未来现金流量现值低于其账面价值的差额计提坏账准备。</w:t>
            </w:r>
          </w:p>
        </w:tc>
      </w:tr>
    </w:tbl>
    <w:p>
      <w:pPr>
        <w:spacing w:after="0" w:line="314"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87"/>
        <w:gridCol w:w="5883"/>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应收票据组合</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982"/>
        <w:jc w:val="left"/>
      </w:pPr>
      <w:r>
        <w:rPr/>
        <w:t>组合中，采用账龄分析法计提坏账准备的：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982"/>
        <w:jc w:val="left"/>
      </w:pPr>
      <w:r>
        <w:rPr/>
        <w:t>组合中，采用余额百分比法计提坏账准备的：</w:t>
      </w:r>
    </w:p>
    <w:p>
      <w:pPr>
        <w:pStyle w:val="BodyText"/>
        <w:spacing w:line="338" w:lineRule="auto" w:before="119"/>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6"/>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982"/>
        <w:jc w:val="left"/>
      </w:pPr>
      <w:r>
        <w:rPr/>
        <w:t>软件与信息技术服务业</w:t>
      </w:r>
    </w:p>
    <w:p>
      <w:pPr>
        <w:pStyle w:val="BodyText"/>
        <w:spacing w:line="420" w:lineRule="atLeast" w:before="25"/>
        <w:ind w:left="513" w:right="982"/>
        <w:jc w:val="left"/>
      </w:pPr>
      <w:r>
        <w:rPr/>
        <w:t>（</w:t>
      </w:r>
      <w:r>
        <w:rPr>
          <w:rFonts w:ascii="Times New Roman" w:hAnsi="Times New Roman" w:cs="Times New Roman" w:eastAsia="Times New Roman" w:hint="default"/>
        </w:rPr>
        <w:t>1</w:t>
      </w:r>
      <w:r>
        <w:rPr/>
        <w:t>）存货的分类 </w:t>
      </w:r>
      <w:r>
        <w:rPr>
          <w:spacing w:val="-2"/>
        </w:rPr>
        <w:t>本集团存货分为原材料、库存商品、周转材料、项目开发成本等。项目开发成本核算的是已运送至客户指定场所的系统</w:t>
      </w:r>
    </w:p>
    <w:p>
      <w:pPr>
        <w:pStyle w:val="BodyText"/>
        <w:spacing w:line="316" w:lineRule="auto" w:before="76"/>
        <w:ind w:right="982"/>
        <w:jc w:val="left"/>
      </w:pPr>
      <w:r>
        <w:rPr>
          <w:spacing w:val="-2"/>
        </w:rPr>
        <w:t>硬件成本、尚在进行中的系统安装成本或系统整合成本、正在履行的其他义务所发生的成本，及可归集到合同的已发生的直</w:t>
      </w:r>
      <w:r>
        <w:rPr>
          <w:spacing w:val="-63"/>
        </w:rPr>
        <w:t> </w:t>
      </w:r>
      <w:r>
        <w:rPr>
          <w:spacing w:val="-63"/>
        </w:rPr>
      </w:r>
      <w:r>
        <w:rPr/>
        <w:t>接人工和直接费用。</w:t>
      </w:r>
    </w:p>
    <w:p>
      <w:pPr>
        <w:pStyle w:val="BodyText"/>
        <w:spacing w:line="240" w:lineRule="auto" w:before="139"/>
        <w:ind w:left="513" w:right="982"/>
        <w:jc w:val="left"/>
      </w:pPr>
      <w:r>
        <w:rPr/>
        <w:t>（</w:t>
      </w:r>
      <w:r>
        <w:rPr>
          <w:rFonts w:ascii="Times New Roman" w:hAnsi="Times New Roman" w:cs="Times New Roman" w:eastAsia="Times New Roman" w:hint="default"/>
        </w:rPr>
        <w:t>2</w:t>
      </w:r>
      <w:r>
        <w:rPr/>
        <w:t>）发出存货的计价方法</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本集团存货取得时按实际成本计价。原材料、库存商品等发出时采用加权平均法计价。</w:t>
      </w:r>
    </w:p>
    <w:p>
      <w:pPr>
        <w:pStyle w:val="BodyText"/>
        <w:spacing w:line="420" w:lineRule="atLeast" w:before="25"/>
        <w:ind w:left="513" w:right="982"/>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w:t>
      </w:r>
    </w:p>
    <w:p>
      <w:pPr>
        <w:pStyle w:val="BodyText"/>
        <w:spacing w:line="360" w:lineRule="auto" w:before="76"/>
        <w:ind w:left="513" w:right="1033" w:hanging="361"/>
        <w:jc w:val="left"/>
      </w:pPr>
      <w:r>
        <w:rPr/>
        <w:t>定存货的可变现净值时，以取得的确凿证据为基础，同时考虑持有存货的目的以及资产负债表日后事项的影响。 资产负债表日，存货成本高于其可变现净值的，计提存货跌价准备。本集团通常按照单个存货项目计提存货跌价准备，</w:t>
      </w:r>
    </w:p>
    <w:p>
      <w:pPr>
        <w:pStyle w:val="BodyText"/>
        <w:spacing w:line="222" w:lineRule="exact"/>
        <w:ind w:right="982"/>
        <w:jc w:val="left"/>
      </w:pPr>
      <w:r>
        <w:rPr/>
        <w:t>资产负债表日，以前减记存货价值的影响因素已经消失的，存货跌价准备在原已计提的金额内转回。</w:t>
      </w:r>
    </w:p>
    <w:p>
      <w:pPr>
        <w:spacing w:line="240" w:lineRule="auto" w:before="11"/>
        <w:rPr>
          <w:rFonts w:ascii="宋体" w:hAnsi="宋体" w:cs="宋体" w:eastAsia="宋体" w:hint="default"/>
          <w:sz w:val="14"/>
          <w:szCs w:val="14"/>
        </w:rPr>
      </w:pPr>
    </w:p>
    <w:p>
      <w:pPr>
        <w:pStyle w:val="BodyText"/>
        <w:spacing w:line="417" w:lineRule="auto"/>
        <w:ind w:left="513" w:right="7333"/>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420" w:lineRule="auto" w:before="61"/>
        <w:ind w:left="513" w:right="6793"/>
        <w:jc w:val="left"/>
      </w:pPr>
      <w:r>
        <w:rPr/>
        <w:t>（</w:t>
      </w:r>
      <w:r>
        <w:rPr>
          <w:rFonts w:ascii="Times New Roman" w:hAnsi="Times New Roman" w:cs="Times New Roman" w:eastAsia="Times New Roman" w:hint="default"/>
        </w:rPr>
        <w:t>5</w:t>
      </w:r>
      <w:r>
        <w:rPr/>
        <w:t>）周转材料的摊销方法 本集团周转材料领用时采用一次转销法摊销。</w:t>
      </w:r>
    </w:p>
    <w:p>
      <w:pPr>
        <w:spacing w:line="240" w:lineRule="auto" w:before="9"/>
        <w:rPr>
          <w:rFonts w:ascii="宋体" w:hAnsi="宋体" w:cs="宋体" w:eastAsia="宋体" w:hint="default"/>
          <w:sz w:val="16"/>
          <w:szCs w:val="16"/>
        </w:rPr>
      </w:pPr>
    </w:p>
    <w:p>
      <w:pPr>
        <w:pStyle w:val="Heading3"/>
        <w:spacing w:line="240" w:lineRule="auto"/>
        <w:ind w:right="982"/>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长期股权投资包括对子公司、合营企业和联营企业的权益性投资。本集团能够对被投资单位施加重大影响的，为本集团</w:t>
      </w:r>
      <w:r>
        <w:rPr/>
        <w:t> 的联营企业。</w:t>
      </w:r>
    </w:p>
    <w:p>
      <w:pPr>
        <w:pStyle w:val="BodyText"/>
        <w:spacing w:line="432" w:lineRule="exact" w:before="4"/>
        <w:ind w:left="513" w:right="982"/>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w:t>
      </w:r>
    </w:p>
    <w:p>
      <w:pPr>
        <w:pStyle w:val="BodyText"/>
        <w:spacing w:line="316" w:lineRule="auto" w:before="15"/>
        <w:ind w:right="982"/>
        <w:jc w:val="left"/>
      </w:pPr>
      <w:r>
        <w:rPr>
          <w:spacing w:val="-2"/>
        </w:rPr>
        <w:t>终控制方合并财务报表中的账面价值份额作为投资成本；非同一控制下企业合并取得的长期股权投资，按照合并成本作为长</w:t>
      </w:r>
      <w:r>
        <w:rPr>
          <w:spacing w:val="-63"/>
        </w:rPr>
        <w:t> </w:t>
      </w:r>
      <w:r>
        <w:rPr>
          <w:spacing w:val="-63"/>
        </w:rPr>
      </w:r>
      <w:r>
        <w:rPr/>
        <w:t>期股权投资的投资成本。</w:t>
      </w:r>
    </w:p>
    <w:p>
      <w:pPr>
        <w:pStyle w:val="BodyText"/>
        <w:spacing w:line="316" w:lineRule="auto" w:before="57"/>
        <w:ind w:right="1130" w:firstLine="360"/>
        <w:jc w:val="both"/>
      </w:pPr>
      <w:r>
        <w:rPr>
          <w:spacing w:val="-2"/>
        </w:rPr>
        <w:t>对于其他方式取得的长期股权投资：支付现金取得的长期股权投资，按照实际支付的购买价款作为初始投资成本；发行</w:t>
      </w:r>
      <w:r>
        <w:rPr/>
        <w:t> 权益性证券取得的长期股权投资，以发行权益性证券的公允价值作为初始投资成本。</w:t>
      </w:r>
    </w:p>
    <w:p>
      <w:pPr>
        <w:pStyle w:val="BodyText"/>
        <w:spacing w:line="240" w:lineRule="auto" w:before="139"/>
        <w:ind w:left="513" w:right="982"/>
        <w:jc w:val="left"/>
      </w:pPr>
      <w:r>
        <w:rPr/>
        <w:t>（</w:t>
      </w:r>
      <w:r>
        <w:rPr>
          <w:rFonts w:ascii="Times New Roman" w:hAnsi="Times New Roman" w:cs="Times New Roman" w:eastAsia="Times New Roman" w:hint="default"/>
        </w:rPr>
        <w:t>2</w:t>
      </w:r>
      <w:r>
        <w:rPr/>
        <w:t>）后续计量及损益确认方法</w:t>
      </w:r>
    </w:p>
    <w:p>
      <w:pPr>
        <w:spacing w:line="240" w:lineRule="auto" w:before="13"/>
        <w:rPr>
          <w:rFonts w:ascii="宋体" w:hAnsi="宋体" w:cs="宋体" w:eastAsia="宋体" w:hint="default"/>
          <w:sz w:val="13"/>
          <w:szCs w:val="13"/>
        </w:rPr>
      </w:pPr>
    </w:p>
    <w:p>
      <w:pPr>
        <w:pStyle w:val="BodyText"/>
        <w:spacing w:line="360" w:lineRule="auto"/>
        <w:ind w:left="513" w:right="1033"/>
        <w:jc w:val="left"/>
      </w:pPr>
      <w:r>
        <w:rPr/>
        <w:t>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w:t>
      </w:r>
    </w:p>
    <w:p>
      <w:pPr>
        <w:pStyle w:val="BodyText"/>
        <w:spacing w:line="222" w:lineRule="exact"/>
        <w:ind w:right="982"/>
        <w:jc w:val="left"/>
      </w:pPr>
      <w:r>
        <w:rPr/>
        <w:t>外，被投资单位宣告分派的现金股利或利润，确认为投资收益计入当期损益。</w:t>
      </w:r>
    </w:p>
    <w:p>
      <w:pPr>
        <w:pStyle w:val="BodyText"/>
        <w:spacing w:line="316" w:lineRule="auto" w:before="117"/>
        <w:ind w:right="1132" w:firstLine="360"/>
        <w:jc w:val="both"/>
      </w:pPr>
      <w:r>
        <w:rPr>
          <w:spacing w:val="-2"/>
        </w:rPr>
        <w:t>采用权益法核算的长期股权投资，初始投资成本大于投资时应享有被投资单位可辨认净资产公允价值份额的，不调整长</w:t>
      </w:r>
      <w:r>
        <w:rPr/>
        <w:t> </w:t>
      </w: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w:t>
      </w:r>
    </w:p>
    <w:p>
      <w:pPr>
        <w:pStyle w:val="BodyText"/>
        <w:spacing w:line="316" w:lineRule="auto" w:before="57"/>
        <w:ind w:right="1130"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spacing w:val="-2"/>
        </w:rPr>
        <w:t>账面价值并计入资本公积（其他资本公积）。在确认应享有被投资单位净损益的份额时，以取得投资时被投资单位各项可辨</w:t>
      </w:r>
      <w:r>
        <w:rPr>
          <w:spacing w:val="-65"/>
        </w:rPr>
        <w:t> </w:t>
      </w:r>
      <w:r>
        <w:rPr>
          <w:spacing w:val="-65"/>
        </w:rPr>
      </w:r>
      <w:r>
        <w:rPr/>
        <w:t>认资产等的公允价值为基础，并按照本集团的会计政策及会计期间，对被投资单位的净利润进行调整后确认。</w:t>
      </w:r>
    </w:p>
    <w:p>
      <w:pPr>
        <w:pStyle w:val="BodyText"/>
        <w:spacing w:line="319" w:lineRule="auto" w:before="59"/>
        <w:ind w:right="1128" w:firstLine="360"/>
        <w:jc w:val="both"/>
      </w:pPr>
      <w:r>
        <w:rPr>
          <w:spacing w:val="-2"/>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1"/>
        </w:rPr>
        <w:t> </w:t>
      </w:r>
      <w:r>
        <w:rPr>
          <w:spacing w:val="-61"/>
        </w:rPr>
      </w:r>
      <w:r>
        <w:rPr/>
        <w:t>计入其他综合收益的累计公允价值变动转入改按权益法核算的当期损益。</w:t>
      </w:r>
    </w:p>
    <w:p>
      <w:pPr>
        <w:spacing w:after="0" w:line="319"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2" w:lineRule="auto" w:before="44"/>
        <w:ind w:right="1023" w:firstLine="360"/>
        <w:jc w:val="left"/>
      </w:pPr>
      <w:r>
        <w:rPr>
          <w:spacing w:val="-2"/>
        </w:rPr>
        <w:t>因处置部分股权投资等原因丧失了对被投资单位的共同控制或重大影响的，处置后的剩余股权在丧失共同控制或重大影</w:t>
      </w:r>
      <w:r>
        <w:rPr/>
        <w:t> </w:t>
      </w:r>
      <w:r>
        <w:rPr>
          <w:spacing w:val="-3"/>
        </w:rPr>
        <w:t>响之日改按《企业会计准则第</w:t>
      </w:r>
      <w:r>
        <w:rPr>
          <w:spacing w:val="-65"/>
        </w:rPr>
        <w:t> </w:t>
      </w:r>
      <w:r>
        <w:rPr>
          <w:rFonts w:ascii="Times New Roman" w:hAnsi="Times New Roman" w:cs="Times New Roman" w:eastAsia="Times New Roman" w:hint="default"/>
        </w:rPr>
        <w:t>22</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金融工具确认和计量》进行会计处理，公允价值与账面价值之间的差额计入当期损益。 </w:t>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w:t>
      </w:r>
    </w:p>
    <w:p>
      <w:pPr>
        <w:pStyle w:val="BodyText"/>
        <w:spacing w:line="312" w:lineRule="auto" w:before="63"/>
        <w:ind w:right="1132"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5"/>
        </w:rPr>
        <w:t> </w:t>
      </w:r>
      <w:r>
        <w:rPr>
          <w:spacing w:val="-65"/>
        </w:rPr>
      </w:r>
      <w:r>
        <w:rPr/>
        <w:t>位实施共同控制或施加重大影响的，改按《企业会计准则第</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金融工具确认和计量》的有关规定进行会计处理，其在 丧失控制之日的公允价值与账面价值之间的差额计入当期损益。</w:t>
      </w:r>
    </w:p>
    <w:p>
      <w:pPr>
        <w:pStyle w:val="BodyText"/>
        <w:spacing w:line="319" w:lineRule="auto" w:before="61"/>
        <w:ind w:right="1131" w:firstLine="360"/>
        <w:jc w:val="both"/>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3"/>
        </w:rPr>
        <w:t> </w:t>
      </w:r>
      <w:r>
        <w:rPr>
          <w:spacing w:val="-63"/>
        </w:rPr>
      </w:r>
      <w:r>
        <w:rPr/>
        <w:t>股权投资原账面价值之间的差额计入当期损益；然后，按照新的持股比例视同自取得投资时即采用权益法核算进行调整。</w:t>
      </w:r>
    </w:p>
    <w:p>
      <w:pPr>
        <w:pStyle w:val="BodyText"/>
        <w:spacing w:line="316" w:lineRule="auto" w:before="58"/>
        <w:ind w:right="1132" w:firstLine="360"/>
        <w:jc w:val="both"/>
      </w:pPr>
      <w:r>
        <w:rPr>
          <w:spacing w:val="-2"/>
        </w:rPr>
        <w:t>本集团与联营企业及合营企业之间发生的未实现内部交易损益按照持股比例计算归属于本集团的部分，在抵销基础上确</w:t>
      </w:r>
      <w:r>
        <w:rPr/>
        <w:t> 认投资损益。但本集团与被投资单位发生的未实现内部交易损失，属于所转让资产减值损失的，不予以抵销。</w:t>
      </w:r>
    </w:p>
    <w:p>
      <w:pPr>
        <w:pStyle w:val="BodyText"/>
        <w:spacing w:line="432" w:lineRule="exact" w:before="3"/>
        <w:ind w:left="513" w:right="982"/>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15"/>
        <w:ind w:right="1130"/>
        <w:jc w:val="both"/>
      </w:pPr>
      <w:r>
        <w:rPr>
          <w:spacing w:val="-2"/>
        </w:rPr>
        <w:t>后才能决策。在判断是否存在共同控制时，首先判断是否由所有参与方或参与方组合集体控制该安排，其次再判断该安排相</w:t>
      </w:r>
      <w:r>
        <w:rPr>
          <w:spacing w:val="-63"/>
        </w:rPr>
        <w:t> </w:t>
      </w:r>
      <w:r>
        <w:rPr>
          <w:spacing w:val="-63"/>
        </w:rPr>
      </w: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9" w:lineRule="auto" w:before="59"/>
        <w:ind w:right="113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7" w:lineRule="auto" w:before="55"/>
        <w:ind w:right="1131" w:firstLine="360"/>
        <w:jc w:val="both"/>
      </w:pPr>
      <w:r>
        <w:rPr/>
        <w:t>当本公司直接或通过子公司间接拥有被投资单位</w:t>
      </w:r>
      <w:r>
        <w:rPr>
          <w:spacing w:val="-29"/>
        </w:rPr>
        <w:t> </w:t>
      </w:r>
      <w:r>
        <w:rPr>
          <w:rFonts w:ascii="Times New Roman" w:hAnsi="Times New Roman" w:cs="Times New Roman" w:eastAsia="Times New Roman" w:hint="default"/>
        </w:rPr>
        <w:t>20%</w:t>
      </w:r>
      <w:r>
        <w:rPr/>
        <w:t>（含</w:t>
      </w:r>
      <w:r>
        <w:rPr>
          <w:spacing w:val="-29"/>
        </w:rPr>
        <w:t> </w:t>
      </w:r>
      <w:r>
        <w:rPr>
          <w:rFonts w:ascii="Times New Roman" w:hAnsi="Times New Roman" w:cs="Times New Roman" w:eastAsia="Times New Roman" w:hint="default"/>
        </w:rPr>
        <w:t>20%</w:t>
      </w:r>
      <w:r>
        <w:rPr/>
        <w:t>）以上但低于</w:t>
      </w:r>
      <w:r>
        <w:rPr>
          <w:spacing w:val="-29"/>
        </w:rPr>
        <w:t> </w:t>
      </w:r>
      <w:r>
        <w:rPr>
          <w:rFonts w:ascii="Times New Roman" w:hAnsi="Times New Roman" w:cs="Times New Roman" w:eastAsia="Times New Roman" w:hint="default"/>
        </w:rPr>
        <w:t>50%</w:t>
      </w:r>
      <w:r>
        <w:rPr/>
        <w:t>的表决权股份时，一般认为对被投资 </w:t>
      </w:r>
      <w:r>
        <w:rPr>
          <w:spacing w:val="-2"/>
        </w:rPr>
        <w:t>单位具有重大影响，除非有明确证据表明该种情况下不能参与被投资单位的生产经营决策，不形成重大影响；本集团拥有被</w:t>
      </w:r>
      <w:r>
        <w:rPr>
          <w:spacing w:val="-66"/>
        </w:rPr>
        <w:t> </w:t>
      </w:r>
      <w:r>
        <w:rPr>
          <w:spacing w:val="-66"/>
        </w:rPr>
      </w:r>
      <w:r>
        <w:rPr/>
        <w:t>投资单位</w:t>
      </w:r>
      <w:r>
        <w:rPr>
          <w:spacing w:val="27"/>
        </w:rPr>
        <w:t> </w:t>
      </w:r>
      <w:r>
        <w:rPr>
          <w:rFonts w:ascii="Times New Roman" w:hAnsi="Times New Roman" w:cs="Times New Roman" w:eastAsia="Times New Roman" w:hint="default"/>
        </w:rPr>
        <w:t>20%</w:t>
      </w:r>
      <w:r>
        <w:rPr/>
        <w:t>（不含）以下的表决权股份时，一般不认为对被投资单位具有重大影响，除非有明确证据表明该种情况下能</w:t>
      </w:r>
      <w:r>
        <w:rPr>
          <w:spacing w:val="-86"/>
        </w:rPr>
        <w:t> </w:t>
      </w:r>
      <w:r>
        <w:rPr>
          <w:spacing w:val="-86"/>
        </w:rPr>
      </w:r>
      <w:r>
        <w:rPr/>
        <w:t>够参与被投资单位的生产经营决策，形成重大影响。</w:t>
      </w:r>
    </w:p>
    <w:p>
      <w:pPr>
        <w:pStyle w:val="BodyText"/>
        <w:spacing w:line="415" w:lineRule="auto" w:before="146"/>
        <w:ind w:left="513" w:right="4453"/>
        <w:jc w:val="left"/>
      </w:pPr>
      <w:r>
        <w:rPr/>
        <w:t>（</w:t>
      </w:r>
      <w:r>
        <w:rPr>
          <w:rFonts w:ascii="Times New Roman" w:hAnsi="Times New Roman" w:cs="Times New Roman" w:eastAsia="Times New Roman" w:hint="default"/>
        </w:rPr>
        <w:t>4</w:t>
      </w:r>
      <w:r>
        <w:rPr/>
        <w:t>）持有待售的权益性投资 对于未划分为持有待售资产的剩余权益性投资，采用权益法进行会计处理。</w:t>
      </w:r>
    </w:p>
    <w:p>
      <w:pPr>
        <w:pStyle w:val="BodyText"/>
        <w:spacing w:line="222" w:lineRule="exact"/>
        <w:ind w:left="513" w:right="982"/>
        <w:jc w:val="left"/>
      </w:pPr>
      <w:r>
        <w:rPr/>
        <w:t>已划分为持有待售的对联营企业或合营企业的权益性投资，不再符合持有待售资产分类条件的，从被分类为持有待售资</w:t>
      </w:r>
    </w:p>
    <w:p>
      <w:pPr>
        <w:pStyle w:val="BodyText"/>
        <w:spacing w:line="240" w:lineRule="auto" w:before="76"/>
        <w:ind w:right="0"/>
        <w:jc w:val="both"/>
      </w:pPr>
      <w:r>
        <w:rPr/>
        <w:t>产之日起采用权益法进行追溯调整。</w:t>
      </w:r>
    </w:p>
    <w:p>
      <w:pPr>
        <w:spacing w:line="240" w:lineRule="auto" w:before="0"/>
        <w:rPr>
          <w:rFonts w:ascii="宋体" w:hAnsi="宋体" w:cs="宋体" w:eastAsia="宋体" w:hint="default"/>
          <w:sz w:val="15"/>
          <w:szCs w:val="15"/>
        </w:rPr>
      </w:pPr>
    </w:p>
    <w:p>
      <w:pPr>
        <w:pStyle w:val="BodyText"/>
        <w:spacing w:line="415" w:lineRule="auto"/>
        <w:ind w:left="513" w:right="4273"/>
        <w:jc w:val="left"/>
      </w:pPr>
      <w:r>
        <w:rPr/>
        <w:t>（</w:t>
      </w:r>
      <w:r>
        <w:rPr>
          <w:rFonts w:ascii="Times New Roman" w:hAnsi="Times New Roman" w:cs="Times New Roman" w:eastAsia="Times New Roman" w:hint="default"/>
        </w:rPr>
        <w:t>5</w:t>
      </w:r>
      <w:r>
        <w:rPr/>
        <w:t>）减值测试方法及减值准备计提方法 对子公司、联营企业及合营企业的投资，计提资产减值的方法见附注五、</w:t>
      </w:r>
      <w:r>
        <w:rPr>
          <w:rFonts w:ascii="Times New Roman" w:hAnsi="Times New Roman" w:cs="Times New Roman" w:eastAsia="Times New Roman" w:hint="default"/>
        </w:rPr>
        <w:t>19</w:t>
      </w:r>
      <w:r>
        <w:rPr/>
        <w:t>。</w:t>
      </w:r>
    </w:p>
    <w:p>
      <w:pPr>
        <w:spacing w:line="240" w:lineRule="auto" w:before="0"/>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spacing w:val="-2"/>
        </w:rPr>
        <w:t>本集团固定资产是指为生产商品、提供劳务、出租或经营管理而持有的，使用寿命超过一个会计年度的有形资产。与该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固定资产有关的经济利益很可能流入企业，并且该固定资产的成本能够可靠地计量时，固定资产才能予以确认。本集团固定</w:t>
      </w:r>
      <w:r>
        <w:rPr>
          <w:spacing w:val="-63"/>
        </w:rPr>
        <w:t> </w:t>
      </w:r>
      <w:r>
        <w:rPr>
          <w:spacing w:val="-63"/>
        </w:rPr>
      </w:r>
      <w:r>
        <w:rPr/>
        <w:t>资产按照取得时的实际成本进行初始计量。</w:t>
      </w:r>
    </w:p>
    <w:p>
      <w:pPr>
        <w:spacing w:after="0" w:line="319" w:lineRule="auto"/>
        <w:jc w:val="both"/>
        <w:sectPr>
          <w:footerReference w:type="default" r:id="rId14"/>
          <w:pgSz w:w="11910" w:h="16840"/>
          <w:pgMar w:footer="979" w:header="748"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当本集团租入的固定资产符合下列一项或数项标准时，确认为融资租入固定资产：</w:t>
      </w:r>
    </w:p>
    <w:p>
      <w:pPr>
        <w:pStyle w:val="BodyText"/>
        <w:spacing w:line="240" w:lineRule="auto" w:before="117"/>
        <w:ind w:left="513" w:right="982"/>
        <w:jc w:val="left"/>
      </w:pPr>
      <w:r>
        <w:rPr/>
        <w:t>①在租赁期届满时，租赁资产的所有权转移给本集团。</w:t>
      </w:r>
    </w:p>
    <w:p>
      <w:pPr>
        <w:pStyle w:val="BodyText"/>
        <w:spacing w:line="316" w:lineRule="auto" w:before="117"/>
        <w:ind w:right="982" w:firstLine="360"/>
        <w:jc w:val="left"/>
      </w:pPr>
      <w:r>
        <w:rPr>
          <w:spacing w:val="-2"/>
        </w:rPr>
        <w:t>②本集团有购买租赁资产的选择权，所订立的购买价款预计将远低于行使选择权时租赁资产的公允价值，因而在租赁开</w:t>
      </w:r>
      <w:r>
        <w:rPr/>
        <w:t> 始日就可以合理确定本集团将会行使这种选择权。</w:t>
      </w:r>
    </w:p>
    <w:p>
      <w:pPr>
        <w:pStyle w:val="BodyText"/>
        <w:spacing w:line="240" w:lineRule="auto" w:before="57"/>
        <w:ind w:left="513" w:right="982"/>
        <w:jc w:val="left"/>
      </w:pPr>
      <w:r>
        <w:rPr/>
        <w:t>③即使资产的所有权不转移，但租赁期占租赁资产使用寿命的大部分。</w:t>
      </w:r>
    </w:p>
    <w:p>
      <w:pPr>
        <w:pStyle w:val="BodyText"/>
        <w:spacing w:line="240" w:lineRule="auto" w:before="117"/>
        <w:ind w:left="513" w:right="982"/>
        <w:jc w:val="left"/>
      </w:pPr>
      <w:r>
        <w:rPr/>
        <w:t>④本集团在租赁开始日的最低租赁付款额现值，几乎相当于租赁开始日租赁资产公允价值。</w:t>
      </w:r>
    </w:p>
    <w:p>
      <w:pPr>
        <w:pStyle w:val="BodyText"/>
        <w:spacing w:line="357" w:lineRule="auto" w:before="117"/>
        <w:ind w:left="513" w:right="982"/>
        <w:jc w:val="left"/>
      </w:pPr>
      <w:r>
        <w:rPr/>
        <w:t>⑤租赁资产性质特殊，如果不作较大改造，只有本集团才能使用。 </w:t>
      </w:r>
      <w:r>
        <w:rPr>
          <w:spacing w:val="-2"/>
        </w:rPr>
        <w:t>融资租赁租入的固定资产，按租赁开始日租赁资产公允价值与最低租赁付款额的现值两者中较低者，作为入账价值。最</w:t>
      </w:r>
    </w:p>
    <w:p>
      <w:pPr>
        <w:pStyle w:val="BodyText"/>
        <w:spacing w:line="224" w:lineRule="exact"/>
        <w:ind w:right="982"/>
        <w:jc w:val="left"/>
      </w:pPr>
      <w:r>
        <w:rPr/>
        <w:t>低租赁付款额作为长期应付款的入账价值，其差额作为未确认融资费用。在租赁谈判和签订租赁合同过程中发生的，可归属</w:t>
      </w:r>
    </w:p>
    <w:p>
      <w:pPr>
        <w:pStyle w:val="BodyText"/>
        <w:spacing w:line="319" w:lineRule="auto" w:before="76"/>
        <w:ind w:right="982"/>
        <w:jc w:val="left"/>
      </w:pPr>
      <w:r>
        <w:rPr>
          <w:spacing w:val="-2"/>
        </w:rPr>
        <w:t>于租赁项目的手续费、律师费、差旅费、印花税等初始直接费用，计入租入资产价值。未确认融资费用在租赁期内各个期间</w:t>
      </w:r>
      <w:r>
        <w:rPr>
          <w:spacing w:val="-67"/>
        </w:rPr>
        <w:t> </w:t>
      </w:r>
      <w:r>
        <w:rPr>
          <w:spacing w:val="-67"/>
        </w:rPr>
      </w:r>
      <w:r>
        <w:rPr/>
        <w:t>采用实际利率法进行分摊。</w:t>
      </w:r>
    </w:p>
    <w:p>
      <w:pPr>
        <w:pStyle w:val="BodyText"/>
        <w:spacing w:line="316" w:lineRule="auto" w:before="58"/>
        <w:ind w:right="1130" w:firstLine="360"/>
        <w:jc w:val="both"/>
      </w:pPr>
      <w:r>
        <w:rPr>
          <w:spacing w:val="-2"/>
        </w:rPr>
        <w:t>融资租入的固定资产采用与自有固定资产一致的政策计提租赁资产折旧。能够合理确定租赁期届满时将会取得租赁资产</w:t>
      </w:r>
      <w:r>
        <w:rPr/>
        <w:t> </w:t>
      </w:r>
      <w:r>
        <w:rPr>
          <w:spacing w:val="-2"/>
        </w:rPr>
        <w:t>所有权的，在租赁资产尚可使用年限内计提折旧；无法合理确定租赁期届满时能够取得租赁资产所有权的，在租赁期与租赁</w:t>
      </w:r>
      <w:r>
        <w:rPr>
          <w:spacing w:val="-63"/>
        </w:rPr>
        <w:t> </w:t>
      </w:r>
      <w:r>
        <w:rPr>
          <w:spacing w:val="-63"/>
        </w:rPr>
      </w:r>
      <w:r>
        <w:rPr/>
        <w:t>资产尚可使用年限两者中较短的期间内计提折旧。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7333"/>
        <w:jc w:val="left"/>
      </w:pPr>
      <w:r>
        <w:rPr/>
        <w:t>公司是否需要遵守特殊行业的披露要求 是</w:t>
      </w:r>
    </w:p>
    <w:p>
      <w:pPr>
        <w:pStyle w:val="BodyText"/>
        <w:spacing w:line="357" w:lineRule="auto" w:before="27"/>
        <w:ind w:left="513" w:right="982"/>
        <w:jc w:val="left"/>
      </w:pPr>
      <w:r>
        <w:rPr/>
        <w:t>软件与信息技术服务业 </w:t>
      </w:r>
      <w:r>
        <w:rPr>
          <w:spacing w:val="-2"/>
        </w:rPr>
        <w:t>本集团在建工程成本按实际工程支出确定，包括在建期间发生的各项必要工程支出、工程达到预定可使用状态前的应予</w:t>
      </w:r>
    </w:p>
    <w:p>
      <w:pPr>
        <w:pStyle w:val="BodyText"/>
        <w:spacing w:line="224" w:lineRule="exact"/>
        <w:ind w:right="982"/>
        <w:jc w:val="left"/>
      </w:pPr>
      <w:r>
        <w:rPr/>
        <w:t>资本化的借款费用以及其他相关费用等。</w:t>
      </w:r>
    </w:p>
    <w:p>
      <w:pPr>
        <w:pStyle w:val="BodyText"/>
        <w:spacing w:line="360" w:lineRule="auto" w:before="117"/>
        <w:ind w:left="513" w:right="6433"/>
        <w:jc w:val="left"/>
      </w:pPr>
      <w:r>
        <w:rPr/>
        <w:t>在建工程在达到预定可使用状态时转入固定资产。 在建工程计提资产减值方法见附注五、</w:t>
      </w:r>
      <w:r>
        <w:rPr>
          <w:rFonts w:ascii="Times New Roman" w:hAnsi="Times New Roman" w:cs="Times New Roman" w:eastAsia="Times New Roman" w:hint="default"/>
        </w:rPr>
        <w:t>19</w:t>
      </w:r>
      <w:r>
        <w:rPr/>
        <w:t>。</w:t>
      </w:r>
    </w:p>
    <w:p>
      <w:pPr>
        <w:spacing w:line="240" w:lineRule="auto" w:before="5"/>
        <w:rPr>
          <w:rFonts w:ascii="宋体" w:hAnsi="宋体" w:cs="宋体" w:eastAsia="宋体" w:hint="default"/>
          <w:sz w:val="18"/>
          <w:szCs w:val="18"/>
        </w:rPr>
      </w:pPr>
    </w:p>
    <w:p>
      <w:pPr>
        <w:pStyle w:val="Heading3"/>
        <w:spacing w:line="240" w:lineRule="auto"/>
        <w:ind w:right="982"/>
        <w:jc w:val="left"/>
        <w:rPr>
          <w:b w:val="0"/>
          <w:bCs w:val="0"/>
        </w:rPr>
      </w:pPr>
      <w:r>
        <w:rPr>
          <w:rFonts w:ascii="Times New Roman" w:hAnsi="Times New Roman" w:cs="Times New Roman" w:eastAsia="Times New Roman" w:hint="default"/>
        </w:rPr>
        <w:t>17</w:t>
      </w:r>
      <w:r>
        <w:rPr/>
        <w:t>、借款费用</w:t>
      </w:r>
      <w:r>
        <w:rPr>
          <w:b w:val="0"/>
          <w:bCs w:val="0"/>
        </w:rPr>
      </w:r>
    </w:p>
    <w:p>
      <w:pPr>
        <w:pStyle w:val="BodyText"/>
        <w:spacing w:line="420" w:lineRule="atLeast" w:before="173"/>
        <w:ind w:left="513" w:right="982"/>
        <w:jc w:val="left"/>
      </w:pPr>
      <w:r>
        <w:rPr/>
        <w:t>（</w:t>
      </w:r>
      <w:r>
        <w:rPr>
          <w:rFonts w:ascii="Times New Roman" w:hAnsi="Times New Roman" w:cs="Times New Roman" w:eastAsia="Times New Roman" w:hint="default"/>
        </w:rPr>
        <w:t>1</w:t>
      </w:r>
      <w:r>
        <w:rPr/>
        <w:t>）借款费用资本化的确认原则 </w:t>
      </w:r>
      <w:r>
        <w:rPr>
          <w:spacing w:val="-2"/>
        </w:rPr>
        <w:t>本集团发生的借款费用，可直接归属于符合资本化条件的资产的购建或者生产的，予以资本化，计入相关资产成本；其</w:t>
      </w:r>
    </w:p>
    <w:p>
      <w:pPr>
        <w:pStyle w:val="BodyText"/>
        <w:spacing w:line="240" w:lineRule="auto" w:before="76"/>
        <w:ind w:right="982"/>
        <w:jc w:val="left"/>
      </w:pPr>
      <w:r>
        <w:rPr/>
        <w:t>他借款费用，在发生时根据其发生额确认为费用，计入当期损益。借款费用同时满足下列条件的，开始资本化：</w:t>
      </w:r>
    </w:p>
    <w:p>
      <w:pPr>
        <w:pStyle w:val="BodyText"/>
        <w:spacing w:line="316" w:lineRule="auto" w:before="117"/>
        <w:ind w:right="1118" w:firstLine="360"/>
        <w:jc w:val="left"/>
      </w:pPr>
      <w:r>
        <w:rPr/>
        <w:t>①</w:t>
      </w:r>
      <w:r>
        <w:rPr>
          <w:spacing w:val="6"/>
        </w:rPr>
        <w:t> </w:t>
      </w:r>
      <w:r>
        <w:rPr/>
        <w:t>资产支出已经发生，资产支出包括为购建或者生产符合资本化条件的资产而以支付现金、转移非现金资产或者承担</w:t>
      </w:r>
      <w:r>
        <w:rPr/>
        <w:t> 带息债务形式发生的支出；</w:t>
      </w:r>
    </w:p>
    <w:p>
      <w:pPr>
        <w:spacing w:after="0" w:line="316" w:lineRule="auto"/>
        <w:jc w:val="left"/>
        <w:sectPr>
          <w:footerReference w:type="default" r:id="rId15"/>
          <w:pgSz w:w="11910" w:h="16840"/>
          <w:pgMar w:footer="979" w:header="748" w:top="1060" w:bottom="1160" w:left="980" w:right="0"/>
          <w:pgNumType w:start="101"/>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②</w:t>
      </w:r>
      <w:r>
        <w:rPr>
          <w:spacing w:val="1"/>
        </w:rPr>
        <w:t> </w:t>
      </w:r>
      <w:r>
        <w:rPr/>
        <w:t>借款费用已经发生；</w:t>
      </w:r>
    </w:p>
    <w:p>
      <w:pPr>
        <w:pStyle w:val="BodyText"/>
        <w:spacing w:line="240" w:lineRule="auto" w:before="117"/>
        <w:ind w:left="513" w:right="982"/>
        <w:jc w:val="left"/>
      </w:pPr>
      <w:r>
        <w:rPr/>
        <w:t>③</w:t>
      </w:r>
      <w:r>
        <w:rPr>
          <w:spacing w:val="1"/>
        </w:rPr>
        <w:t> </w:t>
      </w:r>
      <w:r>
        <w:rPr/>
        <w:t>为使资产达到预定可使用或者可销售状态所必要的购建或者生产活动已经开始。</w:t>
      </w:r>
    </w:p>
    <w:p>
      <w:pPr>
        <w:pStyle w:val="BodyText"/>
        <w:spacing w:line="420" w:lineRule="atLeast" w:before="23"/>
        <w:ind w:left="513" w:right="982"/>
        <w:jc w:val="left"/>
      </w:pPr>
      <w:r>
        <w:rPr/>
        <w:t>（</w:t>
      </w:r>
      <w:r>
        <w:rPr>
          <w:rFonts w:ascii="Times New Roman" w:hAnsi="Times New Roman" w:cs="Times New Roman" w:eastAsia="Times New Roman" w:hint="default"/>
        </w:rPr>
        <w:t>2</w:t>
      </w:r>
      <w:r>
        <w:rPr/>
        <w:t>）借款费用资本化期间 </w:t>
      </w:r>
      <w:r>
        <w:rPr>
          <w:spacing w:val="-2"/>
        </w:rPr>
        <w:t>本集团购建或者生产符合资本化条件的资产达到预定可使用或者可销售状态时，借款费用停止资本化。在符合资本化条</w:t>
      </w:r>
    </w:p>
    <w:p>
      <w:pPr>
        <w:pStyle w:val="BodyText"/>
        <w:spacing w:line="357" w:lineRule="auto" w:before="76"/>
        <w:ind w:left="513" w:right="1028" w:hanging="361"/>
        <w:jc w:val="left"/>
      </w:pPr>
      <w:r>
        <w:rPr/>
        <w:t>件的资产达到预定可使用或者可销售状态之后所发生的借款费用，在发生时根据其发生额确认为费用，计入当期损益。 </w:t>
      </w:r>
      <w:r>
        <w:rPr>
          <w:spacing w:val="-3"/>
        </w:rPr>
        <w:t>符合资本化条件的资产在购建或者生产过程中发生非正常中断、且中断时间连续超过</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6"/>
        </w:rPr>
        <w:t>个月的，暂停借款费用的资本化；</w:t>
      </w:r>
    </w:p>
    <w:p>
      <w:pPr>
        <w:pStyle w:val="BodyText"/>
        <w:spacing w:line="201" w:lineRule="exact"/>
        <w:ind w:right="982"/>
        <w:jc w:val="left"/>
      </w:pPr>
      <w:r>
        <w:rPr/>
        <w:t>正常中断期间的借款费用继续资本化。</w:t>
      </w:r>
    </w:p>
    <w:p>
      <w:pPr>
        <w:pStyle w:val="BodyText"/>
        <w:spacing w:line="420" w:lineRule="atLeast" w:before="25"/>
        <w:ind w:left="513" w:right="982"/>
        <w:jc w:val="left"/>
      </w:pPr>
      <w:r>
        <w:rPr/>
        <w:t>（</w:t>
      </w:r>
      <w:r>
        <w:rPr>
          <w:rFonts w:ascii="Times New Roman" w:hAnsi="Times New Roman" w:cs="Times New Roman" w:eastAsia="Times New Roman"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316" w:lineRule="auto" w:before="77"/>
        <w:ind w:right="982"/>
        <w:jc w:val="left"/>
      </w:pP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40" w:lineRule="auto" w:before="59"/>
        <w:ind w:left="513" w:right="982"/>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7333"/>
        <w:jc w:val="left"/>
      </w:pPr>
      <w:r>
        <w:rPr/>
        <w:t>公司是否需要遵守特殊行业的披露要求 是</w:t>
      </w:r>
    </w:p>
    <w:p>
      <w:pPr>
        <w:pStyle w:val="BodyText"/>
        <w:spacing w:line="360" w:lineRule="auto" w:before="25"/>
        <w:ind w:left="513" w:right="6793"/>
        <w:jc w:val="left"/>
      </w:pPr>
      <w:r>
        <w:rPr/>
        <w:t>软件与信息技术服务业 本集团无形资产为外购软件、土地使用权等。</w:t>
      </w:r>
    </w:p>
    <w:p>
      <w:pPr>
        <w:pStyle w:val="BodyText"/>
        <w:spacing w:line="316" w:lineRule="auto" w:before="27"/>
        <w:ind w:right="1130" w:firstLine="360"/>
        <w:jc w:val="both"/>
      </w:pPr>
      <w:r>
        <w:rPr>
          <w:spacing w:val="-2"/>
        </w:rPr>
        <w:t>无形资产按照成本进行初始计量，并于取得无形资产时分析判断其使用寿命。使用寿命为有限的，自无形资产可供使用</w:t>
      </w:r>
      <w:r>
        <w:rPr/>
        <w:t> </w:t>
      </w:r>
      <w:r>
        <w:rPr>
          <w:spacing w:val="-2"/>
        </w:rPr>
        <w:t>时起，采用能反映与该资产有关的经济利益的预期实现方式的摊销方法，在预计使用年限内摊销；无法可靠确定预期实现方</w:t>
      </w:r>
      <w:r>
        <w:rPr>
          <w:spacing w:val="-63"/>
        </w:rPr>
        <w:t> </w:t>
      </w:r>
      <w:r>
        <w:rPr>
          <w:spacing w:val="-63"/>
        </w:rPr>
      </w:r>
      <w:r>
        <w:rPr/>
        <w:t>式的，采用直线法摊销；使用寿命不确定的无形资产，不作摊销。</w:t>
      </w:r>
    </w:p>
    <w:p>
      <w:pPr>
        <w:pStyle w:val="BodyText"/>
        <w:spacing w:line="240" w:lineRule="auto" w:before="57"/>
        <w:ind w:left="513" w:right="982"/>
        <w:jc w:val="left"/>
      </w:pPr>
      <w:r>
        <w:rPr/>
        <w:t>使用寿命有限的无形资产摊销方法如下：</w:t>
      </w:r>
    </w:p>
    <w:p>
      <w:pPr>
        <w:spacing w:line="240" w:lineRule="auto" w:before="2"/>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356"/>
        <w:gridCol w:w="2535"/>
        <w:gridCol w:w="2536"/>
        <w:gridCol w:w="2354"/>
      </w:tblGrid>
      <w:tr>
        <w:trPr>
          <w:trHeight w:val="422" w:hRule="exact"/>
        </w:trPr>
        <w:tc>
          <w:tcPr>
            <w:tcW w:w="235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9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53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253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88"/>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354"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8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0" w:hRule="exact"/>
        </w:trPr>
        <w:tc>
          <w:tcPr>
            <w:tcW w:w="235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9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86"/>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35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3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3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9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35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86"/>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4" w:lineRule="auto" w:before="52"/>
        <w:ind w:right="982" w:firstLine="360"/>
        <w:jc w:val="left"/>
      </w:pPr>
      <w:r>
        <w:rPr>
          <w:spacing w:val="-2"/>
        </w:rPr>
        <w:t>本集团于每年年度终了，对使用寿命有限的无形资产的使用寿命及摊销方法进行复核，与以前估计不同的，调整原先估</w:t>
      </w:r>
      <w:r>
        <w:rPr/>
        <w:t> 计数，并按会计估计变更处理。</w:t>
      </w:r>
    </w:p>
    <w:p>
      <w:pPr>
        <w:pStyle w:val="BodyText"/>
        <w:spacing w:line="360" w:lineRule="auto" w:before="61"/>
        <w:ind w:left="513" w:right="1033"/>
        <w:jc w:val="left"/>
      </w:pPr>
      <w:r>
        <w:rPr/>
        <w:t>资产负债表日预计某项无形资产已经不能给企业带来未来经济利益的，将该项无形资产的账面价值全部转入当期损益。 无形资产计提资产减值方法见附注五、</w:t>
      </w:r>
      <w:r>
        <w:rPr>
          <w:rFonts w:ascii="Times New Roman" w:hAnsi="Times New Roman" w:cs="Times New Roman" w:eastAsia="Times New Roman" w:hint="default"/>
        </w:rPr>
        <w:t>19</w:t>
      </w:r>
      <w:r>
        <w:rPr/>
        <w:t>。</w:t>
      </w:r>
    </w:p>
    <w:p>
      <w:pPr>
        <w:spacing w:line="240" w:lineRule="auto" w:before="5"/>
        <w:rPr>
          <w:rFonts w:ascii="宋体" w:hAnsi="宋体" w:cs="宋体" w:eastAsia="宋体" w:hint="default"/>
          <w:sz w:val="18"/>
          <w:szCs w:val="18"/>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129"/>
        <w:jc w:val="left"/>
      </w:pPr>
      <w:r>
        <w:rPr/>
        <w:t>本集团将内部研究开发项目的支出，区分为研究阶段支出和开发阶段支出。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224" w:lineRule="exact"/>
        <w:ind w:right="982"/>
        <w:jc w:val="left"/>
      </w:pPr>
      <w:r>
        <w:rPr/>
        <w:t>行性；具有完成该无形资产并使用或出售的意图；无形资产产生经济利益的方式，包括能够证明运用该无形资产生产的产品</w:t>
      </w:r>
    </w:p>
    <w:p>
      <w:pPr>
        <w:pStyle w:val="BodyText"/>
        <w:spacing w:line="240" w:lineRule="auto" w:before="76"/>
        <w:ind w:right="982"/>
        <w:jc w:val="left"/>
      </w:pPr>
      <w:r>
        <w:rPr/>
        <w:t>存在市场或无形资产自身存在市场，无形资产将在内部使用的，能够证明其有用性；有足够的技术、财务资源和其他资源支</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2"/>
        <w:jc w:val="left"/>
      </w:pPr>
      <w:r>
        <w:rPr>
          <w:spacing w:val="-2"/>
        </w:rPr>
        <w:t>持，以完成该无形资产的开发，并有能力使用或出售该无形资产；归属于该无形资产开发阶段的支出能够可靠地计量。不满</w:t>
      </w:r>
      <w:r>
        <w:rPr>
          <w:spacing w:val="-65"/>
        </w:rPr>
        <w:t> </w:t>
      </w:r>
      <w:r>
        <w:rPr>
          <w:spacing w:val="-65"/>
        </w:rPr>
      </w:r>
      <w:r>
        <w:rPr/>
        <w:t>足上述条件的开发支出计入当期损益。</w:t>
      </w:r>
    </w:p>
    <w:p>
      <w:pPr>
        <w:pStyle w:val="BodyText"/>
        <w:spacing w:line="357" w:lineRule="auto" w:before="59"/>
        <w:ind w:left="513" w:right="1753"/>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4" w:firstLine="360"/>
        <w:jc w:val="both"/>
      </w:pPr>
      <w:r>
        <w:rPr>
          <w:spacing w:val="-2"/>
        </w:rPr>
        <w:t>对子公司、联营企业和合营企业的长期股权投资、固定资产、在建工程、无形资产等（存货、递延所得税资产、金融资</w:t>
      </w:r>
      <w:r>
        <w:rPr/>
        <w:t> 产除外）的资产减值，按以下方法确定：</w:t>
      </w:r>
    </w:p>
    <w:p>
      <w:pPr>
        <w:pStyle w:val="BodyText"/>
        <w:spacing w:line="319" w:lineRule="auto" w:before="59"/>
        <w:ind w:right="982" w:firstLine="360"/>
        <w:jc w:val="left"/>
      </w:pPr>
      <w:r>
        <w:rPr>
          <w:spacing w:val="-4"/>
        </w:rPr>
        <w:t>于资产负债表日判断资产是否存在可能发生减值的迹象，存在减值迹象的，本集团将估计其可收回金额，进行减值测试。</w:t>
      </w:r>
      <w:r>
        <w:rPr/>
        <w:t> </w:t>
      </w:r>
      <w:r>
        <w:rPr>
          <w:spacing w:val="-2"/>
        </w:rPr>
        <w:t>对因企业合并所形成的商誉、使用寿命不确定的无形资产和尚未达到可使用状态的无形资产无论是否存在减值迹象，每年都</w:t>
      </w:r>
      <w:r>
        <w:rPr>
          <w:spacing w:val="-63"/>
        </w:rPr>
        <w:t> </w:t>
      </w:r>
      <w:r>
        <w:rPr>
          <w:spacing w:val="-63"/>
        </w:rPr>
      </w:r>
      <w:r>
        <w:rPr/>
        <w:t>进行减值测试。</w:t>
      </w:r>
    </w:p>
    <w:p>
      <w:pPr>
        <w:pStyle w:val="BodyText"/>
        <w:spacing w:line="316" w:lineRule="auto" w:before="55"/>
        <w:ind w:right="1132"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59"/>
        <w:ind w:right="1051" w:firstLine="360"/>
        <w:jc w:val="both"/>
      </w:pPr>
      <w:r>
        <w:rPr/>
        <w:t>当资产或资产组的可收回金额低于其账面价值时，本集团将其账面价值减记至可收回金额，减记的金额计入当期损益， 同时计提相应的资产减值准备。</w:t>
      </w:r>
    </w:p>
    <w:p>
      <w:pPr>
        <w:pStyle w:val="BodyText"/>
        <w:spacing w:line="316" w:lineRule="auto" w:before="59"/>
        <w:ind w:right="1130" w:firstLine="360"/>
        <w:jc w:val="both"/>
      </w:pPr>
      <w:r>
        <w:rPr>
          <w:spacing w:val="-2"/>
        </w:rPr>
        <w:t>就商誉的减值测试而言，对于因企业合并形成的商誉的账面价值，自购买日起按照合理的方法分摊至相关的资产组；难</w:t>
      </w:r>
      <w:r>
        <w:rPr/>
        <w:t> </w:t>
      </w:r>
      <w:r>
        <w:rPr>
          <w:spacing w:val="-2"/>
        </w:rPr>
        <w:t>以分摊至相关的资产组的，将其分摊至相关的资产组组合。相关的资产组或资产组组合，是能够从企业合并的协同效应中受</w:t>
      </w:r>
      <w:r>
        <w:rPr>
          <w:spacing w:val="-63"/>
        </w:rPr>
        <w:t> </w:t>
      </w:r>
      <w:r>
        <w:rPr>
          <w:spacing w:val="-63"/>
        </w:rPr>
      </w:r>
      <w:r>
        <w:rPr/>
        <w:t>益的资产组或者资产组组合，且不大于本集团确定的报告分部。</w:t>
      </w:r>
    </w:p>
    <w:p>
      <w:pPr>
        <w:pStyle w:val="BodyText"/>
        <w:spacing w:line="316" w:lineRule="auto" w:before="57"/>
        <w:ind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59"/>
        <w:ind w:left="513" w:right="982"/>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本集团在职工提供服务的会计期间，将实际发生的职工工资、奖金、按规定的基准和比例为职工缴纳的医疗保险费、工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伤保险费和生育保险费等社会保险费和住房公积金，确认为负债，并计入当期损益或相关资产成本。如果该负债预期在职工</w:t>
      </w:r>
      <w:r>
        <w:rPr>
          <w:spacing w:val="-63"/>
        </w:rPr>
        <w:t> </w:t>
      </w:r>
      <w:r>
        <w:rPr>
          <w:spacing w:val="-63"/>
        </w:rPr>
      </w:r>
      <w:r>
        <w:rPr/>
        <w:t>提供相关服务的年度报告期结束后十二个月内不能完全支付，且财务影响重大的，则该负债将以折现后的金额计量。</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firstLine="360"/>
        <w:jc w:val="both"/>
      </w:pPr>
      <w:r>
        <w:rPr>
          <w:spacing w:val="-2"/>
        </w:rPr>
        <w:t>离职后福利计划包括设定提存计划和设定受益计划。其中，设定提存计划，是指向独立的基金缴存固定费用后，企业不</w:t>
      </w:r>
      <w:r>
        <w:rPr/>
        <w:t> 再承担进一步支付义务的离职后福利计划；设定受益计划，是指除设定提存计划以外的离职后福利计划。</w:t>
      </w:r>
    </w:p>
    <w:p>
      <w:pPr>
        <w:pStyle w:val="BodyText"/>
        <w:spacing w:line="240" w:lineRule="auto" w:before="137"/>
        <w:ind w:left="513" w:right="982"/>
        <w:jc w:val="left"/>
      </w:pPr>
      <w:r>
        <w:rPr/>
        <w:t>设定提存计划</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3" w:right="1393"/>
        <w:jc w:val="left"/>
      </w:pPr>
      <w:r>
        <w:rPr/>
        <w:t>设定提存计划包括基本养老保险、失业保险等。 在职工提供服务的会计期间，根据设定提存计划计算的应缴存金额确认为负债，并计入当期损益或相关资产成本。</w:t>
      </w:r>
    </w:p>
    <w:p>
      <w:pPr>
        <w:pStyle w:val="BodyText"/>
        <w:spacing w:line="240" w:lineRule="auto" w:before="104"/>
        <w:ind w:left="513" w:right="982"/>
        <w:jc w:val="left"/>
      </w:pPr>
      <w:r>
        <w:rPr/>
        <w:t>设定受益计划</w:t>
      </w:r>
    </w:p>
    <w:p>
      <w:pPr>
        <w:spacing w:line="240" w:lineRule="auto" w:before="3"/>
        <w:rPr>
          <w:rFonts w:ascii="宋体" w:hAnsi="宋体" w:cs="宋体" w:eastAsia="宋体" w:hint="default"/>
          <w:sz w:val="15"/>
          <w:szCs w:val="15"/>
        </w:rPr>
      </w:pPr>
    </w:p>
    <w:p>
      <w:pPr>
        <w:pStyle w:val="BodyText"/>
        <w:spacing w:line="316" w:lineRule="auto"/>
        <w:ind w:right="1130" w:firstLine="360"/>
        <w:jc w:val="both"/>
      </w:pPr>
      <w:r>
        <w:rPr>
          <w:spacing w:val="-2"/>
        </w:rPr>
        <w:t>对于设定受益计划，在年度资产负债表日由独立精算师进行精算估值，以预期累积福利单位法确定提供福利的成本。本</w:t>
      </w:r>
      <w:r>
        <w:rPr/>
        <w:t> 集团设定受益计划导致的职工薪酬成本包括下列组成部分：</w:t>
      </w:r>
    </w:p>
    <w:p>
      <w:pPr>
        <w:pStyle w:val="BodyText"/>
        <w:spacing w:line="316" w:lineRule="auto" w:before="57"/>
        <w:ind w:right="1133" w:firstLine="360"/>
        <w:jc w:val="both"/>
      </w:pPr>
      <w:r>
        <w:rPr>
          <w:spacing w:val="-2"/>
        </w:rPr>
        <w:t>①服务成本，包括当期服务成本、过去服务成本和结算利得或损失。其中，当期服务成本，是指职工当期提供服务所导</w:t>
      </w:r>
      <w:r>
        <w:rPr/>
        <w:t> </w:t>
      </w:r>
      <w:r>
        <w:rPr>
          <w:spacing w:val="-2"/>
        </w:rPr>
        <w:t>致的设定受益计划义务现值的增加额；过去服务成本，是指设定受益计划修改所导致的与以前期间职工服务相关的设定受益</w:t>
      </w:r>
      <w:r>
        <w:rPr>
          <w:spacing w:val="-64"/>
        </w:rPr>
        <w:t> </w:t>
      </w:r>
      <w:r>
        <w:rPr>
          <w:spacing w:val="-64"/>
        </w:rPr>
      </w:r>
      <w:r>
        <w:rPr/>
        <w:t>计划义务现值的增加或减少。</w:t>
      </w:r>
    </w:p>
    <w:p>
      <w:pPr>
        <w:pStyle w:val="BodyText"/>
        <w:spacing w:line="319" w:lineRule="auto" w:before="59"/>
        <w:ind w:right="1132" w:firstLine="360"/>
        <w:jc w:val="both"/>
      </w:pPr>
      <w:r>
        <w:rPr>
          <w:spacing w:val="-2"/>
        </w:rPr>
        <w:t>②设定受益计划净负债或净资产的利息净额，包括计划资产的利息收益、设定受益计划义务的利息费用以及资产上限影</w:t>
      </w:r>
      <w:r>
        <w:rPr/>
        <w:t> 响的利息。</w:t>
      </w:r>
    </w:p>
    <w:p>
      <w:pPr>
        <w:pStyle w:val="BodyText"/>
        <w:spacing w:line="357" w:lineRule="auto" w:before="58"/>
        <w:ind w:left="513" w:right="982"/>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w:t>
      </w:r>
    </w:p>
    <w:p>
      <w:pPr>
        <w:pStyle w:val="BodyText"/>
        <w:spacing w:line="224" w:lineRule="exact"/>
        <w:ind w:right="982"/>
        <w:jc w:val="left"/>
      </w:pPr>
      <w:r>
        <w:rPr/>
        <w:t>合收益且不会在后续会计期间转回至损益</w:t>
      </w:r>
      <w:r>
        <w:rPr>
          <w:spacing w:val="-82"/>
        </w:rPr>
        <w:t>，</w:t>
      </w:r>
      <w:r>
        <w:rPr/>
        <w:t>在原设定受益计划终止时在权益范围内将原计入其他综合收益的部分全部结转至</w:t>
      </w:r>
    </w:p>
    <w:p>
      <w:pPr>
        <w:pStyle w:val="BodyText"/>
        <w:spacing w:line="240" w:lineRule="auto" w:before="76"/>
        <w:ind w:right="982"/>
        <w:jc w:val="left"/>
      </w:pPr>
      <w:r>
        <w:rPr/>
        <w:t>未分配利润。</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w:t>
      </w:r>
      <w:r>
        <w:rPr>
          <w:spacing w:val="-11"/>
        </w:rPr>
        <w:t> </w:t>
      </w:r>
      <w:r>
        <w:rPr>
          <w:spacing w:val="-11"/>
        </w:rPr>
      </w:r>
      <w:r>
        <w:rPr/>
        <w:t>时。</w:t>
      </w:r>
    </w:p>
    <w:p>
      <w:pPr>
        <w:pStyle w:val="BodyText"/>
        <w:spacing w:line="316" w:lineRule="auto" w:before="60"/>
        <w:ind w:right="1034" w:firstLine="360"/>
        <w:jc w:val="left"/>
      </w:pPr>
      <w:r>
        <w:rPr/>
        <w:t>实行职工内部退休计划的，在正式退休日之前的经济补偿，属于辞退福利，自职工停止提供服务日至正常退休日期间， </w:t>
      </w:r>
      <w:r>
        <w:rPr>
          <w:spacing w:val="-2"/>
        </w:rPr>
        <w:t>拟支付的内退职工工资和缴纳的社会保险费等一次性计入当期损益。正式退休日期之后的经济补偿（如正常养老退休金），</w:t>
      </w:r>
      <w:r>
        <w:rPr>
          <w:spacing w:val="-65"/>
        </w:rPr>
        <w:t> </w:t>
      </w:r>
      <w:r>
        <w:rPr>
          <w:spacing w:val="-65"/>
        </w:rPr>
      </w:r>
      <w:r>
        <w:rPr/>
        <w:t>按照离职后福利处理。</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034" w:firstLine="360"/>
        <w:jc w:val="left"/>
      </w:pPr>
      <w:r>
        <w:rPr/>
        <w:t>本集团向职工提供的其他长期职工福利，符合设定提存计划条件的，按照上述关于设定提存计划的有关规定进行处理。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hAnsi="Times New Roman" w:cs="Times New Roman" w:eastAsia="Times New Roman" w:hint="default"/>
        </w:rPr>
        <w:t>“</w:t>
      </w:r>
      <w:r>
        <w:rPr/>
        <w:t>重新计量设定受益计划净</w:t>
      </w:r>
      <w:r>
        <w:rPr>
          <w:spacing w:val="-74"/>
        </w:rPr>
        <w:t> </w:t>
      </w:r>
      <w:r>
        <w:rPr>
          <w:spacing w:val="-74"/>
        </w:rPr>
      </w:r>
      <w:r>
        <w:rPr/>
        <w:t>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10"/>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如果与或有事项相关的义务同时符合以下条件，本集团将其确认为预计负债：</w:t>
      </w:r>
    </w:p>
    <w:p>
      <w:pPr>
        <w:pStyle w:val="BodyText"/>
        <w:spacing w:line="240" w:lineRule="auto" w:before="115"/>
        <w:ind w:left="513" w:right="982"/>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103"/>
        <w:ind w:left="513" w:right="982"/>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38" w:lineRule="auto" w:before="103"/>
        <w:ind w:left="513" w:right="982"/>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w:t>
      </w:r>
    </w:p>
    <w:p>
      <w:pPr>
        <w:pStyle w:val="BodyText"/>
        <w:spacing w:line="316" w:lineRule="auto" w:before="2"/>
        <w:ind w:right="982"/>
        <w:jc w:val="left"/>
      </w:pPr>
      <w:r>
        <w:rPr>
          <w:spacing w:val="-2"/>
        </w:rPr>
        <w:t>货币时间价值等因素。货币时间价值影响重大的，通过对相关未来现金流出进行折现后确定最佳估计数。本集团于资产负债</w:t>
      </w:r>
      <w:r>
        <w:rPr>
          <w:spacing w:val="-63"/>
        </w:rPr>
        <w:t> </w:t>
      </w:r>
      <w:r>
        <w:rPr>
          <w:spacing w:val="-63"/>
        </w:rPr>
      </w:r>
      <w:r>
        <w:rPr/>
        <w:t>表日对预计负债的账面价值进行复核，并对账面价值进行调整以反映当前最佳估计数。</w:t>
      </w:r>
    </w:p>
    <w:p>
      <w:pPr>
        <w:pStyle w:val="BodyText"/>
        <w:spacing w:line="319" w:lineRule="auto" w:before="59"/>
        <w:ind w:right="982"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after="0" w:line="319"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7333"/>
        <w:jc w:val="left"/>
      </w:pPr>
      <w:r>
        <w:rPr/>
        <w:t>公司是否需要遵守特殊行业的披露要求 是</w:t>
      </w:r>
    </w:p>
    <w:p>
      <w:pPr>
        <w:pStyle w:val="BodyText"/>
        <w:spacing w:line="240" w:lineRule="auto" w:before="25"/>
        <w:ind w:left="513" w:right="982"/>
        <w:jc w:val="left"/>
      </w:pPr>
      <w:r>
        <w:rPr/>
        <w:t>软件与信息技术服务业</w:t>
      </w:r>
    </w:p>
    <w:p>
      <w:pPr>
        <w:pStyle w:val="BodyText"/>
        <w:spacing w:line="240" w:lineRule="auto" w:before="117"/>
        <w:ind w:left="513"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4"/>
          <w:szCs w:val="14"/>
        </w:rPr>
      </w:pPr>
    </w:p>
    <w:p>
      <w:pPr>
        <w:pStyle w:val="BodyText"/>
        <w:spacing w:line="240" w:lineRule="auto"/>
        <w:ind w:left="513" w:right="982"/>
        <w:jc w:val="left"/>
      </w:pPr>
      <w:r>
        <w:rPr/>
        <w:t>（</w:t>
      </w:r>
      <w:r>
        <w:rPr>
          <w:rFonts w:ascii="Times New Roman" w:hAnsi="Times New Roman" w:cs="Times New Roman" w:eastAsia="Times New Roman" w:hint="default"/>
        </w:rPr>
        <w:t>1</w:t>
      </w:r>
      <w:r>
        <w:rPr/>
        <w:t>）一般原则</w:t>
      </w:r>
    </w:p>
    <w:p>
      <w:pPr>
        <w:pStyle w:val="BodyText"/>
        <w:spacing w:line="432" w:lineRule="exact" w:before="47"/>
        <w:ind w:left="513" w:right="982"/>
        <w:jc w:val="left"/>
      </w:pPr>
      <w:r>
        <w:rPr/>
        <w:t>①销售商品 </w:t>
      </w:r>
      <w:r>
        <w:rPr>
          <w:spacing w:val="-2"/>
        </w:rPr>
        <w:t>在已将商品所有权上的主要风险和报酬转移给购货方，既没有保留通常与所有权相联系的继续管理权，也没有对已售商</w:t>
      </w:r>
    </w:p>
    <w:p>
      <w:pPr>
        <w:pStyle w:val="BodyText"/>
        <w:spacing w:line="316" w:lineRule="auto" w:before="15"/>
        <w:ind w:right="982"/>
        <w:jc w:val="left"/>
      </w:pPr>
      <w:r>
        <w:rPr>
          <w:spacing w:val="-2"/>
        </w:rPr>
        <w:t>品实施有效控制，收入的金额能够可靠地计量，相关的经济利益很可能流入企业，相关的已发生或将发生的成本能够可靠地</w:t>
      </w:r>
      <w:r>
        <w:rPr>
          <w:spacing w:val="-63"/>
        </w:rPr>
        <w:t> </w:t>
      </w:r>
      <w:r>
        <w:rPr>
          <w:spacing w:val="-63"/>
        </w:rPr>
      </w:r>
      <w:r>
        <w:rPr/>
        <w:t>计量时，确认商品销售收入的实现。</w:t>
      </w:r>
    </w:p>
    <w:p>
      <w:pPr>
        <w:pStyle w:val="BodyText"/>
        <w:spacing w:line="240" w:lineRule="auto" w:before="139"/>
        <w:ind w:left="513" w:right="982"/>
        <w:jc w:val="left"/>
      </w:pPr>
      <w:r>
        <w:rPr/>
        <w:t>②提供劳务</w:t>
      </w:r>
    </w:p>
    <w:p>
      <w:pPr>
        <w:spacing w:line="240" w:lineRule="auto" w:before="0"/>
        <w:rPr>
          <w:rFonts w:ascii="宋体" w:hAnsi="宋体" w:cs="宋体" w:eastAsia="宋体" w:hint="default"/>
          <w:sz w:val="15"/>
          <w:szCs w:val="15"/>
        </w:rPr>
      </w:pPr>
    </w:p>
    <w:p>
      <w:pPr>
        <w:pStyle w:val="BodyText"/>
        <w:spacing w:line="357" w:lineRule="auto"/>
        <w:ind w:left="513" w:right="982"/>
        <w:jc w:val="left"/>
      </w:pPr>
      <w:r>
        <w:rPr/>
        <w:t>对在提供劳务交易的结果能够可靠估计的情况下，本集团于资产负债表日按完工百分比法确认收入。 劳务交易的完工进度按已经提供的劳务占应提供劳务总量的比例确定。 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w:t>
      </w:r>
    </w:p>
    <w:p>
      <w:pPr>
        <w:pStyle w:val="BodyText"/>
        <w:spacing w:line="215" w:lineRule="exact"/>
        <w:ind w:right="982"/>
        <w:jc w:val="left"/>
      </w:pPr>
      <w:r>
        <w:rPr/>
        <w:t>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pStyle w:val="BodyText"/>
        <w:spacing w:line="316" w:lineRule="auto" w:before="103"/>
        <w:ind w:right="982"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240" w:lineRule="auto" w:before="59"/>
        <w:ind w:left="513" w:right="982"/>
        <w:jc w:val="left"/>
      </w:pPr>
      <w:r>
        <w:rPr/>
        <w:t>对签订的合同或协议中既包括销售商品又包括提供劳务的，分别按以下情况进行处理：</w:t>
      </w:r>
    </w:p>
    <w:p>
      <w:pPr>
        <w:pStyle w:val="BodyText"/>
        <w:spacing w:line="300" w:lineRule="auto" w:before="115"/>
        <w:ind w:right="1124" w:firstLine="360"/>
        <w:jc w:val="left"/>
      </w:pPr>
      <w:r>
        <w:rPr/>
        <w:t>（</w:t>
      </w:r>
      <w:r>
        <w:rPr>
          <w:rFonts w:ascii="Times New Roman" w:hAnsi="Times New Roman" w:cs="Times New Roman" w:eastAsia="Times New Roman" w:hint="default"/>
        </w:rPr>
        <w:t>1</w:t>
      </w:r>
      <w:r>
        <w:rPr/>
        <w:t>）销售商品部分和提供劳务部分能够区分且能够单独计量的，分别核算销售商品部分和提供劳务部分，将销售商品 的部分作为销售商品处理，将提供劳务的部分作为提供劳务处理。</w:t>
      </w:r>
    </w:p>
    <w:p>
      <w:pPr>
        <w:pStyle w:val="BodyText"/>
        <w:spacing w:line="300" w:lineRule="auto" w:before="72"/>
        <w:ind w:right="1124" w:firstLine="360"/>
        <w:jc w:val="left"/>
      </w:pPr>
      <w:r>
        <w:rPr/>
        <w:t>（</w:t>
      </w:r>
      <w:r>
        <w:rPr>
          <w:rFonts w:ascii="Times New Roman" w:hAnsi="Times New Roman" w:cs="Times New Roman" w:eastAsia="Times New Roman" w:hint="default"/>
        </w:rPr>
        <w:t>2</w:t>
      </w:r>
      <w:r>
        <w:rPr/>
        <w:t>）销售商品部分和提供劳务部分不能够区分，或虽能区分但不能够单独计量的，销售商品部分和提供劳务部分全部 作为销售商品部分进行处理。</w:t>
      </w:r>
    </w:p>
    <w:p>
      <w:pPr>
        <w:pStyle w:val="BodyText"/>
        <w:spacing w:line="441" w:lineRule="auto" w:before="151"/>
        <w:ind w:left="513" w:right="2833"/>
        <w:jc w:val="left"/>
      </w:pPr>
      <w:r>
        <w:rPr/>
        <w:t>③让渡资产使用权 与资产使用权让渡相关的经济利益能够流入及收入的金额能够可靠地计量时，本集团确认收入。</w:t>
      </w:r>
    </w:p>
    <w:p>
      <w:pPr>
        <w:pStyle w:val="BodyText"/>
        <w:spacing w:line="415" w:lineRule="auto" w:before="45"/>
        <w:ind w:left="513" w:right="3013"/>
        <w:jc w:val="left"/>
      </w:pPr>
      <w:r>
        <w:rPr/>
        <w:t>（</w:t>
      </w:r>
      <w:r>
        <w:rPr>
          <w:rFonts w:ascii="Times New Roman" w:hAnsi="Times New Roman" w:cs="Times New Roman" w:eastAsia="Times New Roman" w:hint="default"/>
        </w:rPr>
        <w:t>2</w:t>
      </w:r>
      <w:r>
        <w:rPr/>
        <w:t>）收入确认的具体方法 本集团的营业收入分为电子认证服务收入、安全集成收入和安全咨询与运维服务收入等三类。</w:t>
      </w:r>
    </w:p>
    <w:p>
      <w:pPr>
        <w:pStyle w:val="BodyText"/>
        <w:spacing w:line="221" w:lineRule="exact"/>
        <w:ind w:right="982" w:firstLine="360"/>
        <w:jc w:val="left"/>
      </w:pPr>
      <w:r>
        <w:rPr/>
        <w:t>①电子认证服务收入主要包括数字证书收入、电子签名服务收入和证书介质收入，其中数字证书收入在数字证书签发或</w:t>
      </w:r>
    </w:p>
    <w:p>
      <w:pPr>
        <w:pStyle w:val="BodyText"/>
        <w:spacing w:line="316" w:lineRule="auto" w:before="76"/>
        <w:ind w:right="982"/>
        <w:jc w:val="left"/>
      </w:pPr>
      <w:r>
        <w:rPr>
          <w:spacing w:val="-2"/>
        </w:rPr>
        <w:t>更新生效当月开始在数字证书的有效期内分期确认收入；电子签名服务收入按照约定的服务期限分期确认收入，约定电子签</w:t>
      </w:r>
      <w:r>
        <w:rPr>
          <w:spacing w:val="-64"/>
        </w:rPr>
        <w:t> </w:t>
      </w:r>
      <w:r>
        <w:rPr>
          <w:spacing w:val="-64"/>
        </w:rPr>
      </w:r>
      <w:r>
        <w:rPr/>
        <w:t>名服务单价的则按照双方确认的服务量及单价确认收入；证书介质收入在移交给客户并经客户验收后一次性确认收入。</w:t>
      </w:r>
    </w:p>
    <w:p>
      <w:pPr>
        <w:pStyle w:val="BodyText"/>
        <w:spacing w:line="240" w:lineRule="auto" w:before="57"/>
        <w:ind w:left="513" w:right="982"/>
        <w:jc w:val="left"/>
      </w:pPr>
      <w:r>
        <w:rPr/>
        <w:t>②对于安全集成，本集团根据合同的约定，在取得了客户的初步验收确认时，按照合同约定的金额确认收入。</w:t>
      </w:r>
    </w:p>
    <w:p>
      <w:pPr>
        <w:pStyle w:val="BodyText"/>
        <w:spacing w:line="316" w:lineRule="auto" w:before="117"/>
        <w:ind w:right="1034" w:firstLine="360"/>
        <w:jc w:val="left"/>
      </w:pPr>
      <w:r>
        <w:rPr/>
        <w:t>③安全咨询与运维服务在资产负债表日按完工百分比法确认收入。对于提供专业咨询研究并编制报告的咨询研究业务， 在提交咨询研究报告且通过相关评审验收时一次性确认收入。</w:t>
      </w:r>
    </w:p>
    <w:p>
      <w:pPr>
        <w:pStyle w:val="BodyText"/>
        <w:spacing w:line="240" w:lineRule="auto" w:before="60"/>
        <w:ind w:left="513" w:right="982"/>
        <w:jc w:val="left"/>
        <w:rPr>
          <w:rFonts w:ascii="Times New Roman" w:hAnsi="Times New Roman" w:cs="Times New Roman" w:eastAsia="Times New Roman" w:hint="default"/>
        </w:rPr>
      </w:pPr>
      <w:r>
        <w:rPr/>
        <w:t>完工百分比</w:t>
      </w:r>
      <w:r>
        <w:rPr>
          <w:rFonts w:ascii="Times New Roman" w:hAnsi="Times New Roman" w:cs="Times New Roman" w:eastAsia="Times New Roman" w:hint="default"/>
        </w:rPr>
        <w:t>=</w:t>
      </w:r>
      <w:r>
        <w:rPr/>
        <w:t>（已发生工时</w:t>
      </w:r>
      <w:r>
        <w:rPr>
          <w:rFonts w:ascii="Times New Roman" w:hAnsi="Times New Roman" w:cs="Times New Roman" w:eastAsia="Times New Roman" w:hint="default"/>
        </w:rPr>
        <w:t>÷</w:t>
      </w:r>
      <w:r>
        <w:rPr/>
        <w:t>项目总工时）</w:t>
      </w:r>
      <w:r>
        <w:rPr>
          <w:rFonts w:ascii="Times New Roman" w:hAnsi="Times New Roman" w:cs="Times New Roman" w:eastAsia="Times New Roman" w:hint="default"/>
        </w:rPr>
        <w:t>×100%</w:t>
      </w:r>
    </w:p>
    <w:p>
      <w:pPr>
        <w:spacing w:after="0" w:line="240" w:lineRule="auto"/>
        <w:jc w:val="left"/>
        <w:rPr>
          <w:rFonts w:ascii="Times New Roman" w:hAnsi="Times New Roman" w:cs="Times New Roman" w:eastAsia="Times New Roman" w:hint="default"/>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982"/>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982"/>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237" w:lineRule="exact"/>
        <w:ind w:right="982"/>
        <w:jc w:val="left"/>
      </w:pPr>
      <w:r>
        <w:rPr/>
        <w:t>值不能够可靠取得的，按照名义金额</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w:t>
      </w:r>
    </w:p>
    <w:p>
      <w:pPr>
        <w:pStyle w:val="BodyText"/>
        <w:spacing w:line="316" w:lineRule="auto" w:before="103"/>
        <w:ind w:right="1133" w:firstLine="360"/>
        <w:jc w:val="both"/>
      </w:pPr>
      <w:r>
        <w:rPr>
          <w:spacing w:val="-2"/>
        </w:rPr>
        <w:t>与资产相关的政府补助，是指本集团取得的、用于购建或以其他方式形成长期资产的政府补助；除此之外，作为与收益</w:t>
      </w:r>
      <w:r>
        <w:rPr/>
        <w:t> 相关的政府补助。</w:t>
      </w:r>
    </w:p>
    <w:p>
      <w:pPr>
        <w:pStyle w:val="BodyText"/>
        <w:spacing w:line="316" w:lineRule="auto" w:before="59"/>
        <w:ind w:right="1132" w:firstLine="360"/>
        <w:jc w:val="both"/>
      </w:pPr>
      <w:r>
        <w:rPr>
          <w:spacing w:val="-2"/>
        </w:rPr>
        <w:t>对于政府文件未明确规定补助对象的，能够形成长期资产的，与资产价值相对应的政府补助部分作为与资产相关的政府</w:t>
      </w:r>
      <w:r>
        <w:rPr/>
        <w:t> 补助，其余部分作为与收益相关的政府补助；难以区分的，将政府补助整体作为与收益相关的政府补助。</w:t>
      </w:r>
    </w:p>
    <w:p>
      <w:pPr>
        <w:pStyle w:val="BodyText"/>
        <w:spacing w:line="319" w:lineRule="auto" w:before="57"/>
        <w:ind w:right="1130" w:firstLine="360"/>
        <w:jc w:val="both"/>
      </w:pPr>
      <w:r>
        <w:rPr>
          <w:spacing w:val="-2"/>
        </w:rPr>
        <w:t>与资产相关的政府补助，确认为递延收益在相关资产使用期限内按照合理、系统的方法分期计入损益。与收益相关的政</w:t>
      </w:r>
      <w:r>
        <w:rPr/>
        <w:t> </w:t>
      </w:r>
      <w:r>
        <w:rPr>
          <w:spacing w:val="-2"/>
        </w:rPr>
        <w:t>府补助，用于补偿已发生的相关成本费用或损失的，计入当期损益；用于补偿以后期间的相关成本费用或损失的，则计入递</w:t>
      </w:r>
      <w:r>
        <w:rPr>
          <w:spacing w:val="-65"/>
        </w:rPr>
        <w:t> </w:t>
      </w:r>
      <w:r>
        <w:rPr>
          <w:spacing w:val="-65"/>
        </w:rPr>
      </w:r>
      <w:r>
        <w:rPr>
          <w:spacing w:val="-2"/>
        </w:rPr>
        <w:t>延收益，于相关成本费用或损失确认期间计入当期损益。按照名义金额计量的政府补助，直接计入当期损益。本集团对相同</w:t>
      </w:r>
      <w:r>
        <w:rPr>
          <w:spacing w:val="-65"/>
        </w:rPr>
        <w:t> </w:t>
      </w:r>
      <w:r>
        <w:rPr>
          <w:spacing w:val="-65"/>
        </w:rPr>
      </w:r>
      <w:r>
        <w:rPr/>
        <w:t>或类似的政府补助业务，采用一致的方法处理。</w:t>
      </w:r>
    </w:p>
    <w:p>
      <w:pPr>
        <w:pStyle w:val="BodyText"/>
        <w:spacing w:line="360" w:lineRule="auto" w:before="58"/>
        <w:ind w:left="513" w:right="1033"/>
        <w:jc w:val="left"/>
      </w:pPr>
      <w:r>
        <w:rPr/>
        <w:t>与日常活动相关的政府补助，按照经济业务实质，计入其他收益。与日常活动无关的政府补助，计入营业外收支。 已确认的政府补助需要返还时，初始确认时冲减相关资产账面价值的，调整资产账面价值；存在相关递延收益余额的，</w:t>
      </w:r>
    </w:p>
    <w:p>
      <w:pPr>
        <w:pStyle w:val="BodyText"/>
        <w:spacing w:line="222" w:lineRule="exact"/>
        <w:ind w:right="982"/>
        <w:jc w:val="left"/>
      </w:pPr>
      <w:r>
        <w:rPr/>
        <w:t>冲减相关递延收益账面余额，超出部分计入当期损益；属于其他情况的，直接计入当期损益。</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240" w:lineRule="auto" w:before="58"/>
        <w:ind w:left="513" w:right="982"/>
        <w:jc w:val="left"/>
      </w:pPr>
      <w:r>
        <w:rPr/>
        <w:t>本集团根据资产、负债于资产负债表日的账面价值与计税基础之间的暂时性差异，采用资产负债表债务法确认递延所得</w:t>
      </w:r>
    </w:p>
    <w:p>
      <w:pPr>
        <w:pStyle w:val="BodyText"/>
        <w:spacing w:line="240" w:lineRule="auto" w:before="76"/>
        <w:ind w:right="982"/>
        <w:jc w:val="left"/>
      </w:pPr>
      <w:r>
        <w:rPr/>
        <w:t>税。</w:t>
      </w:r>
    </w:p>
    <w:p>
      <w:pPr>
        <w:pStyle w:val="BodyText"/>
        <w:spacing w:line="240" w:lineRule="auto" w:before="115"/>
        <w:ind w:left="513" w:right="982"/>
        <w:jc w:val="left"/>
      </w:pPr>
      <w:r>
        <w:rPr/>
        <w:t>各项应纳税暂时性差异均确认相关的递延所得税负债，除非该应纳税暂时性差异是在以下交易中产生的：</w:t>
      </w:r>
    </w:p>
    <w:p>
      <w:pPr>
        <w:pStyle w:val="BodyText"/>
        <w:spacing w:line="240" w:lineRule="auto" w:before="117"/>
        <w:ind w:left="513" w:right="982"/>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w:t>
      </w:r>
    </w:p>
    <w:p>
      <w:pPr>
        <w:pStyle w:val="BodyText"/>
        <w:spacing w:line="240" w:lineRule="auto" w:before="63"/>
        <w:ind w:right="982"/>
        <w:jc w:val="left"/>
      </w:pPr>
      <w:r>
        <w:rPr/>
        <w:t>生时既不影响会计利润也不影响应纳税所得额；</w:t>
      </w:r>
    </w:p>
    <w:p>
      <w:pPr>
        <w:pStyle w:val="BodyText"/>
        <w:spacing w:line="300" w:lineRule="auto" w:before="117"/>
        <w:ind w:right="1124" w:firstLine="36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pStyle w:val="BodyText"/>
        <w:spacing w:line="319" w:lineRule="auto" w:before="70"/>
        <w:ind w:right="982"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58"/>
        <w:ind w:left="513" w:right="982"/>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00" w:lineRule="auto" w:before="103"/>
        <w:ind w:right="1124" w:firstLine="36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BodyText"/>
        <w:spacing w:line="316" w:lineRule="auto" w:before="70"/>
        <w:ind w:right="982" w:firstLine="360"/>
        <w:jc w:val="left"/>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pStyle w:val="BodyText"/>
        <w:spacing w:line="316" w:lineRule="auto" w:before="59"/>
        <w:ind w:right="1129"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2"/>
        </w:rPr>
        <w:t> </w:t>
      </w:r>
      <w:r>
        <w:rPr>
          <w:spacing w:val="-62"/>
        </w:rPr>
      </w:r>
      <w:r>
        <w:rPr/>
        <w:t>回。</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本集团将实质上转移了与资产所有权有关的全部风险和报酬的租赁确认为融资租赁，除融资租赁之外的其他租赁确认为</w:t>
      </w:r>
      <w:r>
        <w:rPr/>
        <w:t> 经营租赁。</w:t>
      </w:r>
    </w:p>
    <w:p>
      <w:pPr>
        <w:pStyle w:val="BodyText"/>
        <w:spacing w:line="338" w:lineRule="auto" w:before="59"/>
        <w:ind w:left="513" w:right="1393"/>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340" w:lineRule="auto" w:before="43"/>
        <w:ind w:left="513" w:right="982"/>
        <w:jc w:val="left"/>
      </w:pPr>
      <w:r>
        <w:rPr/>
        <w:t>（</w:t>
      </w:r>
      <w:r>
        <w:rPr>
          <w:rFonts w:ascii="Times New Roman" w:hAnsi="Times New Roman" w:cs="Times New Roman" w:eastAsia="Times New Roman" w:hint="default"/>
        </w:rPr>
        <w:t>2</w:t>
      </w:r>
      <w:r>
        <w:rPr/>
        <w:t>）本集团作为承租人 </w:t>
      </w:r>
      <w:r>
        <w:rPr>
          <w:spacing w:val="-2"/>
        </w:rPr>
        <w:t>经营租赁中的租金，本集团在租赁期内各个期间按照直线法计入相关资产成本或当期损益；发生的初始直接费用，计入</w:t>
      </w:r>
    </w:p>
    <w:p>
      <w:pPr>
        <w:pStyle w:val="BodyText"/>
        <w:spacing w:line="240" w:lineRule="auto" w:before="1"/>
        <w:ind w:right="0"/>
        <w:jc w:val="both"/>
      </w:pPr>
      <w:r>
        <w:rPr/>
        <w:t>当期损益。</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982"/>
        <w:jc w:val="left"/>
      </w:pPr>
      <w:r>
        <w:rPr/>
        <w:t>（</w:t>
      </w:r>
      <w:r>
        <w:rPr>
          <w:rFonts w:ascii="Times New Roman" w:hAnsi="Times New Roman" w:cs="Times New Roman" w:eastAsia="Times New Roman" w:hint="default"/>
        </w:rPr>
        <w:t>1</w:t>
      </w:r>
      <w:r>
        <w:rPr/>
        <w:t>）本集团作为出租人 </w:t>
      </w:r>
      <w:r>
        <w:rPr>
          <w:spacing w:val="-2"/>
        </w:rPr>
        <w:t>融资租赁中，在租赁开始日本集团按最低租赁收款额与初始直接费用之和作为应收融资租赁款的入账价值，同时记录未</w:t>
      </w:r>
    </w:p>
    <w:p>
      <w:pPr>
        <w:pStyle w:val="BodyText"/>
        <w:spacing w:line="316" w:lineRule="auto" w:before="1"/>
        <w:ind w:right="1130"/>
        <w:jc w:val="both"/>
      </w:pPr>
      <w:r>
        <w:rPr>
          <w:spacing w:val="-2"/>
        </w:rPr>
        <w:t>担保余值；将最低租赁收款额、初始直接费用及未担保余值之和与其现值之和的差额确认为未实现融资收益。未实现融资收</w:t>
      </w:r>
      <w:r>
        <w:rPr>
          <w:spacing w:val="-63"/>
        </w:rPr>
        <w:t> </w:t>
      </w:r>
      <w:r>
        <w:rPr>
          <w:spacing w:val="-63"/>
        </w:rPr>
      </w:r>
      <w:r>
        <w:rPr/>
        <w:t>益在租赁期内各个期间采用实际利率法计算确认当期的融资收入。</w:t>
      </w:r>
    </w:p>
    <w:p>
      <w:pPr>
        <w:pStyle w:val="BodyText"/>
        <w:spacing w:line="338" w:lineRule="auto" w:before="59"/>
        <w:ind w:left="513" w:right="1033"/>
        <w:jc w:val="left"/>
      </w:pPr>
      <w:r>
        <w:rPr/>
        <w:t>（</w:t>
      </w:r>
      <w:r>
        <w:rPr>
          <w:rFonts w:ascii="Times New Roman" w:hAnsi="Times New Roman" w:cs="Times New Roman" w:eastAsia="Times New Roman" w:hint="default"/>
        </w:rPr>
        <w:t>2</w:t>
      </w:r>
      <w:r>
        <w:rPr/>
        <w:t>）本集团作为承租人 融资租赁中，在租赁开始日本集团将租赁资产公允价值与最低租赁付款额现值两者中较低者作为租入资产的入账价值，</w:t>
      </w:r>
    </w:p>
    <w:p>
      <w:pPr>
        <w:pStyle w:val="BodyText"/>
        <w:spacing w:line="316" w:lineRule="auto" w:before="3"/>
        <w:ind w:right="1129"/>
        <w:jc w:val="both"/>
      </w:pPr>
      <w:r>
        <w:rPr>
          <w:spacing w:val="-2"/>
        </w:rPr>
        <w:t>将最低租赁付款额作为长期应付款的入账价值，其差额作为未确认融资费用。初始直接费用计入租入资产价值。未确认融资</w:t>
      </w:r>
      <w:r>
        <w:rPr>
          <w:spacing w:val="-62"/>
        </w:rPr>
        <w:t> </w:t>
      </w:r>
      <w:r>
        <w:rPr>
          <w:spacing w:val="-62"/>
        </w:rPr>
      </w:r>
      <w:r>
        <w:rPr>
          <w:spacing w:val="-2"/>
        </w:rPr>
        <w:t>费用在租赁期内各个期间采用实际利率法计算确认当期的融资费用。本集团采用与自有固定资产相一致的折旧政策计提租赁</w:t>
      </w:r>
      <w:r>
        <w:rPr>
          <w:spacing w:val="-64"/>
        </w:rPr>
        <w:t> </w:t>
      </w:r>
      <w:r>
        <w:rPr>
          <w:spacing w:val="-64"/>
        </w:rPr>
      </w:r>
      <w:r>
        <w:rPr/>
        <w:t>资产折旧。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033"/>
        <w:jc w:val="left"/>
      </w:pPr>
      <w:r>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240" w:lineRule="auto" w:before="108"/>
        <w:ind w:left="513" w:right="982"/>
        <w:jc w:val="left"/>
      </w:pPr>
      <w:r>
        <w:rPr/>
        <w:t>坏账准备计提</w:t>
      </w:r>
    </w:p>
    <w:p>
      <w:pPr>
        <w:spacing w:line="240" w:lineRule="auto" w:before="0"/>
        <w:rPr>
          <w:rFonts w:ascii="宋体" w:hAnsi="宋体" w:cs="宋体" w:eastAsia="宋体" w:hint="default"/>
          <w:sz w:val="15"/>
          <w:szCs w:val="15"/>
        </w:rPr>
      </w:pPr>
    </w:p>
    <w:p>
      <w:pPr>
        <w:pStyle w:val="BodyText"/>
        <w:spacing w:line="319" w:lineRule="auto"/>
        <w:ind w:right="1130" w:firstLine="360"/>
        <w:jc w:val="both"/>
      </w:pPr>
      <w:r>
        <w:rPr>
          <w:spacing w:val="-2"/>
        </w:rPr>
        <w:t>本集团根据应收款项的会计政策，采用备抵法核算坏账损失。应收款项减值是基于评估应收款项的可收回性。鉴定应收</w:t>
      </w:r>
      <w:r>
        <w:rPr/>
        <w:t> </w:t>
      </w: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432" w:lineRule="exact" w:before="1"/>
        <w:ind w:left="513" w:right="982"/>
        <w:jc w:val="left"/>
      </w:pPr>
      <w:r>
        <w:rPr/>
        <w:t>存货跌价准备计提 </w:t>
      </w:r>
      <w:r>
        <w:rPr>
          <w:spacing w:val="-2"/>
        </w:rPr>
        <w:t>本集团根据存货会计政策，按照成本与可变现净值孰低计量，对成本高于可变现净值及陈旧和滞销的存货，计提存货跌</w:t>
      </w:r>
    </w:p>
    <w:p>
      <w:pPr>
        <w:pStyle w:val="BodyText"/>
        <w:spacing w:line="316" w:lineRule="auto" w:before="15"/>
        <w:ind w:right="1130"/>
        <w:jc w:val="both"/>
      </w:pPr>
      <w:r>
        <w:rPr>
          <w:spacing w:val="-2"/>
        </w:rPr>
        <w:t>价准备。存货减值至可变现净值是基于评估存货的可售性及其可变现净值。鉴定存货减值要求管理层取得确凿证据，并且考</w:t>
      </w:r>
      <w:r>
        <w:rPr>
          <w:spacing w:val="-63"/>
        </w:rPr>
        <w:t> </w:t>
      </w:r>
      <w:r>
        <w:rPr>
          <w:spacing w:val="-63"/>
        </w:rPr>
      </w:r>
      <w:r>
        <w:rPr>
          <w:spacing w:val="-2"/>
        </w:rPr>
        <w:t>虑持有存货的目的、资产负债表日后事项的影响等因素的基础上作出判断和估计。实际的结果与原先的估计的差异将在估计</w:t>
      </w:r>
      <w:r>
        <w:rPr>
          <w:spacing w:val="-64"/>
        </w:rPr>
        <w:t> </w:t>
      </w:r>
      <w:r>
        <w:rPr>
          <w:spacing w:val="-64"/>
        </w:rPr>
      </w:r>
      <w:r>
        <w:rPr/>
        <w:t>被改变的期间影响存货的账面价值及存货跌价准备的计提或转回。</w:t>
      </w:r>
    </w:p>
    <w:p>
      <w:pPr>
        <w:pStyle w:val="BodyText"/>
        <w:spacing w:line="432" w:lineRule="exact" w:before="3"/>
        <w:ind w:left="513" w:right="982"/>
        <w:jc w:val="left"/>
      </w:pPr>
      <w:r>
        <w:rPr/>
        <w:t>折旧和摊销 </w:t>
      </w:r>
      <w:r>
        <w:rPr>
          <w:spacing w:val="-4"/>
        </w:rPr>
        <w:t>本集团对固定资产和无形资产在考虑其残值后，在预计使用寿命内按直线法计提折旧和摊销，本集团定期复核使用寿命，</w:t>
      </w:r>
    </w:p>
    <w:p>
      <w:pPr>
        <w:pStyle w:val="BodyText"/>
        <w:spacing w:line="316" w:lineRule="auto" w:before="15"/>
        <w:ind w:right="1133"/>
        <w:jc w:val="both"/>
      </w:pPr>
      <w:r>
        <w:rPr>
          <w:spacing w:val="-2"/>
        </w:rPr>
        <w:t>以决定将计入每个期间的折旧和摊销费用金额。使用寿命是根据以往经验并结合预期的技术确定的。如果以前的估计发生重</w:t>
      </w:r>
      <w:r>
        <w:rPr>
          <w:spacing w:val="-64"/>
        </w:rPr>
        <w:t> </w:t>
      </w:r>
      <w:r>
        <w:rPr>
          <w:spacing w:val="-64"/>
        </w:rPr>
      </w:r>
      <w:r>
        <w:rPr/>
        <w:t>大变化，则会在未来期间对折旧和摊销费用进行调整。</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递延所得税资产</w:t>
      </w:r>
    </w:p>
    <w:p>
      <w:pPr>
        <w:spacing w:line="240" w:lineRule="auto" w:before="0"/>
        <w:rPr>
          <w:rFonts w:ascii="宋体" w:hAnsi="宋体" w:cs="宋体" w:eastAsia="宋体" w:hint="default"/>
          <w:sz w:val="15"/>
          <w:szCs w:val="15"/>
        </w:rPr>
      </w:pPr>
    </w:p>
    <w:p>
      <w:pPr>
        <w:pStyle w:val="BodyText"/>
        <w:spacing w:line="316" w:lineRule="auto"/>
        <w:ind w:right="982" w:firstLine="360"/>
        <w:jc w:val="left"/>
      </w:pPr>
      <w:r>
        <w:rPr>
          <w:spacing w:val="-2"/>
        </w:rPr>
        <w:t>在很有可能有足够的应纳税利润来抵扣亏损的限度内，应就所有未利用的税务亏损确认递延所得税资产。这需要管理层</w:t>
      </w:r>
      <w:r>
        <w:rPr/>
        <w:t> 运用大量的判断来估计未来应纳税利润发生的时间和金额，结合纳税筹划策略，以决定应确认的递延所得税资产的金额。</w:t>
      </w:r>
    </w:p>
    <w:p>
      <w:pPr>
        <w:pStyle w:val="BodyText"/>
        <w:spacing w:line="432" w:lineRule="exact" w:before="3"/>
        <w:ind w:left="513" w:right="982"/>
        <w:jc w:val="left"/>
      </w:pPr>
      <w:r>
        <w:rPr/>
        <w:t>所得税费用 </w:t>
      </w:r>
      <w:r>
        <w:rPr>
          <w:spacing w:val="-2"/>
        </w:rPr>
        <w:t>本集团在正常的经营活动中，有部分交易其最终的税务处理和计算存在一定的不确定性，部分项目是否能够在税前列支</w:t>
      </w:r>
    </w:p>
    <w:p>
      <w:pPr>
        <w:pStyle w:val="BodyText"/>
        <w:spacing w:line="316" w:lineRule="auto" w:before="15"/>
        <w:ind w:right="982"/>
        <w:jc w:val="left"/>
      </w:pPr>
      <w:r>
        <w:rPr>
          <w:spacing w:val="-2"/>
        </w:rPr>
        <w:t>需要税收主管机关的审批。如果这些税务事项的最终认定结果同原先估计的金额存在差异，则该差异将对其认定期间的当期</w:t>
      </w:r>
      <w:r>
        <w:rPr>
          <w:spacing w:val="-64"/>
        </w:rPr>
        <w:t> </w:t>
      </w:r>
      <w:r>
        <w:rPr>
          <w:spacing w:val="-64"/>
        </w:rPr>
      </w:r>
      <w:r>
        <w:rPr/>
        <w:t>所得税和递延所得税资产产生影响。</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05"/>
        <w:gridCol w:w="1419"/>
        <w:gridCol w:w="1346"/>
      </w:tblGrid>
      <w:tr>
        <w:trPr>
          <w:trHeight w:val="401"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年度一般企业财务报表格</w:t>
            </w:r>
            <w:r>
              <w:rPr>
                <w:rFonts w:ascii="宋体" w:hAnsi="宋体" w:cs="宋体" w:eastAsia="宋体" w:hint="default"/>
                <w:spacing w:val="-3"/>
                <w:sz w:val="18"/>
                <w:szCs w:val="18"/>
              </w:rPr>
              <w:t>式</w:t>
            </w:r>
            <w:r>
              <w:rPr>
                <w:rFonts w:ascii="宋体" w:hAnsi="宋体" w:cs="宋体" w:eastAsia="宋体" w:hint="default"/>
                <w:sz w:val="18"/>
                <w:szCs w:val="18"/>
              </w:rPr>
              <w:t>的通知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，经第三届董事会第十二次会</w:t>
            </w:r>
            <w:r>
              <w:rPr>
                <w:rFonts w:ascii="宋体" w:hAnsi="宋体" w:cs="宋体" w:eastAsia="宋体" w:hint="default"/>
                <w:spacing w:val="1"/>
                <w:sz w:val="18"/>
                <w:szCs w:val="18"/>
              </w:rPr>
              <w:t>议</w:t>
            </w:r>
            <w:r>
              <w:rPr>
                <w:rFonts w:ascii="宋体" w:hAnsi="宋体" w:cs="宋体" w:eastAsia="宋体" w:hint="default"/>
                <w:sz w:val="18"/>
                <w:szCs w:val="18"/>
              </w:rPr>
              <w:t>审议通过，本集团对财务报表格式进行了相应修订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00" w:lineRule="auto" w:before="44"/>
        <w:ind w:right="1124" w:firstLine="360"/>
        <w:jc w:val="left"/>
      </w:pPr>
      <w:r>
        <w:rPr/>
        <w:t>①根据财政部《关于修订印发 </w:t>
      </w:r>
      <w:r>
        <w:rPr>
          <w:rFonts w:ascii="Times New Roman" w:hAnsi="Times New Roman" w:cs="Times New Roman" w:eastAsia="Times New Roman" w:hint="default"/>
        </w:rPr>
        <w:t>2018 </w:t>
      </w:r>
      <w:r>
        <w:rPr>
          <w:spacing w:val="-4"/>
        </w:rPr>
        <w:t>年度一般企业财务报表格式的通知》（财会</w:t>
      </w:r>
      <w:r>
        <w:rPr>
          <w:rFonts w:ascii="Times New Roman" w:hAnsi="Times New Roman" w:cs="Times New Roman" w:eastAsia="Times New Roman" w:hint="default"/>
          <w:spacing w:val="-4"/>
        </w:rPr>
        <w:t>[2018]15 </w:t>
      </w:r>
      <w:r>
        <w:rPr>
          <w:spacing w:val="-7"/>
        </w:rPr>
        <w:t>号），经第三届董事会第十二次</w:t>
      </w:r>
      <w:r>
        <w:rPr/>
        <w:t> 会议审议通过，本集团对财务报表格式进行了以下修订：</w:t>
      </w:r>
    </w:p>
    <w:p>
      <w:pPr>
        <w:pStyle w:val="BodyText"/>
        <w:spacing w:line="240" w:lineRule="auto" w:before="152"/>
        <w:ind w:left="513" w:right="982"/>
        <w:jc w:val="left"/>
      </w:pPr>
      <w:r>
        <w:rPr>
          <w:rFonts w:ascii="Times New Roman" w:hAnsi="Times New Roman" w:cs="Times New Roman" w:eastAsia="Times New Roman" w:hint="default"/>
        </w:rPr>
        <w:t>A</w:t>
      </w:r>
      <w:r>
        <w:rPr/>
        <w:t>、资产负债表</w:t>
      </w:r>
    </w:p>
    <w:p>
      <w:pPr>
        <w:spacing w:line="240" w:lineRule="auto" w:before="13"/>
        <w:rPr>
          <w:rFonts w:ascii="宋体" w:hAnsi="宋体" w:cs="宋体" w:eastAsia="宋体" w:hint="default"/>
          <w:sz w:val="13"/>
          <w:szCs w:val="13"/>
        </w:rPr>
      </w:pPr>
    </w:p>
    <w:p>
      <w:pPr>
        <w:pStyle w:val="BodyText"/>
        <w:spacing w:line="338" w:lineRule="auto"/>
        <w:ind w:left="513" w:right="4694"/>
        <w:jc w:val="left"/>
      </w:pPr>
      <w:r>
        <w:rPr/>
        <w:t>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417" w:lineRule="auto" w:before="101"/>
        <w:ind w:left="513" w:right="7373"/>
        <w:jc w:val="left"/>
      </w:pPr>
      <w:r>
        <w:rPr>
          <w:rFonts w:ascii="Times New Roman" w:hAnsi="Times New Roman" w:cs="Times New Roman" w:eastAsia="Times New Roman" w:hint="default"/>
        </w:rPr>
        <w:t>B</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05" w:lineRule="exact"/>
        <w:ind w:left="513" w:right="982"/>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340" w:lineRule="auto" w:before="101"/>
        <w:ind w:left="513" w:right="3373"/>
        <w:jc w:val="left"/>
      </w:pPr>
      <w:r>
        <w:rPr/>
        <w:t>本集团对可比期间的比较数据按照财会</w:t>
      </w:r>
      <w:r>
        <w:rPr>
          <w:rFonts w:ascii="Times New Roman" w:hAnsi="Times New Roman" w:cs="Times New Roman" w:eastAsia="Times New Roman" w:hint="default"/>
        </w:rPr>
        <w:t>[2018]15</w:t>
      </w:r>
      <w:r>
        <w:rPr>
          <w:rFonts w:ascii="Times New Roman" w:hAnsi="Times New Roman" w:cs="Times New Roman" w:eastAsia="Times New Roman" w:hint="default"/>
          <w:spacing w:val="1"/>
        </w:rPr>
        <w:t> </w:t>
      </w:r>
      <w:r>
        <w:rPr/>
        <w:t>号文进行调整。 财务报表格式的修订对本集团的资产总额、负债总额、净利润、其他综合收益等无影响。</w:t>
      </w:r>
    </w:p>
    <w:p>
      <w:pPr>
        <w:pStyle w:val="BodyText"/>
        <w:spacing w:line="436" w:lineRule="auto" w:before="41"/>
        <w:ind w:left="513" w:right="4273"/>
        <w:jc w:val="left"/>
      </w:pPr>
      <w:r>
        <w:rPr/>
        <w:t>②经第三届董事会第十二次会议审议通过，本集团对固定资产分类变更如下： 会计政策变更前</w:t>
      </w:r>
    </w:p>
    <w:p>
      <w:pPr>
        <w:spacing w:line="240" w:lineRule="auto" w:before="1"/>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448"/>
        <w:gridCol w:w="2561"/>
        <w:gridCol w:w="2076"/>
        <w:gridCol w:w="2556"/>
      </w:tblGrid>
      <w:tr>
        <w:trPr>
          <w:trHeight w:val="420" w:hRule="exact"/>
        </w:trPr>
        <w:tc>
          <w:tcPr>
            <w:tcW w:w="2448"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805"/>
              <w:jc w:val="righ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2561"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36" w:right="0"/>
              <w:jc w:val="center"/>
              <w:rPr>
                <w:rFonts w:ascii="宋体" w:hAnsi="宋体" w:cs="宋体" w:eastAsia="宋体" w:hint="default"/>
                <w:sz w:val="18"/>
                <w:szCs w:val="18"/>
              </w:rPr>
            </w:pPr>
            <w:r>
              <w:rPr>
                <w:rFonts w:ascii="宋体" w:hAnsi="宋体" w:cs="宋体" w:eastAsia="宋体" w:hint="default"/>
                <w:sz w:val="18"/>
                <w:szCs w:val="18"/>
              </w:rPr>
              <w:t>使用年限（年）</w:t>
            </w:r>
          </w:p>
        </w:tc>
        <w:tc>
          <w:tcPr>
            <w:tcW w:w="207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19"/>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55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76"/>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22" w:hRule="exact"/>
        </w:trPr>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717"/>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2561"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138" w:right="0"/>
              <w:jc w:val="center"/>
              <w:rPr>
                <w:rFonts w:ascii="Times New Roman" w:hAnsi="Times New Roman" w:cs="Times New Roman" w:eastAsia="Times New Roman" w:hint="default"/>
                <w:sz w:val="18"/>
                <w:szCs w:val="18"/>
              </w:rPr>
            </w:pPr>
            <w:r>
              <w:rPr>
                <w:rFonts w:ascii="Times New Roman"/>
                <w:sz w:val="18"/>
              </w:rPr>
              <w:t>5</w:t>
            </w:r>
          </w:p>
        </w:tc>
        <w:tc>
          <w:tcPr>
            <w:tcW w:w="2076"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219"/>
              <w:jc w:val="center"/>
              <w:rPr>
                <w:rFonts w:ascii="Times New Roman" w:hAnsi="Times New Roman" w:cs="Times New Roman" w:eastAsia="Times New Roman" w:hint="default"/>
                <w:sz w:val="18"/>
                <w:szCs w:val="18"/>
              </w:rPr>
            </w:pPr>
            <w:r>
              <w:rPr>
                <w:rFonts w:ascii="Times New Roman"/>
                <w:sz w:val="18"/>
              </w:rPr>
              <w:t>5</w:t>
            </w:r>
          </w:p>
        </w:tc>
        <w:tc>
          <w:tcPr>
            <w:tcW w:w="2556"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74"/>
              <w:jc w:val="center"/>
              <w:rPr>
                <w:rFonts w:ascii="Times New Roman" w:hAnsi="Times New Roman" w:cs="Times New Roman" w:eastAsia="Times New Roman" w:hint="default"/>
                <w:sz w:val="18"/>
                <w:szCs w:val="18"/>
              </w:rPr>
            </w:pPr>
            <w:r>
              <w:rPr>
                <w:rFonts w:ascii="Times New Roman"/>
                <w:sz w:val="18"/>
              </w:rPr>
              <w:t>19.00</w:t>
            </w:r>
          </w:p>
        </w:tc>
      </w:tr>
      <w:tr>
        <w:trPr>
          <w:trHeight w:val="412"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17"/>
              <w:jc w:val="right"/>
              <w:rPr>
                <w:rFonts w:ascii="宋体" w:hAnsi="宋体" w:cs="宋体" w:eastAsia="宋体" w:hint="default"/>
                <w:sz w:val="18"/>
                <w:szCs w:val="18"/>
              </w:rPr>
            </w:pPr>
            <w:r>
              <w:rPr>
                <w:rFonts w:ascii="宋体" w:hAnsi="宋体" w:cs="宋体" w:eastAsia="宋体" w:hint="default"/>
                <w:sz w:val="18"/>
                <w:szCs w:val="18"/>
              </w:rPr>
              <w:t>办公设备</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center"/>
              <w:rPr>
                <w:rFonts w:ascii="Times New Roman" w:hAnsi="Times New Roman" w:cs="Times New Roman" w:eastAsia="Times New Roman" w:hint="default"/>
                <w:sz w:val="18"/>
                <w:szCs w:val="18"/>
              </w:rPr>
            </w:pPr>
            <w:r>
              <w:rPr>
                <w:rFonts w:ascii="Times New Roman"/>
                <w:sz w:val="18"/>
              </w:rPr>
              <w:t>5</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9"/>
              <w:jc w:val="center"/>
              <w:rPr>
                <w:rFonts w:ascii="Times New Roman" w:hAnsi="Times New Roman" w:cs="Times New Roman" w:eastAsia="Times New Roman" w:hint="default"/>
                <w:sz w:val="18"/>
                <w:szCs w:val="18"/>
              </w:rPr>
            </w:pPr>
            <w:r>
              <w:rPr>
                <w:rFonts w:ascii="Times New Roman"/>
                <w:sz w:val="18"/>
              </w:rPr>
              <w:t>5</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4"/>
              <w:jc w:val="center"/>
              <w:rPr>
                <w:rFonts w:ascii="Times New Roman" w:hAnsi="Times New Roman" w:cs="Times New Roman" w:eastAsia="Times New Roman" w:hint="default"/>
                <w:sz w:val="18"/>
                <w:szCs w:val="18"/>
              </w:rPr>
            </w:pPr>
            <w:r>
              <w:rPr>
                <w:rFonts w:ascii="Times New Roman"/>
                <w:sz w:val="18"/>
              </w:rPr>
              <w:t>19.00</w:t>
            </w:r>
          </w:p>
        </w:tc>
      </w:tr>
      <w:tr>
        <w:trPr>
          <w:trHeight w:val="415" w:hRule="exact"/>
        </w:trPr>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17"/>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2561"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38" w:right="0"/>
              <w:jc w:val="center"/>
              <w:rPr>
                <w:rFonts w:ascii="Times New Roman" w:hAnsi="Times New Roman" w:cs="Times New Roman" w:eastAsia="Times New Roman" w:hint="default"/>
                <w:sz w:val="18"/>
                <w:szCs w:val="18"/>
              </w:rPr>
            </w:pPr>
            <w:r>
              <w:rPr>
                <w:rFonts w:ascii="Times New Roman"/>
                <w:sz w:val="18"/>
              </w:rPr>
              <w:t>5</w:t>
            </w:r>
          </w:p>
        </w:tc>
        <w:tc>
          <w:tcPr>
            <w:tcW w:w="2076"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19"/>
              <w:jc w:val="center"/>
              <w:rPr>
                <w:rFonts w:ascii="Times New Roman" w:hAnsi="Times New Roman" w:cs="Times New Roman" w:eastAsia="Times New Roman" w:hint="default"/>
                <w:sz w:val="18"/>
                <w:szCs w:val="18"/>
              </w:rPr>
            </w:pPr>
            <w:r>
              <w:rPr>
                <w:rFonts w:ascii="Times New Roman"/>
                <w:sz w:val="18"/>
              </w:rPr>
              <w:t>5</w:t>
            </w: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74"/>
              <w:jc w:val="center"/>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会计政策变更后</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581"/>
        <w:gridCol w:w="2428"/>
        <w:gridCol w:w="2076"/>
        <w:gridCol w:w="2556"/>
      </w:tblGrid>
      <w:tr>
        <w:trPr>
          <w:trHeight w:val="422" w:hRule="exact"/>
        </w:trPr>
        <w:tc>
          <w:tcPr>
            <w:tcW w:w="2581"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51"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2428"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使用年限（年）</w:t>
            </w:r>
          </w:p>
        </w:tc>
        <w:tc>
          <w:tcPr>
            <w:tcW w:w="207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19"/>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55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76"/>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20" w:hRule="exact"/>
        </w:trPr>
        <w:tc>
          <w:tcPr>
            <w:tcW w:w="258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51"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428"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30</w:t>
            </w:r>
          </w:p>
        </w:tc>
        <w:tc>
          <w:tcPr>
            <w:tcW w:w="207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19"/>
              <w:jc w:val="center"/>
              <w:rPr>
                <w:rFonts w:ascii="Times New Roman" w:hAnsi="Times New Roman" w:cs="Times New Roman" w:eastAsia="Times New Roman" w:hint="default"/>
                <w:sz w:val="18"/>
                <w:szCs w:val="18"/>
              </w:rPr>
            </w:pPr>
            <w:r>
              <w:rPr>
                <w:rFonts w:ascii="Times New Roman"/>
                <w:sz w:val="18"/>
              </w:rPr>
              <w:t>5</w:t>
            </w:r>
          </w:p>
        </w:tc>
        <w:tc>
          <w:tcPr>
            <w:tcW w:w="255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74"/>
              <w:jc w:val="center"/>
              <w:rPr>
                <w:rFonts w:ascii="Times New Roman" w:hAnsi="Times New Roman" w:cs="Times New Roman" w:eastAsia="Times New Roman" w:hint="default"/>
                <w:sz w:val="18"/>
                <w:szCs w:val="18"/>
              </w:rPr>
            </w:pPr>
            <w:r>
              <w:rPr>
                <w:rFonts w:ascii="Times New Roman"/>
                <w:sz w:val="18"/>
              </w:rPr>
              <w:t>3.17</w:t>
            </w:r>
          </w:p>
        </w:tc>
      </w:tr>
      <w:tr>
        <w:trPr>
          <w:trHeight w:val="412"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9" w:right="0"/>
              <w:jc w:val="center"/>
              <w:rPr>
                <w:rFonts w:ascii="宋体" w:hAnsi="宋体" w:cs="宋体" w:eastAsia="宋体" w:hint="default"/>
                <w:sz w:val="18"/>
                <w:szCs w:val="18"/>
              </w:rPr>
            </w:pPr>
            <w:r>
              <w:rPr>
                <w:rFonts w:ascii="宋体" w:hAnsi="宋体" w:cs="宋体" w:eastAsia="宋体" w:hint="default"/>
                <w:sz w:val="18"/>
                <w:szCs w:val="18"/>
              </w:rPr>
              <w:t>电子及办公设备</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9"/>
              <w:jc w:val="center"/>
              <w:rPr>
                <w:rFonts w:ascii="Times New Roman" w:hAnsi="Times New Roman" w:cs="Times New Roman" w:eastAsia="Times New Roman" w:hint="default"/>
                <w:sz w:val="18"/>
                <w:szCs w:val="18"/>
              </w:rPr>
            </w:pPr>
            <w:r>
              <w:rPr>
                <w:rFonts w:ascii="Times New Roman"/>
                <w:sz w:val="18"/>
              </w:rPr>
              <w:t>5</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4"/>
              <w:jc w:val="center"/>
              <w:rPr>
                <w:rFonts w:ascii="Times New Roman" w:hAnsi="Times New Roman" w:cs="Times New Roman" w:eastAsia="Times New Roman" w:hint="default"/>
                <w:sz w:val="18"/>
                <w:szCs w:val="18"/>
              </w:rPr>
            </w:pPr>
            <w:r>
              <w:rPr>
                <w:rFonts w:ascii="Times New Roman"/>
                <w:sz w:val="18"/>
              </w:rPr>
              <w:t>19.00</w:t>
            </w:r>
          </w:p>
        </w:tc>
      </w:tr>
      <w:tr>
        <w:trPr>
          <w:trHeight w:val="414" w:hRule="exact"/>
        </w:trPr>
        <w:tc>
          <w:tcPr>
            <w:tcW w:w="258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5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428"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4" w:right="0"/>
              <w:jc w:val="center"/>
              <w:rPr>
                <w:rFonts w:ascii="Times New Roman" w:hAnsi="Times New Roman" w:cs="Times New Roman" w:eastAsia="Times New Roman" w:hint="default"/>
                <w:sz w:val="18"/>
                <w:szCs w:val="18"/>
              </w:rPr>
            </w:pPr>
            <w:r>
              <w:rPr>
                <w:rFonts w:ascii="Times New Roman"/>
                <w:sz w:val="18"/>
              </w:rPr>
              <w:t>5</w:t>
            </w:r>
          </w:p>
        </w:tc>
        <w:tc>
          <w:tcPr>
            <w:tcW w:w="2076"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219"/>
              <w:jc w:val="center"/>
              <w:rPr>
                <w:rFonts w:ascii="Times New Roman" w:hAnsi="Times New Roman" w:cs="Times New Roman" w:eastAsia="Times New Roman" w:hint="default"/>
                <w:sz w:val="18"/>
                <w:szCs w:val="18"/>
              </w:rPr>
            </w:pPr>
            <w:r>
              <w:rPr>
                <w:rFonts w:ascii="Times New Roman"/>
                <w:sz w:val="18"/>
              </w:rPr>
              <w:t>5</w:t>
            </w: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74"/>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宋体" w:hAnsi="宋体" w:cs="宋体" w:eastAsia="宋体" w:hint="default"/>
          <w:sz w:val="6"/>
          <w:szCs w:val="6"/>
        </w:rPr>
      </w:pPr>
    </w:p>
    <w:p>
      <w:pPr>
        <w:pStyle w:val="BodyText"/>
        <w:spacing w:line="240" w:lineRule="auto" w:before="44"/>
        <w:ind w:left="513" w:right="982"/>
        <w:jc w:val="left"/>
      </w:pPr>
      <w:r>
        <w:rPr/>
        <w:t>会计政策的变更对本集团的资产总额、负债总额、净利润、其他综合收益等无影响。</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64"/>
        <w:gridCol w:w="1558"/>
        <w:gridCol w:w="1702"/>
        <w:gridCol w:w="1346"/>
      </w:tblGrid>
      <w:tr>
        <w:trPr>
          <w:trHeight w:val="479"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397"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7"/>
              <w:jc w:val="left"/>
              <w:rPr>
                <w:rFonts w:ascii="宋体" w:hAnsi="宋体" w:cs="宋体" w:eastAsia="宋体" w:hint="default"/>
                <w:sz w:val="18"/>
                <w:szCs w:val="18"/>
              </w:rPr>
            </w:pPr>
            <w:r>
              <w:rPr>
                <w:rFonts w:ascii="宋体" w:hAnsi="宋体" w:cs="宋体" w:eastAsia="宋体" w:hint="default"/>
                <w:sz w:val="18"/>
                <w:szCs w:val="18"/>
              </w:rPr>
              <w:t>经第三届董事会第十二次会议审议通过，本集团对应收款项单 项金额重大的判断依据或金额标准的会计估计进行变更。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439" w:lineRule="auto" w:before="44"/>
        <w:ind w:left="513" w:right="1033"/>
        <w:jc w:val="left"/>
      </w:pPr>
      <w:r>
        <w:rPr/>
        <w:t>经第三届董事会第十二次会议审议通过，本集团对应收款项单项金额重大的判断依据或金额标准的会计估计进行变更。 会计估计变更前</w:t>
      </w:r>
    </w:p>
    <w:p>
      <w:pPr>
        <w:pStyle w:val="BodyText"/>
        <w:spacing w:line="240" w:lineRule="auto" w:before="47"/>
        <w:ind w:left="513" w:right="982"/>
        <w:jc w:val="left"/>
      </w:pPr>
      <w:r>
        <w:rPr/>
        <w:t>单项金额重大的判断依据或金额标准：期末余额达到</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spacing w:val="-8"/>
        </w:rPr>
        <w:t>万元（含</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万元）以上的应收款项为单项金额重大的应收款</w:t>
      </w:r>
    </w:p>
    <w:p>
      <w:pPr>
        <w:pStyle w:val="BodyText"/>
        <w:spacing w:line="240" w:lineRule="auto" w:before="63"/>
        <w:ind w:right="982"/>
        <w:jc w:val="left"/>
      </w:pPr>
      <w:r>
        <w:rPr/>
        <w:t>项。</w:t>
      </w:r>
    </w:p>
    <w:p>
      <w:pPr>
        <w:spacing w:line="240" w:lineRule="auto" w:before="8"/>
        <w:rPr>
          <w:rFonts w:ascii="宋体" w:hAnsi="宋体" w:cs="宋体" w:eastAsia="宋体" w:hint="default"/>
          <w:sz w:val="11"/>
          <w:szCs w:val="11"/>
        </w:rPr>
      </w:pPr>
    </w:p>
    <w:p>
      <w:pPr>
        <w:pStyle w:val="BodyText"/>
        <w:spacing w:line="240" w:lineRule="auto" w:before="44"/>
        <w:ind w:left="513" w:right="982"/>
        <w:jc w:val="left"/>
      </w:pPr>
      <w:r>
        <w:rPr/>
        <w:t>会计估计变更后</w:t>
      </w:r>
    </w:p>
    <w:p>
      <w:pPr>
        <w:spacing w:line="240" w:lineRule="auto" w:before="8"/>
        <w:rPr>
          <w:rFonts w:ascii="宋体" w:hAnsi="宋体" w:cs="宋体" w:eastAsia="宋体" w:hint="default"/>
          <w:sz w:val="11"/>
          <w:szCs w:val="11"/>
        </w:rPr>
      </w:pPr>
    </w:p>
    <w:p>
      <w:pPr>
        <w:pStyle w:val="BodyText"/>
        <w:spacing w:line="240" w:lineRule="auto" w:before="44"/>
        <w:ind w:left="513" w:right="982"/>
        <w:jc w:val="left"/>
      </w:pPr>
      <w:r>
        <w:rPr/>
        <w:t>单项金额重大的判断依据或金额标准：期末余额达到</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spacing w:val="-8"/>
        </w:rPr>
        <w:t>万元（含</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t>万元）以上的应收款项为单项金额重大的应收款</w:t>
      </w:r>
    </w:p>
    <w:p>
      <w:pPr>
        <w:pStyle w:val="BodyText"/>
        <w:spacing w:line="240" w:lineRule="auto" w:before="63"/>
        <w:ind w:right="982"/>
        <w:jc w:val="left"/>
      </w:pPr>
      <w:r>
        <w:rPr/>
        <w:t>项。</w:t>
      </w:r>
    </w:p>
    <w:p>
      <w:pPr>
        <w:spacing w:line="240" w:lineRule="auto" w:before="6"/>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30</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9717"/>
        <w:jc w:val="center"/>
      </w:pPr>
      <w:r>
        <w:rPr/>
        <w:t>无</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49"/>
        <w:ind w:right="982"/>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数字医信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数字认证（武汉）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w:t>
      </w:r>
      <w:r>
        <w:rPr>
          <w:rFonts w:ascii="Times New Roman" w:hAnsi="Times New Roman" w:cs="Times New Roman" w:eastAsia="Times New Roman" w:hint="default"/>
        </w:rPr>
        <w:t>1</w:t>
      </w:r>
      <w:r>
        <w:rPr/>
        <w:t>）增值税</w:t>
      </w:r>
    </w:p>
    <w:p>
      <w:pPr>
        <w:spacing w:line="240" w:lineRule="auto" w:before="13"/>
        <w:rPr>
          <w:rFonts w:ascii="宋体" w:hAnsi="宋体" w:cs="宋体" w:eastAsia="宋体" w:hint="default"/>
          <w:sz w:val="13"/>
          <w:szCs w:val="13"/>
        </w:rPr>
      </w:pPr>
    </w:p>
    <w:p>
      <w:pPr>
        <w:pStyle w:val="BodyText"/>
        <w:spacing w:line="300" w:lineRule="auto"/>
        <w:ind w:right="1131" w:firstLine="360"/>
        <w:jc w:val="both"/>
      </w:pPr>
      <w:r>
        <w:rPr/>
        <w:t>根据国务院</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月发布的国发</w:t>
      </w:r>
      <w:r>
        <w:rPr>
          <w:rFonts w:ascii="Times New Roman" w:hAnsi="Times New Roman" w:cs="Times New Roman" w:eastAsia="Times New Roman" w:hint="default"/>
        </w:rPr>
        <w:t>[2011]4</w:t>
      </w:r>
      <w:r>
        <w:rPr>
          <w:rFonts w:ascii="Times New Roman" w:hAnsi="Times New Roman" w:cs="Times New Roman" w:eastAsia="Times New Roman" w:hint="default"/>
          <w:spacing w:val="-13"/>
        </w:rPr>
        <w:t> </w:t>
      </w:r>
      <w:r>
        <w:rPr/>
        <w:t>号《关于印发进一步鼓励软件产业和集成电路产业发展若干政策的通知》和 财政部、国家税务总局发布的财税</w:t>
      </w:r>
      <w:r>
        <w:rPr>
          <w:rFonts w:ascii="Times New Roman" w:hAnsi="Times New Roman" w:cs="Times New Roman" w:eastAsia="Times New Roman" w:hint="default"/>
        </w:rPr>
        <w:t>[2011]100</w:t>
      </w:r>
      <w:r>
        <w:rPr>
          <w:rFonts w:ascii="Times New Roman" w:hAnsi="Times New Roman" w:cs="Times New Roman" w:eastAsia="Times New Roman" w:hint="default"/>
          <w:spacing w:val="22"/>
        </w:rPr>
        <w:t> </w:t>
      </w:r>
      <w:r>
        <w:rPr/>
        <w:t>号《关于软件产品增值税政策的通知》中的有关规定，本公司销售自行开发生 产的软件产品时对增值税实际税负超过</w:t>
      </w:r>
      <w:r>
        <w:rPr>
          <w:spacing w:val="-45"/>
        </w:rPr>
        <w:t> </w:t>
      </w:r>
      <w:r>
        <w:rPr>
          <w:rFonts w:ascii="Times New Roman" w:hAnsi="Times New Roman" w:cs="Times New Roman" w:eastAsia="Times New Roman" w:hint="default"/>
        </w:rPr>
        <w:t>3%</w:t>
      </w:r>
      <w:r>
        <w:rPr/>
        <w:t>的部分即征即退。</w:t>
      </w:r>
    </w:p>
    <w:p>
      <w:pPr>
        <w:pStyle w:val="BodyText"/>
        <w:spacing w:line="240" w:lineRule="auto" w:before="131"/>
        <w:ind w:left="513" w:right="982"/>
        <w:jc w:val="left"/>
      </w:pPr>
      <w:r>
        <w:rPr/>
        <w:t>（</w:t>
      </w:r>
      <w:r>
        <w:rPr>
          <w:rFonts w:ascii="Times New Roman" w:hAnsi="Times New Roman" w:cs="Times New Roman" w:eastAsia="Times New Roman" w:hint="default"/>
        </w:rPr>
        <w:t>2</w:t>
      </w:r>
      <w:r>
        <w:rPr/>
        <w:t>）企业所得税</w:t>
      </w:r>
    </w:p>
    <w:p>
      <w:pPr>
        <w:spacing w:line="240" w:lineRule="auto" w:before="2"/>
        <w:rPr>
          <w:rFonts w:ascii="宋体" w:hAnsi="宋体" w:cs="宋体" w:eastAsia="宋体" w:hint="default"/>
          <w:sz w:val="14"/>
          <w:szCs w:val="14"/>
        </w:rPr>
      </w:pPr>
    </w:p>
    <w:p>
      <w:pPr>
        <w:pStyle w:val="BodyText"/>
        <w:spacing w:line="300" w:lineRule="auto"/>
        <w:ind w:right="1036" w:firstLine="360"/>
        <w:jc w:val="left"/>
      </w:pPr>
      <w:r>
        <w:rPr/>
        <w:t>本公司于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日通过高新技术企业认定并取得北京市科学技术委员会、北京市财政局、北京市国家税务局、</w:t>
      </w:r>
      <w:r>
        <w:rPr/>
        <w:t> </w:t>
      </w:r>
      <w:r>
        <w:rPr>
          <w:spacing w:val="-1"/>
        </w:rPr>
        <w:t>北京市地方税务局联合颁发的高新技术企业证书（证书编号</w:t>
      </w:r>
      <w:r>
        <w:rPr>
          <w:spacing w:val="-39"/>
        </w:rPr>
        <w:t> </w:t>
      </w:r>
      <w:r>
        <w:rPr>
          <w:rFonts w:ascii="Times New Roman" w:hAnsi="Times New Roman" w:cs="Times New Roman" w:eastAsia="Times New Roman" w:hint="default"/>
          <w:spacing w:val="-6"/>
          <w:w w:val="99"/>
        </w:rPr>
        <w:t>GR201711004060</w:t>
      </w:r>
      <w:r>
        <w:rPr>
          <w:spacing w:val="-6"/>
          <w:w w:val="99"/>
        </w:rPr>
        <w:t>）。根据《高新技术企业认定管理办法》及《中</w:t>
      </w:r>
      <w:r>
        <w:rPr>
          <w:spacing w:val="-70"/>
          <w:w w:val="99"/>
        </w:rPr>
        <w:t> </w:t>
      </w:r>
      <w:r>
        <w:rPr>
          <w:spacing w:val="-70"/>
          <w:w w:val="99"/>
        </w:rPr>
      </w:r>
      <w:r>
        <w:rPr/>
        <w:t>华人民共和国企业所得税法》及实施条例等有关规定，本公司自获得高新技术企业认定后三年内即</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年至</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年企业所 得税按</w:t>
      </w:r>
      <w:r>
        <w:rPr>
          <w:spacing w:val="-44"/>
        </w:rPr>
        <w:t> </w:t>
      </w:r>
      <w:r>
        <w:rPr>
          <w:rFonts w:ascii="Times New Roman" w:hAnsi="Times New Roman" w:cs="Times New Roman" w:eastAsia="Times New Roman" w:hint="default"/>
        </w:rPr>
        <w:t>15%</w:t>
      </w:r>
      <w:r>
        <w:rPr/>
        <w:t>计缴。</w:t>
      </w:r>
    </w:p>
    <w:p>
      <w:pPr>
        <w:pStyle w:val="BodyText"/>
        <w:spacing w:line="300" w:lineRule="auto" w:before="51"/>
        <w:ind w:right="1127" w:firstLine="360"/>
        <w:jc w:val="both"/>
      </w:pPr>
      <w:r>
        <w:rPr/>
        <w:t>本公司之子公司安信天行于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日通过高新技术企业认定并取得北京市科学技术委员会、北京市财政局、北</w:t>
      </w:r>
      <w:r>
        <w:rPr/>
        <w:t> 京市国家税务局、北京市地方税务局联合颁发的高新技术企业证书（证书编号</w:t>
      </w:r>
      <w:r>
        <w:rPr>
          <w:spacing w:val="32"/>
        </w:rPr>
        <w:t> </w:t>
      </w:r>
      <w:r>
        <w:rPr>
          <w:rFonts w:ascii="Times New Roman" w:hAnsi="Times New Roman" w:cs="Times New Roman" w:eastAsia="Times New Roman" w:hint="default"/>
          <w:spacing w:val="-4"/>
          <w:w w:val="99"/>
        </w:rPr>
        <w:t>GR201711000903</w:t>
      </w:r>
      <w:r>
        <w:rPr>
          <w:spacing w:val="-4"/>
          <w:w w:val="99"/>
        </w:rPr>
        <w:t>）。根据《高新技术企业认</w:t>
      </w:r>
      <w:r>
        <w:rPr>
          <w:spacing w:val="-86"/>
          <w:w w:val="99"/>
        </w:rPr>
        <w:t> </w:t>
      </w:r>
      <w:r>
        <w:rPr>
          <w:spacing w:val="-86"/>
          <w:w w:val="99"/>
        </w:rPr>
      </w:r>
      <w:r>
        <w:rPr>
          <w:spacing w:val="-3"/>
        </w:rPr>
        <w:t>定管理办法》及《中华人民共和国企业所得税法》及实施条例等有关规定，本公司自获得高新技术企业认定后三年内即</w:t>
      </w:r>
      <w:r>
        <w:rPr>
          <w:spacing w:val="-2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年至</w:t>
      </w:r>
      <w:r>
        <w:rPr>
          <w:spacing w:val="-46"/>
        </w:rPr>
        <w:t> </w:t>
      </w:r>
      <w:r>
        <w:rPr>
          <w:rFonts w:ascii="Times New Roman" w:hAnsi="Times New Roman" w:cs="Times New Roman" w:eastAsia="Times New Roman" w:hint="default"/>
        </w:rPr>
        <w:t>2019 </w:t>
      </w:r>
      <w:r>
        <w:rPr/>
        <w:t>年企业所得税按</w:t>
      </w:r>
      <w:r>
        <w:rPr>
          <w:spacing w:val="-47"/>
        </w:rPr>
        <w:t> </w:t>
      </w:r>
      <w:r>
        <w:rPr>
          <w:rFonts w:ascii="Times New Roman" w:hAnsi="Times New Roman" w:cs="Times New Roman" w:eastAsia="Times New Roman" w:hint="default"/>
        </w:rPr>
        <w:t>15%</w:t>
      </w:r>
      <w:r>
        <w:rPr/>
        <w:t>计缴。</w:t>
      </w:r>
    </w:p>
    <w:p>
      <w:pPr>
        <w:pStyle w:val="BodyText"/>
        <w:spacing w:line="304" w:lineRule="auto" w:before="53"/>
        <w:ind w:right="1126" w:firstLine="360"/>
        <w:jc w:val="both"/>
      </w:pPr>
      <w:r>
        <w:rPr>
          <w:spacing w:val="-2"/>
        </w:rPr>
        <w:t>本集团根据《中华人民共和国企业所得税法》及实施条例、《国家税务总局关于印发〈企业研究开发费用税前扣除管理</w:t>
      </w:r>
      <w:r>
        <w:rPr/>
        <w:t> </w:t>
      </w:r>
      <w:r>
        <w:rPr>
          <w:spacing w:val="-7"/>
        </w:rPr>
        <w:t>办法〉的通知》（国税发</w:t>
      </w:r>
      <w:r>
        <w:rPr>
          <w:rFonts w:ascii="Times New Roman" w:hAnsi="Times New Roman" w:cs="Times New Roman" w:eastAsia="Times New Roman" w:hint="default"/>
          <w:spacing w:val="-7"/>
        </w:rPr>
        <w:t>[2008]116</w:t>
      </w:r>
      <w:r>
        <w:rPr>
          <w:rFonts w:ascii="Times New Roman" w:hAnsi="Times New Roman" w:cs="Times New Roman" w:eastAsia="Times New Roman" w:hint="default"/>
          <w:spacing w:val="28"/>
        </w:rPr>
        <w:t> </w:t>
      </w:r>
      <w:r>
        <w:rPr>
          <w:spacing w:val="-6"/>
        </w:rPr>
        <w:t>号）、《财政部国家税务总局关于中关村东湖张江国家自主创新示范区和合芜蚌自主创新综</w:t>
      </w:r>
      <w:r>
        <w:rPr>
          <w:spacing w:val="-81"/>
        </w:rPr>
        <w:t> </w:t>
      </w:r>
      <w:r>
        <w:rPr>
          <w:spacing w:val="-81"/>
        </w:rPr>
      </w:r>
      <w:r>
        <w:rPr>
          <w:spacing w:val="-4"/>
        </w:rPr>
        <w:t>合试验区有关研究开发费用加计扣除试点政策的通知》（财税〔</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13</w:t>
      </w:r>
      <w:r>
        <w:rPr>
          <w:rFonts w:ascii="Times New Roman" w:hAnsi="Times New Roman" w:cs="Times New Roman" w:eastAsia="Times New Roman" w:hint="default"/>
          <w:spacing w:val="26"/>
        </w:rPr>
        <w:t> </w:t>
      </w:r>
      <w:r>
        <w:rPr>
          <w:spacing w:val="-9"/>
        </w:rPr>
        <w:t>号）、《关于研究开发费用税前加计扣除有关政策问</w:t>
      </w:r>
      <w:r>
        <w:rPr>
          <w:spacing w:val="-81"/>
        </w:rPr>
        <w:t> </w:t>
      </w:r>
      <w:r>
        <w:rPr>
          <w:spacing w:val="-81"/>
        </w:rPr>
      </w:r>
      <w:r>
        <w:rPr>
          <w:spacing w:val="-7"/>
        </w:rPr>
        <w:t>题的通知》（财税</w:t>
      </w:r>
      <w:r>
        <w:rPr>
          <w:rFonts w:ascii="Times New Roman" w:hAnsi="Times New Roman" w:cs="Times New Roman" w:eastAsia="Times New Roman" w:hint="default"/>
          <w:spacing w:val="-7"/>
        </w:rPr>
        <w:t>(2013)70</w:t>
      </w:r>
      <w:r>
        <w:rPr>
          <w:rFonts w:ascii="Times New Roman" w:hAnsi="Times New Roman" w:cs="Times New Roman" w:eastAsia="Times New Roman" w:hint="default"/>
          <w:spacing w:val="12"/>
        </w:rPr>
        <w:t> </w:t>
      </w:r>
      <w:r>
        <w:rPr>
          <w:spacing w:val="-7"/>
        </w:rPr>
        <w:t>号）、《财政部税务总局科技部关于提高研究开发费用税前加计扣除比例的通知》（财税〔</w:t>
      </w:r>
      <w:r>
        <w:rPr>
          <w:rFonts w:ascii="Times New Roman" w:hAnsi="Times New Roman" w:cs="Times New Roman" w:eastAsia="Times New Roman" w:hint="default"/>
          <w:spacing w:val="-7"/>
        </w:rPr>
        <w:t>2018</w:t>
      </w:r>
      <w:r>
        <w:rPr>
          <w:spacing w:val="-7"/>
        </w:rPr>
        <w:t>〕</w:t>
      </w:r>
      <w:r>
        <w:rPr>
          <w:rFonts w:ascii="Times New Roman" w:hAnsi="Times New Roman" w:cs="Times New Roman" w:eastAsia="Times New Roman" w:hint="default"/>
          <w:spacing w:val="-7"/>
        </w:rPr>
        <w:t>99</w:t>
      </w:r>
      <w:r>
        <w:rPr>
          <w:rFonts w:ascii="Times New Roman" w:hAnsi="Times New Roman" w:cs="Times New Roman" w:eastAsia="Times New Roman" w:hint="default"/>
          <w:spacing w:val="-43"/>
        </w:rPr>
        <w:t> </w:t>
      </w:r>
      <w:r>
        <w:rPr/>
        <w:t>号）享受开发新技术、新产品、新工艺发生的研究开发费用企业所得税前加计扣除优惠政策。</w:t>
      </w:r>
    </w:p>
    <w:p>
      <w:pPr>
        <w:pStyle w:val="BodyText"/>
        <w:spacing w:line="240" w:lineRule="auto" w:before="68"/>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513" w:right="982"/>
        <w:jc w:val="left"/>
      </w:pPr>
      <w:r>
        <w:rPr/>
        <w:t>公司报告期内软件增值税退税</w:t>
      </w:r>
      <w:r>
        <w:rPr>
          <w:spacing w:val="-46"/>
        </w:rPr>
        <w:t> </w:t>
      </w:r>
      <w:r>
        <w:rPr>
          <w:rFonts w:ascii="Times New Roman" w:hAnsi="Times New Roman" w:cs="Times New Roman" w:eastAsia="Times New Roman" w:hint="default"/>
        </w:rPr>
        <w:t>822.56 </w:t>
      </w:r>
      <w:r>
        <w:rPr/>
        <w:t>万元，计入其他收益。</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无</w:t>
      </w:r>
    </w:p>
    <w:p>
      <w:pPr>
        <w:spacing w:line="240" w:lineRule="auto" w:before="4"/>
        <w:rPr>
          <w:rFonts w:ascii="宋体" w:hAnsi="宋体" w:cs="宋体" w:eastAsia="宋体" w:hint="default"/>
          <w:sz w:val="25"/>
          <w:szCs w:val="25"/>
        </w:rPr>
      </w:pPr>
    </w:p>
    <w:p>
      <w:pPr>
        <w:pStyle w:val="Heading2"/>
        <w:spacing w:line="240" w:lineRule="auto"/>
        <w:ind w:right="982"/>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280,774.62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125,966.62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653,871,177.44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465,718,595.01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21,533,381.07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17,067,935.89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675,685,333.13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482,912,497.52</w:t>
            </w:r>
          </w:p>
        </w:tc>
      </w:tr>
    </w:tbl>
    <w:p>
      <w:pPr>
        <w:pStyle w:val="BodyText"/>
        <w:spacing w:line="240" w:lineRule="auto" w:before="49"/>
        <w:ind w:left="513" w:right="982"/>
        <w:jc w:val="left"/>
      </w:pPr>
      <w:r>
        <w:rPr/>
        <w:t>其他说明</w:t>
      </w:r>
    </w:p>
    <w:p>
      <w:pPr>
        <w:spacing w:after="0" w:line="240" w:lineRule="auto"/>
        <w:jc w:val="left"/>
        <w:sectPr>
          <w:footerReference w:type="default" r:id="rId16"/>
          <w:pgSz w:w="11910" w:h="16840"/>
          <w:pgMar w:footer="979" w:header="748" w:top="1060" w:bottom="1160" w:left="980" w:right="0"/>
          <w:pgNumType w:start="11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期末，本集团其他货币资金为使用权受到限制的款项，全部为履约保证金。</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178,589,035.30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141,573,415.38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178,957,338.68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142,573,415.38</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49"/>
        <w:ind w:right="982"/>
        <w:jc w:val="left"/>
      </w:pPr>
      <w:r>
        <w:rPr>
          <w:rFonts w:ascii="Times New Roman" w:hAnsi="Times New Roman" w:cs="Times New Roman" w:eastAsia="Times New Roman" w:hint="default"/>
        </w:rPr>
        <w:t>2)</w:t>
      </w:r>
      <w:r>
        <w:rPr/>
        <w:t>期末公司已质押的应收票据</w:t>
      </w:r>
    </w:p>
    <w:p>
      <w:pPr>
        <w:pStyle w:val="BodyText"/>
        <w:spacing w:line="240" w:lineRule="auto" w:before="106"/>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98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430,470.00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430,470.00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left="513" w:right="982"/>
        <w:jc w:val="left"/>
      </w:pPr>
      <w:r>
        <w:rPr/>
        <w:t>其他说明</w:t>
      </w:r>
    </w:p>
    <w:p>
      <w:pPr>
        <w:pStyle w:val="BodyText"/>
        <w:spacing w:line="240" w:lineRule="auto" w:before="117"/>
        <w:ind w:left="513" w:right="982"/>
        <w:jc w:val="left"/>
      </w:pPr>
      <w:r>
        <w:rPr/>
        <w:t>（</w:t>
      </w:r>
      <w:r>
        <w:rPr>
          <w:rFonts w:ascii="Times New Roman" w:hAnsi="Times New Roman" w:cs="Times New Roman" w:eastAsia="Times New Roman" w:hint="default"/>
        </w:rPr>
        <w:t>1</w:t>
      </w:r>
      <w:r>
        <w:rPr/>
        <w:t>）不存在客观证据表明本集团应收票据发生减值，未计提应收票据减值准备。</w:t>
      </w:r>
    </w:p>
    <w:p>
      <w:pPr>
        <w:pStyle w:val="BodyText"/>
        <w:spacing w:line="240" w:lineRule="auto" w:before="103"/>
        <w:ind w:left="513" w:right="982"/>
        <w:jc w:val="left"/>
      </w:pPr>
      <w:r>
        <w:rPr/>
        <w:t>（</w:t>
      </w:r>
      <w:r>
        <w:rPr>
          <w:rFonts w:ascii="Times New Roman" w:hAnsi="Times New Roman" w:cs="Times New Roman" w:eastAsia="Times New Roman" w:hint="default"/>
        </w:rPr>
        <w:t>2</w:t>
      </w:r>
      <w:r>
        <w:rPr/>
        <w:t>）期末不存在已质押的应收票据。</w:t>
      </w:r>
    </w:p>
    <w:p>
      <w:pPr>
        <w:spacing w:line="240" w:lineRule="auto" w:before="2"/>
        <w:rPr>
          <w:rFonts w:ascii="宋体" w:hAnsi="宋体" w:cs="宋体" w:eastAsia="宋体" w:hint="default"/>
          <w:sz w:val="26"/>
          <w:szCs w:val="26"/>
        </w:rPr>
      </w:pPr>
    </w:p>
    <w:p>
      <w:pPr>
        <w:pStyle w:val="Heading3"/>
        <w:spacing w:line="240" w:lineRule="auto"/>
        <w:ind w:left="0" w:right="9245"/>
        <w:jc w:val="center"/>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133"/>
        <w:gridCol w:w="1135"/>
        <w:gridCol w:w="709"/>
        <w:gridCol w:w="991"/>
        <w:gridCol w:w="569"/>
        <w:gridCol w:w="1133"/>
        <w:gridCol w:w="1135"/>
        <w:gridCol w:w="708"/>
        <w:gridCol w:w="992"/>
        <w:gridCol w:w="569"/>
        <w:gridCol w:w="1061"/>
      </w:tblGrid>
      <w:tr>
        <w:trPr>
          <w:trHeight w:val="396" w:hRule="exact"/>
        </w:trPr>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133" w:type="dxa"/>
            <w:vMerge/>
            <w:tcBorders>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79"/>
              <w:ind w:left="24" w:right="44"/>
              <w:jc w:val="both"/>
              <w:rPr>
                <w:rFonts w:ascii="宋体" w:hAnsi="宋体" w:cs="宋体" w:eastAsia="宋体" w:hint="default"/>
                <w:sz w:val="15"/>
                <w:szCs w:val="15"/>
              </w:rPr>
            </w:pPr>
            <w:r>
              <w:rPr>
                <w:rFonts w:ascii="宋体" w:hAnsi="宋体" w:cs="宋体" w:eastAsia="宋体" w:hint="default"/>
                <w:sz w:val="15"/>
                <w:szCs w:val="15"/>
              </w:rPr>
              <w:t>按信用风险特征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232,656,513.21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54,067,477.91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23.24%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178,589,035.30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5"/>
                <w:szCs w:val="15"/>
              </w:rPr>
            </w:pPr>
            <w:r>
              <w:rPr>
                <w:rFonts w:ascii="Times New Roman"/>
                <w:sz w:val="15"/>
              </w:rPr>
              <w:t>181,862,670.40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40,289,255.02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22.15%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141,573,415.38</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232,656,513.21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9" w:right="0"/>
              <w:jc w:val="left"/>
              <w:rPr>
                <w:rFonts w:ascii="Times New Roman" w:hAnsi="Times New Roman" w:cs="Times New Roman" w:eastAsia="Times New Roman" w:hint="default"/>
                <w:sz w:val="15"/>
                <w:szCs w:val="15"/>
              </w:rPr>
            </w:pPr>
            <w:r>
              <w:rPr>
                <w:rFonts w:ascii="Times New Roman"/>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7" w:right="0"/>
              <w:jc w:val="center"/>
              <w:rPr>
                <w:rFonts w:ascii="Times New Roman" w:hAnsi="Times New Roman" w:cs="Times New Roman" w:eastAsia="Times New Roman" w:hint="default"/>
                <w:sz w:val="15"/>
                <w:szCs w:val="15"/>
              </w:rPr>
            </w:pPr>
            <w:r>
              <w:rPr>
                <w:rFonts w:ascii="Times New Roman"/>
                <w:sz w:val="15"/>
              </w:rPr>
              <w:t>54,067,477.91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5" w:right="0"/>
              <w:jc w:val="center"/>
              <w:rPr>
                <w:rFonts w:ascii="Times New Roman" w:hAnsi="Times New Roman" w:cs="Times New Roman" w:eastAsia="Times New Roman" w:hint="default"/>
                <w:sz w:val="15"/>
                <w:szCs w:val="15"/>
              </w:rPr>
            </w:pPr>
            <w:r>
              <w:rPr>
                <w:rFonts w:ascii="Times New Roman"/>
                <w:sz w:val="15"/>
              </w:rPr>
              <w:t>23.24%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178,589,035.30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9" w:right="0"/>
              <w:jc w:val="center"/>
              <w:rPr>
                <w:rFonts w:ascii="Times New Roman" w:hAnsi="Times New Roman" w:cs="Times New Roman" w:eastAsia="Times New Roman" w:hint="default"/>
                <w:sz w:val="15"/>
                <w:szCs w:val="15"/>
              </w:rPr>
            </w:pPr>
            <w:r>
              <w:rPr>
                <w:rFonts w:ascii="Times New Roman"/>
                <w:sz w:val="15"/>
              </w:rPr>
              <w:t>181,862,670.40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6" w:right="0"/>
              <w:jc w:val="center"/>
              <w:rPr>
                <w:rFonts w:ascii="Times New Roman" w:hAnsi="Times New Roman" w:cs="Times New Roman" w:eastAsia="Times New Roman" w:hint="default"/>
                <w:sz w:val="15"/>
                <w:szCs w:val="15"/>
              </w:rPr>
            </w:pPr>
            <w:r>
              <w:rPr>
                <w:rFonts w:ascii="Times New Roman"/>
                <w:sz w:val="15"/>
              </w:rPr>
              <w:t>40,289,255.02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22.15%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141,573,415.38</w:t>
            </w:r>
          </w:p>
        </w:tc>
      </w:tr>
    </w:tbl>
    <w:p>
      <w:pPr>
        <w:spacing w:after="0" w:line="240" w:lineRule="auto"/>
        <w:jc w:val="right"/>
        <w:rPr>
          <w:rFonts w:ascii="Times New Roman" w:hAnsi="Times New Roman" w:cs="Times New Roman" w:eastAsia="Times New Roman" w:hint="default"/>
          <w:sz w:val="15"/>
          <w:szCs w:val="15"/>
        </w:rPr>
        <w:sectPr>
          <w:pgSz w:w="11910" w:h="16840"/>
          <w:pgMar w:header="748" w:footer="979" w:top="1060" w:bottom="1160" w:left="780" w:right="0"/>
        </w:sectPr>
      </w:pPr>
    </w:p>
    <w:p>
      <w:pPr>
        <w:pStyle w:val="BodyText"/>
        <w:spacing w:line="240" w:lineRule="auto" w:before="49"/>
        <w:ind w:left="352" w:right="-20"/>
        <w:jc w:val="left"/>
      </w:pPr>
      <w:r>
        <w:rPr/>
        <w:t>期末单项金额重大并单项计提坏账准备的应收账款：</w:t>
      </w:r>
    </w:p>
    <w:p>
      <w:pPr>
        <w:pStyle w:val="BodyText"/>
        <w:spacing w:line="340" w:lineRule="auto" w:before="118"/>
        <w:ind w:left="35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left="3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52" w:right="0"/>
        <w:jc w:val="left"/>
      </w:pPr>
      <w:r>
        <w:rPr/>
        <w:t>单位：</w:t>
      </w:r>
      <w:r>
        <w:rPr>
          <w:spacing w:val="1"/>
        </w:rPr>
        <w:t> </w:t>
      </w:r>
      <w:r>
        <w:rPr/>
        <w:t>元</w:t>
      </w:r>
    </w:p>
    <w:p>
      <w:pPr>
        <w:spacing w:after="0" w:line="240" w:lineRule="auto"/>
        <w:jc w:val="left"/>
        <w:sectPr>
          <w:type w:val="continuous"/>
          <w:pgSz w:w="11910" w:h="16840"/>
          <w:pgMar w:top="1060" w:bottom="1160" w:left="780" w:right="0"/>
          <w:cols w:num="2" w:equalWidth="0">
            <w:col w:w="4493" w:space="4336"/>
            <w:col w:w="2301"/>
          </w:cols>
        </w:sectPr>
      </w:pPr>
    </w:p>
    <w:p>
      <w:pPr>
        <w:spacing w:line="240" w:lineRule="auto" w:before="2"/>
        <w:rPr>
          <w:rFonts w:ascii="宋体" w:hAnsi="宋体" w:cs="宋体" w:eastAsia="宋体" w:hint="default"/>
          <w:sz w:val="8"/>
          <w:szCs w:val="8"/>
        </w:rPr>
      </w:pPr>
    </w:p>
    <w:tbl>
      <w:tblPr>
        <w:tblW w:w="0" w:type="auto"/>
        <w:jc w:val="left"/>
        <w:tblInd w:w="347"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120,883,473.91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6,044,173.70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37,999,061.61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3,799,906.16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23,580,428.32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7,074,128.50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21,350,176.37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10,675,088.19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11,845,958.19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9,476,766.55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16,997,414.81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16,997,414.81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232,656,513.21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54,067,477.91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23.24%</w:t>
            </w:r>
          </w:p>
        </w:tc>
      </w:tr>
    </w:tbl>
    <w:p>
      <w:pPr>
        <w:pStyle w:val="BodyText"/>
        <w:spacing w:line="360" w:lineRule="auto" w:before="49"/>
        <w:ind w:left="352" w:right="6434"/>
        <w:jc w:val="left"/>
      </w:pPr>
      <w:r>
        <w:rPr/>
        <w:t>确定该组合依据的说明： 组合中，采用余额百分比法计提坏账准备的应收账款：</w:t>
      </w:r>
    </w:p>
    <w:p>
      <w:pPr>
        <w:pStyle w:val="BodyText"/>
        <w:spacing w:line="338" w:lineRule="auto" w:before="27"/>
        <w:ind w:left="3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left="352" w:right="112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352" w:right="643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left="352" w:right="4007" w:firstLine="360"/>
        <w:jc w:val="left"/>
      </w:pPr>
      <w:r>
        <w:rPr/>
        <w:t>本期计提坏账准备金额</w:t>
      </w:r>
      <w:r>
        <w:rPr>
          <w:spacing w:val="-47"/>
        </w:rPr>
        <w:t> </w:t>
      </w:r>
      <w:r>
        <w:rPr>
          <w:rFonts w:ascii="Times New Roman" w:hAnsi="Times New Roman" w:cs="Times New Roman" w:eastAsia="Times New Roman" w:hint="default"/>
        </w:rPr>
        <w:t>13,778,222.89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41"/>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left="352" w:right="6434"/>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left="352" w:right="6434"/>
        <w:jc w:val="left"/>
      </w:pPr>
      <w:r>
        <w:rPr/>
        <w:t>其中重要的应收账款核销情况：</w:t>
      </w:r>
    </w:p>
    <w:p>
      <w:pPr>
        <w:spacing w:after="0" w:line="240" w:lineRule="auto"/>
        <w:jc w:val="left"/>
        <w:sectPr>
          <w:type w:val="continuous"/>
          <w:pgSz w:w="11910" w:h="16840"/>
          <w:pgMar w:top="1060" w:bottom="1160" w:left="7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982"/>
        <w:jc w:val="left"/>
      </w:pPr>
      <w:r>
        <w:rPr/>
        <w:t>应收账款核销说明：</w:t>
      </w:r>
    </w:p>
    <w:p>
      <w:pPr>
        <w:pStyle w:val="BodyText"/>
        <w:spacing w:line="338" w:lineRule="auto" w:before="119"/>
        <w:ind w:left="513" w:right="6824" w:hanging="361"/>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43"/>
        <w:ind w:left="513" w:right="8593"/>
        <w:jc w:val="left"/>
      </w:pPr>
      <w:r>
        <w:rPr/>
        <w:t>是 软件与信息技术服务业</w:t>
      </w:r>
    </w:p>
    <w:p>
      <w:pPr>
        <w:pStyle w:val="BodyText"/>
        <w:spacing w:line="300" w:lineRule="auto" w:before="25"/>
        <w:ind w:right="1110" w:firstLine="360"/>
        <w:jc w:val="left"/>
      </w:pPr>
      <w:r>
        <w:rPr/>
        <w:t>本期按欠款方归集的期末余额前五名应收账款汇总金额</w:t>
      </w:r>
      <w:r>
        <w:rPr>
          <w:spacing w:val="-46"/>
        </w:rPr>
        <w:t> </w:t>
      </w:r>
      <w:r>
        <w:rPr>
          <w:rFonts w:ascii="Times New Roman" w:hAnsi="Times New Roman" w:cs="Times New Roman" w:eastAsia="Times New Roman" w:hint="default"/>
        </w:rPr>
        <w:t>38,743,622.84</w:t>
      </w:r>
      <w:r>
        <w:rPr>
          <w:rFonts w:ascii="Times New Roman" w:hAnsi="Times New Roman" w:cs="Times New Roman" w:eastAsia="Times New Roman" w:hint="default"/>
          <w:spacing w:val="1"/>
        </w:rPr>
        <w:t> </w:t>
      </w:r>
      <w:r>
        <w:rPr/>
        <w:t>元，占应收账款期末余额合计数的比例</w:t>
      </w:r>
      <w:r>
        <w:rPr>
          <w:spacing w:val="-46"/>
        </w:rPr>
        <w:t> </w:t>
      </w:r>
      <w:r>
        <w:rPr>
          <w:rFonts w:ascii="Times New Roman" w:hAnsi="Times New Roman" w:cs="Times New Roman" w:eastAsia="Times New Roman" w:hint="default"/>
        </w:rPr>
        <w:t>16.65%</w:t>
      </w:r>
      <w:r>
        <w:rPr/>
        <w:t>， 相应计提的坏账准备期末余额汇总金额</w:t>
      </w:r>
      <w:r>
        <w:rPr>
          <w:spacing w:val="-47"/>
        </w:rPr>
        <w:t> </w:t>
      </w:r>
      <w:r>
        <w:rPr>
          <w:rFonts w:ascii="Times New Roman" w:hAnsi="Times New Roman" w:cs="Times New Roman" w:eastAsia="Times New Roman" w:hint="default"/>
        </w:rPr>
        <w:t>3,482,107.89</w:t>
      </w:r>
      <w:r>
        <w:rPr>
          <w:rFonts w:ascii="Times New Roman" w:hAnsi="Times New Roman" w:cs="Times New Roman" w:eastAsia="Times New Roman" w:hint="default"/>
          <w:spacing w:val="-1"/>
        </w:rPr>
        <w:t> </w:t>
      </w:r>
      <w:r>
        <w:rPr/>
        <w:t>元。</w:t>
      </w:r>
    </w:p>
    <w:p>
      <w:pPr>
        <w:pStyle w:val="BodyText"/>
        <w:spacing w:line="340" w:lineRule="auto" w:before="53"/>
        <w:ind w:left="513" w:right="7544" w:hanging="361"/>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39"/>
        <w:ind w:left="513" w:right="6824" w:hanging="361"/>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357" w:lineRule="auto" w:before="41"/>
        <w:ind w:left="513" w:right="949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31,390,645.75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41,970,536.48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1,470,305.00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741,094.00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506,959.82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33,237,919.75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44,131,611.30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982"/>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3"/>
        <w:ind w:left="513" w:right="982"/>
        <w:jc w:val="left"/>
      </w:pPr>
      <w:r>
        <w:rPr/>
        <w:t>期末无重要的账龄超过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年的预付款项。</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031"/>
        <w:jc w:val="left"/>
      </w:pPr>
      <w:r>
        <w:rPr/>
        <w:t>本期按预付对象归集的期末余额前五名预付款项汇总金额</w:t>
      </w:r>
      <w:r>
        <w:rPr>
          <w:spacing w:val="-42"/>
        </w:rPr>
        <w:t> </w:t>
      </w:r>
      <w:r>
        <w:rPr>
          <w:rFonts w:ascii="Times New Roman" w:hAnsi="Times New Roman" w:cs="Times New Roman" w:eastAsia="Times New Roman" w:hint="default"/>
          <w:spacing w:val="-1"/>
        </w:rPr>
        <w:t>16,133,026.62</w:t>
      </w:r>
      <w:r>
        <w:rPr>
          <w:rFonts w:ascii="Times New Roman" w:hAnsi="Times New Roman" w:cs="Times New Roman" w:eastAsia="Times New Roman" w:hint="default"/>
          <w:spacing w:val="6"/>
        </w:rPr>
        <w:t> </w:t>
      </w:r>
      <w:r>
        <w:rPr>
          <w:spacing w:val="-6"/>
        </w:rPr>
        <w:t>元，占预付款项期末余额合计数的比例</w:t>
      </w:r>
      <w:r>
        <w:rPr>
          <w:spacing w:val="-42"/>
        </w:rPr>
        <w:t> </w:t>
      </w:r>
      <w:r>
        <w:rPr>
          <w:rFonts w:ascii="Times New Roman" w:hAnsi="Times New Roman" w:cs="Times New Roman" w:eastAsia="Times New Roman" w:hint="default"/>
        </w:rPr>
        <w:t>48.54%</w:t>
      </w:r>
      <w:r>
        <w:rPr/>
        <w:t>。 其他说明：</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22,880,774.49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24,068,691.85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22,880,774.49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24,068,691.85</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应收利息分类</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应收股利</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8"/>
        <w:gridCol w:w="991"/>
        <w:gridCol w:w="711"/>
        <w:gridCol w:w="850"/>
        <w:gridCol w:w="566"/>
        <w:gridCol w:w="994"/>
        <w:gridCol w:w="991"/>
        <w:gridCol w:w="710"/>
        <w:gridCol w:w="850"/>
        <w:gridCol w:w="554"/>
        <w:gridCol w:w="931"/>
      </w:tblGrid>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418" w:type="dxa"/>
            <w:vMerge/>
            <w:tcBorders>
              <w:left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991"/>
        <w:gridCol w:w="711"/>
        <w:gridCol w:w="850"/>
        <w:gridCol w:w="566"/>
        <w:gridCol w:w="994"/>
        <w:gridCol w:w="991"/>
        <w:gridCol w:w="710"/>
        <w:gridCol w:w="850"/>
        <w:gridCol w:w="554"/>
        <w:gridCol w:w="931"/>
      </w:tblGrid>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7"/>
              <w:ind w:left="22" w:right="29"/>
              <w:jc w:val="both"/>
              <w:rPr>
                <w:rFonts w:ascii="宋体" w:hAnsi="宋体" w:cs="宋体" w:eastAsia="宋体" w:hint="default"/>
                <w:sz w:val="15"/>
                <w:szCs w:val="15"/>
              </w:rPr>
            </w:pPr>
            <w:r>
              <w:rPr>
                <w:rFonts w:ascii="宋体" w:hAnsi="宋体" w:cs="宋体" w:eastAsia="宋体" w:hint="default"/>
                <w:sz w:val="15"/>
                <w:szCs w:val="15"/>
              </w:rPr>
              <w:t>按信用风险特征组合</w:t>
            </w:r>
            <w:r>
              <w:rPr>
                <w:rFonts w:ascii="宋体" w:hAnsi="宋体" w:cs="宋体" w:eastAsia="宋体" w:hint="default"/>
                <w:w w:val="100"/>
                <w:sz w:val="15"/>
                <w:szCs w:val="15"/>
              </w:rPr>
              <w:t> </w:t>
            </w:r>
            <w:r>
              <w:rPr>
                <w:rFonts w:ascii="宋体" w:hAnsi="宋体" w:cs="宋体" w:eastAsia="宋体" w:hint="default"/>
                <w:sz w:val="15"/>
                <w:szCs w:val="15"/>
              </w:rPr>
              <w:t>计提坏账准备的其他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31,588,087.54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5"/>
                <w:szCs w:val="15"/>
              </w:rPr>
            </w:pPr>
            <w:r>
              <w:rPr>
                <w:rFonts w:ascii="Times New Roman"/>
                <w:sz w:val="15"/>
              </w:rPr>
              <w:t>8,707,313.05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27.57%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22,880,774.49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30,524,086.73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5"/>
                <w:szCs w:val="15"/>
              </w:rPr>
            </w:pPr>
            <w:r>
              <w:rPr>
                <w:rFonts w:ascii="Times New Roman"/>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6,455,394.88</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24,068,691.85</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31,588,087.54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 w:right="0"/>
              <w:jc w:val="center"/>
              <w:rPr>
                <w:rFonts w:ascii="Times New Roman" w:hAnsi="Times New Roman" w:cs="Times New Roman" w:eastAsia="Times New Roman" w:hint="default"/>
                <w:sz w:val="15"/>
                <w:szCs w:val="15"/>
              </w:rPr>
            </w:pPr>
            <w:r>
              <w:rPr>
                <w:rFonts w:ascii="Times New Roman"/>
                <w:sz w:val="15"/>
              </w:rPr>
              <w:t>8,707,313.05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5"/>
                <w:szCs w:val="15"/>
              </w:rPr>
            </w:pPr>
            <w:r>
              <w:rPr>
                <w:rFonts w:ascii="Times New Roman"/>
                <w:spacing w:val="-1"/>
                <w:sz w:val="15"/>
              </w:rPr>
              <w:t>27.57%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5"/>
                <w:szCs w:val="15"/>
              </w:rPr>
            </w:pPr>
            <w:r>
              <w:rPr>
                <w:rFonts w:ascii="Times New Roman"/>
                <w:spacing w:val="-1"/>
                <w:sz w:val="15"/>
              </w:rPr>
              <w:t>22,880,774.49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30,524,086.73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8" w:right="0"/>
              <w:jc w:val="center"/>
              <w:rPr>
                <w:rFonts w:ascii="Times New Roman" w:hAnsi="Times New Roman" w:cs="Times New Roman" w:eastAsia="Times New Roman" w:hint="default"/>
                <w:sz w:val="15"/>
                <w:szCs w:val="15"/>
              </w:rPr>
            </w:pPr>
            <w:r>
              <w:rPr>
                <w:rFonts w:ascii="Times New Roman"/>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 w:right="0"/>
              <w:jc w:val="center"/>
              <w:rPr>
                <w:rFonts w:ascii="Times New Roman" w:hAnsi="Times New Roman" w:cs="Times New Roman" w:eastAsia="Times New Roman" w:hint="default"/>
                <w:sz w:val="15"/>
                <w:szCs w:val="15"/>
              </w:rPr>
            </w:pPr>
            <w:r>
              <w:rPr>
                <w:rFonts w:ascii="Times New Roman"/>
                <w:sz w:val="15"/>
              </w:rPr>
              <w:t>6,455,394.88</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5"/>
                <w:szCs w:val="15"/>
              </w:rPr>
            </w:pPr>
            <w:r>
              <w:rPr>
                <w:rFonts w:ascii="Times New Roman"/>
                <w:spacing w:val="-1"/>
                <w:sz w:val="15"/>
              </w:rPr>
              <w:t>21.15%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 w:right="0"/>
              <w:jc w:val="center"/>
              <w:rPr>
                <w:rFonts w:ascii="Times New Roman" w:hAnsi="Times New Roman" w:cs="Times New Roman" w:eastAsia="Times New Roman" w:hint="default"/>
                <w:sz w:val="15"/>
                <w:szCs w:val="15"/>
              </w:rPr>
            </w:pPr>
            <w:r>
              <w:rPr>
                <w:rFonts w:ascii="Times New Roman"/>
                <w:sz w:val="15"/>
              </w:rPr>
              <w:t>24,068,691.85</w:t>
            </w:r>
          </w:p>
        </w:tc>
      </w:tr>
    </w:tbl>
    <w:p>
      <w:pPr>
        <w:spacing w:after="0" w:line="240" w:lineRule="auto"/>
        <w:jc w:val="center"/>
        <w:rPr>
          <w:rFonts w:ascii="Times New Roman" w:hAnsi="Times New Roman" w:cs="Times New Roman" w:eastAsia="Times New Roman" w:hint="default"/>
          <w:sz w:val="15"/>
          <w:szCs w:val="15"/>
        </w:rPr>
        <w:sectPr>
          <w:pgSz w:w="11910" w:h="16840"/>
          <w:pgMar w:header="748" w:footer="979" w:top="1060" w:bottom="1160" w:left="980" w:right="0"/>
        </w:sectPr>
      </w:pPr>
    </w:p>
    <w:p>
      <w:pPr>
        <w:pStyle w:val="BodyText"/>
        <w:spacing w:line="240" w:lineRule="auto" w:before="49"/>
        <w:ind w:right="-19"/>
        <w:jc w:val="left"/>
      </w:pPr>
      <w:r>
        <w:rPr/>
        <w:t>期末单项金额重大并单项计提坏账准备的其他应收款：</w:t>
      </w:r>
    </w:p>
    <w:p>
      <w:pPr>
        <w:pStyle w:val="BodyText"/>
        <w:spacing w:line="340"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10,827,217.67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541,360.89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8,564,833.76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856,483.38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2,629,247.01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788,774.10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5,122,324.00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2,561,162.00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2,424,662.10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1,939,729.68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2,019,803.00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2,019,803.00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31,588,087.54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8,707,313.05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2" w:lineRule="auto" w:before="49"/>
        <w:ind w:right="2147"/>
        <w:jc w:val="left"/>
      </w:pPr>
      <w:r>
        <w:rPr/>
        <w:t>确定该组合依据的说明： 组合中，采用余额百分比法计提坏账准备的其他应收款：</w:t>
      </w:r>
    </w:p>
    <w:p>
      <w:pPr>
        <w:pStyle w:val="BodyText"/>
        <w:spacing w:line="340" w:lineRule="auto" w:before="23"/>
        <w:ind w:right="25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2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2147"/>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0" w:firstLine="360"/>
        <w:jc w:val="left"/>
      </w:pPr>
      <w:r>
        <w:rPr/>
        <w:t>本期计提坏账准备金额</w:t>
      </w:r>
      <w:r>
        <w:rPr>
          <w:spacing w:val="-47"/>
        </w:rPr>
        <w:t> </w:t>
      </w:r>
      <w:r>
        <w:rPr>
          <w:rFonts w:ascii="Times New Roman" w:hAnsi="Times New Roman" w:cs="Times New Roman" w:eastAsia="Times New Roman" w:hint="default"/>
        </w:rPr>
        <w:t>2,251,918.17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820" w:space="2010"/>
            <w:col w:w="210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98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其中重要的其他应收款核销情况：</w:t>
      </w:r>
    </w:p>
    <w:p>
      <w:pPr>
        <w:pStyle w:val="BodyText"/>
        <w:spacing w:line="240" w:lineRule="auto" w:before="119"/>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982"/>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25,829,910.65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26,190,829.75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3,820,584.43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4,119,167.26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1,937,592.46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214,089.72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31,588,087.54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30,524,086.73</w:t>
            </w:r>
          </w:p>
        </w:tc>
      </w:tr>
    </w:tbl>
    <w:p>
      <w:pPr>
        <w:pStyle w:val="BodyText"/>
        <w:spacing w:line="240" w:lineRule="auto" w:before="49"/>
        <w:ind w:right="98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1238"/>
        <w:gridCol w:w="1594"/>
        <w:gridCol w:w="1594"/>
        <w:gridCol w:w="1596"/>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普华诚信信息技术有限公司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2,930,342.00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1,163,546.20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北京万柳置业集团有限公司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2,371,572.00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年以下、</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193,057.05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江苏省设备成套有限公司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961,800.00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北京老年医院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123,640.00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文化部信息中心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975,350.25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97,535.03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9,437,264.25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2,539,578.28</w:t>
            </w:r>
          </w:p>
        </w:tc>
      </w:tr>
    </w:tbl>
    <w:p>
      <w:pPr>
        <w:pStyle w:val="BodyText"/>
        <w:spacing w:line="240" w:lineRule="auto" w:before="49"/>
        <w:ind w:right="982"/>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left="0" w:right="9717"/>
        <w:jc w:val="center"/>
      </w:pPr>
      <w:r>
        <w:rPr/>
        <w:t>无</w:t>
      </w:r>
    </w:p>
    <w:p>
      <w:pPr>
        <w:pStyle w:val="BodyText"/>
        <w:spacing w:line="338" w:lineRule="auto" w:before="119"/>
        <w:ind w:left="513" w:right="7364" w:hanging="361"/>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40" w:lineRule="auto" w:before="43"/>
        <w:ind w:left="513" w:right="6644" w:hanging="361"/>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60" w:lineRule="auto" w:before="40"/>
        <w:ind w:left="513" w:right="9854" w:hanging="361"/>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7514" w:hanging="361"/>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10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7,018,152.30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7,018,152.30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8,516,319.38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8,516,319.38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16,719,815.93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16,719,815.93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15,788,215.85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15,788,215.85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100,576,941.35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100,576,941.35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48,630,399.07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48,630,399.07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124,314,909.58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124,314,909.58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72,934,934.30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72,934,934.30</w:t>
            </w:r>
          </w:p>
        </w:tc>
      </w:tr>
    </w:tbl>
    <w:p>
      <w:pPr>
        <w:pStyle w:val="BodyText"/>
        <w:spacing w:line="340"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4"/>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left="513" w:right="982"/>
        <w:jc w:val="left"/>
      </w:pPr>
      <w:r>
        <w:rPr/>
        <w:t>无</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62" w:lineRule="auto" w:before="49"/>
        <w:ind w:left="513" w:right="9854" w:hanging="361"/>
        <w:jc w:val="left"/>
      </w:pPr>
      <w:r>
        <w:rPr/>
        <w:t>其他说明： 无</w:t>
      </w:r>
    </w:p>
    <w:p>
      <w:pPr>
        <w:spacing w:line="240" w:lineRule="auto" w:before="13"/>
        <w:rPr>
          <w:rFonts w:ascii="宋体" w:hAnsi="宋体" w:cs="宋体" w:eastAsia="宋体" w:hint="default"/>
          <w:sz w:val="19"/>
          <w:szCs w:val="19"/>
        </w:rPr>
      </w:pPr>
    </w:p>
    <w:p>
      <w:pPr>
        <w:pStyle w:val="Heading3"/>
        <w:spacing w:line="240" w:lineRule="auto"/>
        <w:ind w:right="982"/>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7,368,102.93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4,037,429.62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预缴城建税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420,686.51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227,733.80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300,387.24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162,563.87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8,089,176.68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104,427,727.29</w:t>
            </w:r>
          </w:p>
        </w:tc>
      </w:tr>
    </w:tbl>
    <w:p>
      <w:pPr>
        <w:pStyle w:val="BodyText"/>
        <w:spacing w:line="360" w:lineRule="auto" w:before="49"/>
        <w:ind w:left="513" w:right="9854" w:hanging="361"/>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1046"/>
        <w:gridCol w:w="992"/>
        <w:gridCol w:w="569"/>
        <w:gridCol w:w="991"/>
        <w:gridCol w:w="708"/>
        <w:gridCol w:w="852"/>
        <w:gridCol w:w="850"/>
        <w:gridCol w:w="566"/>
        <w:gridCol w:w="605"/>
        <w:gridCol w:w="955"/>
        <w:gridCol w:w="641"/>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11,153,905.81</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-1,450,675.25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 w:right="0"/>
              <w:jc w:val="left"/>
              <w:rPr>
                <w:rFonts w:ascii="Times New Roman" w:hAnsi="Times New Roman" w:cs="Times New Roman" w:eastAsia="Times New Roman" w:hint="default"/>
                <w:sz w:val="15"/>
                <w:szCs w:val="15"/>
              </w:rPr>
            </w:pPr>
            <w:r>
              <w:rPr>
                <w:rFonts w:ascii="Times New Roman"/>
                <w:sz w:val="15"/>
              </w:rPr>
              <w:t>4,431,912.05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 w:right="0"/>
              <w:jc w:val="center"/>
              <w:rPr>
                <w:rFonts w:ascii="Times New Roman" w:hAnsi="Times New Roman" w:cs="Times New Roman" w:eastAsia="Times New Roman" w:hint="default"/>
                <w:sz w:val="15"/>
                <w:szCs w:val="15"/>
              </w:rPr>
            </w:pPr>
            <w:r>
              <w:rPr>
                <w:rFonts w:ascii="Times New Roman"/>
                <w:sz w:val="15"/>
              </w:rPr>
              <w:t>14,135,142.61</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10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2" w:right="0"/>
              <w:jc w:val="left"/>
              <w:rPr>
                <w:rFonts w:ascii="Times New Roman" w:hAnsi="Times New Roman" w:cs="Times New Roman" w:eastAsia="Times New Roman" w:hint="default"/>
                <w:sz w:val="15"/>
                <w:szCs w:val="15"/>
              </w:rPr>
            </w:pPr>
            <w:r>
              <w:rPr>
                <w:rFonts w:ascii="Times New Roman"/>
                <w:sz w:val="15"/>
              </w:rPr>
              <w:t>3,000,000.00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-716,650.97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5" w:right="0"/>
              <w:jc w:val="center"/>
              <w:rPr>
                <w:rFonts w:ascii="Times New Roman" w:hAnsi="Times New Roman" w:cs="Times New Roman" w:eastAsia="Times New Roman" w:hint="default"/>
                <w:sz w:val="15"/>
                <w:szCs w:val="15"/>
              </w:rPr>
            </w:pPr>
            <w:r>
              <w:rPr>
                <w:rFonts w:ascii="Times New Roman"/>
                <w:sz w:val="15"/>
              </w:rPr>
              <w:t>2,283,349.03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11,153,905.81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2" w:right="0"/>
              <w:jc w:val="left"/>
              <w:rPr>
                <w:rFonts w:ascii="Times New Roman" w:hAnsi="Times New Roman" w:cs="Times New Roman" w:eastAsia="Times New Roman" w:hint="default"/>
                <w:sz w:val="15"/>
                <w:szCs w:val="15"/>
              </w:rPr>
            </w:pPr>
            <w:r>
              <w:rPr>
                <w:rFonts w:ascii="Times New Roman"/>
                <w:sz w:val="15"/>
              </w:rPr>
              <w:t>3,000,000.00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-2,167,326.22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 w:right="0"/>
              <w:jc w:val="left"/>
              <w:rPr>
                <w:rFonts w:ascii="Times New Roman" w:hAnsi="Times New Roman" w:cs="Times New Roman" w:eastAsia="Times New Roman" w:hint="default"/>
                <w:sz w:val="15"/>
                <w:szCs w:val="15"/>
              </w:rPr>
            </w:pPr>
            <w:r>
              <w:rPr>
                <w:rFonts w:ascii="Times New Roman"/>
                <w:sz w:val="15"/>
              </w:rPr>
              <w:t>4,431,912.05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 w:right="0"/>
              <w:jc w:val="center"/>
              <w:rPr>
                <w:rFonts w:ascii="Times New Roman" w:hAnsi="Times New Roman" w:cs="Times New Roman" w:eastAsia="Times New Roman" w:hint="default"/>
                <w:sz w:val="15"/>
                <w:szCs w:val="15"/>
              </w:rPr>
            </w:pPr>
            <w:r>
              <w:rPr>
                <w:rFonts w:ascii="Times New Roman"/>
                <w:sz w:val="15"/>
              </w:rPr>
              <w:t>16,418,491.64</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11,153,905.81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2" w:right="0"/>
              <w:jc w:val="left"/>
              <w:rPr>
                <w:rFonts w:ascii="Times New Roman" w:hAnsi="Times New Roman" w:cs="Times New Roman" w:eastAsia="Times New Roman" w:hint="default"/>
                <w:sz w:val="15"/>
                <w:szCs w:val="15"/>
              </w:rPr>
            </w:pPr>
            <w:r>
              <w:rPr>
                <w:rFonts w:ascii="Times New Roman"/>
                <w:sz w:val="15"/>
              </w:rPr>
              <w:t>3,000,000.00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-2,167,326.22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 w:right="0"/>
              <w:jc w:val="left"/>
              <w:rPr>
                <w:rFonts w:ascii="Times New Roman" w:hAnsi="Times New Roman" w:cs="Times New Roman" w:eastAsia="Times New Roman" w:hint="default"/>
                <w:sz w:val="15"/>
                <w:szCs w:val="15"/>
              </w:rPr>
            </w:pPr>
            <w:r>
              <w:rPr>
                <w:rFonts w:ascii="Times New Roman"/>
                <w:sz w:val="15"/>
              </w:rPr>
              <w:t>4,431,912.05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 w:right="0"/>
              <w:jc w:val="center"/>
              <w:rPr>
                <w:rFonts w:ascii="Times New Roman" w:hAnsi="Times New Roman" w:cs="Times New Roman" w:eastAsia="Times New Roman" w:hint="default"/>
                <w:sz w:val="15"/>
                <w:szCs w:val="15"/>
              </w:rPr>
            </w:pPr>
            <w:r>
              <w:rPr>
                <w:rFonts w:ascii="Times New Roman"/>
                <w:sz w:val="15"/>
              </w:rPr>
              <w:t>16,418,491.64</w:t>
            </w:r>
          </w:p>
        </w:tc>
        <w:tc>
          <w:tcPr>
            <w:tcW w:w="6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pStyle w:val="BodyText"/>
        <w:spacing w:line="300" w:lineRule="auto" w:before="117"/>
        <w:ind w:right="1128" w:firstLine="360"/>
        <w:jc w:val="both"/>
      </w:pPr>
      <w:r>
        <w:rPr/>
        <w:t>（</w:t>
      </w:r>
      <w:r>
        <w:rPr>
          <w:rFonts w:ascii="Times New Roman" w:hAnsi="Times New Roman" w:cs="Times New Roman" w:eastAsia="Times New Roman" w:hint="default"/>
        </w:rPr>
        <w:t>1</w:t>
      </w:r>
      <w:r>
        <w:rPr/>
        <w:t>）本报告期联营公司版信通增资，增资完成后注册资本由人民币</w:t>
      </w:r>
      <w:r>
        <w:rPr>
          <w:spacing w:val="-51"/>
        </w:rPr>
        <w:t> </w:t>
      </w:r>
      <w:r>
        <w:rPr>
          <w:rFonts w:ascii="Times New Roman" w:hAnsi="Times New Roman" w:cs="Times New Roman" w:eastAsia="Times New Roman" w:hint="default"/>
        </w:rPr>
        <w:t>543.48</w:t>
      </w:r>
      <w:r>
        <w:rPr>
          <w:rFonts w:ascii="Times New Roman" w:hAnsi="Times New Roman" w:cs="Times New Roman" w:eastAsia="Times New Roman" w:hint="default"/>
          <w:spacing w:val="-14"/>
        </w:rPr>
        <w:t> </w:t>
      </w:r>
      <w:r>
        <w:rPr/>
        <w:t>万元增加至</w:t>
      </w:r>
      <w:r>
        <w:rPr>
          <w:spacing w:val="-54"/>
        </w:rPr>
        <w:t> </w:t>
      </w:r>
      <w:r>
        <w:rPr>
          <w:rFonts w:ascii="Times New Roman" w:hAnsi="Times New Roman" w:cs="Times New Roman" w:eastAsia="Times New Roman" w:hint="default"/>
        </w:rPr>
        <w:t>679.35</w:t>
      </w:r>
      <w:r>
        <w:rPr>
          <w:rFonts w:ascii="Times New Roman" w:hAnsi="Times New Roman" w:cs="Times New Roman" w:eastAsia="Times New Roman" w:hint="default"/>
          <w:spacing w:val="-13"/>
        </w:rPr>
        <w:t> </w:t>
      </w:r>
      <w:r>
        <w:rPr>
          <w:spacing w:val="-4"/>
        </w:rPr>
        <w:t>万元，股权结构为：北京</w:t>
      </w:r>
      <w:r>
        <w:rPr/>
        <w:t> 云门信安科技有限公司占比</w:t>
      </w:r>
      <w:r>
        <w:rPr>
          <w:spacing w:val="-43"/>
        </w:rPr>
        <w:t> </w:t>
      </w:r>
      <w:r>
        <w:rPr>
          <w:rFonts w:ascii="Times New Roman" w:hAnsi="Times New Roman" w:cs="Times New Roman" w:eastAsia="Times New Roman" w:hint="default"/>
        </w:rPr>
        <w:t>50.28%</w:t>
      </w:r>
      <w:r>
        <w:rPr/>
        <w:t>，北京数字认证股份有限公司占比</w:t>
      </w:r>
      <w:r>
        <w:rPr>
          <w:spacing w:val="-43"/>
        </w:rPr>
        <w:t> </w:t>
      </w:r>
      <w:r>
        <w:rPr>
          <w:rFonts w:ascii="Times New Roman" w:hAnsi="Times New Roman" w:cs="Times New Roman" w:eastAsia="Times New Roman" w:hint="default"/>
        </w:rPr>
        <w:t>37.54%</w:t>
      </w:r>
      <w:r>
        <w:rPr/>
        <w:t>，其他个人股东占比</w:t>
      </w:r>
      <w:r>
        <w:rPr>
          <w:spacing w:val="-43"/>
        </w:rPr>
        <w:t> </w:t>
      </w:r>
      <w:r>
        <w:rPr>
          <w:rFonts w:ascii="Times New Roman" w:hAnsi="Times New Roman" w:cs="Times New Roman" w:eastAsia="Times New Roman" w:hint="default"/>
        </w:rPr>
        <w:t>5.78%</w:t>
      </w:r>
      <w:r>
        <w:rPr/>
        <w:t>。增资完成后对版 信通持股比例由</w:t>
      </w:r>
      <w:r>
        <w:rPr>
          <w:spacing w:val="-45"/>
        </w:rPr>
        <w:t> </w:t>
      </w:r>
      <w:r>
        <w:rPr>
          <w:rFonts w:ascii="Times New Roman" w:hAnsi="Times New Roman" w:cs="Times New Roman" w:eastAsia="Times New Roman" w:hint="default"/>
        </w:rPr>
        <w:t>46.92%</w:t>
      </w:r>
      <w:r>
        <w:rPr/>
        <w:t>变更为</w:t>
      </w:r>
      <w:r>
        <w:rPr>
          <w:spacing w:val="-48"/>
        </w:rPr>
        <w:t> </w:t>
      </w:r>
      <w:r>
        <w:rPr>
          <w:rFonts w:ascii="Times New Roman" w:hAnsi="Times New Roman" w:cs="Times New Roman" w:eastAsia="Times New Roman" w:hint="default"/>
        </w:rPr>
        <w:t>37.54%</w:t>
      </w:r>
      <w:r>
        <w:rPr/>
        <w:t>，由于增资导致的其他权益变动金额为</w:t>
      </w:r>
      <w:r>
        <w:rPr>
          <w:spacing w:val="-46"/>
        </w:rPr>
        <w:t> </w:t>
      </w:r>
      <w:r>
        <w:rPr>
          <w:rFonts w:ascii="Times New Roman" w:hAnsi="Times New Roman" w:cs="Times New Roman" w:eastAsia="Times New Roman" w:hint="default"/>
        </w:rPr>
        <w:t>443.19</w:t>
      </w:r>
      <w:r>
        <w:rPr>
          <w:rFonts w:ascii="Times New Roman" w:hAnsi="Times New Roman" w:cs="Times New Roman" w:eastAsia="Times New Roman" w:hint="default"/>
          <w:spacing w:val="-9"/>
        </w:rPr>
        <w:t> </w:t>
      </w:r>
      <w:r>
        <w:rPr/>
        <w:t>万元。</w:t>
      </w:r>
    </w:p>
    <w:p>
      <w:pPr>
        <w:pStyle w:val="BodyText"/>
        <w:spacing w:line="300" w:lineRule="auto" w:before="53"/>
        <w:ind w:right="1129" w:firstLine="360"/>
        <w:jc w:val="both"/>
      </w:pPr>
      <w:r>
        <w:rPr/>
        <w:t>（</w:t>
      </w:r>
      <w:r>
        <w:rPr>
          <w:rFonts w:ascii="Times New Roman" w:hAnsi="Times New Roman" w:cs="Times New Roman" w:eastAsia="Times New Roman" w:hint="default"/>
        </w:rPr>
        <w:t>2</w:t>
      </w:r>
      <w:r>
        <w:rPr/>
        <w:t>）本报告期本公司出资</w:t>
      </w:r>
      <w:r>
        <w:rPr>
          <w:spacing w:val="-44"/>
        </w:rPr>
        <w:t> </w:t>
      </w:r>
      <w:r>
        <w:rPr>
          <w:rFonts w:ascii="Times New Roman" w:hAnsi="Times New Roman" w:cs="Times New Roman" w:eastAsia="Times New Roman" w:hint="default"/>
        </w:rPr>
        <w:t>300</w:t>
      </w:r>
      <w:r>
        <w:rPr>
          <w:rFonts w:ascii="Times New Roman" w:hAnsi="Times New Roman" w:cs="Times New Roman" w:eastAsia="Times New Roman" w:hint="default"/>
          <w:spacing w:val="-11"/>
        </w:rPr>
        <w:t> </w:t>
      </w:r>
      <w:r>
        <w:rPr/>
        <w:t>万元，收购中天信安</w:t>
      </w:r>
      <w:r>
        <w:rPr>
          <w:spacing w:val="-43"/>
        </w:rPr>
        <w:t> </w:t>
      </w:r>
      <w:r>
        <w:rPr>
          <w:rFonts w:ascii="Times New Roman" w:hAnsi="Times New Roman" w:cs="Times New Roman" w:eastAsia="Times New Roman" w:hint="default"/>
        </w:rPr>
        <w:t>40%</w:t>
      </w:r>
      <w:r>
        <w:rPr/>
        <w:t>股权，对中天信安具有重大影响，本公司对中天信安长期股权 投资采用权益法核算。</w:t>
      </w:r>
    </w:p>
    <w:p>
      <w:pPr>
        <w:spacing w:line="240" w:lineRule="auto" w:before="10"/>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21,147,473.93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16,311,060.43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21,147,473.93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16,311,060.43</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46,743,231.02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47,137,907.02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10,311,296.69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350,767.24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10,662,063.93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10,311,296.69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350,767.24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10,662,063.93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649,192.15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249,441.00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898,633.15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649,192.15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249,441.00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898,633.15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56,405,335.56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496,002.24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56,901,337.80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30,451,904.39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374,942.20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30,826,846.59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5,630,464.77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5,658,175.37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5,630,464.77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27,710.60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5,658,175.37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494,189.14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236,968.95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731,158.09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494,189.14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236,968.95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731,158.09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35,588,180.02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165,683.85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35,753,863.87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20,817,155.54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330,318.39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21,147,473.93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16,291,326.63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16,311,060.43</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left="513" w:right="982"/>
        <w:jc w:val="left"/>
      </w:pPr>
      <w:r>
        <w:rPr/>
        <w:t>其他说明</w:t>
      </w:r>
    </w:p>
    <w:p>
      <w:pPr>
        <w:pStyle w:val="BodyText"/>
        <w:spacing w:line="240" w:lineRule="auto" w:before="119"/>
        <w:ind w:left="513" w:right="982"/>
        <w:jc w:val="left"/>
      </w:pPr>
      <w:r>
        <w:rPr/>
        <w:t>（</w:t>
      </w:r>
      <w:r>
        <w:rPr>
          <w:rFonts w:ascii="Times New Roman" w:hAnsi="Times New Roman" w:cs="Times New Roman" w:eastAsia="Times New Roman" w:hint="default"/>
        </w:rPr>
        <w:t>1</w:t>
      </w:r>
      <w:r>
        <w:rPr/>
        <w:t>）期末不存在设定抵押、担保的固定资产；</w:t>
      </w:r>
    </w:p>
    <w:p>
      <w:pPr>
        <w:pStyle w:val="BodyText"/>
        <w:spacing w:line="240" w:lineRule="auto" w:before="101"/>
        <w:ind w:left="513" w:right="982"/>
        <w:jc w:val="left"/>
      </w:pPr>
      <w:r>
        <w:rPr/>
        <w:t>（</w:t>
      </w:r>
      <w:r>
        <w:rPr>
          <w:rFonts w:ascii="Times New Roman" w:hAnsi="Times New Roman" w:cs="Times New Roman" w:eastAsia="Times New Roman" w:hint="default"/>
        </w:rPr>
        <w:t>2</w:t>
      </w:r>
      <w:r>
        <w:rPr/>
        <w:t>）期末不存在暂时闲置的固定资产；</w:t>
      </w:r>
    </w:p>
    <w:p>
      <w:pPr>
        <w:pStyle w:val="BodyText"/>
        <w:spacing w:line="240" w:lineRule="auto" w:before="104"/>
        <w:ind w:left="513" w:right="982"/>
        <w:jc w:val="left"/>
      </w:pPr>
      <w:r>
        <w:rPr/>
        <w:t>（</w:t>
      </w:r>
      <w:r>
        <w:rPr>
          <w:rFonts w:ascii="Times New Roman" w:hAnsi="Times New Roman" w:cs="Times New Roman" w:eastAsia="Times New Roman" w:hint="default"/>
        </w:rPr>
        <w:t>3</w:t>
      </w:r>
      <w:r>
        <w:rPr/>
        <w:t>）期末不存在未办妥产权证书的固定资产。</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3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3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102"/>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7"/>
          <w:pgSz w:w="11910" w:h="16840"/>
          <w:pgMar w:footer="979" w:header="748" w:top="1060" w:bottom="1160" w:left="980" w:right="0"/>
          <w:pgNumType w:start="12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武汉研发基地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1111"/>
        <w:gridCol w:w="425"/>
        <w:gridCol w:w="853"/>
        <w:gridCol w:w="708"/>
        <w:gridCol w:w="583"/>
        <w:gridCol w:w="737"/>
        <w:gridCol w:w="737"/>
        <w:gridCol w:w="778"/>
        <w:gridCol w:w="694"/>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8" w:right="2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40" w:right="62"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8" w:right="103"/>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7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211" w:right="55" w:hanging="149"/>
              <w:jc w:val="left"/>
              <w:rPr>
                <w:rFonts w:ascii="宋体" w:hAnsi="宋体" w:cs="宋体" w:eastAsia="宋体" w:hint="default"/>
                <w:sz w:val="15"/>
                <w:szCs w:val="15"/>
              </w:rPr>
            </w:pPr>
            <w:r>
              <w:rPr>
                <w:rFonts w:ascii="宋体" w:hAnsi="宋体" w:cs="宋体" w:eastAsia="宋体" w:hint="default"/>
                <w:sz w:val="15"/>
                <w:szCs w:val="15"/>
              </w:rPr>
              <w:t>武汉研发</w:t>
            </w:r>
            <w:r>
              <w:rPr>
                <w:rFonts w:ascii="宋体" w:hAnsi="宋体" w:cs="宋体" w:eastAsia="宋体" w:hint="default"/>
                <w:w w:val="100"/>
                <w:sz w:val="15"/>
                <w:szCs w:val="15"/>
              </w:rPr>
              <w:t> </w:t>
            </w:r>
            <w:r>
              <w:rPr>
                <w:rFonts w:ascii="宋体" w:hAnsi="宋体" w:cs="宋体" w:eastAsia="宋体" w:hint="default"/>
                <w:sz w:val="15"/>
                <w:szCs w:val="15"/>
              </w:rPr>
              <w:t>基地</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283,018.87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283,018.87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6" w:right="0"/>
              <w:jc w:val="left"/>
              <w:rPr>
                <w:rFonts w:ascii="Times New Roman" w:hAnsi="Times New Roman" w:cs="Times New Roman" w:eastAsia="Times New Roman" w:hint="default"/>
                <w:sz w:val="15"/>
                <w:szCs w:val="15"/>
              </w:rPr>
            </w:pPr>
            <w:r>
              <w:rPr>
                <w:rFonts w:ascii="Times New Roman"/>
                <w:sz w:val="15"/>
              </w:rPr>
              <w:t>0.22%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0.22%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4"/>
              <w:jc w:val="center"/>
              <w:rPr>
                <w:rFonts w:ascii="宋体" w:hAnsi="宋体" w:cs="宋体" w:eastAsia="宋体" w:hint="default"/>
                <w:sz w:val="15"/>
                <w:szCs w:val="15"/>
              </w:rPr>
            </w:pPr>
            <w:r>
              <w:rPr>
                <w:rFonts w:ascii="宋体" w:hAnsi="宋体" w:cs="宋体" w:eastAsia="宋体" w:hint="default"/>
                <w:sz w:val="15"/>
                <w:szCs w:val="15"/>
              </w:rPr>
              <w:t>募股资金</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130,000,000.00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283,018.87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 w:right="0"/>
              <w:jc w:val="center"/>
              <w:rPr>
                <w:rFonts w:ascii="Times New Roman" w:hAnsi="Times New Roman" w:cs="Times New Roman" w:eastAsia="Times New Roman" w:hint="default"/>
                <w:sz w:val="15"/>
                <w:szCs w:val="15"/>
              </w:rPr>
            </w:pPr>
            <w:r>
              <w:rPr>
                <w:rFonts w:ascii="Times New Roman"/>
                <w:sz w:val="15"/>
              </w:rPr>
              <w:t>283,018.87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312" w:right="0"/>
              <w:jc w:val="left"/>
              <w:rPr>
                <w:rFonts w:ascii="Times New Roman" w:hAnsi="Times New Roman" w:cs="Times New Roman" w:eastAsia="Times New Roman" w:hint="default"/>
                <w:sz w:val="15"/>
                <w:szCs w:val="15"/>
              </w:rPr>
            </w:pPr>
            <w:r>
              <w:rPr>
                <w:rFonts w:ascii="Times New Roman"/>
                <w:sz w:val="15"/>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3"/>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460"/>
        <w:gridCol w:w="1460"/>
        <w:gridCol w:w="1459"/>
        <w:gridCol w:w="1460"/>
        <w:gridCol w:w="1459"/>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11,518,590.15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11,518,590.15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460"/>
        <w:gridCol w:w="1460"/>
        <w:gridCol w:w="1459"/>
        <w:gridCol w:w="1460"/>
        <w:gridCol w:w="1459"/>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1,455,354.72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6,239,354.72</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1,455,354.72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6,239,354.72</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12,973,944.87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17,757,944.87</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6,339,604.18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6,339,604.18</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7,973.33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1,502,232.75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1,510,206.08</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7,973.33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1,502,232.75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1,510,206.08</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7,973.33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7,841,836.93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7,849,810.26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4,776,026.67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5,132,107.94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9,908,134.61</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5,178,985.97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5,178,985.97</w:t>
            </w:r>
          </w:p>
        </w:tc>
      </w:tr>
    </w:tbl>
    <w:p>
      <w:pPr>
        <w:pStyle w:val="BodyText"/>
        <w:spacing w:line="240" w:lineRule="auto" w:before="49"/>
        <w:ind w:right="98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319,102.54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65,697.55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253,404.99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319,102.54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65,697.55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253,404.99</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62,774,540.96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9,416,181.14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46,744,649.90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7,011,697.48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3,178,021.54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476,703.23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1,134,362.33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170,154.35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7,319,782.40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1,097,967.36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86,836,375.07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13,025,456.26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82,336,657.40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12,350,498.61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尚未支付的工资费用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50,405,381.13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7,560,807.17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35,900,219.80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5,385,032.97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13,256,986.48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1,988,547.98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2,041,849.81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223,771,087.58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33,565,663.14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179,728,221.52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26,959,233.22</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33,565,663.14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26,959,233.22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104,393.47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104,643.47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104,393.47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104,393.47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13</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预付软件设备购置款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694,000.00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14</w:t>
      </w:r>
      <w:r>
        <w:rPr/>
        <w:t>、应付票据及应付账款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76,764,889.05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76,764,889.05</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2"/>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76,430,290.05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334,599.00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76,764,889.05</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15</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301,962,290.50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193,632,423.20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301,962,290.50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193,632,423.20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16</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755"/>
        <w:gridCol w:w="1755"/>
        <w:gridCol w:w="1755"/>
        <w:gridCol w:w="1757"/>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264,400,714.22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241,383,477.45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84,070,730.96</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20,506,822.62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18,672,708.02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1,834,114.60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284,907,536.84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260,056,185.47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85,904,845.56</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791"/>
        <w:gridCol w:w="1791"/>
        <w:gridCol w:w="1791"/>
        <w:gridCol w:w="1790"/>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48,144,619.79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227,542,554.20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203,627,392.88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72,059,781.11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3,223,085.87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3,223,085.87</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14,260,402.22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13,199,846.57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1,060,555.65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13,041,616.86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12,089,179.86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952,437.00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360,757.16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329,036.67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31,720.49</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858,028.20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781,630.04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76,398.16</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12,479,368.24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12,479,368.24</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12,908,874.40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6,895,303.69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8,853,783.89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10,950,394.20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264,400,714.22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241,383,477.45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84,070,730.96</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19,694,506.56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17,934,497.99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1,760,008.57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812,316.06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738,210.03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74,106.03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20,506,822.62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18,672,708.02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1,834,114.60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17</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12,119,366.23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19,631,915.85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11,778,022.39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13,140,929.10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757,983.36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958,022.84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1,019,880.06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353,989.91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723,060.71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25,512,026.50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35,473,808.56</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18</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8,235,995.87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5,379,440.97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8,235,995.87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5,379,440.97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4"/>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代扣代缴职工个人保险费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940,516.82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1,002,131.59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4,251,597.50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717,887.50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1,474,964.59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3,043,881.55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2,184,457.29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8,235,995.87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5,379,440.97</w:t>
            </w:r>
          </w:p>
        </w:tc>
      </w:tr>
    </w:tbl>
    <w:p>
      <w:pPr>
        <w:pStyle w:val="BodyText"/>
        <w:spacing w:line="240" w:lineRule="auto" w:before="49"/>
        <w:ind w:left="212"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left="212" w:right="0"/>
        <w:jc w:val="left"/>
      </w:pPr>
      <w:r>
        <w:rPr/>
        <w:t>其他说明</w:t>
      </w:r>
    </w:p>
    <w:p>
      <w:pPr>
        <w:pStyle w:val="BodyText"/>
        <w:spacing w:line="240" w:lineRule="auto" w:before="119"/>
        <w:ind w:left="573" w:right="0"/>
        <w:jc w:val="left"/>
      </w:pPr>
      <w:r>
        <w:rPr/>
        <w:t>期末，无账龄超过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年的重大其他应付款。</w:t>
      </w:r>
    </w:p>
    <w:p>
      <w:pPr>
        <w:spacing w:line="240" w:lineRule="auto" w:before="13"/>
        <w:rPr>
          <w:rFonts w:ascii="宋体" w:hAnsi="宋体" w:cs="宋体" w:eastAsia="宋体" w:hint="default"/>
          <w:sz w:val="25"/>
          <w:szCs w:val="25"/>
        </w:rPr>
      </w:pPr>
    </w:p>
    <w:p>
      <w:pPr>
        <w:pStyle w:val="Heading3"/>
        <w:spacing w:line="240" w:lineRule="auto"/>
        <w:ind w:left="212" w:right="0"/>
        <w:jc w:val="left"/>
        <w:rPr>
          <w:b w:val="0"/>
          <w:bCs w:val="0"/>
        </w:rPr>
      </w:pPr>
      <w:r>
        <w:rPr>
          <w:rFonts w:ascii="Times New Roman" w:hAnsi="Times New Roman" w:cs="Times New Roman" w:eastAsia="Times New Roman" w:hint="default"/>
        </w:rPr>
        <w:t>19</w:t>
      </w:r>
      <w:r>
        <w:rPr/>
        <w:t>、递延收益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994"/>
        <w:gridCol w:w="1558"/>
        <w:gridCol w:w="1561"/>
        <w:gridCol w:w="1560"/>
        <w:gridCol w:w="1560"/>
        <w:gridCol w:w="2336"/>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5,354,738.00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5,710,083.61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0"/>
              <w:jc w:val="left"/>
              <w:rPr>
                <w:rFonts w:ascii="宋体" w:hAnsi="宋体" w:cs="宋体" w:eastAsia="宋体" w:hint="default"/>
                <w:sz w:val="18"/>
                <w:szCs w:val="18"/>
              </w:rPr>
            </w:pPr>
            <w:r>
              <w:rPr>
                <w:rFonts w:ascii="宋体" w:hAnsi="宋体" w:cs="宋体" w:eastAsia="宋体" w:hint="default"/>
                <w:sz w:val="18"/>
                <w:szCs w:val="18"/>
              </w:rPr>
              <w:t>计入递延收益的政府补助详 见附注七、</w:t>
            </w:r>
            <w:r>
              <w:rPr>
                <w:rFonts w:ascii="Times New Roman" w:hAnsi="Times New Roman" w:cs="Times New Roman" w:eastAsia="Times New Roman" w:hint="default"/>
                <w:sz w:val="18"/>
                <w:szCs w:val="18"/>
              </w:rPr>
              <w:t>39</w:t>
            </w:r>
            <w:r>
              <w:rPr>
                <w:rFonts w:ascii="宋体" w:hAnsi="宋体" w:cs="宋体" w:eastAsia="宋体" w:hint="default"/>
                <w:sz w:val="18"/>
                <w:szCs w:val="18"/>
              </w:rPr>
              <w:t>、政府补助</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5,354,738.00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5,710,083.61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212" w:right="0"/>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27"/>
        <w:gridCol w:w="1136"/>
        <w:gridCol w:w="1133"/>
        <w:gridCol w:w="852"/>
        <w:gridCol w:w="1133"/>
        <w:gridCol w:w="852"/>
        <w:gridCol w:w="497"/>
        <w:gridCol w:w="1064"/>
        <w:gridCol w:w="1061"/>
      </w:tblGrid>
      <w:tr>
        <w:trPr>
          <w:trHeight w:val="102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60"/>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12" w:right="10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60"/>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64" w:right="60"/>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76" w:right="46"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高性能签名验签服务器产 业化中央补助资金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6,533,333.33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4,933,333.33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北京市电子认证服务试点 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北京市经济和信息化委员 会曙光服务器政府补助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亿级规模网络身份管理与 服务系统技术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444,686.91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480,488.00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418,651.48</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506,523.43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1"/>
              <w:jc w:val="left"/>
              <w:rPr>
                <w:rFonts w:ascii="宋体" w:hAnsi="宋体" w:cs="宋体" w:eastAsia="宋体" w:hint="default"/>
                <w:sz w:val="18"/>
                <w:szCs w:val="18"/>
              </w:rPr>
            </w:pPr>
            <w:r>
              <w:rPr>
                <w:rFonts w:ascii="宋体" w:hAnsi="宋体" w:cs="宋体" w:eastAsia="宋体" w:hint="default"/>
                <w:sz w:val="18"/>
                <w:szCs w:val="18"/>
              </w:rPr>
              <w:t>移动互联网密码服务技术 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2,422,547.57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1,313,050.00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1,005,448.70</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2,730,148.87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服务认证与证明技术项目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2,528,264.28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1,881,200.00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753,518.54</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3,655,945.74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299,064.89</w:t>
            </w:r>
          </w:p>
        </w:tc>
        <w:tc>
          <w:tcPr>
            <w:tcW w:w="85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1,380,935.11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left="21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212" w:right="0"/>
        <w:jc w:val="left"/>
        <w:rPr>
          <w:b w:val="0"/>
          <w:bCs w:val="0"/>
        </w:rPr>
      </w:pPr>
      <w:r>
        <w:rPr>
          <w:rFonts w:ascii="Times New Roman" w:hAnsi="Times New Roman" w:cs="Times New Roman" w:eastAsia="Times New Roman" w:hint="default"/>
        </w:rPr>
        <w:t>20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2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r>
    </w:tbl>
    <w:p>
      <w:pPr>
        <w:pStyle w:val="BodyText"/>
        <w:spacing w:line="240" w:lineRule="auto" w:before="49"/>
        <w:ind w:right="982"/>
        <w:jc w:val="left"/>
      </w:pPr>
      <w:r>
        <w:rPr/>
        <w:t>其他说明：</w:t>
      </w:r>
    </w:p>
    <w:p>
      <w:pPr>
        <w:pStyle w:val="BodyText"/>
        <w:spacing w:line="240" w:lineRule="auto" w:before="117"/>
        <w:ind w:left="0" w:right="112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t>日，本公司根据</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日通过的</w:t>
      </w:r>
      <w:r>
        <w:rPr>
          <w:spacing w:val="-49"/>
        </w:rPr>
        <w:t> </w:t>
      </w:r>
      <w:r>
        <w:rPr>
          <w:rFonts w:ascii="Times New Roman" w:hAnsi="Times New Roman" w:cs="Times New Roman" w:eastAsia="Times New Roman" w:hint="default"/>
        </w:rPr>
        <w:t>2017 </w:t>
      </w:r>
      <w:r>
        <w:rPr/>
        <w:t>年年度股东大会决议，以资本公积金向全体股东每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p>
    <w:p>
      <w:pPr>
        <w:pStyle w:val="BodyText"/>
        <w:spacing w:line="240" w:lineRule="auto" w:before="63"/>
        <w:ind w:right="982"/>
        <w:jc w:val="left"/>
      </w:pPr>
      <w:r>
        <w:rPr/>
        <w:t>转增</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股，转增后本公司股本总额为</w:t>
      </w:r>
      <w:r>
        <w:rPr>
          <w:spacing w:val="-46"/>
        </w:rPr>
        <w:t> </w:t>
      </w:r>
      <w:r>
        <w:rPr>
          <w:rFonts w:ascii="Times New Roman" w:hAnsi="Times New Roman" w:cs="Times New Roman" w:eastAsia="Times New Roman" w:hint="default"/>
        </w:rPr>
        <w:t>1,2000 </w:t>
      </w:r>
      <w:r>
        <w:rPr/>
        <w:t>万股。</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21</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242,254,231.31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202,254,231.31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4,431,912.05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4,431,912.05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242,254,231.31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4,431,912.05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206,686,143.36</w:t>
            </w:r>
          </w:p>
        </w:tc>
      </w:tr>
    </w:tbl>
    <w:p>
      <w:pPr>
        <w:pStyle w:val="BodyText"/>
        <w:spacing w:line="240" w:lineRule="auto" w:before="49"/>
        <w:ind w:right="982"/>
        <w:jc w:val="left"/>
      </w:pPr>
      <w:r>
        <w:rPr/>
        <w:t>其他说明，包括本期增减变动情况、变动原因说明：</w:t>
      </w:r>
    </w:p>
    <w:p>
      <w:pPr>
        <w:pStyle w:val="BodyText"/>
        <w:spacing w:line="240" w:lineRule="auto" w:before="119"/>
        <w:ind w:left="0" w:right="1128"/>
        <w:jc w:val="right"/>
      </w:pPr>
      <w:r>
        <w:rPr>
          <w:spacing w:val="-3"/>
        </w:rPr>
        <w:t>（</w:t>
      </w:r>
      <w:r>
        <w:rPr>
          <w:rFonts w:ascii="Times New Roman" w:hAnsi="Times New Roman" w:cs="Times New Roman" w:eastAsia="Times New Roman" w:hint="default"/>
          <w:spacing w:val="-3"/>
        </w:rPr>
        <w:t>1</w:t>
      </w:r>
      <w:r>
        <w:rPr>
          <w:spacing w:val="-3"/>
        </w:rPr>
        <w:t>）本公司以</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日为股权登记日，</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日为除权除息日，总股份</w:t>
      </w:r>
      <w:r>
        <w:rPr>
          <w:spacing w:val="-49"/>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spacing w:val="-3"/>
        </w:rPr>
        <w:t>万股为基数，以资本公</w:t>
      </w:r>
    </w:p>
    <w:p>
      <w:pPr>
        <w:pStyle w:val="BodyText"/>
        <w:spacing w:line="240" w:lineRule="auto" w:before="63"/>
        <w:ind w:right="982"/>
        <w:jc w:val="left"/>
      </w:pPr>
      <w:r>
        <w:rPr/>
        <w:t>积金向全体股东每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股，转股后股份总额增加至</w:t>
      </w:r>
      <w:r>
        <w:rPr>
          <w:spacing w:val="-45"/>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万股，股本溢价减少</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万元。</w:t>
      </w:r>
    </w:p>
    <w:p>
      <w:pPr>
        <w:pStyle w:val="BodyText"/>
        <w:spacing w:line="240" w:lineRule="auto" w:before="101"/>
        <w:ind w:left="513" w:right="982"/>
        <w:jc w:val="left"/>
      </w:pPr>
      <w:r>
        <w:rPr/>
        <w:t>（</w:t>
      </w:r>
      <w:r>
        <w:rPr>
          <w:rFonts w:ascii="Times New Roman" w:hAnsi="Times New Roman" w:cs="Times New Roman" w:eastAsia="Times New Roman" w:hint="default"/>
        </w:rPr>
        <w:t>2</w:t>
      </w:r>
      <w:r>
        <w:rPr/>
        <w:t>）联营公司版信通由于其他股东增资导致本公司相应增加其他资本公积</w:t>
      </w:r>
      <w:r>
        <w:rPr>
          <w:spacing w:val="-47"/>
        </w:rPr>
        <w:t> </w:t>
      </w:r>
      <w:r>
        <w:rPr>
          <w:rFonts w:ascii="Times New Roman" w:hAnsi="Times New Roman" w:cs="Times New Roman" w:eastAsia="Times New Roman" w:hint="default"/>
        </w:rPr>
        <w:t>4,431,912.05 </w:t>
      </w:r>
      <w:r>
        <w:rPr>
          <w:spacing w:val="-3"/>
        </w:rPr>
        <w:t>元。</w:t>
      </w:r>
      <w:r>
        <w:rPr/>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22</w:t>
      </w:r>
      <w:r>
        <w:rPr/>
        <w:t>、盈余公积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24,727,641.08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7,423,334.34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32,150,975.42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24,727,641.08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7,423,334.34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32,150,975.42</w:t>
            </w:r>
          </w:p>
        </w:tc>
      </w:tr>
    </w:tbl>
    <w:p>
      <w:pPr>
        <w:pStyle w:val="BodyText"/>
        <w:spacing w:line="362" w:lineRule="auto" w:before="49"/>
        <w:ind w:left="513" w:right="6254" w:hanging="361"/>
        <w:jc w:val="left"/>
      </w:pPr>
      <w:r>
        <w:rPr/>
        <w:t>盈余公积说明，包括本期增减变动情况、变动原因说明： 根据本公司的净利润提取</w:t>
      </w:r>
      <w:r>
        <w:rPr>
          <w:spacing w:val="-46"/>
        </w:rPr>
        <w:t> </w:t>
      </w:r>
      <w:r>
        <w:rPr>
          <w:rFonts w:ascii="Times New Roman" w:hAnsi="Times New Roman" w:cs="Times New Roman" w:eastAsia="Times New Roman" w:hint="default"/>
        </w:rPr>
        <w:t>10%</w:t>
      </w:r>
      <w:r>
        <w:rPr/>
        <w:t>的法定盈余公积金。</w:t>
      </w:r>
    </w:p>
    <w:p>
      <w:pPr>
        <w:spacing w:line="240" w:lineRule="auto" w:before="3"/>
        <w:rPr>
          <w:rFonts w:ascii="宋体" w:hAnsi="宋体" w:cs="宋体" w:eastAsia="宋体" w:hint="default"/>
          <w:sz w:val="18"/>
          <w:szCs w:val="18"/>
        </w:rPr>
      </w:pPr>
    </w:p>
    <w:p>
      <w:pPr>
        <w:pStyle w:val="Heading3"/>
        <w:spacing w:line="240" w:lineRule="auto"/>
        <w:ind w:right="982"/>
        <w:jc w:val="left"/>
        <w:rPr>
          <w:b w:val="0"/>
          <w:bCs w:val="0"/>
        </w:rPr>
      </w:pPr>
      <w:r>
        <w:rPr>
          <w:rFonts w:ascii="Times New Roman" w:hAnsi="Times New Roman" w:cs="Times New Roman" w:eastAsia="Times New Roman" w:hint="default"/>
        </w:rPr>
        <w:t>23</w:t>
      </w:r>
      <w:r>
        <w:rPr/>
        <w:t>、未分配利润</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198,447,802.62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143,828,203.88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198,447,802.62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143,828,203.88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84,245,509.94</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7,423,334.34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5,625,911.20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253,479,868.97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198,447,802.62</w:t>
            </w:r>
          </w:p>
        </w:tc>
      </w:tr>
    </w:tbl>
    <w:p>
      <w:pPr>
        <w:pStyle w:val="BodyText"/>
        <w:spacing w:line="240" w:lineRule="auto" w:before="49"/>
        <w:ind w:right="982"/>
        <w:jc w:val="left"/>
      </w:pPr>
      <w:r>
        <w:rPr/>
        <w:t>调整期初未分配利润明细：</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982"/>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982"/>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982"/>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982"/>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667,720,172.71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276,330,853.28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519,848,359.34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217,352,457.39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667,720,172.71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276,330,853.28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519,848,359.34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217,352,457.39</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25</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2,180,909.55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1,525,432.42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1,557,792.53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1,089,594.58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308,958.14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378,233.00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4,047,660.22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2,993,260.00</w:t>
            </w:r>
          </w:p>
        </w:tc>
      </w:tr>
    </w:tbl>
    <w:p>
      <w:pPr>
        <w:pStyle w:val="BodyText"/>
        <w:spacing w:line="240" w:lineRule="auto" w:before="49"/>
        <w:ind w:right="982"/>
        <w:jc w:val="left"/>
      </w:pPr>
      <w:r>
        <w:rPr/>
        <w:t>其他说明：</w:t>
      </w:r>
    </w:p>
    <w:p>
      <w:pPr>
        <w:pStyle w:val="BodyText"/>
        <w:spacing w:line="240" w:lineRule="auto" w:before="117"/>
        <w:ind w:left="513" w:right="982"/>
        <w:jc w:val="left"/>
      </w:pPr>
      <w:r>
        <w:rPr/>
        <w:t>各项税金及附加的计缴标准详见附注六、税项。</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26</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66,615,172.05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51,234,814.96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16,596,963.68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15,819,631.74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9,264,916.40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8,051,920.43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7,826,594.30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7,854,571.84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折旧及其它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2,315,497.03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610,418.61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102,619,143.46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83,571,357.58</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27</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76,651,702.89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58,565,206.41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20,068,350.91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19,876,510.73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2,009,755.94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1,261,606.72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会议及服务费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3,193,810.51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903,507.89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1,656,931.77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1,133,251.22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税费及残疾人保证金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2,434,077.68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2,032,169.12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883,607.78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686,258.53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359,584.38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2,175,287.88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107,257,821.86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86,633,798.50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28</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工资福利及社保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74,693,573.09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49,283,588.66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2,193,225.12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1,193,404.40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1,266,844.23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1,298,064.58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会议及服务费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2,474,670.23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382,864.65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2,214,141.85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1,369,809.39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200,184.84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147,944.26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915,850.92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7,788.70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83,958,490.28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53,683,464.64</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3,156,575.09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3,667,165.02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258,033.68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-2,804,615.10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-3,409,131.34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30</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16,030,141.06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12,440,939.94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16,030,141.06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12,440,939.94</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31</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10,942,724.24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10,332,337.30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3,415,716.67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14,176,124.24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13,748,053.97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2696"/>
        <w:gridCol w:w="2338"/>
      </w:tblGrid>
      <w:tr>
        <w:trPr>
          <w:trHeight w:val="39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-2,167,326.22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-552,634.19</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269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13,442,480.47</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6,638,942.92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4,471,616.70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15,865,879.85</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33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-21,846.96</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290"/>
        <w:gridCol w:w="2127"/>
        <w:gridCol w:w="2765"/>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5" w:right="0"/>
              <w:jc w:val="left"/>
              <w:rPr>
                <w:rFonts w:ascii="Times New Roman" w:hAnsi="Times New Roman" w:cs="Times New Roman" w:eastAsia="Times New Roman" w:hint="default"/>
                <w:sz w:val="18"/>
                <w:szCs w:val="18"/>
              </w:rPr>
            </w:pPr>
            <w:r>
              <w:rPr>
                <w:rFonts w:ascii="Times New Roman"/>
                <w:sz w:val="18"/>
              </w:rPr>
              <w:t>50,000.00</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290"/>
        <w:gridCol w:w="2127"/>
        <w:gridCol w:w="2765"/>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5" w:right="0"/>
              <w:jc w:val="left"/>
              <w:rPr>
                <w:rFonts w:ascii="Times New Roman" w:hAnsi="Times New Roman" w:cs="Times New Roman" w:eastAsia="Times New Roman" w:hint="default"/>
                <w:sz w:val="18"/>
                <w:szCs w:val="18"/>
              </w:rPr>
            </w:pPr>
            <w:r>
              <w:rPr>
                <w:rFonts w:ascii="Times New Roman"/>
                <w:sz w:val="18"/>
              </w:rPr>
              <w:t>50,000.00</w:t>
            </w:r>
          </w:p>
        </w:tc>
        <w:tc>
          <w:tcPr>
            <w:tcW w:w="27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19,063,900.68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19,012,975.11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-6,606,429.92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-6,001,328.74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12,457,470.76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13,011,646.37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98,912,871.45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14,836,930.72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-10,495.45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2,196,296.46</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26,160.87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权益法核算的合营企业和联营企业的损益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325,098.94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-4,916,520.78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12,457,470.76</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36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5,595,207.42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7,117,526.66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3,156,575.09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3,667,165.02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6,530,576.46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3,057,201.53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15,282,358.97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13,841,893.21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78,247,535.90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60,311,206.57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押金及项目保证金等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2,672,753.48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937,299.19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4,465,445.18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9,937,347.71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258,033.68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85,737,694.55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71,443,887.15</w:t>
            </w:r>
          </w:p>
        </w:tc>
      </w:tr>
    </w:tbl>
    <w:p>
      <w:pPr>
        <w:pStyle w:val="BodyText"/>
        <w:spacing w:line="240" w:lineRule="auto" w:before="49"/>
        <w:ind w:right="98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2"/>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2"/>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2"/>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982"/>
        <w:jc w:val="left"/>
      </w:pPr>
      <w:r>
        <w:rPr/>
        <w:t>支付的其他与筹资活动有关的现金说明：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2693"/>
        <w:gridCol w:w="2482"/>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86,455,400.69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83,112,653.12</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16,030,141.06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12,440,939.94</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5,658,175.37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5,356,142.68</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1,510,206.08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911,773.71</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65,697.55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13,551.07</w:t>
            </w:r>
          </w:p>
        </w:tc>
      </w:tr>
      <w:tr>
        <w:trPr>
          <w:trHeight w:val="715"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15,547.14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21,846.96</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-4,471,616.70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-15,865,879.85</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-6,606,429.92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-6,001,328.74</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-51,379,975.28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-29,899,883.68</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-43,971,134.09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-55,863,813.40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129,122,495.30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131,034,697.22</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-4,465,445.18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-9,937,347.71</w:t>
            </w:r>
          </w:p>
        </w:tc>
      </w:tr>
      <w:tr>
        <w:trPr>
          <w:trHeight w:val="406"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127,963,062.02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115,323,351.32</w:t>
            </w:r>
          </w:p>
        </w:tc>
      </w:tr>
      <w:tr>
        <w:trPr>
          <w:trHeight w:val="39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654,151,952.06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465,844,561.63</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465,844,561.63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477,542,904.34</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188,307,390.43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-11,698,342.71</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654,151,952.06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465,844,561.63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280,774.62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125,966.62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653,871,177.44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465,718,595.01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654,151,952.06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465,844,561.63</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38</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21,533,381.07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21,533,381.07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rFonts w:ascii="Times New Roman" w:hAnsi="Times New Roman" w:cs="Times New Roman" w:eastAsia="Times New Roman" w:hint="default"/>
        </w:rPr>
        <w:t>39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1560"/>
        <w:gridCol w:w="1982"/>
        <w:gridCol w:w="2057"/>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8,225,571.21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8,225,571.21</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高性能签名验签服务器产业化中央补助资金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北京市电子认证服务试点项目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北京市经济和信息化委员会曙光服务器政府补助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亿级规模网络身份管理与服务系统技术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1,601,600.00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418,651.48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71"/>
        <w:gridCol w:w="1560"/>
        <w:gridCol w:w="1982"/>
        <w:gridCol w:w="2057"/>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服务认证与证明技术项目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753,518.54</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移动互联网密码服务技术项目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3,755,050.00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1,005,448.70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1,920,469.42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539,534.31</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36,171,690.63</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14,176,124.24</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8"/>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98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982"/>
        <w:jc w:val="left"/>
      </w:pPr>
      <w:r>
        <w:rPr/>
        <w:t>其他说明：</w:t>
      </w:r>
    </w:p>
    <w:p>
      <w:pPr>
        <w:pStyle w:val="BodyText"/>
        <w:spacing w:line="240" w:lineRule="auto" w:before="117"/>
        <w:ind w:left="513" w:right="982"/>
        <w:jc w:val="left"/>
      </w:pPr>
      <w:r>
        <w:rPr/>
        <w:t>本公司报告期内未发生非同一控制下企业合并。</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5"/>
        <w:ind w:right="6074"/>
        <w:jc w:val="left"/>
      </w:pPr>
      <w:r>
        <w:rPr/>
        <w:t>合并成本公允价值的确定方法、或有对价及其变动的说明： 大额商誉形成的主要原因：</w:t>
      </w:r>
    </w:p>
    <w:p>
      <w:pPr>
        <w:pStyle w:val="BodyText"/>
        <w:spacing w:line="240" w:lineRule="auto" w:before="27"/>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49"/>
        <w:ind w:right="7531"/>
        <w:jc w:val="both"/>
      </w:pPr>
      <w:r>
        <w:rPr/>
        <w:t>可辨认资产、负债公允价值的确定方法： 企业合并中承担的被购买方的或有负债： 其他说明：</w:t>
      </w:r>
    </w:p>
    <w:p>
      <w:pPr>
        <w:spacing w:after="0" w:line="360"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是否存在通过多次交易分步实现企业合并且在报告期内取得控制权的交易</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982"/>
        <w:jc w:val="left"/>
      </w:pPr>
      <w:r>
        <w:rPr/>
        <w:t>其他说明：</w:t>
      </w:r>
    </w:p>
    <w:p>
      <w:pPr>
        <w:pStyle w:val="BodyText"/>
        <w:spacing w:line="240" w:lineRule="auto" w:before="117"/>
        <w:ind w:left="513" w:right="982"/>
        <w:jc w:val="left"/>
      </w:pPr>
      <w:r>
        <w:rPr/>
        <w:t>本公司报告期内未发生同一控制下企业合并。</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e0ffff"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e0ffff"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8594"/>
        <w:jc w:val="left"/>
      </w:pPr>
      <w:r>
        <w:rPr/>
        <w:t>或有对价及其变动的说明： 其他说明：</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825"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15pt;height:41.3pt;mso-position-horizontal-relative:char;mso-position-vertical-relative:line" coordorigin="0,0" coordsize="9583,826">
            <v:group style="position:absolute;left:3169;top:17;width:24;height:392" coordorigin="3169,17" coordsize="24,392">
              <v:shape style="position:absolute;left:3169;top:17;width:24;height:392" coordorigin="3169,17" coordsize="24,392" path="m3169,408l3193,408,3193,17,3169,17,3169,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3136;height:392" coordorigin="34,17" coordsize="3136,392">
              <v:shape style="position:absolute;left:34;top:17;width:3136;height:392" coordorigin="34,17" coordsize="3136,392" path="m34,408l3169,408,3169,17,34,17,34,408xe" filled="true" fillcolor="#d2d2d2" stroked="false">
                <v:path arrowok="t"/>
                <v:fill type="solid"/>
              </v:shape>
            </v:group>
            <v:group style="position:absolute;left:3203;top:17;width:22;height:392" coordorigin="3203,17" coordsize="22,392">
              <v:shape style="position:absolute;left:3203;top:17;width:22;height:392" coordorigin="3203,17" coordsize="22,392" path="m3203,408l3224,408,3224,17,3203,17,3203,408xe" filled="true" fillcolor="#e0ffff" stroked="false">
                <v:path arrowok="t"/>
                <v:fill type="solid"/>
              </v:shape>
            </v:group>
            <v:group style="position:absolute;left:9549;top:17;width:24;height:392" coordorigin="9549,17" coordsize="24,392">
              <v:shape style="position:absolute;left:9549;top:17;width:24;height:392" coordorigin="9549,17" coordsize="24,392" path="m9549,408l9573,408,9573,17,9549,17,9549,408xe" filled="true" fillcolor="#e0ffff" stroked="false">
                <v:path arrowok="t"/>
                <v:fill type="solid"/>
              </v:shape>
            </v:group>
            <v:group style="position:absolute;left:3224;top:17;width:6325;height:392" coordorigin="3224,17" coordsize="6325,392">
              <v:shape style="position:absolute;left:3224;top:17;width:6325;height:392" coordorigin="3224,17" coordsize="6325,392" path="m3224,408l9549,408,9549,17,3224,17,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3169;top:418;width:24;height:392" coordorigin="3169,418" coordsize="24,392">
              <v:shape style="position:absolute;left:3169;top:418;width:24;height:392" coordorigin="3169,418" coordsize="24,392" path="m3169,809l3193,809,3193,418,3169,418,3169,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6359;top:418;width:24;height:392" coordorigin="6359,418" coordsize="24,392">
              <v:shape style="position:absolute;left:6359;top:418;width:24;height:392" coordorigin="6359,418" coordsize="24,392" path="m6359,809l6383,809,6383,418,6359,418,6359,809xe" filled="true" fillcolor="#d2d2d2" stroked="false">
                <v:path arrowok="t"/>
                <v:fill type="solid"/>
              </v:shape>
            </v:group>
            <v:group style="position:absolute;left:3203;top:418;width:22;height:392" coordorigin="3203,418" coordsize="22,392">
              <v:shape style="position:absolute;left:3203;top:418;width:22;height:392" coordorigin="3203,418" coordsize="22,392" path="m3203,809l3224,809,3224,418,3203,418,3203,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3;top:418;width:22;height:392" coordorigin="6393,418" coordsize="22,392">
              <v:shape style="position:absolute;left:6393;top:418;width:22;height:392" coordorigin="6393,418" coordsize="22,392" path="m6393,809l6414,809,6414,418,6393,418,6393,809xe" filled="true" fillcolor="#d2d2d2" stroked="false">
                <v:path arrowok="t"/>
                <v:fill type="solid"/>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4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4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4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1;height:2" coordorigin="10,816" coordsize="3181,2">
              <v:shape style="position:absolute;left:10;top:816;width:3181;height:2" coordorigin="10,816" coordsize="3181,0" path="m10,816l3191,816e" filled="false" stroked="true" strokeweight=".47998pt" strokecolor="#000000">
                <v:path arrowok="t"/>
              </v:shape>
            </v:group>
            <v:group style="position:absolute;left:3195;top:5;width:2;height:816" coordorigin="3195,5" coordsize="2,816">
              <v:shape style="position:absolute;left:3195;top:5;width:2;height:816" coordorigin="3195,5" coordsize="0,816" path="m3195,5l3195,821e" filled="false" stroked="true" strokeweight=".48pt" strokecolor="#000000">
                <v:path arrowok="t"/>
              </v:shape>
            </v:group>
            <v:group style="position:absolute;left:3200;top:816;width:3181;height:2" coordorigin="3200,816" coordsize="3181,2">
              <v:shape style="position:absolute;left:3200;top:816;width:3181;height:2" coordorigin="3200,816" coordsize="3181,0" path="m3200,816l6381,816e" filled="false" stroked="true" strokeweight=".47998pt" strokecolor="#000000">
                <v:path arrowok="t"/>
              </v:shape>
            </v:group>
            <v:group style="position:absolute;left:6385;top:408;width:2;height:413" coordorigin="6385,408" coordsize="2,413">
              <v:shape style="position:absolute;left:6385;top:408;width:2;height:413" coordorigin="6385,408" coordsize="0,413" path="m6385,408l6385,821e" filled="false" stroked="true" strokeweight=".48001pt" strokecolor="#000000">
                <v:path arrowok="t"/>
              </v:shape>
            </v:group>
            <v:group style="position:absolute;left:6390;top:816;width:3183;height:2" coordorigin="6390,816" coordsize="3183,2">
              <v:shape style="position:absolute;left:6390;top:816;width:3183;height:2" coordorigin="6390,816" coordsize="3183,0" path="m6390,816l9573,816e" filled="false" stroked="true" strokeweight=".47998pt" strokecolor="#000000">
                <v:path arrowok="t"/>
              </v:shape>
            </v:group>
            <v:group style="position:absolute;left:9578;top:5;width:2;height:816" coordorigin="9578,5" coordsize="2,816">
              <v:shape style="position:absolute;left:9578;top:5;width:2;height:816" coordorigin="9578,5" coordsize="0,816" path="m9578,5l9578,821e" filled="false" stroked="true" strokeweight=".47998pt" strokecolor="#000000">
                <v:path arrowok="t"/>
              </v:shape>
              <v:shape style="position:absolute;left:3195;top:413;width:3190;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60" w:lineRule="auto" w:before="44"/>
        <w:ind w:right="7514"/>
        <w:jc w:val="left"/>
      </w:pPr>
      <w:r>
        <w:rPr/>
        <w:t>企业合并中承担的被合并方的或有负债： 其他说明：</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60"/>
        <w:ind w:left="513" w:right="982"/>
        <w:jc w:val="left"/>
      </w:pPr>
      <w:r>
        <w:rPr/>
        <w:t>本公司报告期内未发生反向购买。</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115" w:hanging="361"/>
        <w:jc w:val="left"/>
      </w:pPr>
      <w:r>
        <w:rPr/>
        <w:t>说明其他原因导致的合并范围变动（如，新设子公司、清算子公司等）及其相关情况： 数字医信为本报告期新设立的全资子公司，根据第三届董事会第五次会议决议，本公司以自有资金出资人民币</w:t>
      </w:r>
      <w:r>
        <w:rPr>
          <w:spacing w:val="-6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2"/>
        </w:rPr>
        <w:t> </w:t>
      </w:r>
      <w:r>
        <w:rPr/>
        <w:t>万</w:t>
      </w:r>
    </w:p>
    <w:p>
      <w:pPr>
        <w:pStyle w:val="BodyText"/>
        <w:spacing w:line="212" w:lineRule="exact"/>
        <w:ind w:right="982"/>
        <w:jc w:val="left"/>
      </w:pPr>
      <w:r>
        <w:rPr/>
        <w:t>元设立全资子公司数字医信，数字医信已于</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月完成工商登记手续，并取得北京市工商行政管理局海淀分局核发的</w:t>
      </w:r>
    </w:p>
    <w:p>
      <w:pPr>
        <w:pStyle w:val="BodyText"/>
        <w:spacing w:line="240" w:lineRule="auto" w:before="63"/>
        <w:ind w:right="982"/>
        <w:jc w:val="left"/>
      </w:pPr>
      <w:r>
        <w:rPr/>
        <w:t>营业执照。</w:t>
      </w:r>
    </w:p>
    <w:p>
      <w:pPr>
        <w:pStyle w:val="BodyText"/>
        <w:spacing w:line="240" w:lineRule="auto" w:before="115"/>
        <w:ind w:left="513" w:right="982"/>
        <w:jc w:val="left"/>
      </w:pPr>
      <w:r>
        <w:rPr>
          <w:spacing w:val="-2"/>
        </w:rPr>
        <w:t>数字认证（武汉）为本报告期新设立的全资子公司，根据第三届董事会第六次会议及</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年第一次临时股东大会决议，</w:t>
      </w:r>
    </w:p>
    <w:p>
      <w:pPr>
        <w:pStyle w:val="BodyText"/>
        <w:spacing w:line="300" w:lineRule="auto" w:before="63"/>
        <w:ind w:right="1123"/>
        <w:jc w:val="left"/>
      </w:pPr>
      <w:r>
        <w:rPr/>
        <w:t>本公司以上市募集资金出资人民币</w:t>
      </w:r>
      <w:r>
        <w:rPr>
          <w:spacing w:val="-29"/>
        </w:rPr>
        <w:t> </w:t>
      </w:r>
      <w:r>
        <w:rPr>
          <w:rFonts w:ascii="Times New Roman" w:hAnsi="Times New Roman" w:cs="Times New Roman" w:eastAsia="Times New Roman" w:hint="default"/>
        </w:rPr>
        <w:t>2,000 </w:t>
      </w:r>
      <w:r>
        <w:rPr/>
        <w:t>万元设立全资子公司数字认证（武汉），数字认证（武汉）已于</w:t>
      </w:r>
      <w:r>
        <w:rPr>
          <w:spacing w:val="-2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32"/>
        </w:rPr>
        <w:t> </w:t>
      </w:r>
      <w:r>
        <w:rPr>
          <w:rFonts w:ascii="Times New Roman" w:hAnsi="Times New Roman" w:cs="Times New Roman" w:eastAsia="Times New Roman" w:hint="default"/>
        </w:rPr>
        <w:t>4 </w:t>
      </w:r>
      <w:r>
        <w:rPr/>
        <w:t>月完成 工商登记手续，并取得武汉临空港经济技术开发区（东西湖区）行政审批局核发的营业执照。</w:t>
      </w:r>
    </w:p>
    <w:p>
      <w:pPr>
        <w:spacing w:line="240" w:lineRule="auto" w:before="10"/>
        <w:rPr>
          <w:rFonts w:ascii="宋体" w:hAnsi="宋体" w:cs="宋体" w:eastAsia="宋体" w:hint="default"/>
          <w:sz w:val="23"/>
          <w:szCs w:val="23"/>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98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92"/>
        <w:gridCol w:w="989"/>
        <w:gridCol w:w="1136"/>
        <w:gridCol w:w="2835"/>
        <w:gridCol w:w="1135"/>
        <w:gridCol w:w="992"/>
        <w:gridCol w:w="924"/>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181" w:type="dxa"/>
            <w:gridSpan w:val="2"/>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283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安信天行</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北京市</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系统集成及软件开发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c>
          <w:tcPr>
            <w:tcW w:w="192" w:type="dxa"/>
            <w:tcBorders>
              <w:top w:val="single" w:sz="4" w:space="0" w:color="000000"/>
              <w:left w:val="single" w:sz="13" w:space="0" w:color="FFFFFF"/>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113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湖北省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信息安全及软件服务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数字医信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北京市</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医疗卫生领域信息安全及软件服务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49"/>
        <w:ind w:right="2834"/>
        <w:jc w:val="left"/>
      </w:pPr>
      <w:r>
        <w:rPr/>
        <w:pict>
          <v:shape style="position:absolute;margin-left:92.279999pt;margin-top:-40.228294pt;width:91.85pt;height:19.7pt;mso-position-horizontal-relative:page;mso-position-vertical-relative:paragraph;z-index:-772000" type="#_x0000_t202" filled="false" stroked="false">
            <v:textbox inset="0,0,0,0">
              <w:txbxContent>
                <w:p>
                  <w:pPr>
                    <w:pStyle w:val="BodyText"/>
                    <w:spacing w:line="240" w:lineRule="auto" w:before="49"/>
                    <w:ind w:left="0" w:right="0"/>
                    <w:jc w:val="left"/>
                  </w:pPr>
                  <w:r>
                    <w:rPr/>
                    <w:t>（武汉）</w:t>
                  </w:r>
                </w:p>
              </w:txbxContent>
            </v:textbox>
            <w10:wrap type="none"/>
          </v:shape>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7"/>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362" w:lineRule="auto" w:before="44"/>
        <w:ind w:right="6434"/>
        <w:jc w:val="left"/>
      </w:pPr>
      <w:r>
        <w:rPr/>
        <w:t>子公司少数股东的持股比例不同于表决权比例的说明： 本公司报告期内无重要的非全资子公司。</w:t>
      </w:r>
    </w:p>
    <w:p>
      <w:pPr>
        <w:pStyle w:val="BodyText"/>
        <w:spacing w:line="240" w:lineRule="auto" w:before="23"/>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5;width:24;height:395" coordorigin="4763,15" coordsize="24,395">
              <v:shape style="position:absolute;left:4763;top:15;width:24;height:395" coordorigin="4763,15" coordsize="24,395" path="m4763,409l4787,409,4787,15,4763,15,4763,409xe" filled="true" fillcolor="#d2d2d2" stroked="false">
                <v:path arrowok="t"/>
                <v:fill type="solid"/>
              </v:shape>
            </v:group>
            <v:group style="position:absolute;left:12;top:15;width:22;height:395" coordorigin="12,15" coordsize="22,395">
              <v:shape style="position:absolute;left:12;top:15;width:22;height:395" coordorigin="12,15" coordsize="22,395" path="m12,409l34,409,34,15,12,15,12,409xe" filled="true" fillcolor="#d2d2d2" stroked="false">
                <v:path arrowok="t"/>
                <v:fill type="solid"/>
              </v:shape>
            </v:group>
            <v:group style="position:absolute;left:34;top:15;width:4729;height:395" coordorigin="34,15" coordsize="4729,395">
              <v:shape style="position:absolute;left:34;top:15;width:4729;height:395" coordorigin="34,15" coordsize="4729,395" path="m34,409l4763,409,4763,15,34,15,34,409xe" filled="true" fillcolor="#d2d2d2" stroked="false">
                <v:path arrowok="t"/>
                <v:fill type="solid"/>
              </v:shape>
            </v:group>
            <v:group style="position:absolute;left:4796;top:15;width:22;height:395" coordorigin="4796,15" coordsize="22,395">
              <v:shape style="position:absolute;left:4796;top:15;width:22;height:395" coordorigin="4796,15" coordsize="22,395" path="m4796,409l4818,409,4818,15,4796,15,4796,409xe" filled="true" fillcolor="#e0ffff" stroked="false">
                <v:path arrowok="t"/>
                <v:fill type="solid"/>
              </v:shape>
            </v:group>
            <v:group style="position:absolute;left:9547;top:15;width:24;height:395" coordorigin="9547,15" coordsize="24,395">
              <v:shape style="position:absolute;left:9547;top:15;width:24;height:395" coordorigin="9547,15" coordsize="24,395" path="m9547,409l9571,409,9571,15,9547,15,9547,409xe" filled="true" fillcolor="#e0ffff" stroked="false">
                <v:path arrowok="t"/>
                <v:fill type="solid"/>
              </v:shape>
            </v:group>
            <v:group style="position:absolute;left:4818;top:15;width:4729;height:395" coordorigin="4818,15" coordsize="4729,395">
              <v:shape style="position:absolute;left:4818;top:15;width:4729;height:395" coordorigin="4818,15" coordsize="4729,395" path="m4818,409l9547,409,9547,15,4818,15,4818,409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2"/>
        <w:jc w:val="left"/>
      </w:pPr>
      <w:r>
        <w:rPr/>
        <w:t>在合营企业或联营企业的持股比例不同于表决权比例的说明：</w:t>
      </w:r>
    </w:p>
    <w:p>
      <w:pPr>
        <w:pStyle w:val="BodyText"/>
        <w:spacing w:line="240" w:lineRule="auto" w:before="119"/>
        <w:ind w:right="982"/>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16,418,491.64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11,153,905.81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-2,167,326.22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-552,634.19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-2,167,326.22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-552,634.19</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0"/>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8"/>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本集团的主要金融工具包括货币资金、应收账款、应收票据、其他应收款、其他流动资产、应付账款和其他应付款。本</w:t>
      </w:r>
      <w:r>
        <w:rPr/>
        <w:t> </w:t>
      </w:r>
      <w:r>
        <w:rPr>
          <w:spacing w:val="-2"/>
        </w:rPr>
        <w:t>集团各项金融工具的详细情况已于相关附注内披露。与这些金融工具有关的风险，以及本集团为降低这些风险所采取的风险</w:t>
      </w:r>
      <w:r>
        <w:rPr>
          <w:spacing w:val="-64"/>
        </w:rPr>
        <w:t> </w:t>
      </w:r>
      <w:r>
        <w:rPr>
          <w:spacing w:val="-64"/>
        </w:rPr>
      </w:r>
      <w:r>
        <w:rPr/>
        <w:t>管理政策如下所述。本集团管理层对这些风险敞口进行管理和监控以确保将上述风险控制在限定的范围之内。</w:t>
      </w:r>
    </w:p>
    <w:p>
      <w:pPr>
        <w:pStyle w:val="BodyText"/>
        <w:spacing w:line="432" w:lineRule="exact" w:before="3"/>
        <w:ind w:left="513" w:right="982"/>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316" w:lineRule="auto" w:before="15"/>
        <w:ind w:right="1130"/>
        <w:jc w:val="both"/>
      </w:pPr>
      <w:r>
        <w:rPr>
          <w:spacing w:val="-2"/>
        </w:rPr>
        <w:t>于该风险管理目标，本集团已制定风险管理政策以辨别和分析本集团所面临的风险，设定适当的风险可接受水平并设计相应</w:t>
      </w:r>
      <w:r>
        <w:rPr>
          <w:spacing w:val="-64"/>
        </w:rPr>
        <w:t> </w:t>
      </w:r>
      <w:r>
        <w:rPr>
          <w:spacing w:val="-64"/>
        </w:rPr>
      </w:r>
      <w:r>
        <w:rPr>
          <w:spacing w:val="-2"/>
        </w:rPr>
        <w:t>的内部控制程序，以监控本集团的风险水平。本集团会定期审阅这些风险管理政策及有关内部控制系统，以适应市场情况或</w:t>
      </w:r>
      <w:r>
        <w:rPr>
          <w:spacing w:val="-63"/>
        </w:rPr>
        <w:t> </w:t>
      </w:r>
      <w:r>
        <w:rPr>
          <w:spacing w:val="-63"/>
        </w:rPr>
      </w:r>
      <w:r>
        <w:rPr/>
        <w:t>本集团经营活动的改变。本集团的内部审计部门也定期或随机检查内部控制系统的执行是否符合风险管理政策。</w:t>
      </w:r>
    </w:p>
    <w:p>
      <w:pPr>
        <w:pStyle w:val="BodyText"/>
        <w:spacing w:line="300" w:lineRule="auto" w:before="59"/>
        <w:ind w:right="1133" w:firstLine="360"/>
        <w:jc w:val="both"/>
      </w:pPr>
      <w:r>
        <w:rPr/>
        <w:t>本集团的金融工具导致的主要风险是信用风险、流动性风险、市场风险（包括利率风险、汇率风险和商品价格风险</w:t>
      </w:r>
      <w:r>
        <w:rPr>
          <w:rFonts w:ascii="Times New Roman" w:hAnsi="Times New Roman" w:cs="Times New Roman" w:eastAsia="Times New Roman" w:hint="default"/>
        </w:rPr>
        <w:t>/</w:t>
      </w:r>
      <w:r>
        <w:rPr/>
        <w:t>权 益工具价格风险）。</w:t>
      </w:r>
    </w:p>
    <w:p>
      <w:pPr>
        <w:pStyle w:val="BodyText"/>
        <w:spacing w:line="316" w:lineRule="auto" w:before="73"/>
        <w:ind w:right="1125" w:firstLine="360"/>
        <w:jc w:val="both"/>
      </w:pPr>
      <w:r>
        <w:rPr/>
        <w:t>董事会负责规划并建立本集团的风险管理架构，指定本集团的风险管理政策和相关指引并监督风险管理措施的执行情</w:t>
      </w:r>
      <w:r>
        <w:rPr>
          <w:spacing w:val="2"/>
        </w:rPr>
        <w:t> </w:t>
      </w:r>
      <w:r>
        <w:rPr>
          <w:spacing w:val="-2"/>
        </w:rPr>
        <w:t>况。本集团已制定风险管理政策以识别和分析本集团所面临的风险，这些风险管理政策对特定风险进行了明确规定，涵盖了</w:t>
      </w:r>
      <w:r>
        <w:rPr>
          <w:spacing w:val="-63"/>
        </w:rPr>
        <w:t> </w:t>
      </w:r>
      <w:r>
        <w:rPr>
          <w:spacing w:val="-63"/>
        </w:rPr>
      </w:r>
      <w:r>
        <w:rPr>
          <w:spacing w:val="-2"/>
        </w:rPr>
        <w:t>信用风险、流动性风险和市场风险管理等诸多方面。本集团定期评估市场环境及本集团经营活动的变化以决定是否对风险管</w:t>
      </w:r>
      <w:r>
        <w:rPr>
          <w:spacing w:val="-64"/>
        </w:rPr>
        <w:t> </w:t>
      </w:r>
      <w:r>
        <w:rPr>
          <w:spacing w:val="-64"/>
        </w:rPr>
      </w:r>
      <w:r>
        <w:rPr>
          <w:spacing w:val="-2"/>
        </w:rPr>
        <w:t>理政策及系统进行更新。本集团的风险管理由风险管理委员会按照董事会批准的政策开展。风险管理委员会通过与本集团其</w:t>
      </w:r>
      <w:r>
        <w:rPr>
          <w:spacing w:val="-64"/>
        </w:rPr>
        <w:t> </w:t>
      </w:r>
      <w:r>
        <w:rPr>
          <w:spacing w:val="-64"/>
        </w:rPr>
      </w:r>
      <w:r>
        <w:rPr>
          <w:spacing w:val="-2"/>
        </w:rPr>
        <w:t>他业务部门的紧密合作来识别、评价和规避相关风险。本集团内部审计部门就风险管理控制及程序进行定期的审核，并将审</w:t>
      </w:r>
      <w:r>
        <w:rPr>
          <w:spacing w:val="-65"/>
        </w:rPr>
        <w:t> </w:t>
      </w:r>
      <w:r>
        <w:rPr>
          <w:spacing w:val="-65"/>
        </w:rPr>
      </w:r>
      <w:r>
        <w:rPr/>
        <w:t>核结果上报本集团的审计委员会。</w:t>
      </w:r>
    </w:p>
    <w:p>
      <w:pPr>
        <w:pStyle w:val="BodyText"/>
        <w:spacing w:line="316" w:lineRule="auto" w:before="57"/>
        <w:ind w:right="1132" w:firstLine="360"/>
        <w:jc w:val="both"/>
      </w:pPr>
      <w:r>
        <w:rPr>
          <w:spacing w:val="-2"/>
        </w:rPr>
        <w:t>本集团通过适当的多样化投资及业务组合来分散金融工具风险，并通过制定相应的风险管理政策减少集中于任何单一行</w:t>
      </w:r>
      <w:r>
        <w:rPr/>
        <w:t> 业、特定地区或特定交易对手方的风险。</w:t>
      </w:r>
    </w:p>
    <w:p>
      <w:pPr>
        <w:pStyle w:val="BodyText"/>
        <w:spacing w:line="240" w:lineRule="auto" w:before="139"/>
        <w:ind w:left="513" w:right="982"/>
        <w:jc w:val="left"/>
      </w:pPr>
      <w:r>
        <w:rPr/>
        <w:t>（</w:t>
      </w:r>
      <w:r>
        <w:rPr>
          <w:rFonts w:ascii="Times New Roman" w:hAnsi="Times New Roman" w:cs="Times New Roman" w:eastAsia="Times New Roman" w:hint="default"/>
        </w:rPr>
        <w:t>1</w:t>
      </w:r>
      <w:r>
        <w:rPr/>
        <w:t>）信用风险</w:t>
      </w:r>
    </w:p>
    <w:p>
      <w:pPr>
        <w:spacing w:line="240" w:lineRule="auto" w:before="0"/>
        <w:rPr>
          <w:rFonts w:ascii="宋体" w:hAnsi="宋体" w:cs="宋体" w:eastAsia="宋体" w:hint="default"/>
          <w:sz w:val="14"/>
          <w:szCs w:val="14"/>
        </w:rPr>
      </w:pPr>
    </w:p>
    <w:p>
      <w:pPr>
        <w:pStyle w:val="BodyText"/>
        <w:spacing w:line="360" w:lineRule="auto"/>
        <w:ind w:left="513" w:right="3553"/>
        <w:jc w:val="left"/>
      </w:pPr>
      <w:r>
        <w:rPr/>
        <w:t>信用风险，是指交易对手方未能履行合同义务而导致本集团产生财务损失的风险。 本集团对信用风险按组合分类进行管理。信用风险主要产生于银行存款和应收款项等。</w:t>
      </w:r>
    </w:p>
    <w:p>
      <w:pPr>
        <w:spacing w:after="0" w:line="36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2" w:firstLine="360"/>
        <w:jc w:val="left"/>
      </w:pPr>
      <w:r>
        <w:rPr>
          <w:spacing w:val="-2"/>
        </w:rPr>
        <w:t>本集团银行存款主要存放于主要存放于声誉良好并拥有较高信用评级的金融机构，本集团预期银行存款不存在重大的信</w:t>
      </w:r>
      <w:r>
        <w:rPr/>
        <w:t> 用风险。</w:t>
      </w:r>
    </w:p>
    <w:p>
      <w:pPr>
        <w:pStyle w:val="BodyText"/>
        <w:spacing w:line="316" w:lineRule="auto" w:before="59"/>
        <w:ind w:right="982" w:firstLine="360"/>
        <w:jc w:val="left"/>
      </w:pPr>
      <w:r>
        <w:rPr>
          <w:spacing w:val="-2"/>
        </w:rPr>
        <w:t>对于应收款项，本集团设定相关政策以控制信用风险敞口，主要采取控制信用期和信用额度，不定期对债务人进行信用</w:t>
      </w:r>
      <w:r>
        <w:rPr/>
        <w:t> 风险评估，必要时采取催收货款、缩短信用期或取消信用期等方式，以确保本集团的整体信用风险在可控的范围内。</w:t>
      </w:r>
    </w:p>
    <w:p>
      <w:pPr>
        <w:pStyle w:val="BodyText"/>
        <w:spacing w:line="316" w:lineRule="auto" w:before="57"/>
        <w:ind w:right="982" w:firstLine="360"/>
        <w:jc w:val="left"/>
      </w:pPr>
      <w:r>
        <w:rPr>
          <w:spacing w:val="-2"/>
        </w:rPr>
        <w:t>本集团所承受的最大信用风险敞口为资产负债表中每项金融资产的账面金额。本集团没有提供任何其他可能令本集团承</w:t>
      </w:r>
      <w:r>
        <w:rPr/>
        <w:t> 受信用风险的担保。</w:t>
      </w:r>
    </w:p>
    <w:p>
      <w:pPr>
        <w:pStyle w:val="BodyText"/>
        <w:spacing w:line="300" w:lineRule="auto" w:before="59"/>
        <w:ind w:right="1117" w:firstLine="360"/>
        <w:jc w:val="left"/>
      </w:pPr>
      <w:r>
        <w:rPr/>
        <w:t>本集团应收账款中，欠款金额前五大客户的应收账款占本集团应收账款总额的</w:t>
      </w:r>
      <w:r>
        <w:rPr>
          <w:spacing w:val="-53"/>
        </w:rPr>
        <w:t> </w:t>
      </w:r>
      <w:r>
        <w:rPr>
          <w:rFonts w:ascii="Times New Roman" w:hAnsi="Times New Roman" w:cs="Times New Roman" w:eastAsia="Times New Roman" w:hint="default"/>
        </w:rPr>
        <w:t>16.65%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12.93%</w:t>
      </w:r>
      <w:r>
        <w:rPr/>
        <w:t>）；本集团其 他应收款中，欠款金额前五大公司的其他应收款占本集团其他应收款总额的</w:t>
      </w:r>
      <w:r>
        <w:rPr>
          <w:spacing w:val="-46"/>
        </w:rPr>
        <w:t> </w:t>
      </w:r>
      <w:r>
        <w:rPr>
          <w:rFonts w:ascii="Times New Roman" w:hAnsi="Times New Roman" w:cs="Times New Roman" w:eastAsia="Times New Roman" w:hint="default"/>
        </w:rPr>
        <w:t>29.88</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35.32%</w:t>
      </w:r>
      <w:r>
        <w:rPr/>
        <w:t>）。</w:t>
      </w:r>
    </w:p>
    <w:p>
      <w:pPr>
        <w:pStyle w:val="BodyText"/>
        <w:spacing w:line="240" w:lineRule="auto" w:before="133"/>
        <w:ind w:left="513" w:right="982"/>
        <w:jc w:val="left"/>
      </w:pPr>
      <w:r>
        <w:rPr/>
        <w:t>（</w:t>
      </w:r>
      <w:r>
        <w:rPr>
          <w:rFonts w:ascii="Times New Roman" w:hAnsi="Times New Roman" w:cs="Times New Roman" w:eastAsia="Times New Roman" w:hint="default"/>
        </w:rPr>
        <w:t>2</w:t>
      </w:r>
      <w:r>
        <w:rPr/>
        <w:t>）流动性风险</w:t>
      </w:r>
    </w:p>
    <w:p>
      <w:pPr>
        <w:spacing w:line="240" w:lineRule="auto" w:before="0"/>
        <w:rPr>
          <w:rFonts w:ascii="宋体" w:hAnsi="宋体" w:cs="宋体" w:eastAsia="宋体" w:hint="default"/>
          <w:sz w:val="14"/>
          <w:szCs w:val="14"/>
        </w:rPr>
      </w:pPr>
    </w:p>
    <w:p>
      <w:pPr>
        <w:pStyle w:val="BodyText"/>
        <w:spacing w:line="360" w:lineRule="auto"/>
        <w:ind w:left="513" w:right="982"/>
        <w:jc w:val="left"/>
      </w:pPr>
      <w:r>
        <w:rPr/>
        <w:t>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222" w:lineRule="exact"/>
        <w:ind w:right="982"/>
        <w:jc w:val="left"/>
      </w:pPr>
      <w:r>
        <w:rPr/>
        <w:t>金流量波动的影响。</w:t>
      </w:r>
    </w:p>
    <w:p>
      <w:pPr>
        <w:pStyle w:val="BodyText"/>
        <w:spacing w:line="316" w:lineRule="auto" w:before="115"/>
        <w:ind w:right="982" w:firstLine="360"/>
        <w:jc w:val="left"/>
      </w:pPr>
      <w:r>
        <w:rPr>
          <w:spacing w:val="-2"/>
        </w:rPr>
        <w:t>管理层根据目前的资产负债状况，以及预计的未来经营活动现金流入和流出，认为在正常经营情况下，未来一段时期内</w:t>
      </w:r>
      <w:r>
        <w:rPr/>
        <w:t> 流动性风险是可控的。</w:t>
      </w:r>
    </w:p>
    <w:p>
      <w:pPr>
        <w:pStyle w:val="BodyText"/>
        <w:spacing w:line="432" w:lineRule="exact" w:before="3"/>
        <w:ind w:left="513" w:right="982"/>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金融工具的市场风险，是指金融工具的公允价值或未来现金流量因市场价格变动而发生波动的风险，包括利率风险、汇</w:t>
      </w:r>
    </w:p>
    <w:p>
      <w:pPr>
        <w:pStyle w:val="BodyText"/>
        <w:spacing w:line="439" w:lineRule="auto" w:before="15"/>
        <w:ind w:left="513" w:right="8774" w:hanging="361"/>
        <w:jc w:val="left"/>
      </w:pPr>
      <w:r>
        <w:rPr/>
        <w:t>率风险和其他价格风险。 利率风险</w:t>
      </w:r>
    </w:p>
    <w:p>
      <w:pPr>
        <w:pStyle w:val="BodyText"/>
        <w:spacing w:line="316" w:lineRule="auto" w:before="47"/>
        <w:ind w:right="982" w:firstLine="360"/>
        <w:jc w:val="left"/>
      </w:pPr>
      <w:r>
        <w:rPr>
          <w:spacing w:val="-2"/>
        </w:rPr>
        <w:t>利率风险，是指金融工具的公允价值或未来现金流量因市场利率变动而发生波动的风险。利率风险可源于已确认的计息</w:t>
      </w:r>
      <w:r>
        <w:rPr/>
        <w:t> 金融工具和未确认的金融工具（如某些贷款承诺）。</w:t>
      </w:r>
    </w:p>
    <w:p>
      <w:pPr>
        <w:pStyle w:val="BodyText"/>
        <w:spacing w:line="360" w:lineRule="auto" w:before="59"/>
        <w:ind w:left="513" w:right="5353"/>
        <w:jc w:val="left"/>
      </w:pPr>
      <w:r>
        <w:rPr/>
        <w:t>本集团报告期内无带息债务，利率变动风险对本集团影响很小。 本集团持有的计息金融工具如下：</w:t>
      </w:r>
    </w:p>
    <w:tbl>
      <w:tblPr>
        <w:tblW w:w="0" w:type="auto"/>
        <w:jc w:val="left"/>
        <w:tblInd w:w="138" w:type="dxa"/>
        <w:tblLayout w:type="fixed"/>
        <w:tblCellMar>
          <w:top w:w="0" w:type="dxa"/>
          <w:left w:w="0" w:type="dxa"/>
          <w:bottom w:w="0" w:type="dxa"/>
          <w:right w:w="0" w:type="dxa"/>
        </w:tblCellMar>
        <w:tblLook w:val="01E0"/>
      </w:tblPr>
      <w:tblGrid>
        <w:gridCol w:w="3385"/>
        <w:gridCol w:w="3473"/>
        <w:gridCol w:w="2797"/>
      </w:tblGrid>
      <w:tr>
        <w:trPr>
          <w:trHeight w:val="427" w:hRule="exact"/>
        </w:trPr>
        <w:tc>
          <w:tcPr>
            <w:tcW w:w="33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33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7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42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7"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75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19" w:hRule="exact"/>
        </w:trPr>
        <w:tc>
          <w:tcPr>
            <w:tcW w:w="338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473" w:type="dxa"/>
            <w:tcBorders>
              <w:top w:val="single" w:sz="6" w:space="0" w:color="000000"/>
              <w:left w:val="nil" w:sz="6" w:space="0" w:color="auto"/>
              <w:bottom w:val="nil" w:sz="6" w:space="0" w:color="auto"/>
              <w:right w:val="nil" w:sz="6" w:space="0" w:color="auto"/>
            </w:tcBorders>
          </w:tcPr>
          <w:p>
            <w:pPr/>
          </w:p>
        </w:tc>
        <w:tc>
          <w:tcPr>
            <w:tcW w:w="2797" w:type="dxa"/>
            <w:tcBorders>
              <w:top w:val="single" w:sz="6" w:space="0" w:color="000000"/>
              <w:left w:val="nil" w:sz="6" w:space="0" w:color="auto"/>
              <w:bottom w:val="nil" w:sz="6" w:space="0" w:color="auto"/>
              <w:right w:val="nil" w:sz="6" w:space="0" w:color="auto"/>
            </w:tcBorders>
          </w:tcPr>
          <w:p>
            <w:pPr/>
          </w:p>
        </w:tc>
      </w:tr>
      <w:tr>
        <w:trPr>
          <w:trHeight w:val="417"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54"/>
              <w:jc w:val="right"/>
              <w:rPr>
                <w:rFonts w:ascii="Times New Roman" w:hAnsi="Times New Roman" w:cs="Times New Roman" w:eastAsia="Times New Roman" w:hint="default"/>
                <w:sz w:val="18"/>
                <w:szCs w:val="18"/>
              </w:rPr>
            </w:pPr>
            <w:r>
              <w:rPr>
                <w:rFonts w:ascii="Times New Roman"/>
                <w:spacing w:val="-1"/>
                <w:sz w:val="18"/>
              </w:rPr>
              <w:t>675,404,558.51</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pacing w:val="-1"/>
                <w:sz w:val="18"/>
              </w:rPr>
              <w:t>482,786,530.90</w:t>
            </w:r>
          </w:p>
        </w:tc>
      </w:tr>
      <w:tr>
        <w:trPr>
          <w:trHeight w:val="415" w:hRule="exact"/>
        </w:trPr>
        <w:tc>
          <w:tcPr>
            <w:tcW w:w="338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47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754"/>
              <w:jc w:val="right"/>
              <w:rPr>
                <w:rFonts w:ascii="Times New Roman" w:hAnsi="Times New Roman" w:cs="Times New Roman" w:eastAsia="Times New Roman" w:hint="default"/>
                <w:sz w:val="18"/>
                <w:szCs w:val="18"/>
              </w:rPr>
            </w:pPr>
            <w:r>
              <w:rPr>
                <w:rFonts w:ascii="Times New Roman"/>
                <w:spacing w:val="-1"/>
                <w:sz w:val="18"/>
              </w:rPr>
              <w:t>675,404,558.51</w:t>
            </w:r>
          </w:p>
        </w:tc>
        <w:tc>
          <w:tcPr>
            <w:tcW w:w="2797"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5"/>
              <w:jc w:val="right"/>
              <w:rPr>
                <w:rFonts w:ascii="Times New Roman" w:hAnsi="Times New Roman" w:cs="Times New Roman" w:eastAsia="Times New Roman" w:hint="default"/>
                <w:sz w:val="18"/>
                <w:szCs w:val="18"/>
              </w:rPr>
            </w:pPr>
            <w:r>
              <w:rPr>
                <w:rFonts w:ascii="Times New Roman"/>
                <w:spacing w:val="-1"/>
                <w:sz w:val="18"/>
              </w:rPr>
              <w:t>482,786,530.90</w:t>
            </w:r>
          </w:p>
        </w:tc>
      </w:tr>
    </w:tbl>
    <w:p>
      <w:pPr>
        <w:spacing w:line="240" w:lineRule="auto" w:before="9"/>
        <w:rPr>
          <w:rFonts w:ascii="宋体" w:hAnsi="宋体" w:cs="宋体" w:eastAsia="宋体" w:hint="default"/>
          <w:sz w:val="7"/>
          <w:szCs w:val="7"/>
        </w:rPr>
      </w:pPr>
    </w:p>
    <w:p>
      <w:pPr>
        <w:pStyle w:val="BodyText"/>
        <w:spacing w:line="240" w:lineRule="auto" w:before="44"/>
        <w:ind w:left="513" w:right="982"/>
        <w:jc w:val="left"/>
      </w:pPr>
      <w:r>
        <w:rPr/>
        <w:t>汇率风险</w:t>
      </w:r>
    </w:p>
    <w:p>
      <w:pPr>
        <w:spacing w:line="240" w:lineRule="auto" w:before="0"/>
        <w:rPr>
          <w:rFonts w:ascii="宋体" w:hAnsi="宋体" w:cs="宋体" w:eastAsia="宋体" w:hint="default"/>
          <w:sz w:val="15"/>
          <w:szCs w:val="15"/>
        </w:rPr>
      </w:pPr>
    </w:p>
    <w:p>
      <w:pPr>
        <w:pStyle w:val="BodyText"/>
        <w:spacing w:line="316" w:lineRule="auto"/>
        <w:ind w:right="982" w:firstLine="360"/>
        <w:jc w:val="left"/>
      </w:pPr>
      <w:r>
        <w:rPr>
          <w:spacing w:val="-2"/>
        </w:rPr>
        <w:t>汇率风险，是指金融工具的公允价值或未来现金流量因外汇汇率变动而发生波动的风险。汇率风险可源于以记账本位币</w:t>
      </w:r>
      <w:r>
        <w:rPr/>
        <w:t> 之外的外币进行计价的金融工具。</w:t>
      </w:r>
    </w:p>
    <w:p>
      <w:pPr>
        <w:pStyle w:val="BodyText"/>
        <w:spacing w:line="240" w:lineRule="auto" w:before="57"/>
        <w:ind w:left="513" w:right="982"/>
        <w:jc w:val="left"/>
      </w:pPr>
      <w:r>
        <w:rPr/>
        <w:t>本集团的主要经营位于中国境内，主要业务以人民币结算。因此，本集团所承担的外汇变动市场风险不重大。</w:t>
      </w:r>
    </w:p>
    <w:p>
      <w:pPr>
        <w:pStyle w:val="BodyText"/>
        <w:spacing w:line="420" w:lineRule="atLeast" w:before="25"/>
        <w:ind w:left="513" w:right="982"/>
        <w:jc w:val="left"/>
      </w:pP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w:t>
      </w:r>
    </w:p>
    <w:p>
      <w:pPr>
        <w:pStyle w:val="BodyText"/>
        <w:spacing w:line="360" w:lineRule="auto" w:before="76"/>
        <w:ind w:left="513" w:right="982" w:hanging="361"/>
        <w:jc w:val="left"/>
      </w:pPr>
      <w:r>
        <w:rPr/>
        <w:t>持最佳的资本结构以降低资本成本。 </w:t>
      </w:r>
      <w:r>
        <w:rPr>
          <w:spacing w:val="-2"/>
        </w:rPr>
        <w:t>为了维持或调整资本结构，本集团可能会调整支付给股东的股利金额、向股东返还资本、发行新股或出售资产以减低债</w:t>
      </w:r>
    </w:p>
    <w:p>
      <w:pPr>
        <w:pStyle w:val="BodyText"/>
        <w:spacing w:line="222" w:lineRule="exact"/>
        <w:ind w:right="982"/>
        <w:jc w:val="left"/>
      </w:pPr>
      <w:r>
        <w:rPr/>
        <w:t>务。</w:t>
      </w:r>
    </w:p>
    <w:p>
      <w:pPr>
        <w:pStyle w:val="BodyText"/>
        <w:spacing w:line="240" w:lineRule="auto" w:before="117"/>
        <w:ind w:left="513" w:right="982"/>
        <w:jc w:val="left"/>
      </w:pPr>
      <w:r>
        <w:rPr/>
        <w:t>本集团以资产负债率（即总负债除以总资产）为基础对资本结构进行监控。于</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日，本集团的资产负债</w:t>
      </w:r>
    </w:p>
    <w:p>
      <w:pPr>
        <w:pStyle w:val="BodyText"/>
        <w:spacing w:line="240" w:lineRule="auto" w:before="63"/>
        <w:ind w:right="982"/>
        <w:jc w:val="left"/>
      </w:pPr>
      <w:r>
        <w:rPr/>
        <w:t>率为</w:t>
      </w:r>
      <w:r>
        <w:rPr>
          <w:spacing w:val="-45"/>
        </w:rPr>
        <w:t> </w:t>
      </w:r>
      <w:r>
        <w:rPr>
          <w:rFonts w:ascii="Times New Roman" w:hAnsi="Times New Roman" w:cs="Times New Roman" w:eastAsia="Times New Roman" w:hint="default"/>
        </w:rPr>
        <w:t>45.59</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41.44%</w:t>
      </w:r>
      <w:r>
        <w:rPr/>
        <w:t>）。</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1985"/>
        <w:gridCol w:w="1985"/>
        <w:gridCol w:w="1985"/>
        <w:gridCol w:w="1349"/>
      </w:tblGrid>
      <w:tr>
        <w:trPr>
          <w:trHeight w:val="401" w:hRule="exact"/>
        </w:trPr>
        <w:tc>
          <w:tcPr>
            <w:tcW w:w="2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3"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第一层次</w:t>
      </w:r>
      <w:r>
        <w:rPr>
          <w:spacing w:val="-1"/>
        </w:rPr>
        <w:t>：</w:t>
      </w:r>
      <w:r>
        <w:rPr/>
        <w:t>相同资产或负债在活跃市场中的报价（未经调整的</w:t>
      </w:r>
      <w:r>
        <w:rPr>
          <w:spacing w:val="-92"/>
        </w:rPr>
        <w:t>）</w:t>
      </w:r>
      <w:r>
        <w:rPr/>
        <w:t>。</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982"/>
        <w:jc w:val="left"/>
      </w:pPr>
      <w:r>
        <w:rPr/>
        <w:t>第二层次：直接（即价格）或间接（即从价格推导出）地使用除第一层次中的资产或负债的市场报价之外的可观察输入</w:t>
      </w:r>
    </w:p>
    <w:p>
      <w:pPr>
        <w:pStyle w:val="BodyText"/>
        <w:spacing w:line="240" w:lineRule="auto" w:before="76"/>
        <w:ind w:right="982"/>
        <w:jc w:val="left"/>
      </w:pPr>
      <w:r>
        <w:rPr/>
        <w:t>值。</w:t>
      </w:r>
    </w:p>
    <w:p>
      <w:pPr>
        <w:spacing w:line="240" w:lineRule="auto" w:before="6"/>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t>第三层次</w:t>
      </w:r>
      <w:r>
        <w:rPr>
          <w:spacing w:val="-1"/>
        </w:rPr>
        <w:t>：</w:t>
      </w:r>
      <w:r>
        <w:rPr/>
        <w:t>资产或负债使用了任何非基于可观察市场数据的输入值（不可观察输入值</w:t>
      </w:r>
      <w:r>
        <w:rPr>
          <w:spacing w:val="-92"/>
        </w:rPr>
        <w:t>）</w:t>
      </w:r>
      <w:r>
        <w:rPr/>
        <w:t>。</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本集团以摊余成本计量的金融资产和金融负债主要包括：货币资金、应收票据、应收账款、其他应收款、应付账款、其</w:t>
      </w:r>
      <w:r>
        <w:rPr/>
        <w:t> 他应付款等。上述不以公允价值计量的金融资产和金融负债的账面价值与公允价值相差很小。</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1949"/>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3" w:right="72" w:hanging="92"/>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国有资产经营</w:t>
            </w:r>
            <w:r>
              <w:rPr>
                <w:rFonts w:ascii="宋体" w:hAnsi="宋体" w:cs="宋体" w:eastAsia="宋体" w:hint="default"/>
                <w:spacing w:val="-89"/>
                <w:sz w:val="18"/>
                <w:szCs w:val="18"/>
              </w:rPr>
              <w:t>、</w:t>
            </w: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26.24%</w:t>
            </w:r>
          </w:p>
        </w:tc>
      </w:tr>
    </w:tbl>
    <w:p>
      <w:pPr>
        <w:pStyle w:val="BodyText"/>
        <w:spacing w:line="360" w:lineRule="auto" w:before="49"/>
        <w:ind w:left="513" w:right="982" w:hanging="361"/>
        <w:jc w:val="left"/>
      </w:pPr>
      <w:r>
        <w:rPr/>
        <w:t>本企业的母公司情况的说明 </w:t>
      </w:r>
      <w:r>
        <w:rPr>
          <w:spacing w:val="-2"/>
        </w:rPr>
        <w:t>北京国资公司是经北京市人民政府授权的、专门从事资本运营的大型国有投资控股公司。其前身是北京市国有资产经营</w:t>
      </w:r>
    </w:p>
    <w:p>
      <w:pPr>
        <w:pStyle w:val="BodyText"/>
        <w:spacing w:line="236" w:lineRule="exact"/>
        <w:ind w:right="982"/>
        <w:jc w:val="left"/>
      </w:pPr>
      <w:r>
        <w:rPr/>
        <w:t>公司，成立于</w:t>
      </w:r>
      <w:r>
        <w:rPr>
          <w:spacing w:val="-44"/>
        </w:rPr>
        <w:t> </w:t>
      </w:r>
      <w:r>
        <w:rPr>
          <w:rFonts w:ascii="Times New Roman" w:hAnsi="Times New Roman" w:cs="Times New Roman" w:eastAsia="Times New Roman" w:hint="default"/>
        </w:rPr>
        <w:t>1992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月。北京国资公司作为北京市重大项目建设的承担者和经营者，重点关注产业集中在金融与现代服</w:t>
      </w:r>
    </w:p>
    <w:p>
      <w:pPr>
        <w:pStyle w:val="BodyText"/>
        <w:spacing w:line="316" w:lineRule="auto" w:before="63"/>
        <w:ind w:right="982"/>
        <w:jc w:val="left"/>
      </w:pPr>
      <w:r>
        <w:rPr>
          <w:spacing w:val="-2"/>
        </w:rPr>
        <w:t>务业，科技、现代制造业与新能源，城市功能区开发环保与社会事业，文化创意、旅游休闲与体育四大领域。其与本公司主</w:t>
      </w:r>
      <w:r>
        <w:rPr>
          <w:spacing w:val="-68"/>
        </w:rPr>
        <w:t> </w:t>
      </w:r>
      <w:r>
        <w:rPr>
          <w:spacing w:val="-68"/>
        </w:rPr>
      </w:r>
      <w:r>
        <w:rPr/>
        <w:t>营业务不存在关系。</w:t>
      </w:r>
    </w:p>
    <w:p>
      <w:pPr>
        <w:pStyle w:val="BodyText"/>
        <w:spacing w:line="357" w:lineRule="auto" w:before="59"/>
        <w:ind w:right="5894" w:firstLine="360"/>
        <w:jc w:val="left"/>
      </w:pPr>
      <w:r>
        <w:rPr/>
        <w:t>本企业最终控制方是北京市国有资产经营有限责任公司。 其他说明：</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t>本企业子公司的情况详见附注九、</w:t>
      </w:r>
      <w:r>
        <w:rPr>
          <w:rFonts w:ascii="Times New Roman" w:hAnsi="Times New Roman" w:cs="Times New Roman" w:eastAsia="Times New Roman" w:hint="default"/>
        </w:rPr>
        <w:t>1</w:t>
      </w:r>
      <w:r>
        <w:rPr/>
        <w:t>。</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pStyle w:val="BodyText"/>
        <w:spacing w:line="240" w:lineRule="auto" w:before="68"/>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北京首融在线金融信息服务有限公司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国家体育场有限责任公司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北京权益通支付科技有限公司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北京国融工发投资管理有限公司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北京金融资产交易所有限公司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699"/>
        <w:gridCol w:w="994"/>
        <w:gridCol w:w="1135"/>
        <w:gridCol w:w="992"/>
        <w:gridCol w:w="1346"/>
      </w:tblGrid>
      <w:tr>
        <w:trPr>
          <w:trHeight w:val="71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1" w:right="110" w:hanging="269"/>
              <w:jc w:val="left"/>
              <w:rPr>
                <w:rFonts w:ascii="宋体" w:hAnsi="宋体" w:cs="宋体" w:eastAsia="宋体" w:hint="default"/>
                <w:sz w:val="18"/>
                <w:szCs w:val="18"/>
              </w:rPr>
            </w:pPr>
            <w:r>
              <w:rPr>
                <w:rFonts w:ascii="宋体" w:hAnsi="宋体" w:cs="宋体" w:eastAsia="宋体" w:hint="default"/>
                <w:sz w:val="18"/>
                <w:szCs w:val="18"/>
              </w:rPr>
              <w:t>获批的交易 额度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9"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458,188.82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1,630,126.67</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北京首信网创网络信息服务有限责任公司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247,018.87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320,603.76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159,628.88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111,068.37</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443,396.22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国家体育场有限责任公司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283,018.86</w:t>
            </w:r>
          </w:p>
        </w:tc>
      </w:tr>
    </w:tbl>
    <w:p>
      <w:pPr>
        <w:pStyle w:val="BodyText"/>
        <w:spacing w:line="240" w:lineRule="auto" w:before="49"/>
        <w:ind w:right="98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693"/>
        <w:gridCol w:w="1843"/>
        <w:gridCol w:w="1913"/>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4,650,194.53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2,997,676.80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495,331.82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138,505.08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34,558.95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448,402.03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33,962.26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7,471.69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573,734.08</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北京首融在线金融信息服务有限公司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1,458.96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101,367.56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北京权益通支付科技有限公司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4,716.98</w:t>
            </w:r>
          </w:p>
        </w:tc>
      </w:tr>
    </w:tbl>
    <w:p>
      <w:pPr>
        <w:pStyle w:val="BodyText"/>
        <w:spacing w:line="240" w:lineRule="auto" w:before="49"/>
        <w:ind w:right="982"/>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0"/>
        </w:sectPr>
      </w:pPr>
    </w:p>
    <w:p>
      <w:pPr>
        <w:pStyle w:val="BodyText"/>
        <w:spacing w:line="340" w:lineRule="auto" w:before="50"/>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982"/>
        <w:jc w:val="left"/>
      </w:pPr>
      <w:r>
        <w:rPr/>
        <w:t>关联管理</w:t>
      </w:r>
      <w:r>
        <w:rPr>
          <w:rFonts w:ascii="Times New Roman" w:hAnsi="Times New Roman" w:cs="Times New Roman" w:eastAsia="Times New Roman" w:hint="default"/>
        </w:rPr>
        <w:t>/</w:t>
      </w:r>
      <w:r>
        <w:rPr/>
        <w:t>出包情况说明</w:t>
      </w:r>
    </w:p>
    <w:p>
      <w:pPr>
        <w:spacing w:line="240" w:lineRule="auto" w:before="3"/>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982"/>
        <w:jc w:val="left"/>
      </w:pPr>
      <w:r>
        <w:rPr/>
        <w:t>本公司作为承租方：</w:t>
      </w:r>
    </w:p>
    <w:p>
      <w:pPr>
        <w:pStyle w:val="BodyText"/>
        <w:spacing w:line="240" w:lineRule="auto" w:before="119"/>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982"/>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982"/>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982"/>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8,540,950.00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5,675,765.52</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2977"/>
        <w:gridCol w:w="1419"/>
        <w:gridCol w:w="1416"/>
        <w:gridCol w:w="1419"/>
        <w:gridCol w:w="1344"/>
      </w:tblGrid>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29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2,965,330.00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367,773.00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2,853,900.00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271,635.00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247,500.00</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1,070,480.00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213,374.00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193,450.00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247,750.00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12,387.50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3365"/>
        <w:gridCol w:w="2393"/>
        <w:gridCol w:w="2393"/>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3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47,131.00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161,310.00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322,800.00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11,308,474.00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北京国融工发投资管理有限公司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北京金融资产交易所有限公司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729,346.00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840,038.00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2"/>
        <w:ind w:left="513" w:right="1116"/>
        <w:jc w:val="left"/>
        <w:rPr>
          <w:rFonts w:ascii="Times New Roman" w:hAnsi="Times New Roman" w:cs="Times New Roman" w:eastAsia="Times New Roman" w:hint="default"/>
        </w:rPr>
      </w:pPr>
      <w:r>
        <w:rPr/>
        <w:t>资产负债表日存在的重要承诺 经营租赁承诺。至资产负债表日止，本公司对外签订的不可撤销的经营租赁最低付款额约为 </w:t>
      </w:r>
      <w:r>
        <w:rPr>
          <w:rFonts w:ascii="Times New Roman" w:hAnsi="Times New Roman" w:cs="Times New Roman" w:eastAsia="Times New Roman" w:hint="default"/>
        </w:rPr>
        <w:t>1,713.12 </w:t>
      </w:r>
      <w:r>
        <w:rPr/>
        <w:t>万元。截至</w:t>
      </w:r>
      <w:r>
        <w:rPr>
          <w:spacing w:val="-38"/>
        </w:rPr>
        <w:t> </w:t>
      </w:r>
      <w:r>
        <w:rPr>
          <w:rFonts w:ascii="Times New Roman" w:hAnsi="Times New Roman" w:cs="Times New Roman" w:eastAsia="Times New Roman" w:hint="default"/>
        </w:rPr>
        <w:t>2018</w:t>
      </w:r>
    </w:p>
    <w:p>
      <w:pPr>
        <w:pStyle w:val="BodyText"/>
        <w:spacing w:line="212" w:lineRule="exact"/>
        <w:ind w:right="982"/>
        <w:jc w:val="left"/>
      </w:pP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日，本集团不存在其他应披露的承诺事项。</w:t>
      </w:r>
    </w:p>
    <w:p>
      <w:pPr>
        <w:spacing w:line="240" w:lineRule="auto" w:before="0"/>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日，本集团不存在应披露的未决诉讼、对外担保等或有事项。</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1760"/>
        <w:gridCol w:w="2926"/>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1"/>
        <w:gridCol w:w="5459"/>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日，公司第三届董事会第十五次会议审议通过了公司</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年度利润分配的预案：以截止</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p>
    <w:p>
      <w:pPr>
        <w:pStyle w:val="BodyText"/>
        <w:spacing w:line="240" w:lineRule="auto" w:before="63"/>
        <w:ind w:right="982"/>
        <w:jc w:val="left"/>
      </w:pP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日公司总股本</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万股</w:t>
      </w:r>
      <w:r>
        <w:rPr>
          <w:spacing w:val="-3"/>
        </w:rPr>
        <w:t>为</w:t>
      </w:r>
      <w:r>
        <w:rPr/>
        <w:t>基数</w:t>
      </w:r>
      <w:r>
        <w:rPr>
          <w:spacing w:val="-10"/>
        </w:rPr>
        <w:t>，</w:t>
      </w:r>
      <w:r>
        <w:rPr/>
        <w:t>向全体股东每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w:t>
      </w:r>
      <w:r>
        <w:rPr>
          <w:spacing w:val="-3"/>
        </w:rPr>
        <w:t>发</w:t>
      </w:r>
      <w:r>
        <w:rPr/>
        <w:t>人民币现金红利</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10"/>
        </w:rPr>
        <w:t>元</w:t>
      </w:r>
      <w:r>
        <w:rPr/>
        <w:t>（含</w:t>
      </w:r>
      <w:r>
        <w:rPr>
          <w:spacing w:val="-3"/>
        </w:rPr>
        <w:t>税</w:t>
      </w:r>
      <w:r>
        <w:rPr>
          <w:spacing w:val="-92"/>
        </w:rPr>
        <w:t>）</w:t>
      </w:r>
      <w:r>
        <w:rPr>
          <w:spacing w:val="-10"/>
        </w:rPr>
        <w:t>，</w:t>
      </w:r>
      <w:r>
        <w:rPr/>
        <w:t>送红股</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以资本公积金</w:t>
      </w:r>
    </w:p>
    <w:p>
      <w:pPr>
        <w:pStyle w:val="BodyText"/>
        <w:spacing w:line="240" w:lineRule="auto" w:before="63"/>
        <w:ind w:right="982"/>
        <w:jc w:val="left"/>
      </w:pPr>
      <w:r>
        <w:rPr/>
        <w:t>向全体股东每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5 </w:t>
      </w:r>
      <w:r>
        <w:rPr/>
        <w:t>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t>日，本集团不存在其他应披露的资产负债表日后事项。</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1760"/>
        <w:gridCol w:w="3260"/>
        <w:gridCol w:w="2057"/>
      </w:tblGrid>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受影响的各个比较期间报表项目名称</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除电子认证服务及产品、可管理的信息安全服务业务外，本公司未经营其他对经营成果有重大影响的业务。同时，由于</w:t>
      </w:r>
      <w:r>
        <w:rPr/>
        <w:t> 本公司仅于一个地域内经营业务，收入主要来自中国境内，其主要资产亦位于中国境内，因此本公司无需披露分部数据。</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十六、母公司财务报表主要项目注释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145,570,300.25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132,338,695.76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145,570,300.25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132,338,695.76</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98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1)</w:t>
      </w:r>
      <w:r>
        <w:rPr/>
        <w:t>应收账款分类披露</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169"/>
        <w:gridCol w:w="1133"/>
        <w:gridCol w:w="608"/>
        <w:gridCol w:w="953"/>
        <w:gridCol w:w="574"/>
        <w:gridCol w:w="1128"/>
        <w:gridCol w:w="1133"/>
        <w:gridCol w:w="710"/>
        <w:gridCol w:w="992"/>
        <w:gridCol w:w="566"/>
        <w:gridCol w:w="1135"/>
      </w:tblGrid>
      <w:tr>
        <w:trPr>
          <w:trHeight w:val="396" w:hRule="exact"/>
        </w:trPr>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169" w:type="dxa"/>
            <w:vMerge/>
            <w:tcBorders>
              <w:left w:val="single" w:sz="4" w:space="0" w:color="000000"/>
              <w:right w:val="single" w:sz="4" w:space="0" w:color="000000"/>
            </w:tcBorders>
            <w:shd w:val="clear" w:color="auto" w:fill="D2D2D2"/>
          </w:tcPr>
          <w:p>
            <w:pP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16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2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7"/>
              <w:ind w:left="24" w:right="80"/>
              <w:jc w:val="both"/>
              <w:rPr>
                <w:rFonts w:ascii="宋体" w:hAnsi="宋体" w:cs="宋体" w:eastAsia="宋体" w:hint="default"/>
                <w:sz w:val="15"/>
                <w:szCs w:val="15"/>
              </w:rPr>
            </w:pPr>
            <w:r>
              <w:rPr>
                <w:rFonts w:ascii="宋体" w:hAnsi="宋体" w:cs="宋体" w:eastAsia="宋体" w:hint="default"/>
                <w:sz w:val="15"/>
                <w:szCs w:val="15"/>
              </w:rPr>
              <w:t>按信用风险特征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194,000,001.86</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5"/>
                <w:szCs w:val="15"/>
              </w:rPr>
            </w:pPr>
            <w:r>
              <w:rPr>
                <w:rFonts w:ascii="Times New Roman"/>
                <w:sz w:val="15"/>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5"/>
                <w:szCs w:val="15"/>
              </w:rPr>
            </w:pPr>
            <w:r>
              <w:rPr>
                <w:rFonts w:ascii="Times New Roman"/>
                <w:sz w:val="15"/>
              </w:rPr>
              <w:t>48,429,701.61</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24.96%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145,570,300.25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168,920,941.80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36,582,246.04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21.66%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132,338,695.76</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194,000,001.86</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 w:right="0"/>
              <w:jc w:val="center"/>
              <w:rPr>
                <w:rFonts w:ascii="Times New Roman" w:hAnsi="Times New Roman" w:cs="Times New Roman" w:eastAsia="Times New Roman" w:hint="default"/>
                <w:sz w:val="15"/>
                <w:szCs w:val="15"/>
              </w:rPr>
            </w:pPr>
            <w:r>
              <w:rPr>
                <w:rFonts w:ascii="Times New Roman"/>
                <w:sz w:val="15"/>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4" w:right="0"/>
              <w:jc w:val="center"/>
              <w:rPr>
                <w:rFonts w:ascii="Times New Roman" w:hAnsi="Times New Roman" w:cs="Times New Roman" w:eastAsia="Times New Roman" w:hint="default"/>
                <w:sz w:val="15"/>
                <w:szCs w:val="15"/>
              </w:rPr>
            </w:pPr>
            <w:r>
              <w:rPr>
                <w:rFonts w:ascii="Times New Roman"/>
                <w:sz w:val="15"/>
              </w:rPr>
              <w:t>48,429,701.61</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5" w:right="0"/>
              <w:jc w:val="center"/>
              <w:rPr>
                <w:rFonts w:ascii="Times New Roman" w:hAnsi="Times New Roman" w:cs="Times New Roman" w:eastAsia="Times New Roman" w:hint="default"/>
                <w:sz w:val="15"/>
                <w:szCs w:val="15"/>
              </w:rPr>
            </w:pPr>
            <w:r>
              <w:rPr>
                <w:rFonts w:ascii="Times New Roman"/>
                <w:sz w:val="15"/>
              </w:rPr>
              <w:t>24.96%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145,570,300.25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168,920,941.80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6" w:right="0"/>
              <w:jc w:val="center"/>
              <w:rPr>
                <w:rFonts w:ascii="Times New Roman" w:hAnsi="Times New Roman" w:cs="Times New Roman" w:eastAsia="Times New Roman" w:hint="default"/>
                <w:sz w:val="15"/>
                <w:szCs w:val="15"/>
              </w:rPr>
            </w:pPr>
            <w:r>
              <w:rPr>
                <w:rFonts w:ascii="Times New Roman"/>
                <w:sz w:val="15"/>
              </w:rPr>
              <w:t>36,582,246.04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21.66%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132,338,695.76</w:t>
            </w:r>
          </w:p>
        </w:tc>
      </w:tr>
    </w:tbl>
    <w:p>
      <w:pPr>
        <w:spacing w:after="0" w:line="240" w:lineRule="auto"/>
        <w:jc w:val="right"/>
        <w:rPr>
          <w:rFonts w:ascii="Times New Roman" w:hAnsi="Times New Roman" w:cs="Times New Roman" w:eastAsia="Times New Roman" w:hint="default"/>
          <w:sz w:val="15"/>
          <w:szCs w:val="15"/>
        </w:rPr>
        <w:sectPr>
          <w:pgSz w:w="11910" w:h="16840"/>
          <w:pgMar w:header="748" w:footer="979" w:top="1060" w:bottom="1160" w:left="780" w:right="0"/>
        </w:sectPr>
      </w:pPr>
    </w:p>
    <w:p>
      <w:pPr>
        <w:pStyle w:val="BodyText"/>
        <w:spacing w:line="240" w:lineRule="auto" w:before="49"/>
        <w:ind w:left="352" w:right="-19"/>
        <w:jc w:val="left"/>
      </w:pPr>
      <w:r>
        <w:rPr/>
        <w:t>期末单项金额重大并单项计提坏账准备的应收账款：</w:t>
      </w:r>
    </w:p>
    <w:p>
      <w:pPr>
        <w:pStyle w:val="BodyText"/>
        <w:spacing w:line="338" w:lineRule="auto" w:before="119"/>
        <w:ind w:left="352"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left="352"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352" w:right="0"/>
        <w:jc w:val="left"/>
      </w:pPr>
      <w:r>
        <w:rPr/>
        <w:t>单位：</w:t>
      </w:r>
      <w:r>
        <w:rPr>
          <w:spacing w:val="1"/>
        </w:rPr>
        <w:t> </w:t>
      </w:r>
      <w:r>
        <w:rPr/>
        <w:t>元</w:t>
      </w:r>
    </w:p>
    <w:p>
      <w:pPr>
        <w:spacing w:after="0" w:line="240" w:lineRule="auto"/>
        <w:jc w:val="left"/>
        <w:sectPr>
          <w:type w:val="continuous"/>
          <w:pgSz w:w="11910" w:h="16840"/>
          <w:pgMar w:top="1060" w:bottom="1160" w:left="780" w:right="0"/>
          <w:cols w:num="2" w:equalWidth="0">
            <w:col w:w="4494" w:space="4335"/>
            <w:col w:w="2301"/>
          </w:cols>
        </w:sectPr>
      </w:pPr>
    </w:p>
    <w:p>
      <w:pPr>
        <w:spacing w:line="240" w:lineRule="auto" w:before="13"/>
        <w:rPr>
          <w:rFonts w:ascii="宋体" w:hAnsi="宋体" w:cs="宋体" w:eastAsia="宋体" w:hint="default"/>
          <w:sz w:val="7"/>
          <w:szCs w:val="7"/>
        </w:rPr>
      </w:pPr>
    </w:p>
    <w:tbl>
      <w:tblPr>
        <w:tblW w:w="0" w:type="auto"/>
        <w:jc w:val="left"/>
        <w:tblInd w:w="3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90,900,380.96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4,545,019.05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25,551,753.09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2,555,175.31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20,942,652.32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6,282,795.70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17,381,860.37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8,690,930.19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11,697,958.19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9,358,366.55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16,997,414.81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16,997,414.81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183,472,019.74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48,429,701.61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26.40%</w:t>
            </w:r>
          </w:p>
        </w:tc>
      </w:tr>
    </w:tbl>
    <w:p>
      <w:pPr>
        <w:pStyle w:val="BodyText"/>
        <w:spacing w:line="362" w:lineRule="auto" w:before="49"/>
        <w:ind w:left="352" w:right="6434"/>
        <w:jc w:val="left"/>
      </w:pPr>
      <w:r>
        <w:rPr/>
        <w:t>确定该组合依据的说明： 组合中，采用余额百分比法计提坏账准备的应收账款：</w:t>
      </w:r>
    </w:p>
    <w:p>
      <w:pPr>
        <w:pStyle w:val="BodyText"/>
        <w:spacing w:line="340" w:lineRule="auto" w:before="23"/>
        <w:ind w:left="3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00" w:lineRule="auto" w:before="41"/>
        <w:ind w:left="352" w:right="1120" w:firstLine="360"/>
        <w:jc w:val="left"/>
      </w:pPr>
      <w:r>
        <w:rPr/>
        <w:t>采用其他方法计提坏账准备的应收账款为关联组合，期末余额为 </w:t>
      </w:r>
      <w:r>
        <w:rPr>
          <w:rFonts w:ascii="Times New Roman" w:hAnsi="Times New Roman" w:cs="Times New Roman" w:eastAsia="Times New Roman" w:hint="default"/>
        </w:rPr>
        <w:t>10,527,982.12</w:t>
      </w:r>
      <w:r>
        <w:rPr>
          <w:rFonts w:ascii="Times New Roman" w:hAnsi="Times New Roman" w:cs="Times New Roman" w:eastAsia="Times New Roman" w:hint="default"/>
          <w:spacing w:val="4"/>
        </w:rPr>
        <w:t> </w:t>
      </w:r>
      <w:r>
        <w:rPr/>
        <w:t>元，历史损失率为零，根据公司会计政 策未计提坏账准备。</w:t>
      </w:r>
    </w:p>
    <w:p>
      <w:pPr>
        <w:pStyle w:val="BodyText"/>
        <w:spacing w:line="240" w:lineRule="auto" w:before="70"/>
        <w:ind w:left="352" w:right="643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left="352" w:right="4015" w:firstLine="360"/>
        <w:jc w:val="left"/>
      </w:pPr>
      <w:r>
        <w:rPr/>
        <w:t>本期计提坏账准备金额</w:t>
      </w:r>
      <w:r>
        <w:rPr>
          <w:spacing w:val="-49"/>
        </w:rPr>
        <w:t> </w:t>
      </w:r>
      <w:r>
        <w:rPr>
          <w:rFonts w:ascii="Times New Roman" w:hAnsi="Times New Roman" w:cs="Times New Roman" w:eastAsia="Times New Roman" w:hint="default"/>
        </w:rPr>
        <w:t>11,847,455.57</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left="352" w:right="6434"/>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1"/>
        <w:jc w:val="right"/>
      </w:pPr>
      <w:r>
        <w:rPr/>
        <w:t>单位：</w:t>
      </w:r>
      <w:r>
        <w:rPr>
          <w:spacing w:val="1"/>
        </w:rPr>
        <w:t> </w:t>
      </w:r>
      <w:r>
        <w:rPr/>
        <w:t>元</w:t>
      </w:r>
    </w:p>
    <w:p>
      <w:pPr>
        <w:spacing w:after="0" w:line="240" w:lineRule="auto"/>
        <w:jc w:val="right"/>
        <w:sectPr>
          <w:type w:val="continuous"/>
          <w:pgSz w:w="11910" w:h="16840"/>
          <w:pgMar w:top="1060" w:bottom="1160" w:left="780" w:right="0"/>
        </w:sectPr>
      </w:pP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334" w:hRule="exact"/>
        </w:trPr>
        <w:tc>
          <w:tcPr>
            <w:tcW w:w="4982" w:type="dxa"/>
            <w:tcBorders>
              <w:top w:val="single" w:sz="6" w:space="0" w:color="000000"/>
              <w:left w:val="nil" w:sz="6" w:space="0" w:color="auto"/>
              <w:bottom w:val="single" w:sz="4" w:space="0" w:color="000000"/>
              <w:right w:val="nil" w:sz="6" w:space="0" w:color="auto"/>
            </w:tcBorders>
          </w:tcPr>
          <w:p>
            <w:pPr/>
          </w:p>
        </w:tc>
        <w:tc>
          <w:tcPr>
            <w:tcW w:w="45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left="112" w:right="111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left="112" w:right="1113"/>
        <w:jc w:val="left"/>
      </w:pPr>
      <w:r>
        <w:rPr/>
        <w:t>应收账款核销说明：</w:t>
      </w:r>
    </w:p>
    <w:p>
      <w:pPr>
        <w:pStyle w:val="BodyText"/>
        <w:spacing w:line="240" w:lineRule="auto" w:before="119"/>
        <w:ind w:left="112" w:right="1113"/>
        <w:jc w:val="left"/>
      </w:pPr>
      <w:r>
        <w:rPr>
          <w:rFonts w:ascii="Times New Roman" w:hAnsi="Times New Roman" w:cs="Times New Roman" w:eastAsia="Times New Roman" w:hint="default"/>
        </w:rPr>
        <w:t>4)</w:t>
      </w:r>
      <w:r>
        <w:rPr/>
        <w:t>按欠款方归集的期末余额前五名的应收账款情况</w:t>
      </w:r>
    </w:p>
    <w:p>
      <w:pPr>
        <w:pStyle w:val="BodyText"/>
        <w:spacing w:line="300" w:lineRule="auto" w:before="101"/>
        <w:ind w:left="112" w:right="1113" w:firstLine="360"/>
        <w:jc w:val="left"/>
      </w:pPr>
      <w:r>
        <w:rPr/>
        <w:t>本期按欠款方归集的期末余额前五名应收账款汇总金额</w:t>
      </w:r>
      <w:r>
        <w:rPr>
          <w:spacing w:val="-47"/>
        </w:rPr>
        <w:t> </w:t>
      </w:r>
      <w:r>
        <w:rPr>
          <w:rFonts w:ascii="Times New Roman" w:hAnsi="Times New Roman" w:cs="Times New Roman" w:eastAsia="Times New Roman" w:hint="default"/>
        </w:rPr>
        <w:t>42,184,455.04 </w:t>
      </w:r>
      <w:r>
        <w:rPr/>
        <w:t>元，占应收账款期末余额合计数的比例</w:t>
      </w:r>
      <w:r>
        <w:rPr>
          <w:spacing w:val="-47"/>
        </w:rPr>
        <w:t> </w:t>
      </w:r>
      <w:r>
        <w:rPr>
          <w:rFonts w:ascii="Times New Roman" w:hAnsi="Times New Roman" w:cs="Times New Roman" w:eastAsia="Times New Roman" w:hint="default"/>
        </w:rPr>
        <w:t>21.74%</w:t>
      </w:r>
      <w:r>
        <w:rPr/>
        <w:t>， 相应计提的坏账准备期末余额汇总金额</w:t>
      </w:r>
      <w:r>
        <w:rPr>
          <w:spacing w:val="-47"/>
        </w:rPr>
        <w:t> </w:t>
      </w:r>
      <w:r>
        <w:rPr>
          <w:rFonts w:ascii="Times New Roman" w:hAnsi="Times New Roman" w:cs="Times New Roman" w:eastAsia="Times New Roman" w:hint="default"/>
        </w:rPr>
        <w:t>2,775,481.10</w:t>
      </w:r>
      <w:r>
        <w:rPr>
          <w:rFonts w:ascii="Times New Roman" w:hAnsi="Times New Roman" w:cs="Times New Roman" w:eastAsia="Times New Roman" w:hint="default"/>
          <w:spacing w:val="-1"/>
        </w:rPr>
        <w:t> </w:t>
      </w:r>
      <w:r>
        <w:rPr/>
        <w:t>元。</w:t>
      </w:r>
    </w:p>
    <w:p>
      <w:pPr>
        <w:pStyle w:val="BodyText"/>
        <w:spacing w:line="240" w:lineRule="auto" w:before="54"/>
        <w:ind w:left="112" w:right="1113"/>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left="112"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7"/>
        <w:rPr>
          <w:rFonts w:ascii="宋体" w:hAnsi="宋体" w:cs="宋体" w:eastAsia="宋体" w:hint="default"/>
          <w:sz w:val="21"/>
          <w:szCs w:val="21"/>
        </w:rPr>
      </w:pPr>
    </w:p>
    <w:p>
      <w:pPr>
        <w:pStyle w:val="Heading3"/>
        <w:spacing w:line="240" w:lineRule="auto"/>
        <w:ind w:left="112" w:right="111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52,619,181.06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22,452,139.47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52,619,181.06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22,452,139.47</w:t>
            </w:r>
          </w:p>
        </w:tc>
      </w:tr>
    </w:tbl>
    <w:p>
      <w:pPr>
        <w:spacing w:line="240" w:lineRule="auto" w:before="5"/>
        <w:rPr>
          <w:rFonts w:ascii="宋体" w:hAnsi="宋体" w:cs="宋体" w:eastAsia="宋体" w:hint="default"/>
          <w:sz w:val="19"/>
          <w:szCs w:val="19"/>
        </w:rPr>
      </w:pPr>
    </w:p>
    <w:p>
      <w:pPr>
        <w:pStyle w:val="Heading3"/>
        <w:spacing w:line="240" w:lineRule="auto" w:before="36"/>
        <w:ind w:left="112" w:right="111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111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112" w:right="1113"/>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left="112" w:right="111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left="112" w:right="111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1113"/>
        <w:jc w:val="left"/>
      </w:pPr>
      <w:r>
        <w:rPr>
          <w:rFonts w:ascii="Times New Roman" w:hAnsi="Times New Roman" w:cs="Times New Roman" w:eastAsia="Times New Roman" w:hint="default"/>
        </w:rPr>
        <w:t>1)</w:t>
      </w:r>
      <w:r>
        <w:rPr/>
        <w:t>应收股利</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left="112" w:right="111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8" w:footer="979" w:top="1060" w:bottom="1160" w:left="1020" w:right="0"/>
        </w:sectPr>
      </w:pP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709"/>
        <w:gridCol w:w="946"/>
        <w:gridCol w:w="614"/>
        <w:gridCol w:w="994"/>
        <w:gridCol w:w="991"/>
        <w:gridCol w:w="710"/>
        <w:gridCol w:w="850"/>
        <w:gridCol w:w="554"/>
        <w:gridCol w:w="931"/>
      </w:tblGrid>
      <w:tr>
        <w:trPr>
          <w:trHeight w:val="396"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277" w:type="dxa"/>
            <w:vMerge/>
            <w:tcBorders>
              <w:left w:val="single" w:sz="4" w:space="0" w:color="000000"/>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13"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7"/>
              <w:ind w:left="24" w:right="38"/>
              <w:jc w:val="both"/>
              <w:rPr>
                <w:rFonts w:ascii="宋体" w:hAnsi="宋体" w:cs="宋体" w:eastAsia="宋体" w:hint="default"/>
                <w:sz w:val="15"/>
                <w:szCs w:val="15"/>
              </w:rPr>
            </w:pPr>
            <w:r>
              <w:rPr>
                <w:rFonts w:ascii="宋体" w:hAnsi="宋体" w:cs="宋体" w:eastAsia="宋体" w:hint="default"/>
                <w:sz w:val="15"/>
                <w:szCs w:val="15"/>
              </w:rPr>
              <w:t>按信用风险特征组</w:t>
            </w:r>
            <w:r>
              <w:rPr>
                <w:rFonts w:ascii="宋体" w:hAnsi="宋体" w:cs="宋体" w:eastAsia="宋体" w:hint="default"/>
                <w:w w:val="100"/>
                <w:sz w:val="15"/>
                <w:szCs w:val="15"/>
              </w:rPr>
              <w:t> </w:t>
            </w:r>
            <w:r>
              <w:rPr>
                <w:rFonts w:ascii="宋体" w:hAnsi="宋体" w:cs="宋体" w:eastAsia="宋体" w:hint="default"/>
                <w:sz w:val="15"/>
                <w:szCs w:val="15"/>
              </w:rPr>
              <w:t>合计提坏账准备的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60,145,155.80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100.00%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7,525,974.74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12.51%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52,619,181.06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28,148,121.48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5"/>
                <w:szCs w:val="15"/>
              </w:rPr>
            </w:pPr>
            <w:r>
              <w:rPr>
                <w:rFonts w:ascii="Times New Roman"/>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5,695,982.01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22,452,139.47</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7" w:right="0"/>
              <w:jc w:val="center"/>
              <w:rPr>
                <w:rFonts w:ascii="Times New Roman" w:hAnsi="Times New Roman" w:cs="Times New Roman" w:eastAsia="Times New Roman" w:hint="default"/>
                <w:sz w:val="15"/>
                <w:szCs w:val="15"/>
              </w:rPr>
            </w:pPr>
            <w:r>
              <w:rPr>
                <w:rFonts w:ascii="Times New Roman"/>
                <w:sz w:val="15"/>
              </w:rPr>
              <w:t>60,145,155.80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9" w:right="0"/>
              <w:jc w:val="left"/>
              <w:rPr>
                <w:rFonts w:ascii="Times New Roman" w:hAnsi="Times New Roman" w:cs="Times New Roman" w:eastAsia="Times New Roman" w:hint="default"/>
                <w:sz w:val="15"/>
                <w:szCs w:val="15"/>
              </w:rPr>
            </w:pPr>
            <w:r>
              <w:rPr>
                <w:rFonts w:ascii="Times New Roman"/>
                <w:sz w:val="15"/>
              </w:rPr>
              <w:t>100.00%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6" w:right="0"/>
              <w:jc w:val="center"/>
              <w:rPr>
                <w:rFonts w:ascii="Times New Roman" w:hAnsi="Times New Roman" w:cs="Times New Roman" w:eastAsia="Times New Roman" w:hint="default"/>
                <w:sz w:val="15"/>
                <w:szCs w:val="15"/>
              </w:rPr>
            </w:pPr>
            <w:r>
              <w:rPr>
                <w:rFonts w:ascii="Times New Roman"/>
                <w:sz w:val="15"/>
              </w:rPr>
              <w:t>7,525,974.74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12.51%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52,619,181.06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7" w:right="0"/>
              <w:jc w:val="center"/>
              <w:rPr>
                <w:rFonts w:ascii="Times New Roman" w:hAnsi="Times New Roman" w:cs="Times New Roman" w:eastAsia="Times New Roman" w:hint="default"/>
                <w:sz w:val="15"/>
                <w:szCs w:val="15"/>
              </w:rPr>
            </w:pPr>
            <w:r>
              <w:rPr>
                <w:rFonts w:ascii="Times New Roman"/>
                <w:sz w:val="15"/>
              </w:rPr>
              <w:t>28,148,121.48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8" w:right="0"/>
              <w:jc w:val="center"/>
              <w:rPr>
                <w:rFonts w:ascii="Times New Roman" w:hAnsi="Times New Roman" w:cs="Times New Roman" w:eastAsia="Times New Roman" w:hint="default"/>
                <w:sz w:val="15"/>
                <w:szCs w:val="15"/>
              </w:rPr>
            </w:pPr>
            <w:r>
              <w:rPr>
                <w:rFonts w:ascii="Times New Roman"/>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 w:right="0"/>
              <w:jc w:val="center"/>
              <w:rPr>
                <w:rFonts w:ascii="Times New Roman" w:hAnsi="Times New Roman" w:cs="Times New Roman" w:eastAsia="Times New Roman" w:hint="default"/>
                <w:sz w:val="15"/>
                <w:szCs w:val="15"/>
              </w:rPr>
            </w:pPr>
            <w:r>
              <w:rPr>
                <w:rFonts w:ascii="Times New Roman"/>
                <w:sz w:val="15"/>
              </w:rPr>
              <w:t>5,695,982.01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 w:right="0"/>
              <w:jc w:val="center"/>
              <w:rPr>
                <w:rFonts w:ascii="Times New Roman" w:hAnsi="Times New Roman" w:cs="Times New Roman" w:eastAsia="Times New Roman" w:hint="default"/>
                <w:sz w:val="15"/>
                <w:szCs w:val="15"/>
              </w:rPr>
            </w:pPr>
            <w:r>
              <w:rPr>
                <w:rFonts w:ascii="Times New Roman"/>
                <w:sz w:val="15"/>
              </w:rPr>
              <w:t>22,452,139.47</w:t>
            </w:r>
          </w:p>
        </w:tc>
      </w:tr>
    </w:tbl>
    <w:p>
      <w:pPr>
        <w:spacing w:after="0" w:line="240" w:lineRule="auto"/>
        <w:jc w:val="center"/>
        <w:rPr>
          <w:rFonts w:ascii="Times New Roman" w:hAnsi="Times New Roman" w:cs="Times New Roman" w:eastAsia="Times New Roman" w:hint="default"/>
          <w:sz w:val="15"/>
          <w:szCs w:val="15"/>
        </w:rPr>
        <w:sectPr>
          <w:pgSz w:w="11910" w:h="16840"/>
          <w:pgMar w:header="748" w:footer="979" w:top="1060" w:bottom="1160" w:left="980" w:right="0"/>
        </w:sectPr>
      </w:pPr>
    </w:p>
    <w:p>
      <w:pPr>
        <w:pStyle w:val="BodyText"/>
        <w:spacing w:line="240" w:lineRule="auto" w:before="49"/>
        <w:ind w:right="-19"/>
        <w:jc w:val="left"/>
      </w:pPr>
      <w:r>
        <w:rPr/>
        <w:t>期末单项金额重大并单项计提坏账准备的其他应收款：</w:t>
      </w:r>
    </w:p>
    <w:p>
      <w:pPr>
        <w:pStyle w:val="BodyText"/>
        <w:spacing w:line="338" w:lineRule="auto" w:before="119"/>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4,019,378.59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200,968.93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4,691,154.26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469,115.43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1,547,569.01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464,270.70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4,864,174.00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2,424,662.10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1,939,729.68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2,019,803.00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2,019,803.00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19,566,740.96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7,525,974.74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38.46%</w:t>
            </w:r>
          </w:p>
        </w:tc>
      </w:tr>
    </w:tbl>
    <w:p>
      <w:pPr>
        <w:pStyle w:val="BodyText"/>
        <w:spacing w:line="362" w:lineRule="auto" w:before="49"/>
        <w:ind w:right="6254"/>
        <w:jc w:val="left"/>
      </w:pPr>
      <w:r>
        <w:rPr/>
        <w:t>确定该组合依据的说明： 组合中，采用余额百分比法计提坏账准备的其他应收款：</w:t>
      </w:r>
    </w:p>
    <w:p>
      <w:pPr>
        <w:pStyle w:val="BodyText"/>
        <w:spacing w:line="340" w:lineRule="auto" w:before="23"/>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0" w:firstLine="360"/>
        <w:jc w:val="left"/>
      </w:pPr>
      <w:r>
        <w:rPr/>
        <w:t>采用其他方法计提坏账准备的其他应收款为关联组合，期末余额为 </w:t>
      </w:r>
      <w:r>
        <w:rPr>
          <w:rFonts w:ascii="Times New Roman" w:hAnsi="Times New Roman" w:cs="Times New Roman" w:eastAsia="Times New Roman" w:hint="default"/>
        </w:rPr>
        <w:t>40,578,414.84</w:t>
      </w:r>
      <w:r>
        <w:rPr>
          <w:rFonts w:ascii="Times New Roman" w:hAnsi="Times New Roman" w:cs="Times New Roman" w:eastAsia="Times New Roman" w:hint="default"/>
          <w:spacing w:val="4"/>
        </w:rPr>
        <w:t> </w:t>
      </w:r>
      <w:r>
        <w:rPr/>
        <w:t>元，历史损失率为零，根据公司会计 政策未计提坏账准备。</w:t>
      </w:r>
    </w:p>
    <w:p>
      <w:pPr>
        <w:pStyle w:val="BodyText"/>
        <w:spacing w:line="240" w:lineRule="auto" w:before="72"/>
        <w:ind w:right="982"/>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9" w:top="1060" w:bottom="1160" w:left="980" w:right="0"/>
        </w:sectPr>
      </w:pPr>
    </w:p>
    <w:p>
      <w:pPr>
        <w:pStyle w:val="BodyText"/>
        <w:spacing w:line="340" w:lineRule="auto" w:before="44"/>
        <w:ind w:right="-9" w:firstLine="360"/>
        <w:jc w:val="left"/>
      </w:pPr>
      <w:r>
        <w:rPr/>
        <w:t>本期计提坏账准备金额</w:t>
      </w:r>
      <w:r>
        <w:rPr>
          <w:spacing w:val="-47"/>
        </w:rPr>
        <w:t> </w:t>
      </w:r>
      <w:r>
        <w:rPr>
          <w:rFonts w:ascii="Times New Roman" w:hAnsi="Times New Roman" w:cs="Times New Roman" w:eastAsia="Times New Roman" w:hint="default"/>
        </w:rPr>
        <w:t>1,829,992.73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820" w:space="2010"/>
            <w:col w:w="210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98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其中重要的其他应收款核销情况：</w:t>
      </w:r>
    </w:p>
    <w:p>
      <w:pPr>
        <w:pStyle w:val="BodyText"/>
        <w:spacing w:line="240" w:lineRule="auto" w:before="119"/>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14,892,586.15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16,071,745.25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2,754,849.93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3,198,102.26</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40,578,414.84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8,664,184.25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1,919,304.88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214,089.72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60,145,155.80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28,148,121.48</w:t>
            </w:r>
          </w:p>
        </w:tc>
      </w:tr>
    </w:tbl>
    <w:p>
      <w:pPr>
        <w:pStyle w:val="BodyText"/>
        <w:spacing w:line="240" w:lineRule="auto" w:before="49"/>
        <w:ind w:right="98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136"/>
        <w:gridCol w:w="1385"/>
        <w:gridCol w:w="1551"/>
        <w:gridCol w:w="1616"/>
        <w:gridCol w:w="1615"/>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关联方往来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29,927,002.45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数字认证（武汉）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关联方往来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普华诚信信息技术有限公司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2,930,342.00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1,163,546.20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北京万柳置业集团有限公司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押金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1,501,680.00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149,562.45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江苏省设备成套有限公司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961,800.00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46,782,624.45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2,274,908.65</w:t>
            </w:r>
          </w:p>
        </w:tc>
      </w:tr>
    </w:tbl>
    <w:p>
      <w:pPr>
        <w:pStyle w:val="BodyText"/>
        <w:spacing w:line="240" w:lineRule="auto" w:before="49"/>
        <w:ind w:right="982"/>
        <w:jc w:val="left"/>
      </w:pPr>
      <w:r>
        <w:rPr>
          <w:rFonts w:ascii="Times New Roman" w:hAnsi="Times New Roman" w:cs="Times New Roman" w:eastAsia="Times New Roman" w:hint="default"/>
        </w:rPr>
        <w:t>6)</w:t>
      </w:r>
      <w:r>
        <w:rPr/>
        <w:t>涉及政府补助的应收款项</w:t>
      </w:r>
    </w:p>
    <w:p>
      <w:pPr>
        <w:pStyle w:val="BodyText"/>
        <w:spacing w:line="240" w:lineRule="auto" w:before="106"/>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982"/>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3"/>
        <w:ind w:right="982"/>
        <w:jc w:val="left"/>
      </w:pPr>
      <w:r>
        <w:rPr>
          <w:rFonts w:ascii="Times New Roman" w:hAnsi="Times New Roman" w:cs="Times New Roman" w:eastAsia="Times New Roman" w:hint="default"/>
        </w:rPr>
        <w:t>8)</w:t>
      </w:r>
      <w:r>
        <w:rPr/>
        <w:t>转移其他应收款且继续涉入形成的资产、负债金额</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844"/>
        <w:gridCol w:w="991"/>
        <w:gridCol w:w="1277"/>
        <w:gridCol w:w="1277"/>
        <w:gridCol w:w="973"/>
        <w:gridCol w:w="1368"/>
      </w:tblGrid>
      <w:tr>
        <w:trPr>
          <w:trHeight w:val="403"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20,000,000.00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4,186,460.94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4,186,460.94</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64,186,460.94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64,186,460.94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20,000,000.00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249"/>
        <w:gridCol w:w="1274"/>
        <w:gridCol w:w="850"/>
        <w:gridCol w:w="1277"/>
        <w:gridCol w:w="1844"/>
        <w:gridCol w:w="1627"/>
      </w:tblGrid>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数字医信</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数字认证（武汉）</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20,000,000.00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60,000,000.00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480"/>
        <w:gridCol w:w="1133"/>
        <w:gridCol w:w="425"/>
        <w:gridCol w:w="1277"/>
        <w:gridCol w:w="425"/>
        <w:gridCol w:w="1136"/>
        <w:gridCol w:w="850"/>
        <w:gridCol w:w="658"/>
        <w:gridCol w:w="478"/>
        <w:gridCol w:w="1133"/>
        <w:gridCol w:w="782"/>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38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48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8"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182" w:right="91"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472" w:right="111"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52" w:right="5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4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-716,650.97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2,283,349.03</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4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-2,543,117.30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4,446,229.21</w:t>
            </w:r>
          </w:p>
        </w:tc>
        <w:tc>
          <w:tcPr>
            <w:tcW w:w="8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1,903,111.91</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-3,259,768.27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4,446,229.21</w:t>
            </w:r>
          </w:p>
        </w:tc>
        <w:tc>
          <w:tcPr>
            <w:tcW w:w="8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4,186,460.94</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 w:right="0"/>
              <w:jc w:val="left"/>
              <w:rPr>
                <w:rFonts w:ascii="Times New Roman" w:hAnsi="Times New Roman" w:cs="Times New Roman" w:eastAsia="Times New Roman" w:hint="default"/>
                <w:sz w:val="18"/>
                <w:szCs w:val="18"/>
              </w:rPr>
            </w:pPr>
            <w:r>
              <w:rPr>
                <w:rFonts w:ascii="Times New Roman"/>
                <w:sz w:val="18"/>
              </w:rPr>
              <w:t>3,000,000.00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-3,259,768.27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4,446,229.21</w:t>
            </w:r>
          </w:p>
        </w:tc>
        <w:tc>
          <w:tcPr>
            <w:tcW w:w="8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4,186,460.94</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t>①根据第三届董事会第四次会议决议，本公司以自有资金向安信天行增资 </w:t>
      </w:r>
      <w:r>
        <w:rPr>
          <w:rFonts w:ascii="Times New Roman" w:hAnsi="Times New Roman" w:cs="Times New Roman" w:eastAsia="Times New Roman" w:hint="default"/>
        </w:rPr>
        <w:t>1,000   </w:t>
      </w:r>
      <w:r>
        <w:rPr/>
        <w:t>万元，增资后安信天行的注册资本由</w:t>
      </w:r>
    </w:p>
    <w:p>
      <w:pPr>
        <w:pStyle w:val="BodyText"/>
        <w:spacing w:line="240" w:lineRule="auto" w:before="63"/>
        <w:ind w:right="982"/>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万元增加至</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万元，安信天行已于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月完成工商变更手续。</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②数字认证（武汉）为本报告期新设立的全资子公司，根据第三届董事会第六次会议及</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年第一次临时股东大会决</w:t>
      </w:r>
    </w:p>
    <w:p>
      <w:pPr>
        <w:pStyle w:val="BodyText"/>
        <w:spacing w:line="300" w:lineRule="auto" w:before="63"/>
        <w:ind w:right="1134"/>
        <w:jc w:val="left"/>
      </w:pPr>
      <w:r>
        <w:rPr>
          <w:spacing w:val="-1"/>
        </w:rPr>
        <w:t>议，本公司以上市募集资金出资人民币</w:t>
      </w:r>
      <w:r>
        <w:rPr>
          <w:spacing w:val="-40"/>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5"/>
        </w:rPr>
        <w:t> </w:t>
      </w:r>
      <w:r>
        <w:rPr>
          <w:spacing w:val="-5"/>
        </w:rPr>
        <w:t>万元设立全资子公司数字认证（武汉），数字认证（武汉）已于</w:t>
      </w:r>
      <w:r>
        <w:rPr>
          <w:spacing w:val="-40"/>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月完 </w:t>
      </w:r>
      <w:r>
        <w:rPr/>
        <w:t>成工商登记手续，并取得武汉临空港经济技术开发区（东西湖区）行政审批局核发的营业执照。</w:t>
      </w:r>
    </w:p>
    <w:p>
      <w:pPr>
        <w:pStyle w:val="BodyText"/>
        <w:spacing w:line="240" w:lineRule="auto" w:before="72"/>
        <w:ind w:left="513" w:right="982"/>
        <w:jc w:val="left"/>
        <w:rPr>
          <w:rFonts w:ascii="Times New Roman" w:hAnsi="Times New Roman" w:cs="Times New Roman" w:eastAsia="Times New Roman" w:hint="default"/>
        </w:rPr>
      </w:pPr>
      <w:r>
        <w:rPr/>
        <w:t>③数字医信为本报告期新设立的全资子公司，根据第三届董事会第五次会议决议，本公司以自有资金出资人民币</w:t>
      </w:r>
      <w:r>
        <w:rPr>
          <w:spacing w:val="-36"/>
        </w:rPr>
        <w:t> </w:t>
      </w:r>
      <w:r>
        <w:rPr>
          <w:rFonts w:ascii="Times New Roman" w:hAnsi="Times New Roman" w:cs="Times New Roman" w:eastAsia="Times New Roman" w:hint="default"/>
        </w:rPr>
        <w:t>1,000</w:t>
      </w:r>
    </w:p>
    <w:p>
      <w:pPr>
        <w:pStyle w:val="BodyText"/>
        <w:spacing w:line="300" w:lineRule="auto" w:before="63"/>
        <w:ind w:right="1120"/>
        <w:jc w:val="left"/>
      </w:pPr>
      <w:r>
        <w:rPr/>
        <w:t>万元设立全资子公司数字医信，数字医信已于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月完成工商登记手续，并取得北京市工商行政管理局海淀分局核发 的营业执照。</w:t>
      </w:r>
    </w:p>
    <w:p>
      <w:pPr>
        <w:pStyle w:val="BodyText"/>
        <w:spacing w:line="300" w:lineRule="auto" w:before="70"/>
        <w:ind w:right="1128" w:firstLine="360"/>
        <w:jc w:val="both"/>
      </w:pPr>
      <w:r>
        <w:rPr/>
        <w:t>④本报告期联营公司版信通增资，增资完成后注册资本由人民币</w:t>
      </w:r>
      <w:r>
        <w:rPr>
          <w:spacing w:val="-45"/>
        </w:rPr>
        <w:t> </w:t>
      </w:r>
      <w:r>
        <w:rPr>
          <w:rFonts w:ascii="Times New Roman" w:hAnsi="Times New Roman" w:cs="Times New Roman" w:eastAsia="Times New Roman" w:hint="default"/>
        </w:rPr>
        <w:t>543.48</w:t>
      </w:r>
      <w:r>
        <w:rPr>
          <w:rFonts w:ascii="Times New Roman" w:hAnsi="Times New Roman" w:cs="Times New Roman" w:eastAsia="Times New Roman" w:hint="default"/>
          <w:spacing w:val="1"/>
        </w:rPr>
        <w:t> </w:t>
      </w:r>
      <w:r>
        <w:rPr/>
        <w:t>万元增加至</w:t>
      </w:r>
      <w:r>
        <w:rPr>
          <w:spacing w:val="-45"/>
        </w:rPr>
        <w:t> </w:t>
      </w:r>
      <w:r>
        <w:rPr>
          <w:rFonts w:ascii="Times New Roman" w:hAnsi="Times New Roman" w:cs="Times New Roman" w:eastAsia="Times New Roman" w:hint="default"/>
        </w:rPr>
        <w:t>679.35</w:t>
      </w:r>
      <w:r>
        <w:rPr>
          <w:rFonts w:ascii="Times New Roman" w:hAnsi="Times New Roman" w:cs="Times New Roman" w:eastAsia="Times New Roman" w:hint="default"/>
          <w:spacing w:val="-1"/>
        </w:rPr>
        <w:t> </w:t>
      </w:r>
      <w:r>
        <w:rPr/>
        <w:t>万元，股权结构为：北京云 门信安科技有限公司占比</w:t>
      </w:r>
      <w:r>
        <w:rPr>
          <w:spacing w:val="-43"/>
        </w:rPr>
        <w:t> </w:t>
      </w:r>
      <w:r>
        <w:rPr>
          <w:rFonts w:ascii="Times New Roman" w:hAnsi="Times New Roman" w:cs="Times New Roman" w:eastAsia="Times New Roman" w:hint="default"/>
        </w:rPr>
        <w:t>50.28%</w:t>
      </w:r>
      <w:r>
        <w:rPr/>
        <w:t>，北京数字认证股份有限公司占比</w:t>
      </w:r>
      <w:r>
        <w:rPr>
          <w:spacing w:val="-43"/>
        </w:rPr>
        <w:t> </w:t>
      </w:r>
      <w:r>
        <w:rPr>
          <w:rFonts w:ascii="Times New Roman" w:hAnsi="Times New Roman" w:cs="Times New Roman" w:eastAsia="Times New Roman" w:hint="default"/>
        </w:rPr>
        <w:t>37.54%</w:t>
      </w:r>
      <w:r>
        <w:rPr/>
        <w:t>，其他个人股东占比</w:t>
      </w:r>
      <w:r>
        <w:rPr>
          <w:spacing w:val="-44"/>
        </w:rPr>
        <w:t> </w:t>
      </w:r>
      <w:r>
        <w:rPr>
          <w:rFonts w:ascii="Times New Roman" w:hAnsi="Times New Roman" w:cs="Times New Roman" w:eastAsia="Times New Roman" w:hint="default"/>
        </w:rPr>
        <w:t>5.78%</w:t>
      </w:r>
      <w:r>
        <w:rPr/>
        <w:t>。增资完成后对版信 通持股比例由</w:t>
      </w:r>
      <w:r>
        <w:rPr>
          <w:spacing w:val="-45"/>
        </w:rPr>
        <w:t> </w:t>
      </w:r>
      <w:r>
        <w:rPr>
          <w:rFonts w:ascii="Times New Roman" w:hAnsi="Times New Roman" w:cs="Times New Roman" w:eastAsia="Times New Roman" w:hint="default"/>
        </w:rPr>
        <w:t>46.92%</w:t>
      </w:r>
      <w:r>
        <w:rPr/>
        <w:t>变更为</w:t>
      </w:r>
      <w:r>
        <w:rPr>
          <w:spacing w:val="-48"/>
        </w:rPr>
        <w:t> </w:t>
      </w:r>
      <w:r>
        <w:rPr>
          <w:rFonts w:ascii="Times New Roman" w:hAnsi="Times New Roman" w:cs="Times New Roman" w:eastAsia="Times New Roman" w:hint="default"/>
        </w:rPr>
        <w:t>37.54%</w:t>
      </w:r>
      <w:r>
        <w:rPr/>
        <w:t>，由于增资导致的其他权益变动金额为</w:t>
      </w:r>
      <w:r>
        <w:rPr>
          <w:spacing w:val="-46"/>
        </w:rPr>
        <w:t> </w:t>
      </w:r>
      <w:r>
        <w:rPr>
          <w:rFonts w:ascii="Times New Roman" w:hAnsi="Times New Roman" w:cs="Times New Roman" w:eastAsia="Times New Roman" w:hint="default"/>
        </w:rPr>
        <w:t>444.62</w:t>
      </w:r>
      <w:r>
        <w:rPr>
          <w:rFonts w:ascii="Times New Roman" w:hAnsi="Times New Roman" w:cs="Times New Roman" w:eastAsia="Times New Roman" w:hint="default"/>
          <w:spacing w:val="1"/>
        </w:rPr>
        <w:t> </w:t>
      </w:r>
      <w:r>
        <w:rPr/>
        <w:t>万元。</w:t>
      </w:r>
    </w:p>
    <w:p>
      <w:pPr>
        <w:pStyle w:val="BodyText"/>
        <w:spacing w:line="300" w:lineRule="auto" w:before="53"/>
        <w:ind w:right="1132" w:firstLine="360"/>
        <w:jc w:val="both"/>
      </w:pPr>
      <w:r>
        <w:rPr/>
        <w:t>⑤本报告期本公司出资 </w:t>
      </w:r>
      <w:r>
        <w:rPr>
          <w:rFonts w:ascii="Times New Roman" w:hAnsi="Times New Roman" w:cs="Times New Roman" w:eastAsia="Times New Roman" w:hint="default"/>
        </w:rPr>
        <w:t>300 </w:t>
      </w:r>
      <w:r>
        <w:rPr/>
        <w:t>万元，收购中天信安</w:t>
      </w:r>
      <w:r>
        <w:rPr>
          <w:spacing w:val="-55"/>
        </w:rPr>
        <w:t> </w:t>
      </w:r>
      <w:r>
        <w:rPr>
          <w:rFonts w:ascii="Times New Roman" w:hAnsi="Times New Roman" w:cs="Times New Roman" w:eastAsia="Times New Roman" w:hint="default"/>
        </w:rPr>
        <w:t>40%</w:t>
      </w:r>
      <w:r>
        <w:rPr/>
        <w:t>股权，对中天信安具有重大影响，本公司对中天信安长期股权投 资采用权益法核算。</w:t>
      </w:r>
    </w:p>
    <w:p>
      <w:pPr>
        <w:spacing w:line="240" w:lineRule="auto" w:before="10"/>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430,913,044.93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141,661,126.75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356,024,952.00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129,366,540.38</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430,913,044.93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141,661,126.75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356,024,952.00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129,366,540.38</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-3,259,768.27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6,365,244.29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5,705,476.02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982"/>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693"/>
        <w:gridCol w:w="2765"/>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-15,547.14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12"/>
        <w:gridCol w:w="2693"/>
        <w:gridCol w:w="2765"/>
      </w:tblGrid>
      <w:tr>
        <w:trPr>
          <w:trHeight w:val="71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5,950,553.03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6,638,942.92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1,886,092.32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10,687,856.49</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0.7205</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0.6314</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98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9" w:top="1060" w:bottom="1160" w:left="980" w:right="0"/>
        </w:sectPr>
      </w:pPr>
    </w:p>
    <w:p>
      <w:pPr>
        <w:spacing w:line="240" w:lineRule="auto" w:before="5"/>
        <w:rPr>
          <w:rFonts w:ascii="Times New Roman" w:hAnsi="Times New Roman" w:cs="Times New Roman" w:eastAsia="Times New Roman" w:hint="default"/>
          <w:sz w:val="17"/>
          <w:szCs w:val="17"/>
        </w:rPr>
      </w:pPr>
      <w:r>
        <w:rPr/>
        <w:pict>
          <v:shape style="position:absolute;margin-left:0pt;margin-top:5.449683pt;width:595.35pt;height:836.5pt;mso-position-horizontal-relative:page;mso-position-vertical-relative:page;z-index:-771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6"/>
                      <w:szCs w:val="26"/>
                    </w:rPr>
                  </w:pPr>
                </w:p>
                <w:p>
                  <w:pPr>
                    <w:pStyle w:val="BodyText"/>
                    <w:spacing w:line="240" w:lineRule="auto"/>
                    <w:ind w:left="0" w:right="1128"/>
                    <w:jc w:val="right"/>
                  </w:pPr>
                  <w:r>
                    <w:rPr/>
                    <w:t>北京数字认证股份有限公司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7"/>
                    <w:ind w:left="0" w:right="1" w:firstLine="0"/>
                    <w:jc w:val="center"/>
                    <w:rPr>
                      <w:rFonts w:ascii="宋体" w:hAnsi="宋体" w:cs="宋体" w:eastAsia="宋体" w:hint="default"/>
                      <w:sz w:val="32"/>
                      <w:szCs w:val="32"/>
                    </w:rPr>
                  </w:pPr>
                  <w:bookmarkStart w:name="_bookmark10" w:id="11"/>
                  <w:bookmarkEnd w:id="11"/>
                  <w:r>
                    <w:rPr/>
                  </w:r>
                  <w:r>
                    <w:rPr>
                      <w:rFonts w:ascii="宋体" w:hAnsi="宋体" w:cs="宋体" w:eastAsia="宋体" w:hint="default"/>
                      <w:b/>
                      <w:bCs/>
                      <w:sz w:val="32"/>
                      <w:szCs w:val="32"/>
                    </w:rPr>
                    <w:t>第十二节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9"/>
                    <w:rPr>
                      <w:rFonts w:ascii="Times New Roman" w:hAnsi="Times New Roman" w:cs="Times New Roman" w:eastAsia="Times New Roman" w:hint="default"/>
                      <w:sz w:val="46"/>
                      <w:szCs w:val="46"/>
                    </w:rPr>
                  </w:pPr>
                </w:p>
                <w:p>
                  <w:pPr>
                    <w:spacing w:before="0"/>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、载有公司负责人、主管会计工作负责人、会计机构负责人签名并盖章的财务报表。</w:t>
                  </w:r>
                </w:p>
                <w:p>
                  <w:pPr>
                    <w:spacing w:before="141"/>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、载有会计师事务所盖章、注册会计师签名并盖章的审计报告原件。</w:t>
                  </w:r>
                </w:p>
                <w:p>
                  <w:pPr>
                    <w:spacing w:before="141"/>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、报告期内在中国证监会指定网站上公开披露过的所有公司文件的正本及公告的原稿。</w:t>
                  </w:r>
                </w:p>
                <w:p>
                  <w:pPr>
                    <w:spacing w:before="141"/>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、经公司法定代表人签名的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年年度报告原稿。</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31"/>
                      <w:szCs w:val="31"/>
                    </w:rPr>
                  </w:pPr>
                </w:p>
                <w:p>
                  <w:pPr>
                    <w:pStyle w:val="BodyText"/>
                    <w:spacing w:line="240" w:lineRule="auto"/>
                    <w:ind w:left="0" w:right="1128"/>
                    <w:jc w:val="right"/>
                    <w:rPr>
                      <w:rFonts w:ascii="Times New Roman" w:hAnsi="Times New Roman" w:cs="Times New Roman" w:eastAsia="Times New Roman" w:hint="default"/>
                    </w:rPr>
                  </w:pPr>
                  <w:r>
                    <w:rPr>
                      <w:rFonts w:ascii="Times New Roman"/>
                    </w:rPr>
                    <w:t>159</w:t>
                  </w:r>
                </w:p>
              </w:txbxContent>
            </v:textbox>
            <w10:wrap type="none"/>
          </v:shape>
        </w:pict>
      </w:r>
      <w:r>
        <w:rPr/>
        <w:pict>
          <v:group style="position:absolute;margin-left:0pt;margin-top:5.449683pt;width:595.35pt;height:836.5pt;mso-position-horizontal-relative:page;mso-position-vertical-relative:page;z-index:1720" coordorigin="0,109" coordsize="11907,16730">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0;top:109;width:11906;height:16729" type="#_x0000_t75" stroked="false">
                <v:imagedata r:id="rId20" o:title=""/>
              </v:shape>
              <v:shape style="position:absolute;left:10713;top:16134;width:1190;height:536" type="#_x0000_t75" stroked="false">
                <v:imagedata r:id="rId21" o:title=""/>
              </v:shape>
            </v:group>
            <w10:wrap type="none"/>
          </v:group>
        </w:pict>
      </w:r>
    </w:p>
    <w:sectPr>
      <w:headerReference w:type="default" r:id="rId18"/>
      <w:footerReference w:type="default" r:id="rId19"/>
      <w:pgSz w:w="11910" w:h="16840"/>
      <w:pgMar w:header="0" w:footer="0"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2576" type="#_x0000_t75" stroked="false">
          <v:imagedata r:id="rId1" o:title=""/>
        </v:shape>
      </w:pict>
    </w:r>
    <w:r>
      <w:rPr/>
      <w:pict>
        <v:shape style="position:absolute;margin-left:533.099976pt;margin-top:795.637939pt;width:6.5pt;height:11pt;mso-position-horizontal-relative:page;mso-position-vertical-relative:page;z-index:-7725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2528" type="#_x0000_t75" stroked="false">
          <v:imagedata r:id="rId1" o:title=""/>
        </v:shape>
      </w:pict>
    </w:r>
    <w:r>
      <w:rPr/>
      <w:pict>
        <v:shape style="position:absolute;margin-left:527.659973pt;margin-top:781.957947pt;width:13.15pt;height:11pt;mso-position-horizontal-relative:page;mso-position-vertical-relative:page;z-index:-772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2480" type="#_x0000_t75" stroked="false">
          <v:imagedata r:id="rId1" o:title=""/>
        </v:shape>
      </w:pict>
    </w:r>
    <w:r>
      <w:rPr/>
      <w:pict>
        <v:shape style="position:absolute;margin-left:524.099976pt;margin-top:781.957947pt;width:15.7pt;height:11pt;mso-position-horizontal-relative:page;mso-position-vertical-relative:page;z-index:-7724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2432" type="#_x0000_t75" stroked="false">
          <v:imagedata r:id="rId1" o:title=""/>
        </v:shape>
      </w:pict>
    </w:r>
    <w:r>
      <w:rPr/>
      <w:pict>
        <v:shape style="position:absolute;margin-left:523.099976pt;margin-top:781.957947pt;width:17.7pt;height:11pt;mso-position-horizontal-relative:page;mso-position-vertical-relative:page;z-index:-772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2384" type="#_x0000_t75" stroked="false">
          <v:imagedata r:id="rId1" o:title=""/>
        </v:shape>
      </w:pict>
    </w:r>
    <w:r>
      <w:rPr/>
      <w:pict>
        <v:shape style="position:absolute;margin-left:523.460022pt;margin-top:781.957947pt;width:17.3pt;height:11pt;mso-position-horizontal-relative:page;mso-position-vertical-relative:page;z-index:-772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72336" type="#_x0000_t75" stroked="false">
          <v:imagedata r:id="rId1" o:title=""/>
        </v:shape>
      </w:pict>
    </w:r>
    <w:r>
      <w:rPr/>
      <w:pict>
        <v:shape style="position:absolute;margin-left:523.099976pt;margin-top:781.957947pt;width:17.7pt;height:11pt;mso-position-horizontal-relative:page;mso-position-vertical-relative:page;z-index:-772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772600" type="#_x0000_t202" filled="false" stroked="false">
          <v:textbox inset="0,0,0,0">
            <w:txbxContent>
              <w:p>
                <w:pPr>
                  <w:pStyle w:val="BodyText"/>
                  <w:spacing w:line="214" w:lineRule="exact"/>
                  <w:ind w:left="20" w:right="0"/>
                  <w:jc w:val="left"/>
                </w:pPr>
                <w:r>
                  <w:rPr/>
                  <w:t>北京数字认证股份有限公司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jca.org.cn/" TargetMode="External"/><Relationship Id="rId10" Type="http://schemas.openxmlformats.org/officeDocument/2006/relationships/hyperlink" Target="mailto:dongban@bjca.org.cn" TargetMode="External"/><Relationship Id="rId11" Type="http://schemas.openxmlformats.org/officeDocument/2006/relationships/hyperlink" Target="http://www.cninfo.com.cn/new/disclosure/stock" TargetMode="External"/><Relationship Id="rId12" Type="http://schemas.openxmlformats.org/officeDocument/2006/relationships/image" Target="media/image3.jpeg"/><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2.xml"/><Relationship Id="rId19" Type="http://schemas.openxmlformats.org/officeDocument/2006/relationships/footer" Target="footer7.xml"/><Relationship Id="rId20" Type="http://schemas.openxmlformats.org/officeDocument/2006/relationships/image" Target="media/image4.jpeg"/><Relationship Id="rId21"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北京数字认证股份有限公司</dc:creator>
  <dc:title>北京数字认证股份有限公司2018年年度报告全文</dc:title>
  <dcterms:created xsi:type="dcterms:W3CDTF">2020-05-04T19:23:12Z</dcterms:created>
  <dcterms:modified xsi:type="dcterms:W3CDTF">2020-05-04T19:23:12Z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Microsoft® Word 2016</vt:lpwstr>
  </property>
  <property fmtid="{D5CDD505-2E9C-101B-9397-08002B2CF9AE}" pid="4" name="LastSaved">
    <vt:filetime>2020-05-04T00:00:00Z</vt:filetime>
  </property>
</Properties>
</file>