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42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1409700" cy="2667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700" cy="266700"/>
                    </a:xfrm>
                    <a:prstGeom prst="rect">
                      <a:avLst/>
                    </a:prstGeom>
                  </pic:spPr>
                </pic:pic>
              </a:graphicData>
            </a:graphic>
          </wp:inline>
        </w:drawing>
      </w:r>
      <w:r>
        <w:rPr>
          <w:rFonts w:ascii="Times New Roman" w:hAnsi="Times New Roman" w:cs="Times New Roman" w:eastAsia="Times New Roman" w:hint="default"/>
          <w:position w:val="-7"/>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0" w:right="980" w:firstLine="0"/>
        <w:jc w:val="center"/>
        <w:rPr>
          <w:rFonts w:ascii="宋体" w:hAnsi="宋体" w:cs="宋体" w:eastAsia="宋体" w:hint="default"/>
          <w:sz w:val="36"/>
          <w:szCs w:val="36"/>
        </w:rPr>
      </w:pPr>
      <w:r>
        <w:rPr>
          <w:rFonts w:ascii="宋体" w:hAnsi="宋体" w:cs="宋体" w:eastAsia="宋体" w:hint="default"/>
          <w:b/>
          <w:bCs/>
          <w:sz w:val="36"/>
          <w:szCs w:val="36"/>
        </w:rPr>
        <w:t>北京数字认证股份有限公司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98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0" w:right="980" w:firstLine="0"/>
        <w:jc w:val="center"/>
        <w:rPr>
          <w:rFonts w:ascii="Times New Roman" w:hAnsi="Times New Roman" w:cs="Times New Roman" w:eastAsia="Times New Roman" w:hint="default"/>
          <w:sz w:val="22"/>
          <w:szCs w:val="22"/>
        </w:rPr>
      </w:pPr>
      <w:r>
        <w:rPr>
          <w:rFonts w:ascii="Times New Roman"/>
          <w:b/>
          <w:sz w:val="22"/>
        </w:rPr>
        <w:t>2020-017</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8" w:footer="979" w:top="1060" w:bottom="1160" w:left="980" w:right="0"/>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982"/>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7"/>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公司负责人詹榜华、主管会计工作负责人林雪焰及会计机构负责人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高青山声明：保证年度报告中财务报告的真实、准确、完整。</w:t>
      </w:r>
      <w:r>
        <w:rPr>
          <w:rFonts w:ascii="宋体" w:hAnsi="宋体" w:cs="宋体" w:eastAsia="宋体" w:hint="default"/>
          <w:sz w:val="28"/>
          <w:szCs w:val="28"/>
        </w:rPr>
      </w:r>
    </w:p>
    <w:p>
      <w:pPr>
        <w:spacing w:line="472" w:lineRule="auto" w:before="148"/>
        <w:ind w:left="714" w:right="98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本报告中涉及的未来计划等前瞻性陈述，不构成公司对投资者的实质承诺，</w:t>
      </w:r>
      <w:r>
        <w:rPr>
          <w:rFonts w:ascii="宋体" w:hAnsi="宋体" w:cs="宋体" w:eastAsia="宋体" w:hint="default"/>
          <w:spacing w:val="-2"/>
          <w:sz w:val="28"/>
          <w:szCs w:val="28"/>
        </w:rPr>
      </w:r>
    </w:p>
    <w:p>
      <w:pPr>
        <w:spacing w:line="408" w:lineRule="auto" w:before="0"/>
        <w:ind w:left="15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投资者及相关人士均应当对此保持足够的风险认识，并且应当理解计划、预测</w:t>
      </w:r>
      <w:r>
        <w:rPr>
          <w:rFonts w:ascii="宋体" w:hAnsi="宋体" w:cs="宋体" w:eastAsia="宋体" w:hint="default"/>
          <w:b/>
          <w:bCs/>
          <w:w w:val="99"/>
          <w:sz w:val="28"/>
          <w:szCs w:val="28"/>
        </w:rPr>
        <w:t> </w:t>
      </w:r>
      <w:r>
        <w:rPr>
          <w:rFonts w:ascii="宋体" w:hAnsi="宋体" w:cs="宋体" w:eastAsia="宋体" w:hint="default"/>
          <w:b/>
          <w:bCs/>
          <w:sz w:val="28"/>
          <w:szCs w:val="28"/>
        </w:rPr>
        <w:t>与承诺之间的差异，请投资者注意投资风险。</w:t>
      </w:r>
      <w:r>
        <w:rPr>
          <w:rFonts w:ascii="宋体" w:hAnsi="宋体" w:cs="宋体" w:eastAsia="宋体" w:hint="default"/>
          <w:sz w:val="28"/>
          <w:szCs w:val="28"/>
        </w:rPr>
      </w:r>
    </w:p>
    <w:p>
      <w:pPr>
        <w:spacing w:line="386" w:lineRule="auto" w:before="162"/>
        <w:ind w:left="152" w:right="1074" w:firstLine="562"/>
        <w:jc w:val="right"/>
        <w:rPr>
          <w:rFonts w:ascii="宋体" w:hAnsi="宋体" w:cs="宋体" w:eastAsia="宋体" w:hint="default"/>
          <w:sz w:val="28"/>
          <w:szCs w:val="28"/>
        </w:rPr>
      </w:pPr>
      <w:r>
        <w:rPr>
          <w:rFonts w:ascii="宋体" w:hAnsi="宋体" w:cs="宋体" w:eastAsia="宋体" w:hint="default"/>
          <w:b/>
          <w:bCs/>
          <w:spacing w:val="2"/>
          <w:sz w:val="28"/>
          <w:szCs w:val="28"/>
        </w:rPr>
        <w:t>公司存在</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北京市法人一证通</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项目风险、信息技术快速进步风险、业务收</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入季节性波动风险、应收账款较高风险，具体内容详见本报告中第四节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经营情</w:t>
      </w:r>
      <w:r>
        <w:rPr>
          <w:rFonts w:ascii="宋体" w:hAnsi="宋体" w:cs="宋体" w:eastAsia="宋体" w:hint="default"/>
          <w:b/>
          <w:bCs/>
          <w:w w:val="99"/>
          <w:sz w:val="28"/>
          <w:szCs w:val="28"/>
        </w:rPr>
        <w:t> </w:t>
      </w:r>
      <w:r>
        <w:rPr>
          <w:rFonts w:ascii="宋体" w:hAnsi="宋体" w:cs="宋体" w:eastAsia="宋体" w:hint="default"/>
          <w:b/>
          <w:bCs/>
          <w:w w:val="95"/>
          <w:sz w:val="28"/>
          <w:szCs w:val="28"/>
        </w:rPr>
        <w:t>况讨论与分析</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中</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九、公司未来发展的展望</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部分，敬请投资者关注相关内容。</w:t>
      </w:r>
      <w:r>
        <w:rPr>
          <w:rFonts w:ascii="宋体" w:hAnsi="宋体" w:cs="宋体" w:eastAsia="宋体" w:hint="default"/>
          <w:sz w:val="28"/>
          <w:szCs w:val="28"/>
        </w:rPr>
      </w:r>
    </w:p>
    <w:p>
      <w:pPr>
        <w:spacing w:before="148"/>
        <w:ind w:left="714" w:right="982"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66"/>
          <w:sz w:val="28"/>
          <w:szCs w:val="28"/>
        </w:rPr>
        <w:t> </w:t>
      </w:r>
      <w:r>
        <w:rPr>
          <w:rFonts w:ascii="Times New Roman" w:hAnsi="Times New Roman" w:cs="Times New Roman" w:eastAsia="Times New Roman" w:hint="default"/>
          <w:b/>
          <w:bCs/>
          <w:sz w:val="28"/>
          <w:szCs w:val="28"/>
        </w:rPr>
        <w:t>18,000</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万股为基数，向</w:t>
      </w:r>
      <w:r>
        <w:rPr>
          <w:rFonts w:ascii="宋体" w:hAnsi="宋体" w:cs="宋体" w:eastAsia="宋体" w:hint="default"/>
          <w:sz w:val="28"/>
          <w:szCs w:val="28"/>
        </w:rPr>
      </w:r>
    </w:p>
    <w:p>
      <w:pPr>
        <w:spacing w:before="237"/>
        <w:ind w:left="0" w:right="1131" w:firstLine="0"/>
        <w:jc w:val="right"/>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1</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5"/>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2"/>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5"/>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w w:val="99"/>
          <w:sz w:val="28"/>
          <w:szCs w:val="28"/>
        </w:rPr>
        <w:t>以资</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公积</w:t>
      </w:r>
      <w:r>
        <w:rPr>
          <w:rFonts w:ascii="宋体" w:hAnsi="宋体" w:cs="宋体" w:eastAsia="宋体" w:hint="default"/>
          <w:sz w:val="28"/>
          <w:szCs w:val="28"/>
        </w:rPr>
      </w:r>
    </w:p>
    <w:p>
      <w:pPr>
        <w:spacing w:before="236"/>
        <w:ind w:left="152" w:right="982" w:firstLine="0"/>
        <w:jc w:val="left"/>
        <w:rPr>
          <w:rFonts w:ascii="宋体" w:hAnsi="宋体" w:cs="宋体" w:eastAsia="宋体" w:hint="default"/>
          <w:sz w:val="28"/>
          <w:szCs w:val="28"/>
        </w:rPr>
      </w:pPr>
      <w:r>
        <w:rPr>
          <w:rFonts w:ascii="宋体" w:hAnsi="宋体" w:cs="宋体" w:eastAsia="宋体" w:hint="default"/>
          <w:b/>
          <w:bCs/>
          <w:sz w:val="28"/>
          <w:szCs w:val="28"/>
        </w:rPr>
        <w:t>金向全体股东每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8" w:top="1060" w:bottom="1160" w:left="980" w:right="0"/>
          <w:pgNumType w:start="2"/>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tabs>
          <w:tab w:pos="724" w:val="left" w:leader="none"/>
        </w:tabs>
        <w:spacing w:line="460" w:lineRule="exact" w:before="0"/>
        <w:ind w:left="0" w:right="978"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83" w:val="right" w:leader="dot"/>
            </w:tabs>
            <w:spacing w:line="240" w:lineRule="auto" w:before="85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330"/>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before="330"/>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27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9783" w:val="right" w:leader="dot"/>
            </w:tabs>
            <w:spacing w:line="240" w:lineRule="auto" w:before="333"/>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240" w:lineRule="auto" w:before="330"/>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可转换公司债券相关情况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董事、监事、高级管理人员和员工情况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公司治理</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before="330"/>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公司债券相关情况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3" w:val="right" w:leader="dot"/>
            </w:tabs>
            <w:spacing w:line="240" w:lineRule="auto" w:before="333"/>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财务报告</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w:t>
            </w:r>
            <w:r>
              <w:rPr>
                <w:spacing w:val="-2"/>
              </w:rPr>
              <w:t> </w:t>
            </w:r>
            <w:r>
              <w:rPr/>
              <w:t>备查文件目录</w:t>
            </w:r>
            <w:r>
              <w:rPr>
                <w:rFonts w:ascii="Times New Roman" w:hAnsi="Times New Roman" w:cs="Times New Roman" w:eastAsia="Times New Roman" w:hint="default"/>
              </w:rPr>
              <w:tab/>
              <w:t>174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8" w:footer="979" w:top="1060" w:bottom="1160" w:left="980" w:right="0"/>
        </w:sectPr>
      </w:pPr>
    </w:p>
    <w:p>
      <w:pPr>
        <w:tabs>
          <w:tab w:pos="643" w:val="left" w:leader="none"/>
        </w:tabs>
        <w:spacing w:before="942"/>
        <w:ind w:left="0" w:right="980"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公司、本公司、数字认证、北京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CA</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北京数字认证股份有限公司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本集团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北京数字认证股份有限公司及其子公司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北京国资公司、国资公司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北京市国有资产经营有限责任公司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首信股份</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首都信息发展股份有限公司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CA</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上海市数字证书认证中心有限公司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科桥投资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北京科桥创业投资中心（有限合伙）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安信天行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北京安信天行科技有限公司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数字医信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北京数字医信科技有限公司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数字认证</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r>
              <w:rPr>
                <w:rFonts w:ascii="Times New Roman" w:hAnsi="Times New Roman" w:cs="Times New Roman" w:eastAsia="Times New Roman" w:hint="default"/>
                <w:sz w:val="18"/>
                <w:szCs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数字认证</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r>
              <w:rPr>
                <w:rFonts w:ascii="Times New Roman" w:hAnsi="Times New Roman" w:cs="Times New Roman" w:eastAsia="Times New Roman" w:hint="default"/>
                <w:sz w:val="18"/>
                <w:szCs w:val="18"/>
              </w:rPr>
              <w:t>)</w:t>
            </w:r>
            <w:r>
              <w:rPr>
                <w:rFonts w:ascii="宋体" w:hAnsi="宋体" w:cs="宋体" w:eastAsia="宋体" w:hint="default"/>
                <w:sz w:val="18"/>
                <w:szCs w:val="18"/>
              </w:rPr>
              <w:t>有限责任公司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中天信安</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北京中天信安科技有限责任公司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版信通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北京版信通技术有限公司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北京数字认证股份有限公司章程</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982"/>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2"/>
        <w:jc w:val="left"/>
        <w:rPr>
          <w:b w:val="0"/>
          <w:bCs w:val="0"/>
        </w:rPr>
      </w:pPr>
      <w:r>
        <w:rPr/>
        <w:pict>
          <v:shape style="position:absolute;margin-left:138pt;margin-top:114.585602pt;width:396.95pt;height:19.7pt;mso-position-horizontal-relative:page;mso-position-vertical-relative:paragraph;z-index:-884080" type="#_x0000_t202" filled="false" stroked="false">
            <v:textbox inset="0,0,0,0">
              <w:txbxContent>
                <w:p>
                  <w:pPr>
                    <w:pStyle w:val="BodyText"/>
                    <w:spacing w:line="240" w:lineRule="auto" w:before="49"/>
                    <w:ind w:left="0" w:right="0"/>
                    <w:jc w:val="left"/>
                  </w:pPr>
                  <w:r>
                    <w:rPr/>
                    <w:t>（如有）</w:t>
                  </w:r>
                </w:p>
              </w:txbxContent>
            </v:textbox>
            <w10:wrap type="none"/>
          </v:shape>
        </w:pict>
      </w:r>
      <w:r>
        <w:rPr/>
        <w:t>一、公司信息</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数字认证</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300579</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北京数字认证股份有限公司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数字认证</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BEIJING </w:t>
            </w:r>
            <w:r>
              <w:rPr>
                <w:rFonts w:ascii="Times New Roman"/>
                <w:spacing w:val="-3"/>
                <w:sz w:val="18"/>
              </w:rPr>
              <w:t>CERTIFICATE </w:t>
            </w:r>
            <w:r>
              <w:rPr>
                <w:rFonts w:ascii="Times New Roman"/>
                <w:sz w:val="18"/>
              </w:rPr>
              <w:t>AUTHORITY Co.,</w:t>
            </w:r>
            <w:r>
              <w:rPr>
                <w:rFonts w:ascii="Times New Roman"/>
                <w:spacing w:val="-24"/>
                <w:sz w:val="18"/>
              </w:rPr>
              <w:t> </w:t>
            </w:r>
            <w:r>
              <w:rPr>
                <w:rFonts w:ascii="Times New Roman"/>
                <w:sz w:val="18"/>
              </w:rPr>
              <w:t>Ltd.</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BJCA</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詹榜华</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北京市海淀区北四环西路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100080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北京市海淀区北四环西路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100080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https:/</w:t>
            </w:r>
            <w:hyperlink r:id="rId9">
              <w:r>
                <w:rPr>
                  <w:rFonts w:ascii="Times New Roman"/>
                  <w:sz w:val="18"/>
                </w:rPr>
                <w:t>/www</w:t>
              </w:r>
            </w:hyperlink>
            <w:r>
              <w:rPr>
                <w:rFonts w:ascii="Times New Roman"/>
                <w:sz w:val="18"/>
              </w:rPr>
              <w:t>.</w:t>
            </w:r>
            <w:hyperlink r:id="rId9">
              <w:r>
                <w:rPr>
                  <w:rFonts w:ascii="Times New Roman"/>
                  <w:sz w:val="18"/>
                </w:rPr>
                <w:t>bjca.cn</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dongban@bjca.org.cn</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982"/>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齐秀彬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杨萍</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北京市海淀区北四环西路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北京市海淀区北四环西路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010-58045602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010-58045602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010-58045836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010-58045836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dongban@bjca.org.cn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dongban@bjca.org.cn</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982"/>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证券时报、证券日报、中国证券报、上海证券报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北京数字认证股份有限公司董事会办公室</w:t>
            </w:r>
          </w:p>
        </w:tc>
      </w:tr>
    </w:tbl>
    <w:p>
      <w:pPr>
        <w:spacing w:line="240" w:lineRule="auto" w:before="3"/>
        <w:rPr>
          <w:rFonts w:ascii="宋体" w:hAnsi="宋体" w:cs="宋体" w:eastAsia="宋体" w:hint="default"/>
          <w:b/>
          <w:bCs/>
          <w:sz w:val="18"/>
          <w:szCs w:val="18"/>
        </w:rPr>
      </w:pPr>
    </w:p>
    <w:p>
      <w:pPr>
        <w:pStyle w:val="Heading2"/>
        <w:spacing w:line="240" w:lineRule="auto" w:before="26"/>
        <w:ind w:right="982"/>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公司聘请的会计师事务所</w:t>
      </w:r>
    </w:p>
    <w:p>
      <w:pPr>
        <w:spacing w:after="0" w:line="240" w:lineRule="auto"/>
        <w:jc w:val="left"/>
        <w:sectPr>
          <w:pgSz w:w="11910" w:h="16840"/>
          <w:pgMar w:header="748" w:footer="979" w:top="1060" w:bottom="1160" w:left="980" w:right="0"/>
        </w:sectPr>
      </w:pPr>
    </w:p>
    <w:p>
      <w:pPr>
        <w:spacing w:line="240" w:lineRule="auto" w:before="4"/>
        <w:rPr>
          <w:rFonts w:ascii="宋体" w:hAnsi="宋体" w:cs="宋体" w:eastAsia="宋体" w:hint="default"/>
          <w:sz w:val="28"/>
          <w:szCs w:val="28"/>
        </w:rPr>
      </w:pPr>
      <w:r>
        <w:rPr/>
        <w:pict>
          <v:shape style="position:absolute;margin-left:174.477005pt;margin-top:438.909973pt;width:105.3pt;height:19.7pt;mso-position-horizontal-relative:page;mso-position-vertical-relative:page;z-index:-884032" type="#_x0000_t202" filled="false" stroked="false">
            <v:textbox inset="0,0,0,0">
              <w:txbxContent>
                <w:p>
                  <w:pPr>
                    <w:pStyle w:val="BodyText"/>
                    <w:spacing w:line="240" w:lineRule="auto" w:before="49"/>
                    <w:ind w:left="0" w:right="0"/>
                    <w:jc w:val="left"/>
                  </w:pPr>
                  <w:r>
                    <w:rPr/>
                    <w:t>（元）</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中国北京朝阳区建国门外大街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郑建彪、王娟</w:t>
            </w:r>
          </w:p>
        </w:tc>
      </w:tr>
    </w:tbl>
    <w:p>
      <w:pPr>
        <w:pStyle w:val="BodyText"/>
        <w:spacing w:line="240" w:lineRule="auto" w:before="49"/>
        <w:ind w:right="982"/>
        <w:jc w:val="left"/>
      </w:pPr>
      <w:r>
        <w:rPr/>
        <w:t>公司聘请的报告期内履行持续督导职责的保荐机构</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401" w:right="17" w:hanging="378"/>
              <w:jc w:val="left"/>
              <w:rPr>
                <w:rFonts w:ascii="宋体" w:hAnsi="宋体" w:cs="宋体" w:eastAsia="宋体" w:hint="default"/>
                <w:sz w:val="18"/>
                <w:szCs w:val="18"/>
              </w:rPr>
            </w:pPr>
            <w:r>
              <w:rPr>
                <w:rFonts w:ascii="宋体" w:hAnsi="宋体" w:cs="宋体" w:eastAsia="宋体" w:hint="default"/>
                <w:sz w:val="18"/>
                <w:szCs w:val="18"/>
              </w:rPr>
              <w:t>北京市东城区朝内大街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号凯 恒中心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E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朱明强、李华筠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2016.12.23--2019.12.31</w:t>
            </w:r>
          </w:p>
        </w:tc>
      </w:tr>
    </w:tbl>
    <w:p>
      <w:pPr>
        <w:pStyle w:val="BodyText"/>
        <w:spacing w:line="240" w:lineRule="auto" w:before="49"/>
        <w:ind w:right="982"/>
        <w:jc w:val="left"/>
      </w:pPr>
      <w:r>
        <w:rPr/>
        <w:t>公司聘请的报告期内履行持续督导职责的财务顾问</w:t>
      </w:r>
    </w:p>
    <w:p>
      <w:pPr>
        <w:pStyle w:val="BodyText"/>
        <w:spacing w:line="240" w:lineRule="auto" w:before="118"/>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公司是否需追溯调整或重述以前年度会计数据</w:t>
      </w:r>
    </w:p>
    <w:p>
      <w:pPr>
        <w:pStyle w:val="BodyText"/>
        <w:spacing w:line="240" w:lineRule="auto" w:before="115"/>
        <w:ind w:right="982"/>
        <w:jc w:val="left"/>
      </w:pPr>
      <w:r>
        <w:rPr/>
        <w:pict>
          <v:shape style="position:absolute;margin-left:174.477005pt;margin-top:63.541702pt;width:105.3pt;height:19.7pt;mso-position-horizontal-relative:page;mso-position-vertical-relative:paragraph;z-index:-884056" type="#_x0000_t202" filled="false" stroked="false">
            <v:textbox inset="0,0,0,0">
              <w:txbxContent>
                <w:p>
                  <w:pPr>
                    <w:pStyle w:val="BodyText"/>
                    <w:spacing w:line="240" w:lineRule="auto" w:before="49"/>
                    <w:ind w:left="0" w:right="0"/>
                    <w:jc w:val="left"/>
                  </w:pPr>
                  <w:r>
                    <w:rPr/>
                    <w:t>（元）</w:t>
                  </w:r>
                </w:p>
              </w:txbxContent>
            </v:textbox>
            <w10:wrap type="none"/>
          </v:shape>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5"/>
        <w:gridCol w:w="269"/>
        <w:gridCol w:w="1360"/>
        <w:gridCol w:w="1632"/>
        <w:gridCol w:w="1738"/>
        <w:gridCol w:w="1735"/>
      </w:tblGrid>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2" w:right="0"/>
              <w:jc w:val="left"/>
              <w:rPr>
                <w:rFonts w:ascii="Times New Roman" w:hAnsi="Times New Roman" w:cs="Times New Roman" w:eastAsia="Times New Roman" w:hint="default"/>
                <w:sz w:val="18"/>
                <w:szCs w:val="18"/>
              </w:rPr>
            </w:pPr>
            <w:r>
              <w:rPr>
                <w:rFonts w:ascii="Times New Roman"/>
                <w:sz w:val="18"/>
              </w:rPr>
              <w:t>793,892,436.34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667,720,172.71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519,848,359.34</w:t>
            </w:r>
          </w:p>
        </w:tc>
      </w:tr>
      <w:tr>
        <w:trPr>
          <w:trHeight w:val="403" w:hRule="exact"/>
        </w:trPr>
        <w:tc>
          <w:tcPr>
            <w:tcW w:w="283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269" w:type="dxa"/>
            <w:tcBorders>
              <w:top w:val="single" w:sz="4" w:space="0" w:color="000000"/>
              <w:left w:val="single" w:sz="13" w:space="0" w:color="FFFFFF"/>
              <w:bottom w:val="single" w:sz="4" w:space="0" w:color="000000"/>
              <w:right w:val="nil" w:sz="6" w:space="0" w:color="auto"/>
            </w:tcBorders>
          </w:tcPr>
          <w:p>
            <w:pPr/>
          </w:p>
        </w:tc>
        <w:tc>
          <w:tcPr>
            <w:tcW w:w="1360" w:type="dxa"/>
            <w:tcBorders>
              <w:top w:val="single" w:sz="4" w:space="0" w:color="000000"/>
              <w:left w:val="nil" w:sz="6" w:space="0" w:color="auto"/>
              <w:bottom w:val="single" w:sz="4" w:space="0" w:color="000000"/>
              <w:right w:val="single" w:sz="10" w:space="0" w:color="FFFFFF"/>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98,526,028.23</w:t>
            </w:r>
          </w:p>
        </w:tc>
        <w:tc>
          <w:tcPr>
            <w:tcW w:w="163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86,455,400.69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84,245,509.94</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63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6" w:right="0"/>
              <w:jc w:val="left"/>
              <w:rPr>
                <w:rFonts w:ascii="Times New Roman" w:hAnsi="Times New Roman" w:cs="Times New Roman" w:eastAsia="Times New Roman" w:hint="default"/>
                <w:sz w:val="18"/>
                <w:szCs w:val="18"/>
              </w:rPr>
            </w:pPr>
            <w:r>
              <w:rPr>
                <w:rFonts w:ascii="Times New Roman"/>
                <w:sz w:val="18"/>
              </w:rPr>
              <w:t>84,350,406.82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75,767,544.20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63,684,619.43</w:t>
            </w:r>
          </w:p>
        </w:tc>
      </w:tr>
      <w:tr>
        <w:trPr>
          <w:trHeight w:val="403" w:hRule="exact"/>
        </w:trPr>
        <w:tc>
          <w:tcPr>
            <w:tcW w:w="283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69" w:type="dxa"/>
            <w:tcBorders>
              <w:top w:val="single" w:sz="4" w:space="0" w:color="000000"/>
              <w:left w:val="single" w:sz="13" w:space="0" w:color="FFFFFF"/>
              <w:bottom w:val="single" w:sz="4" w:space="0" w:color="000000"/>
              <w:right w:val="nil" w:sz="6" w:space="0" w:color="auto"/>
            </w:tcBorders>
          </w:tcPr>
          <w:p>
            <w:pPr/>
          </w:p>
        </w:tc>
        <w:tc>
          <w:tcPr>
            <w:tcW w:w="1360" w:type="dxa"/>
            <w:tcBorders>
              <w:top w:val="single" w:sz="4" w:space="0" w:color="000000"/>
              <w:left w:val="nil" w:sz="6" w:space="0" w:color="auto"/>
              <w:bottom w:val="single" w:sz="4" w:space="0" w:color="000000"/>
              <w:right w:val="single" w:sz="10" w:space="0" w:color="FFFFFF"/>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74,786,411.04</w:t>
            </w:r>
          </w:p>
        </w:tc>
        <w:tc>
          <w:tcPr>
            <w:tcW w:w="163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127,963,062.02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115,323,351.32</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0.5474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0.4803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0.4680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0.5474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0.4803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0.4680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4" w:right="0"/>
              <w:jc w:val="left"/>
              <w:rPr>
                <w:rFonts w:ascii="Times New Roman" w:hAnsi="Times New Roman" w:cs="Times New Roman" w:eastAsia="Times New Roman" w:hint="default"/>
                <w:sz w:val="18"/>
                <w:szCs w:val="18"/>
              </w:rPr>
            </w:pPr>
            <w:r>
              <w:rPr>
                <w:rFonts w:ascii="Times New Roman"/>
                <w:sz w:val="18"/>
              </w:rPr>
              <w:t>15.40%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16.29%</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5" w:right="0"/>
              <w:jc w:val="left"/>
              <w:rPr>
                <w:rFonts w:ascii="Times New Roman" w:hAnsi="Times New Roman" w:cs="Times New Roman" w:eastAsia="Times New Roman" w:hint="default"/>
                <w:sz w:val="18"/>
                <w:szCs w:val="18"/>
              </w:rPr>
            </w:pPr>
            <w:r>
              <w:rPr>
                <w:rFonts w:ascii="Times New Roman"/>
                <w:sz w:val="18"/>
              </w:rPr>
              <w:t>1,317,113,641.66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1,125,408,339.49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931,346,063.07</w:t>
            </w:r>
          </w:p>
        </w:tc>
      </w:tr>
      <w:tr>
        <w:trPr>
          <w:trHeight w:val="404" w:hRule="exact"/>
        </w:trPr>
        <w:tc>
          <w:tcPr>
            <w:tcW w:w="283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c>
          <w:tcPr>
            <w:tcW w:w="269" w:type="dxa"/>
            <w:tcBorders>
              <w:top w:val="single" w:sz="4" w:space="0" w:color="000000"/>
              <w:left w:val="single" w:sz="13" w:space="0" w:color="FFFFFF"/>
              <w:bottom w:val="single" w:sz="4" w:space="0" w:color="000000"/>
              <w:right w:val="nil" w:sz="6" w:space="0" w:color="auto"/>
            </w:tcBorders>
          </w:tcPr>
          <w:p>
            <w:pPr/>
          </w:p>
        </w:tc>
        <w:tc>
          <w:tcPr>
            <w:tcW w:w="1360" w:type="dxa"/>
            <w:tcBorders>
              <w:top w:val="single" w:sz="4" w:space="0" w:color="000000"/>
              <w:left w:val="nil" w:sz="6" w:space="0" w:color="auto"/>
              <w:bottom w:val="single" w:sz="4" w:space="0" w:color="000000"/>
              <w:right w:val="single" w:sz="10" w:space="0" w:color="FFFFFF"/>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679,618,297.58</w:t>
            </w:r>
          </w:p>
        </w:tc>
        <w:tc>
          <w:tcPr>
            <w:tcW w:w="163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612,316,987.75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545,429,675.01</w:t>
            </w:r>
          </w:p>
        </w:tc>
      </w:tr>
    </w:tbl>
    <w:p>
      <w:pPr>
        <w:spacing w:line="240" w:lineRule="auto" w:before="3"/>
        <w:rPr>
          <w:rFonts w:ascii="宋体" w:hAnsi="宋体" w:cs="宋体" w:eastAsia="宋体" w:hint="default"/>
          <w:sz w:val="18"/>
          <w:szCs w:val="18"/>
        </w:rPr>
      </w:pPr>
    </w:p>
    <w:p>
      <w:pPr>
        <w:pStyle w:val="Heading2"/>
        <w:spacing w:line="240" w:lineRule="auto" w:before="26"/>
        <w:ind w:right="982"/>
        <w:jc w:val="left"/>
        <w:rPr>
          <w:b w:val="0"/>
          <w:bCs w:val="0"/>
        </w:rPr>
      </w:pPr>
      <w:r>
        <w:rPr/>
        <w:pict>
          <v:shape style="position:absolute;margin-left:174.477005pt;margin-top:-32.108379pt;width:105.3pt;height:19.75pt;mso-position-horizontal-relative:page;mso-position-vertical-relative:paragraph;z-index:-884008" type="#_x0000_t202" filled="false" stroked="false">
            <v:textbox inset="0,0,0,0">
              <w:txbxContent>
                <w:p>
                  <w:pPr>
                    <w:pStyle w:val="BodyText"/>
                    <w:spacing w:line="240" w:lineRule="auto" w:before="49"/>
                    <w:ind w:left="0" w:right="0"/>
                    <w:jc w:val="left"/>
                  </w:pPr>
                  <w:r>
                    <w:rPr/>
                    <w:t>（元）</w:t>
                  </w:r>
                </w:p>
              </w:txbxContent>
            </v:textbox>
            <w10:wrap type="none"/>
          </v:shape>
        </w:pict>
      </w: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2"/>
        <w:gridCol w:w="1740"/>
        <w:gridCol w:w="1740"/>
        <w:gridCol w:w="1738"/>
        <w:gridCol w:w="1730"/>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114,646,550.82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141,974,047.42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147,132,962.10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390,138,876.00</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6,601,470.07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20,176,527.31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15,526,137.98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56,221,892.87</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5,719,234.24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15,889,512.88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11,993,184.63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50,748,475.07</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-137,458,902.11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-11,861,279.14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-1,721,810.33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225,828,402.62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7"/>
        <w:rPr>
          <w:rFonts w:ascii="宋体" w:hAnsi="宋体" w:cs="宋体" w:eastAsia="宋体" w:hint="default"/>
          <w:sz w:val="25"/>
          <w:szCs w:val="25"/>
        </w:rPr>
      </w:pPr>
    </w:p>
    <w:p>
      <w:pPr>
        <w:pStyle w:val="BodyText"/>
        <w:spacing w:line="240" w:lineRule="auto" w:before="44"/>
        <w:ind w:right="982"/>
        <w:jc w:val="left"/>
      </w:pPr>
      <w:r>
        <w:rPr/>
        <w:t>上述财务指标或其加总数是否与公司已披露季度报告、半年度报告相关财务指标存在重大差异</w:t>
      </w:r>
    </w:p>
    <w:p>
      <w:pPr>
        <w:pStyle w:val="BodyText"/>
        <w:spacing w:line="240" w:lineRule="auto" w:before="119"/>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2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8"/>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982"/>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-106,110.23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-15,547.14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-21,846.96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8,201,855.71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5,950,553.03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5,470,413.43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-60,856.03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13,442,480.47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8,637,362.39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6,638,942.92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2,976,033.57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2,496,630.43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1,886,092.32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1,256,190.00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14,175,621.41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10,687,856.49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20,560,890.51</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2"/>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81"/>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Heading4"/>
        <w:spacing w:line="432" w:lineRule="exact" w:before="62"/>
        <w:ind w:left="573" w:right="982" w:firstLine="2"/>
        <w:jc w:val="left"/>
      </w:pPr>
      <w:r>
        <w:rPr>
          <w:rFonts w:ascii="宋体" w:hAnsi="宋体" w:cs="宋体" w:eastAsia="宋体" w:hint="default"/>
          <w:b/>
          <w:bCs/>
        </w:rPr>
        <w:t>（一）公司的主要业务</w:t>
      </w:r>
      <w:r>
        <w:rPr>
          <w:rFonts w:ascii="宋体" w:hAnsi="宋体" w:cs="宋体" w:eastAsia="宋体" w:hint="default"/>
          <w:b/>
          <w:bCs/>
          <w:w w:val="100"/>
        </w:rPr>
        <w:t> </w:t>
      </w:r>
      <w:r>
        <w:rPr>
          <w:spacing w:val="-4"/>
        </w:rPr>
        <w:t>公司是领先的网络安全解决方案提供商，坚持</w:t>
      </w:r>
      <w:r>
        <w:rPr>
          <w:rFonts w:ascii="Times New Roman" w:hAnsi="Times New Roman" w:cs="Times New Roman" w:eastAsia="Times New Roman" w:hint="default"/>
          <w:spacing w:val="-4"/>
        </w:rPr>
        <w:t>“</w:t>
      </w:r>
      <w:r>
        <w:rPr>
          <w:spacing w:val="-4"/>
        </w:rPr>
        <w:t>共建可信任的数字世界</w:t>
      </w:r>
      <w:r>
        <w:rPr>
          <w:rFonts w:ascii="Times New Roman" w:hAnsi="Times New Roman" w:cs="Times New Roman" w:eastAsia="Times New Roman" w:hint="default"/>
          <w:spacing w:val="-4"/>
        </w:rPr>
        <w:t>”</w:t>
      </w:r>
      <w:r>
        <w:rPr>
          <w:spacing w:val="-4"/>
        </w:rPr>
        <w:t>的企业愿景、以</w:t>
      </w:r>
      <w:r>
        <w:rPr>
          <w:rFonts w:ascii="Times New Roman" w:hAnsi="Times New Roman" w:cs="Times New Roman" w:eastAsia="Times New Roman" w:hint="default"/>
          <w:spacing w:val="-4"/>
        </w:rPr>
        <w:t>“</w:t>
      </w:r>
      <w:r>
        <w:rPr>
          <w:spacing w:val="-4"/>
        </w:rPr>
        <w:t>提供高品质的</w:t>
      </w:r>
    </w:p>
    <w:p>
      <w:pPr>
        <w:pStyle w:val="Heading4"/>
        <w:spacing w:line="272" w:lineRule="exact"/>
        <w:ind w:right="0"/>
        <w:jc w:val="both"/>
      </w:pPr>
      <w:r>
        <w:rPr/>
        <w:t>网络安全服务，帮助用户构建安全可信的网络空间</w:t>
      </w:r>
      <w:r>
        <w:rPr>
          <w:rFonts w:ascii="Times New Roman" w:hAnsi="Times New Roman" w:cs="Times New Roman" w:eastAsia="Times New Roman" w:hint="default"/>
        </w:rPr>
        <w:t>”</w:t>
      </w:r>
      <w:r>
        <w:rPr/>
        <w:t>作为公司使命，始终致力于保障用户信息基础设施安</w:t>
      </w:r>
    </w:p>
    <w:p>
      <w:pPr>
        <w:pStyle w:val="Heading4"/>
        <w:spacing w:line="273" w:lineRule="auto" w:before="21"/>
        <w:ind w:right="1126"/>
        <w:jc w:val="both"/>
      </w:pPr>
      <w:r>
        <w:rPr>
          <w:spacing w:val="-2"/>
        </w:rPr>
        <w:t>全可靠运行、保护用户信息化业务安全可信开展、保卫用户数字资产。公司面向全国客户提供电子认证服</w:t>
      </w:r>
      <w:r>
        <w:rPr>
          <w:spacing w:val="-42"/>
        </w:rPr>
        <w:t> </w:t>
      </w:r>
      <w:r>
        <w:rPr>
          <w:spacing w:val="-42"/>
        </w:rPr>
      </w:r>
      <w:r>
        <w:rPr>
          <w:spacing w:val="-2"/>
        </w:rPr>
        <w:t>务、安全集成、安全咨询与运维服务，并在政务、金融、医疗卫生、教育、交通等领域建立领先优势。报</w:t>
      </w:r>
      <w:r>
        <w:rPr>
          <w:spacing w:val="-46"/>
        </w:rPr>
        <w:t> </w:t>
      </w:r>
      <w:r>
        <w:rPr>
          <w:spacing w:val="-46"/>
        </w:rPr>
      </w:r>
      <w:r>
        <w:rPr/>
        <w:t>告期内公司业务持续稳定增长，公司实现营业收入</w:t>
      </w:r>
      <w:r>
        <w:rPr>
          <w:rFonts w:ascii="Times New Roman" w:hAnsi="Times New Roman" w:cs="Times New Roman" w:eastAsia="Times New Roman" w:hint="default"/>
        </w:rPr>
        <w:t>7.94</w:t>
      </w:r>
      <w:r>
        <w:rPr/>
        <w:t>亿元，较上年同期增长</w:t>
      </w:r>
      <w:r>
        <w:rPr>
          <w:rFonts w:ascii="Times New Roman" w:hAnsi="Times New Roman" w:cs="Times New Roman" w:eastAsia="Times New Roman" w:hint="default"/>
        </w:rPr>
        <w:t>18.90%</w:t>
      </w:r>
      <w:r>
        <w:rPr/>
        <w:t>。</w:t>
      </w:r>
    </w:p>
    <w:p>
      <w:pPr>
        <w:spacing w:line="357" w:lineRule="auto" w:before="108"/>
        <w:ind w:left="573" w:right="211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、主要产品和服务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公司主要产品和服务：电子认证服务、安全集成、安全咨询与运维服务。</w:t>
      </w:r>
    </w:p>
    <w:p>
      <w:pPr>
        <w:spacing w:line="357" w:lineRule="auto" w:before="54"/>
        <w:ind w:left="573" w:right="463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）电子认证服务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公司电子认证服务主要包括数字证书和电子签名两类服务。</w:t>
      </w:r>
    </w:p>
    <w:p>
      <w:pPr>
        <w:pStyle w:val="Heading4"/>
        <w:spacing w:line="264" w:lineRule="auto" w:before="54"/>
        <w:ind w:right="1126" w:firstLine="420"/>
        <w:jc w:val="both"/>
      </w:pPr>
      <w:r>
        <w:rPr>
          <w:spacing w:val="-2"/>
        </w:rPr>
        <w:t>公司的数字证书服务是为用户提供数字证书的生产和管理。数字证书是基于密码技术生成的一种电子</w:t>
      </w:r>
      <w:r>
        <w:rPr>
          <w:w w:val="100"/>
        </w:rPr>
        <w:t> </w:t>
      </w:r>
      <w:r>
        <w:rPr>
          <w:spacing w:val="-2"/>
        </w:rPr>
        <w:t>文件，在网络世界中作为身份认证、电子签名和信息保护的基础。公司签发数字证书前需要对用户身份进</w:t>
      </w:r>
      <w:r>
        <w:rPr>
          <w:spacing w:val="-45"/>
        </w:rPr>
        <w:t> </w:t>
      </w:r>
      <w:r>
        <w:rPr>
          <w:spacing w:val="-45"/>
        </w:rPr>
      </w:r>
      <w:r>
        <w:rPr/>
        <w:t>行鉴别，数字证书的有效期一般为</w:t>
      </w:r>
      <w:r>
        <w:rPr>
          <w:rFonts w:ascii="Times New Roman" w:hAnsi="Times New Roman" w:cs="Times New Roman" w:eastAsia="Times New Roman" w:hint="default"/>
        </w:rPr>
        <w:t>1</w:t>
      </w:r>
      <w:r>
        <w:rPr/>
        <w:t>年，用户应在到期前更新。公司在用户新办数字证书和每年更新数字</w:t>
      </w:r>
      <w:r>
        <w:rPr>
          <w:spacing w:val="-23"/>
        </w:rPr>
        <w:t> </w:t>
      </w:r>
      <w:r>
        <w:rPr>
          <w:spacing w:val="-23"/>
        </w:rPr>
      </w:r>
      <w:r>
        <w:rPr>
          <w:spacing w:val="-2"/>
        </w:rPr>
        <w:t>证书时收取数字证书年服务费，对于存放在</w:t>
      </w:r>
      <w:r>
        <w:rPr>
          <w:rFonts w:ascii="Times New Roman" w:hAnsi="Times New Roman" w:cs="Times New Roman" w:eastAsia="Times New Roman" w:hint="default"/>
          <w:spacing w:val="-2"/>
        </w:rPr>
        <w:t>USBKEY</w:t>
      </w:r>
      <w:r>
        <w:rPr>
          <w:spacing w:val="-2"/>
        </w:rPr>
        <w:t>等证书介质中的数字证书，公司在用户新办数字证书</w:t>
      </w:r>
      <w:r>
        <w:rPr>
          <w:spacing w:val="-43"/>
        </w:rPr>
        <w:t> </w:t>
      </w:r>
      <w:r>
        <w:rPr>
          <w:spacing w:val="-43"/>
        </w:rPr>
      </w:r>
      <w:r>
        <w:rPr/>
        <w:t>时同时收取证书介质费用。</w:t>
      </w:r>
    </w:p>
    <w:p>
      <w:pPr>
        <w:pStyle w:val="Heading4"/>
        <w:spacing w:line="268" w:lineRule="auto" w:before="136"/>
        <w:ind w:right="1126" w:firstLine="420"/>
        <w:jc w:val="both"/>
      </w:pPr>
      <w:r>
        <w:rPr>
          <w:spacing w:val="-2"/>
        </w:rPr>
        <w:t>公司的电子签名服务主要向客户提供电子签名生成、电子签名验证、电子签名信息管理等服务，并在</w:t>
      </w:r>
      <w:r>
        <w:rPr>
          <w:w w:val="100"/>
        </w:rPr>
        <w:t> </w:t>
      </w:r>
      <w:r>
        <w:rPr>
          <w:spacing w:val="-2"/>
        </w:rPr>
        <w:t>此基础上向用户提供电子合同管理、证据保全、司法鉴定等解决方案。电子签名是一种在电子文件中起到</w:t>
      </w:r>
      <w:r>
        <w:rPr>
          <w:spacing w:val="-43"/>
        </w:rPr>
        <w:t> </w:t>
      </w:r>
      <w:r>
        <w:rPr>
          <w:spacing w:val="-43"/>
        </w:rPr>
      </w:r>
      <w:r>
        <w:rPr>
          <w:spacing w:val="-2"/>
        </w:rPr>
        <w:t>表明签名人身份和签名人对电子文件内容认可的电子技术手段，是一类反映电子交易事件事实的关键电子</w:t>
      </w:r>
      <w:r>
        <w:rPr>
          <w:spacing w:val="-43"/>
        </w:rPr>
        <w:t> </w:t>
      </w:r>
      <w:r>
        <w:rPr>
          <w:spacing w:val="-43"/>
        </w:rPr>
      </w:r>
      <w:r>
        <w:rPr/>
        <w:t>证据，在《中华人民共和国电子签名法》中规定：</w:t>
      </w:r>
      <w:r>
        <w:rPr>
          <w:rFonts w:ascii="Times New Roman" w:hAnsi="Times New Roman" w:cs="Times New Roman" w:eastAsia="Times New Roman" w:hint="default"/>
        </w:rPr>
        <w:t>“</w:t>
      </w:r>
      <w:r>
        <w:rPr/>
        <w:t>可靠的电子签名与手写签名或者盖章具有同等的法律</w:t>
      </w:r>
      <w:r>
        <w:rPr>
          <w:spacing w:val="-15"/>
        </w:rPr>
        <w:t> </w:t>
      </w:r>
      <w:r>
        <w:rPr>
          <w:spacing w:val="-15"/>
        </w:rPr>
      </w:r>
      <w:r>
        <w:rPr/>
        <w:t>效力</w:t>
      </w:r>
      <w:r>
        <w:rPr>
          <w:rFonts w:ascii="Times New Roman" w:hAnsi="Times New Roman" w:cs="Times New Roman" w:eastAsia="Times New Roman" w:hint="default"/>
        </w:rPr>
        <w:t>”</w:t>
      </w:r>
      <w:r>
        <w:rPr/>
        <w:t>。目前公司基于密码技术构建了可靠电子签名服务体系，向用户提供可靠电子签名服务，客户不需</w:t>
      </w:r>
      <w:r>
        <w:rPr>
          <w:spacing w:val="-17"/>
        </w:rPr>
        <w:t> </w:t>
      </w:r>
      <w:r>
        <w:rPr>
          <w:spacing w:val="-17"/>
        </w:rPr>
      </w:r>
      <w:r>
        <w:rPr>
          <w:spacing w:val="-2"/>
        </w:rPr>
        <w:t>要建设自己的电子签名系统，就可直接使用公司的服务来满足电子签名生成及相关管理需求。公司的电子</w:t>
      </w:r>
      <w:r>
        <w:rPr>
          <w:spacing w:val="-44"/>
        </w:rPr>
        <w:t> </w:t>
      </w:r>
      <w:r>
        <w:rPr>
          <w:spacing w:val="-44"/>
        </w:rPr>
      </w:r>
      <w:r>
        <w:rPr>
          <w:spacing w:val="-2"/>
        </w:rPr>
        <w:t>签名服务业务已面向全国进行推广，开始进入快速发展阶段。根据应用领域及具体项目情况，收费方式有</w:t>
      </w:r>
      <w:r>
        <w:rPr>
          <w:spacing w:val="-44"/>
        </w:rPr>
        <w:t> </w:t>
      </w:r>
      <w:r>
        <w:rPr>
          <w:spacing w:val="-44"/>
        </w:rPr>
      </w:r>
      <w:r>
        <w:rPr/>
        <w:t>按签名次数、包年、阶梯式定价等不同的模式。</w:t>
      </w:r>
    </w:p>
    <w:p>
      <w:pPr>
        <w:pStyle w:val="Heading4"/>
        <w:spacing w:line="256" w:lineRule="auto" w:before="132"/>
        <w:ind w:right="1129" w:firstLine="420"/>
        <w:jc w:val="both"/>
      </w:pPr>
      <w:r>
        <w:rPr/>
        <w:t>报告期内，公司电子认证服务收入</w:t>
      </w:r>
      <w:r>
        <w:rPr>
          <w:rFonts w:ascii="Times New Roman" w:hAnsi="Times New Roman" w:cs="Times New Roman" w:eastAsia="Times New Roman" w:hint="default"/>
        </w:rPr>
        <w:t>2.63</w:t>
      </w:r>
      <w:r>
        <w:rPr/>
        <w:t>亿元，与去年基本持平。受</w:t>
      </w:r>
      <w:r>
        <w:rPr>
          <w:rFonts w:ascii="Times New Roman" w:hAnsi="Times New Roman" w:cs="Times New Roman" w:eastAsia="Times New Roman" w:hint="default"/>
        </w:rPr>
        <w:t>“</w:t>
      </w:r>
      <w:r>
        <w:rPr/>
        <w:t>法人一证通</w:t>
      </w:r>
      <w:r>
        <w:rPr>
          <w:rFonts w:ascii="Times New Roman" w:hAnsi="Times New Roman" w:cs="Times New Roman" w:eastAsia="Times New Roman" w:hint="default"/>
        </w:rPr>
        <w:t>”</w:t>
      </w:r>
      <w:r>
        <w:rPr/>
        <w:t>项目价格下降影响，</w:t>
      </w:r>
      <w:r>
        <w:rPr>
          <w:w w:val="100"/>
        </w:rPr>
        <w:t> </w:t>
      </w:r>
      <w:r>
        <w:rPr>
          <w:spacing w:val="-2"/>
        </w:rPr>
        <w:t>该项数字证书服务收入较去年下降约</w:t>
      </w:r>
      <w:r>
        <w:rPr>
          <w:rFonts w:ascii="Times New Roman" w:hAnsi="Times New Roman" w:cs="Times New Roman" w:eastAsia="Times New Roman" w:hint="default"/>
          <w:spacing w:val="-2"/>
        </w:rPr>
        <w:t>20%</w:t>
      </w:r>
      <w:r>
        <w:rPr>
          <w:spacing w:val="-2"/>
        </w:rPr>
        <w:t>。电子签名服务业务收入继续保持快速增长，已成为公司业务收</w:t>
      </w:r>
      <w:r>
        <w:rPr>
          <w:spacing w:val="-5"/>
        </w:rPr>
        <w:t> </w:t>
      </w:r>
      <w:r>
        <w:rPr>
          <w:spacing w:val="-5"/>
        </w:rPr>
      </w:r>
      <w:r>
        <w:rPr/>
        <w:t>入的重要组成部分，在一些行业已产生规模效益，形成了品牌影响力。</w:t>
      </w:r>
    </w:p>
    <w:p>
      <w:pPr>
        <w:pStyle w:val="Heading4"/>
        <w:spacing w:line="357" w:lineRule="auto" w:before="142"/>
        <w:ind w:left="573" w:right="982"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）安全集成</w:t>
      </w:r>
      <w:r>
        <w:rPr>
          <w:rFonts w:ascii="宋体" w:hAnsi="宋体" w:cs="宋体" w:eastAsia="宋体" w:hint="default"/>
          <w:b/>
          <w:bCs/>
          <w:w w:val="100"/>
        </w:rPr>
        <w:t> </w:t>
      </w:r>
      <w:r>
        <w:rPr>
          <w:spacing w:val="-2"/>
        </w:rPr>
        <w:t>公司的安全集成业务是根据客户需求，为客户提供适合其信息系统特点的网络安全保障解决方案。公</w:t>
      </w:r>
    </w:p>
    <w:p>
      <w:pPr>
        <w:pStyle w:val="Heading4"/>
        <w:spacing w:line="209" w:lineRule="exact"/>
        <w:ind w:right="0"/>
        <w:jc w:val="both"/>
      </w:pPr>
      <w:r>
        <w:rPr/>
        <w:t>司的解决方案是将自有产品和服务（如：身份管理产品、电子签名产品）、第三方信息系统和网络安全产</w:t>
      </w:r>
    </w:p>
    <w:p>
      <w:pPr>
        <w:pStyle w:val="Heading4"/>
        <w:spacing w:line="273" w:lineRule="auto" w:before="37"/>
        <w:ind w:right="1105"/>
        <w:jc w:val="both"/>
      </w:pPr>
      <w:r>
        <w:rPr>
          <w:spacing w:val="-2"/>
        </w:rPr>
        <w:t>品（如：防火墙产品、入侵检测与入侵防御产品、统一威胁管理产品等）有效的与客户信息系统集成，从</w:t>
      </w:r>
      <w:r>
        <w:rPr>
          <w:spacing w:val="-45"/>
        </w:rPr>
        <w:t> </w:t>
      </w:r>
      <w:r>
        <w:rPr>
          <w:spacing w:val="-45"/>
        </w:rPr>
      </w:r>
      <w:r>
        <w:rPr>
          <w:spacing w:val="-2"/>
        </w:rPr>
        <w:t>而提高客户信息系统的网络安全保障能力。安全集成业务的销售模式分为直销和与渠道商合作两种模式，</w:t>
      </w:r>
      <w:r>
        <w:rPr>
          <w:spacing w:val="-21"/>
        </w:rPr>
        <w:t> </w:t>
      </w:r>
      <w:r>
        <w:rPr>
          <w:spacing w:val="-21"/>
        </w:rPr>
      </w:r>
      <w:r>
        <w:rPr>
          <w:spacing w:val="2"/>
        </w:rPr>
        <w:t>其中自有产品定价采用生产成本加上合理利润方式，第三方软硬件产品定价方式为采购成本加上合理利</w:t>
      </w:r>
      <w:r>
        <w:rPr>
          <w:spacing w:val="-30"/>
        </w:rPr>
        <w:t> </w:t>
      </w:r>
      <w:r>
        <w:rPr>
          <w:spacing w:val="-30"/>
        </w:rPr>
      </w:r>
      <w:r>
        <w:rPr>
          <w:spacing w:val="-2"/>
        </w:rPr>
        <w:t>润，集成服务费按照项目总金额一定比例收取。安全集成业务一般按照合同约定进度收款，在合同签署、</w:t>
      </w:r>
    </w:p>
    <w:p>
      <w:pPr>
        <w:spacing w:after="0" w:line="273" w:lineRule="auto"/>
        <w:jc w:val="both"/>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pPr>
      <w:r>
        <w:rPr/>
        <w:t>产品到货、初验和终验等环节约定不同收款比例。</w:t>
      </w:r>
    </w:p>
    <w:p>
      <w:pPr>
        <w:pStyle w:val="Heading4"/>
        <w:spacing w:line="264" w:lineRule="auto" w:before="157"/>
        <w:ind w:right="1127" w:firstLine="420"/>
        <w:jc w:val="both"/>
      </w:pPr>
      <w:r>
        <w:rPr>
          <w:spacing w:val="-3"/>
        </w:rPr>
        <w:t>报告期内公司安全集成业务营业收入较</w:t>
      </w:r>
      <w:r>
        <w:rPr>
          <w:rFonts w:ascii="Times New Roman" w:hAnsi="Times New Roman" w:cs="Times New Roman" w:eastAsia="Times New Roman" w:hint="default"/>
          <w:spacing w:val="-3"/>
        </w:rPr>
        <w:t>2018</w:t>
      </w:r>
      <w:r>
        <w:rPr>
          <w:spacing w:val="-3"/>
        </w:rPr>
        <w:t>年增长</w:t>
      </w:r>
      <w:r>
        <w:rPr>
          <w:rFonts w:ascii="Times New Roman" w:hAnsi="Times New Roman" w:cs="Times New Roman" w:eastAsia="Times New Roman" w:hint="default"/>
          <w:spacing w:val="-3"/>
        </w:rPr>
        <w:t>8,898</w:t>
      </w:r>
      <w:r>
        <w:rPr>
          <w:spacing w:val="-3"/>
        </w:rPr>
        <w:t>万元，同比增长</w:t>
      </w:r>
      <w:r>
        <w:rPr>
          <w:rFonts w:ascii="Times New Roman" w:hAnsi="Times New Roman" w:cs="Times New Roman" w:eastAsia="Times New Roman" w:hint="default"/>
          <w:spacing w:val="-3"/>
        </w:rPr>
        <w:t>34.38%</w:t>
      </w:r>
      <w:r>
        <w:rPr>
          <w:spacing w:val="-3"/>
        </w:rPr>
        <w:t>。快速增长的主要原因</w:t>
      </w:r>
      <w:r>
        <w:rPr>
          <w:w w:val="100"/>
        </w:rPr>
        <w:t> </w:t>
      </w:r>
      <w:r>
        <w:rPr>
          <w:spacing w:val="-2"/>
        </w:rPr>
        <w:t>是公司积极响应网络安全市场需求，不断创新、丰富、优化产品，承接和实施了更多的项目，自主研发的</w:t>
      </w:r>
      <w:r>
        <w:rPr>
          <w:spacing w:val="-43"/>
        </w:rPr>
        <w:t> </w:t>
      </w:r>
      <w:r>
        <w:rPr>
          <w:spacing w:val="-43"/>
        </w:rPr>
      </w:r>
      <w:r>
        <w:rPr/>
        <w:t>产品得到更广泛的应用。</w:t>
      </w:r>
    </w:p>
    <w:p>
      <w:pPr>
        <w:spacing w:line="357" w:lineRule="auto" w:before="136"/>
        <w:ind w:left="573" w:right="9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）安全咨询与运维服务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公司的安全咨询与运维服务包括：风险评估、合规性咨询、代码审计、脆弱性检查、渗透测试、安全</w:t>
      </w:r>
    </w:p>
    <w:p>
      <w:pPr>
        <w:pStyle w:val="Heading4"/>
        <w:spacing w:line="209" w:lineRule="exact"/>
        <w:ind w:right="0"/>
        <w:jc w:val="both"/>
      </w:pPr>
      <w:r>
        <w:rPr/>
        <w:t>巡检等多项专业安全服务，相关服务按照不同内容、频次与工作量收取服务费。业务收入受项目数量、项</w:t>
      </w:r>
    </w:p>
    <w:p>
      <w:pPr>
        <w:pStyle w:val="Heading4"/>
        <w:spacing w:line="256" w:lineRule="auto" w:before="37"/>
        <w:ind w:right="982"/>
        <w:jc w:val="left"/>
      </w:pPr>
      <w:r>
        <w:rPr>
          <w:spacing w:val="-4"/>
        </w:rPr>
        <w:t>目规模以及实施周期等因素影响，存在一定波动。安全咨询与运维服务通常以年度（</w:t>
      </w:r>
      <w:r>
        <w:rPr>
          <w:rFonts w:ascii="Times New Roman" w:hAnsi="Times New Roman" w:cs="Times New Roman" w:eastAsia="Times New Roman" w:hint="default"/>
          <w:spacing w:val="-4"/>
        </w:rPr>
        <w:t>12</w:t>
      </w:r>
      <w:r>
        <w:rPr>
          <w:spacing w:val="-4"/>
        </w:rPr>
        <w:t>个月）为服务周期，</w:t>
      </w:r>
      <w:r>
        <w:rPr>
          <w:spacing w:val="-47"/>
        </w:rPr>
        <w:t> </w:t>
      </w:r>
      <w:r>
        <w:rPr>
          <w:spacing w:val="-47"/>
        </w:rPr>
      </w:r>
      <w:r>
        <w:rPr/>
        <w:t>合同款项通常分两次收取，首次收款在合同签订时，尾款在服务结束时收取。</w:t>
      </w:r>
    </w:p>
    <w:p>
      <w:pPr>
        <w:pStyle w:val="Heading4"/>
        <w:spacing w:line="264" w:lineRule="auto" w:before="143"/>
        <w:ind w:right="1126" w:firstLine="420"/>
        <w:jc w:val="both"/>
      </w:pPr>
      <w:r>
        <w:rPr>
          <w:spacing w:val="-3"/>
        </w:rPr>
        <w:t>报告期内公司安全咨询与运维服务收入较</w:t>
      </w:r>
      <w:r>
        <w:rPr>
          <w:rFonts w:ascii="Times New Roman" w:hAnsi="Times New Roman" w:cs="Times New Roman" w:eastAsia="Times New Roman" w:hint="default"/>
          <w:spacing w:val="-3"/>
        </w:rPr>
        <w:t>2018</w:t>
      </w:r>
      <w:r>
        <w:rPr>
          <w:spacing w:val="-3"/>
        </w:rPr>
        <w:t>年增长</w:t>
      </w:r>
      <w:r>
        <w:rPr>
          <w:rFonts w:ascii="Times New Roman" w:hAnsi="Times New Roman" w:cs="Times New Roman" w:eastAsia="Times New Roman" w:hint="default"/>
          <w:spacing w:val="-3"/>
        </w:rPr>
        <w:t>3,902</w:t>
      </w:r>
      <w:r>
        <w:rPr>
          <w:spacing w:val="-3"/>
        </w:rPr>
        <w:t>万元，同比增长</w:t>
      </w:r>
      <w:r>
        <w:rPr>
          <w:rFonts w:ascii="Times New Roman" w:hAnsi="Times New Roman" w:cs="Times New Roman" w:eastAsia="Times New Roman" w:hint="default"/>
          <w:spacing w:val="-3"/>
        </w:rPr>
        <w:t>26.99%</w:t>
      </w:r>
      <w:r>
        <w:rPr>
          <w:spacing w:val="-3"/>
        </w:rPr>
        <w:t>。公司近年来持续提</w:t>
      </w:r>
      <w:r>
        <w:rPr>
          <w:w w:val="100"/>
        </w:rPr>
        <w:t> </w:t>
      </w:r>
      <w:r>
        <w:rPr>
          <w:spacing w:val="-2"/>
        </w:rPr>
        <w:t>升安全咨询与运维服务能力，以咨询切入和管家式运维服务进行业务推进，满足客户一体化的网络安全需</w:t>
      </w:r>
      <w:r>
        <w:rPr>
          <w:spacing w:val="-43"/>
        </w:rPr>
        <w:t> </w:t>
      </w:r>
      <w:r>
        <w:rPr>
          <w:spacing w:val="-43"/>
        </w:rPr>
      </w:r>
      <w:r>
        <w:rPr/>
        <w:t>求，取得良好的效果。</w:t>
      </w:r>
    </w:p>
    <w:p>
      <w:pPr>
        <w:spacing w:line="357" w:lineRule="auto" w:before="136"/>
        <w:ind w:left="573" w:right="463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、主要业绩驱动因素</w:t>
      </w:r>
      <w:r>
        <w:rPr>
          <w:rFonts w:ascii="宋体" w:hAnsi="宋体" w:cs="宋体" w:eastAsia="宋体" w:hint="default"/>
          <w:b/>
          <w:bCs/>
          <w:w w:val="100"/>
          <w:sz w:val="21"/>
          <w:szCs w:val="21"/>
        </w:rPr>
        <w:t> </w:t>
      </w:r>
      <w:r>
        <w:rPr>
          <w:rFonts w:ascii="宋体" w:hAnsi="宋体" w:cs="宋体" w:eastAsia="宋体" w:hint="default"/>
          <w:spacing w:val="-2"/>
          <w:sz w:val="21"/>
          <w:szCs w:val="21"/>
        </w:rPr>
        <w:t>业绩增长的主要因素包括如下两个方面：</w:t>
      </w:r>
    </w:p>
    <w:p>
      <w:pPr>
        <w:pStyle w:val="Heading4"/>
        <w:spacing w:line="268" w:lineRule="auto" w:before="54"/>
        <w:ind w:right="982" w:firstLine="42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）市场需求持续增长。</w:t>
      </w:r>
      <w:r>
        <w:rPr/>
        <w:t>一是国家对网络安全重视程度提升。随着全球信息化步伐的加快，网络安</w:t>
      </w:r>
      <w:r>
        <w:rPr>
          <w:w w:val="100"/>
        </w:rPr>
        <w:t> </w:t>
      </w:r>
      <w:r>
        <w:rPr>
          <w:spacing w:val="-2"/>
        </w:rPr>
        <w:t>全正逐渐成为一个关系国家安全和主权、社会稳定的重要问题，鉴于此，国家对网络安全重视程度逐年提</w:t>
      </w:r>
      <w:r>
        <w:rPr>
          <w:spacing w:val="-43"/>
        </w:rPr>
        <w:t> </w:t>
      </w:r>
      <w:r>
        <w:rPr>
          <w:spacing w:val="-43"/>
        </w:rPr>
      </w:r>
      <w:r>
        <w:rPr>
          <w:spacing w:val="-2"/>
        </w:rPr>
        <w:t>高。近年来国家陆续出台了《网络安全法》、《国家网络空间安全战略》等法律法规和配套文件，趋严的</w:t>
      </w:r>
      <w:r>
        <w:rPr>
          <w:spacing w:val="-50"/>
        </w:rPr>
        <w:t> </w:t>
      </w:r>
      <w:r>
        <w:rPr>
          <w:spacing w:val="-50"/>
        </w:rPr>
      </w:r>
      <w:r>
        <w:rPr>
          <w:spacing w:val="-2"/>
        </w:rPr>
        <w:t>网络安全监管环境导致各行业对网络安全投入的持续增长得到保证。另外《密码法》的出台将会充分发挥</w:t>
      </w:r>
      <w:r>
        <w:rPr>
          <w:spacing w:val="-43"/>
        </w:rPr>
        <w:t> </w:t>
      </w:r>
      <w:r>
        <w:rPr>
          <w:spacing w:val="-43"/>
        </w:rPr>
      </w:r>
      <w:r>
        <w:rPr>
          <w:spacing w:val="-5"/>
        </w:rPr>
        <w:t>密码在网络空间中信息加密、安全认证等方面的重要作用，营造良好市场秩序，更好地促进密码产业发展。</w:t>
      </w:r>
      <w:r>
        <w:rPr>
          <w:spacing w:val="-6"/>
        </w:rPr>
        <w:t> </w:t>
      </w:r>
      <w:r>
        <w:rPr>
          <w:spacing w:val="-6"/>
        </w:rPr>
      </w:r>
      <w:r>
        <w:rPr>
          <w:spacing w:val="-2"/>
        </w:rPr>
        <w:t>二是随着各行各业的数字化程度不断加深，网络化、数字化、无纸化已贯穿企业研发、生产、流通、服务</w:t>
      </w:r>
      <w:r>
        <w:rPr>
          <w:spacing w:val="-42"/>
        </w:rPr>
        <w:t> </w:t>
      </w:r>
      <w:r>
        <w:rPr>
          <w:spacing w:val="-42"/>
        </w:rPr>
      </w:r>
      <w:r>
        <w:rPr>
          <w:spacing w:val="-2"/>
        </w:rPr>
        <w:t>等全过程，网络安全能力的缺少将给企业带来巨大威胁，网络安全已成为企业信息化的核心考量要素，推</w:t>
      </w:r>
      <w:r>
        <w:rPr>
          <w:spacing w:val="-44"/>
        </w:rPr>
        <w:t> </w:t>
      </w:r>
      <w:r>
        <w:rPr>
          <w:spacing w:val="-44"/>
        </w:rPr>
      </w:r>
      <w:r>
        <w:rPr>
          <w:spacing w:val="-3"/>
        </w:rPr>
        <w:t>动需求持续增长。三是伴随着人工智能、</w:t>
      </w:r>
      <w:r>
        <w:rPr>
          <w:rFonts w:ascii="Times New Roman" w:hAnsi="Times New Roman" w:cs="Times New Roman" w:eastAsia="Times New Roman" w:hint="default"/>
          <w:spacing w:val="-3"/>
        </w:rPr>
        <w:t>5G</w:t>
      </w:r>
      <w:r>
        <w:rPr>
          <w:spacing w:val="-3"/>
        </w:rPr>
        <w:t>、大数据、区块链等前沿科技日趋成熟，传统的防护手段不足</w:t>
      </w:r>
      <w:r>
        <w:rPr>
          <w:spacing w:val="-41"/>
        </w:rPr>
        <w:t> </w:t>
      </w:r>
      <w:r>
        <w:rPr>
          <w:spacing w:val="-41"/>
        </w:rPr>
      </w:r>
      <w:r>
        <w:rPr>
          <w:spacing w:val="2"/>
        </w:rPr>
        <w:t>以应对新业态下的网络安全问题，利用新一代信息技术保障整个业务生态和网络空间安全将发挥重要作</w:t>
      </w:r>
      <w:r>
        <w:rPr>
          <w:spacing w:val="-29"/>
        </w:rPr>
        <w:t> </w:t>
      </w:r>
      <w:r>
        <w:rPr>
          <w:spacing w:val="-29"/>
        </w:rPr>
      </w:r>
      <w:r>
        <w:rPr/>
        <w:t>用，云安全、移动安全、物联网安全等新兴网络安全技术将会得到快速的发展和应用。</w:t>
      </w:r>
    </w:p>
    <w:p>
      <w:pPr>
        <w:spacing w:line="240" w:lineRule="auto" w:before="9"/>
        <w:rPr>
          <w:rFonts w:ascii="宋体" w:hAnsi="宋体" w:cs="宋体" w:eastAsia="宋体" w:hint="default"/>
          <w:sz w:val="14"/>
          <w:szCs w:val="14"/>
        </w:rPr>
      </w:pPr>
    </w:p>
    <w:p>
      <w:pPr>
        <w:pStyle w:val="Heading4"/>
        <w:spacing w:line="268" w:lineRule="auto"/>
        <w:ind w:right="982" w:firstLine="42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）公司核心竞争力提升。</w:t>
      </w:r>
      <w:r>
        <w:rPr/>
        <w:t>公司借助深厚的行业积累、强大的品牌影响力、创新的解决方案、高质</w:t>
      </w:r>
      <w:r>
        <w:rPr>
          <w:w w:val="100"/>
        </w:rPr>
        <w:t> </w:t>
      </w:r>
      <w:r>
        <w:rPr>
          <w:spacing w:val="-5"/>
        </w:rPr>
        <w:t>量的产品和优质的服务，有效推动公司业务发展。一是公司投入大量资源，不断完善产品、优化系统平台、</w:t>
      </w:r>
      <w:r>
        <w:rPr>
          <w:spacing w:val="-11"/>
        </w:rPr>
        <w:t> </w:t>
      </w:r>
      <w:r>
        <w:rPr>
          <w:spacing w:val="-11"/>
        </w:rPr>
      </w:r>
      <w:r>
        <w:rPr>
          <w:spacing w:val="-2"/>
        </w:rPr>
        <w:t>提升服务质量、树立大量标杆性项目，持续保持公司网络安全解决方案的竞争优势地位。二是通过全国营</w:t>
      </w:r>
      <w:r>
        <w:rPr>
          <w:spacing w:val="-43"/>
        </w:rPr>
        <w:t> </w:t>
      </w:r>
      <w:r>
        <w:rPr>
          <w:spacing w:val="-43"/>
        </w:rPr>
      </w:r>
      <w:r>
        <w:rPr>
          <w:spacing w:val="-2"/>
        </w:rPr>
        <w:t>销体系，将先进经验和成功案例在全国范围内进行复制和推广。三是公司积极进行业务创新，围绕各重点</w:t>
      </w:r>
      <w:r>
        <w:rPr>
          <w:spacing w:val="-43"/>
        </w:rPr>
        <w:t> </w:t>
      </w:r>
      <w:r>
        <w:rPr>
          <w:spacing w:val="-43"/>
        </w:rPr>
      </w:r>
      <w:r>
        <w:rPr>
          <w:spacing w:val="-2"/>
        </w:rPr>
        <w:t>行业业务应用的新场景、新模式，新推出了生物识别签名系统、身份核验服务、移动协同签名服务器、数</w:t>
      </w:r>
      <w:r>
        <w:rPr>
          <w:spacing w:val="-43"/>
        </w:rPr>
        <w:t> </w:t>
      </w:r>
      <w:r>
        <w:rPr>
          <w:spacing w:val="-43"/>
        </w:rPr>
      </w:r>
      <w:r>
        <w:rPr/>
        <w:t>字化审图系统等新的产品和解决方案，不断迎合新的市场需求。</w:t>
      </w:r>
    </w:p>
    <w:p>
      <w:pPr>
        <w:spacing w:line="432" w:lineRule="exact" w:before="31"/>
        <w:ind w:left="573" w:right="982" w:firstLine="2"/>
        <w:jc w:val="left"/>
        <w:rPr>
          <w:rFonts w:ascii="宋体" w:hAnsi="宋体" w:cs="宋体" w:eastAsia="宋体" w:hint="default"/>
          <w:sz w:val="21"/>
          <w:szCs w:val="21"/>
        </w:rPr>
      </w:pPr>
      <w:r>
        <w:rPr>
          <w:rFonts w:ascii="宋体" w:hAnsi="宋体" w:cs="宋体" w:eastAsia="宋体" w:hint="default"/>
          <w:b/>
          <w:bCs/>
          <w:sz w:val="21"/>
          <w:szCs w:val="21"/>
        </w:rPr>
        <w:t>（二）报告期内公司所处行业情况说明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公司主营业务属于网络安全行业。近年来针对网络安全的政策、法规、指导意见不断推出，《网络安</w:t>
      </w:r>
    </w:p>
    <w:p>
      <w:pPr>
        <w:pStyle w:val="Heading4"/>
        <w:spacing w:line="255" w:lineRule="exact"/>
        <w:ind w:right="0"/>
        <w:jc w:val="both"/>
      </w:pPr>
      <w:r>
        <w:rPr/>
        <w:t>全法》、《密码法》、《国家网络空间安全战略》、《关于推动资本市场服务网络强国建设的指导意见》</w:t>
      </w:r>
    </w:p>
    <w:p>
      <w:pPr>
        <w:pStyle w:val="Heading4"/>
        <w:spacing w:line="266" w:lineRule="auto" w:before="37"/>
        <w:ind w:right="1126"/>
        <w:jc w:val="both"/>
      </w:pPr>
      <w:r>
        <w:rPr>
          <w:spacing w:val="-2"/>
        </w:rPr>
        <w:t>等法律法规和配套文件陆续出台，网络安全建设受到政策大力支持，行业发展速度将持续加快。目前云计</w:t>
      </w:r>
      <w:r>
        <w:rPr>
          <w:spacing w:val="-43"/>
        </w:rPr>
        <w:t> </w:t>
      </w:r>
      <w:r>
        <w:rPr>
          <w:spacing w:val="-43"/>
        </w:rPr>
      </w:r>
      <w:r>
        <w:rPr>
          <w:spacing w:val="-2"/>
        </w:rPr>
        <w:t>算、移动互联技术广泛应用，企业边界正在瓦解，基于边界的安全防护体系正在失效，安全体系架构将由</w:t>
      </w:r>
      <w:r>
        <w:rPr>
          <w:spacing w:val="-47"/>
        </w:rPr>
        <w:t> </w:t>
      </w:r>
      <w:r>
        <w:rPr>
          <w:spacing w:val="-47"/>
        </w:rPr>
      </w:r>
      <w:r>
        <w:rPr>
          <w:spacing w:val="-2"/>
        </w:rPr>
        <w:t>网络中心化走向身份中心化，未来基于</w:t>
      </w:r>
      <w:r>
        <w:rPr>
          <w:rFonts w:ascii="Times New Roman" w:hAnsi="Times New Roman" w:cs="Times New Roman" w:eastAsia="Times New Roman" w:hint="default"/>
          <w:spacing w:val="-2"/>
        </w:rPr>
        <w:t>“</w:t>
      </w:r>
      <w:r>
        <w:rPr>
          <w:spacing w:val="-2"/>
        </w:rPr>
        <w:t>身份认证</w:t>
      </w:r>
      <w:r>
        <w:rPr>
          <w:rFonts w:ascii="Times New Roman" w:hAnsi="Times New Roman" w:cs="Times New Roman" w:eastAsia="Times New Roman" w:hint="default"/>
          <w:spacing w:val="-2"/>
        </w:rPr>
        <w:t>”</w:t>
      </w:r>
      <w:r>
        <w:rPr>
          <w:spacing w:val="-2"/>
        </w:rPr>
        <w:t>为中心能够实现动态访问控制的网络安全解决方案将成</w:t>
      </w:r>
      <w:r>
        <w:rPr>
          <w:spacing w:val="-18"/>
        </w:rPr>
        <w:t> </w:t>
      </w:r>
      <w:r>
        <w:rPr>
          <w:spacing w:val="-18"/>
        </w:rPr>
      </w:r>
      <w:r>
        <w:rPr/>
        <w:t>为应对新</w:t>
      </w:r>
      <w:r>
        <w:rPr>
          <w:rFonts w:ascii="Times New Roman" w:hAnsi="Times New Roman" w:cs="Times New Roman" w:eastAsia="Times New Roman" w:hint="default"/>
        </w:rPr>
        <w:t>IT</w:t>
      </w:r>
      <w:r>
        <w:rPr/>
        <w:t>时代的网络安全挑战的发展趋势。</w:t>
      </w:r>
    </w:p>
    <w:p>
      <w:pPr>
        <w:pStyle w:val="Heading4"/>
        <w:spacing w:line="256" w:lineRule="auto" w:before="115"/>
        <w:ind w:right="1126" w:firstLine="420"/>
        <w:jc w:val="both"/>
      </w:pPr>
      <w:r>
        <w:rPr/>
        <w:t>公司的客户主要为政府机构、企事业单位、医院、金融企业等。在政务方面，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月国务院办公</w:t>
      </w:r>
      <w:r>
        <w:rPr>
          <w:w w:val="100"/>
        </w:rPr>
        <w:t> </w:t>
      </w:r>
      <w:r>
        <w:rPr>
          <w:spacing w:val="-2"/>
        </w:rPr>
        <w:t>厅发布国务院令第</w:t>
      </w:r>
      <w:r>
        <w:rPr>
          <w:rFonts w:ascii="Times New Roman" w:hAnsi="Times New Roman" w:cs="Times New Roman" w:eastAsia="Times New Roman" w:hint="default"/>
          <w:spacing w:val="-2"/>
        </w:rPr>
        <w:t>716</w:t>
      </w:r>
      <w:r>
        <w:rPr>
          <w:spacing w:val="-2"/>
        </w:rPr>
        <w:t>号文《国务院关于在线政务服务的若干规定》，提出</w:t>
      </w:r>
      <w:r>
        <w:rPr>
          <w:rFonts w:ascii="Times New Roman" w:hAnsi="Times New Roman" w:cs="Times New Roman" w:eastAsia="Times New Roman" w:hint="default"/>
          <w:spacing w:val="-2"/>
        </w:rPr>
        <w:t>“</w:t>
      </w:r>
      <w:r>
        <w:rPr>
          <w:spacing w:val="-2"/>
        </w:rPr>
        <w:t>推动实现政务服务事项全国标</w:t>
      </w:r>
      <w:r>
        <w:rPr>
          <w:spacing w:val="-32"/>
        </w:rPr>
        <w:t> </w:t>
      </w:r>
      <w:r>
        <w:rPr>
          <w:spacing w:val="-32"/>
        </w:rPr>
      </w:r>
      <w:r>
        <w:rPr>
          <w:spacing w:val="-2"/>
        </w:rPr>
        <w:t>准统一、全流程网上办理</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政务服务机构应当按照规范化、标准化要求编制办事指南，明确政务服务事</w:t>
      </w:r>
    </w:p>
    <w:p>
      <w:pPr>
        <w:spacing w:after="0" w:line="256" w:lineRule="auto"/>
        <w:jc w:val="both"/>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61" w:lineRule="auto" w:before="36"/>
        <w:ind w:right="982"/>
        <w:jc w:val="left"/>
      </w:pPr>
      <w:r>
        <w:rPr/>
        <w:t>项的受理条件、办事材料、办理流程等信息</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月，党的十九届四中全会审议通过《中共中央关</w:t>
      </w:r>
      <w:r>
        <w:rPr>
          <w:spacing w:val="-19"/>
        </w:rPr>
        <w:t> </w:t>
      </w:r>
      <w:r>
        <w:rPr>
          <w:spacing w:val="-19"/>
        </w:rPr>
      </w:r>
      <w:r>
        <w:rPr/>
        <w:t>于坚持和完善中国特色社会主义制度推进国家治理体系和治理能力现代化若干重大问题的决定》，其中提</w:t>
      </w:r>
      <w:r>
        <w:rPr>
          <w:w w:val="100"/>
        </w:rPr>
        <w:t> </w:t>
      </w:r>
      <w:r>
        <w:rPr>
          <w:spacing w:val="-4"/>
        </w:rPr>
        <w:t>出</w:t>
      </w:r>
      <w:r>
        <w:rPr>
          <w:rFonts w:ascii="Times New Roman" w:hAnsi="Times New Roman" w:cs="Times New Roman" w:eastAsia="Times New Roman" w:hint="default"/>
          <w:spacing w:val="-4"/>
        </w:rPr>
        <w:t>“</w:t>
      </w:r>
      <w:r>
        <w:rPr>
          <w:spacing w:val="-4"/>
        </w:rPr>
        <w:t>要创新行政管理和服务方式，加快推进全国一体化政务服务平台建设</w:t>
      </w:r>
      <w:r>
        <w:rPr>
          <w:rFonts w:ascii="Times New Roman" w:hAnsi="Times New Roman" w:cs="Times New Roman" w:eastAsia="Times New Roman" w:hint="default"/>
          <w:spacing w:val="-4"/>
        </w:rPr>
        <w:t>”</w:t>
      </w:r>
      <w:r>
        <w:rPr>
          <w:spacing w:val="-4"/>
        </w:rPr>
        <w:t>，同时要求</w:t>
      </w:r>
      <w:r>
        <w:rPr>
          <w:rFonts w:ascii="Times New Roman" w:hAnsi="Times New Roman" w:cs="Times New Roman" w:eastAsia="Times New Roman" w:hint="default"/>
          <w:spacing w:val="-4"/>
        </w:rPr>
        <w:t>“</w:t>
      </w:r>
      <w:r>
        <w:rPr>
          <w:spacing w:val="-4"/>
        </w:rPr>
        <w:t>要建立健全运用互联</w:t>
      </w:r>
      <w:r>
        <w:rPr>
          <w:spacing w:val="-23"/>
        </w:rPr>
        <w:t> </w:t>
      </w:r>
      <w:r>
        <w:rPr>
          <w:spacing w:val="-23"/>
        </w:rPr>
      </w:r>
      <w:r>
        <w:rPr/>
        <w:t>网、大数据、人工智能等技术手段进行行政管理的制度规则；要推进数字政府建设，加强数据有序共享。</w:t>
      </w:r>
      <w:r>
        <w:rPr>
          <w:w w:val="100"/>
        </w:rPr>
        <w:t> </w:t>
      </w:r>
      <w:r>
        <w:rPr>
          <w:spacing w:val="-5"/>
        </w:rPr>
        <w:t>以在更大范围实现政务服务</w:t>
      </w:r>
      <w:r>
        <w:rPr>
          <w:rFonts w:ascii="Times New Roman" w:hAnsi="Times New Roman" w:cs="Times New Roman" w:eastAsia="Times New Roman" w:hint="default"/>
          <w:spacing w:val="-5"/>
        </w:rPr>
        <w:t>‘</w:t>
      </w:r>
      <w:r>
        <w:rPr>
          <w:spacing w:val="-5"/>
        </w:rPr>
        <w:t>一网通办</w:t>
      </w:r>
      <w:r>
        <w:rPr>
          <w:rFonts w:ascii="Times New Roman" w:hAnsi="Times New Roman" w:cs="Times New Roman" w:eastAsia="Times New Roman" w:hint="default"/>
          <w:spacing w:val="-5"/>
        </w:rPr>
        <w:t>’</w:t>
      </w:r>
      <w:r>
        <w:rPr>
          <w:spacing w:val="-5"/>
        </w:rPr>
        <w:t>为目标，加快推进建设全国一体化政务服务平台</w:t>
      </w:r>
      <w:r>
        <w:rPr>
          <w:rFonts w:ascii="Times New Roman" w:hAnsi="Times New Roman" w:cs="Times New Roman" w:eastAsia="Times New Roman" w:hint="default"/>
          <w:spacing w:val="-5"/>
        </w:rPr>
        <w:t>”</w:t>
      </w:r>
      <w:r>
        <w:rPr>
          <w:spacing w:val="-5"/>
        </w:rPr>
        <w:t>。在医疗卫生方面，</w:t>
      </w:r>
      <w:r>
        <w:rPr>
          <w:spacing w:val="-19"/>
        </w:rPr>
        <w:t> </w:t>
      </w:r>
      <w:r>
        <w:rPr>
          <w:spacing w:val="-19"/>
        </w:rPr>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月国家卫生健康委办公厅发布国卫办医函〔</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236</w:t>
      </w:r>
      <w:r>
        <w:rPr>
          <w:spacing w:val="-2"/>
        </w:rPr>
        <w:t>号文《关于印发医院智慧服务分级评估标准</w:t>
      </w:r>
      <w:r>
        <w:rPr>
          <w:spacing w:val="-38"/>
        </w:rPr>
        <w:t> </w:t>
      </w:r>
      <w:r>
        <w:rPr>
          <w:spacing w:val="-38"/>
        </w:rPr>
      </w:r>
      <w:r>
        <w:rPr>
          <w:spacing w:val="-2"/>
        </w:rPr>
        <w:t>体系（试行）的通知》，以指导医疗机构科学、规范开展智慧医院建设，逐步建立适合国情的医疗机构智</w:t>
      </w:r>
      <w:r>
        <w:rPr>
          <w:spacing w:val="-45"/>
        </w:rPr>
        <w:t> </w:t>
      </w:r>
      <w:r>
        <w:rPr>
          <w:spacing w:val="-45"/>
        </w:rPr>
      </w:r>
      <w:r>
        <w:rPr>
          <w:spacing w:val="-2"/>
        </w:rPr>
        <w:t>慧服务分级评估体系。</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月国家卫生健康委国家中医药管理局国卫基层函〔</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121</w:t>
      </w:r>
      <w:r>
        <w:rPr>
          <w:spacing w:val="-2"/>
        </w:rPr>
        <w:t>号文《关于推</w:t>
      </w:r>
      <w:r>
        <w:rPr>
          <w:spacing w:val="-36"/>
        </w:rPr>
        <w:t> </w:t>
      </w:r>
      <w:r>
        <w:rPr>
          <w:spacing w:val="-36"/>
        </w:rPr>
      </w:r>
      <w:r>
        <w:rPr/>
        <w:t>进紧密型县域医疗卫生共同体建设的通知》，提出</w:t>
      </w:r>
      <w:r>
        <w:rPr>
          <w:rFonts w:ascii="Times New Roman" w:hAnsi="Times New Roman" w:cs="Times New Roman" w:eastAsia="Times New Roman" w:hint="default"/>
        </w:rPr>
        <w:t>“</w:t>
      </w:r>
      <w:r>
        <w:rPr/>
        <w:t>到</w:t>
      </w:r>
      <w:r>
        <w:rPr>
          <w:rFonts w:ascii="Times New Roman" w:hAnsi="Times New Roman" w:cs="Times New Roman" w:eastAsia="Times New Roman" w:hint="default"/>
        </w:rPr>
        <w:t>2020</w:t>
      </w:r>
      <w:r>
        <w:rPr/>
        <w:t>年底，在</w:t>
      </w:r>
      <w:r>
        <w:rPr>
          <w:rFonts w:ascii="Times New Roman" w:hAnsi="Times New Roman" w:cs="Times New Roman" w:eastAsia="Times New Roman" w:hint="default"/>
        </w:rPr>
        <w:t>500</w:t>
      </w:r>
      <w:r>
        <w:rPr/>
        <w:t>个县</w:t>
      </w:r>
      <w:r>
        <w:rPr>
          <w:rFonts w:ascii="Times New Roman" w:hAnsi="Times New Roman" w:cs="Times New Roman" w:eastAsia="Times New Roman" w:hint="default"/>
        </w:rPr>
        <w:t>(</w:t>
      </w:r>
      <w:r>
        <w:rPr/>
        <w:t>含县级市、市辖区，下同</w:t>
      </w:r>
      <w:r>
        <w:rPr>
          <w:rFonts w:ascii="Times New Roman" w:hAnsi="Times New Roman" w:cs="Times New Roman" w:eastAsia="Times New Roman" w:hint="default"/>
        </w:rPr>
        <w:t>)</w:t>
      </w:r>
      <w:r>
        <w:rPr/>
        <w:t>初</w:t>
      </w:r>
      <w:r>
        <w:rPr>
          <w:spacing w:val="-48"/>
        </w:rPr>
        <w:t> </w:t>
      </w:r>
      <w:r>
        <w:rPr>
          <w:spacing w:val="-2"/>
        </w:rPr>
        <w:t>步建成目标明确、权责清晰、分工协作的新型县域医疗卫生服务体系，逐步形成服务、责任、利益、管理</w:t>
      </w:r>
      <w:r>
        <w:rPr>
          <w:spacing w:val="-45"/>
        </w:rPr>
        <w:t> </w:t>
      </w:r>
      <w:r>
        <w:rPr>
          <w:spacing w:val="-45"/>
        </w:rPr>
      </w:r>
      <w:r>
        <w:rPr/>
        <w:t>的共同体</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月国务院办公厅发布国办发〔</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28</w:t>
      </w:r>
      <w:r>
        <w:rPr/>
        <w:t>号文《深化医药卫生体制改革</w:t>
      </w:r>
      <w:r>
        <w:rPr>
          <w:rFonts w:ascii="Times New Roman" w:hAnsi="Times New Roman" w:cs="Times New Roman" w:eastAsia="Times New Roman" w:hint="default"/>
        </w:rPr>
        <w:t>2019</w:t>
      </w:r>
      <w:r>
        <w:rPr/>
        <w:t>年重点工作</w:t>
      </w:r>
      <w:r>
        <w:rPr>
          <w:w w:val="100"/>
        </w:rPr>
        <w:t> </w:t>
      </w:r>
      <w:r>
        <w:rPr/>
        <w:t>任务》，提出</w:t>
      </w:r>
      <w:r>
        <w:rPr>
          <w:rFonts w:ascii="Times New Roman" w:hAnsi="Times New Roman" w:cs="Times New Roman" w:eastAsia="Times New Roman" w:hint="default"/>
        </w:rPr>
        <w:t>“</w:t>
      </w:r>
      <w:r>
        <w:rPr/>
        <w:t>组织开展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省级示范区建设，支持先行先试、积累经验。继续推进全民健</w:t>
      </w:r>
      <w:r>
        <w:rPr>
          <w:spacing w:val="-60"/>
        </w:rPr>
        <w:t> </w:t>
      </w:r>
      <w:r>
        <w:rPr>
          <w:spacing w:val="-60"/>
        </w:rPr>
      </w:r>
      <w:r>
        <w:rPr/>
        <w:t>康信息国家平台和省统筹区域平台建设。改造提升远程医疗网络。指导地方有序发展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spacing w:val="-3"/>
        </w:rPr>
        <w:t>服务，确保医疗和数据安全。及时总结评估</w:t>
      </w:r>
      <w:r>
        <w:rPr>
          <w:rFonts w:ascii="Times New Roman" w:hAnsi="Times New Roman" w:cs="Times New Roman" w:eastAsia="Times New Roman" w:hint="default"/>
          <w:spacing w:val="-3"/>
        </w:rPr>
        <w:t>‘</w:t>
      </w:r>
      <w:r>
        <w:rPr>
          <w:spacing w:val="-3"/>
        </w:rPr>
        <w:t>互联网</w:t>
      </w:r>
      <w:r>
        <w:rPr>
          <w:rFonts w:ascii="Times New Roman" w:hAnsi="Times New Roman" w:cs="Times New Roman" w:eastAsia="Times New Roman" w:hint="default"/>
          <w:spacing w:val="-3"/>
        </w:rPr>
        <w:t>+</w:t>
      </w:r>
      <w:r>
        <w:rPr>
          <w:spacing w:val="-3"/>
        </w:rPr>
        <w:t>护理服务</w:t>
      </w:r>
      <w:r>
        <w:rPr>
          <w:rFonts w:ascii="Times New Roman" w:hAnsi="Times New Roman" w:cs="Times New Roman" w:eastAsia="Times New Roman" w:hint="default"/>
          <w:spacing w:val="-3"/>
        </w:rPr>
        <w:t>’</w:t>
      </w:r>
      <w:r>
        <w:rPr>
          <w:spacing w:val="-3"/>
        </w:rPr>
        <w:t>试点工作，尽快形成规范健全的制度。深入</w:t>
      </w:r>
      <w:r>
        <w:rPr>
          <w:spacing w:val="-48"/>
        </w:rPr>
        <w:t> </w:t>
      </w:r>
      <w:r>
        <w:rPr>
          <w:spacing w:val="-48"/>
        </w:rPr>
      </w:r>
      <w:r>
        <w:rPr/>
        <w:t>推进基层中医馆信息平台建设等</w:t>
      </w:r>
      <w:r>
        <w:rPr>
          <w:rFonts w:ascii="Times New Roman" w:hAnsi="Times New Roman" w:cs="Times New Roman" w:eastAsia="Times New Roman" w:hint="default"/>
        </w:rPr>
        <w:t>”</w:t>
      </w:r>
      <w:r>
        <w:rPr/>
        <w:t>。在金融方面，根据证监会令【第</w:t>
      </w:r>
      <w:r>
        <w:rPr>
          <w:rFonts w:ascii="Times New Roman" w:hAnsi="Times New Roman" w:cs="Times New Roman" w:eastAsia="Times New Roman" w:hint="default"/>
        </w:rPr>
        <w:t>152</w:t>
      </w:r>
      <w:r>
        <w:rPr/>
        <w:t>号】《证券基金经营机构信息技术</w:t>
      </w:r>
      <w:r>
        <w:rPr>
          <w:w w:val="100"/>
        </w:rPr>
        <w:t> </w:t>
      </w:r>
      <w:r>
        <w:rPr/>
        <w:t>管理办法》，提出</w:t>
      </w:r>
      <w:r>
        <w:rPr>
          <w:rFonts w:ascii="Times New Roman" w:hAnsi="Times New Roman" w:cs="Times New Roman" w:eastAsia="Times New Roman" w:hint="default"/>
        </w:rPr>
        <w:t>“</w:t>
      </w:r>
      <w:r>
        <w:rPr/>
        <w:t>证券基金经营机构使用电子合同从事证券基金业务活动的，应当将电子合同存储在指</w:t>
      </w:r>
      <w:r>
        <w:rPr>
          <w:spacing w:val="-17"/>
        </w:rPr>
        <w:t> </w:t>
      </w:r>
      <w:r>
        <w:rPr>
          <w:spacing w:val="-17"/>
        </w:rPr>
      </w:r>
      <w:r>
        <w:rPr/>
        <w:t>定的信息系统，并提供可供投资者及合同其他相关方查询、下载的公开渠道</w:t>
      </w:r>
      <w:r>
        <w:rPr>
          <w:rFonts w:ascii="Times New Roman" w:hAnsi="Times New Roman" w:cs="Times New Roman" w:eastAsia="Times New Roman" w:hint="default"/>
        </w:rPr>
        <w:t>”</w:t>
      </w:r>
      <w:r>
        <w:rPr/>
        <w:t>。上述政策的出台将有利于</w:t>
      </w:r>
      <w:r>
        <w:rPr>
          <w:spacing w:val="-14"/>
        </w:rPr>
        <w:t> </w:t>
      </w:r>
      <w:r>
        <w:rPr>
          <w:spacing w:val="-14"/>
        </w:rPr>
      </w:r>
      <w:r>
        <w:rPr/>
        <w:t>公司业务在政务、医疗、金融等相关领域快速推广。</w:t>
      </w:r>
    </w:p>
    <w:p>
      <w:pPr>
        <w:spacing w:line="240" w:lineRule="auto" w:before="5"/>
        <w:rPr>
          <w:rFonts w:ascii="宋体" w:hAnsi="宋体" w:cs="宋体" w:eastAsia="宋体" w:hint="default"/>
          <w:sz w:val="22"/>
          <w:szCs w:val="22"/>
        </w:rPr>
      </w:pPr>
    </w:p>
    <w:p>
      <w:pPr>
        <w:pStyle w:val="Heading2"/>
        <w:spacing w:line="240" w:lineRule="auto"/>
        <w:ind w:right="982"/>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60"/>
        <w:gridCol w:w="8010"/>
      </w:tblGrid>
      <w:tr>
        <w:trPr>
          <w:trHeight w:val="187"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0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60" w:type="dxa"/>
            <w:vMerge/>
            <w:tcBorders>
              <w:left w:val="single" w:sz="4" w:space="0" w:color="000000"/>
              <w:right w:val="single" w:sz="4" w:space="0" w:color="000000"/>
            </w:tcBorders>
            <w:shd w:val="clear" w:color="auto" w:fill="D2D2D2"/>
          </w:tcPr>
          <w:p>
            <w:pPr/>
          </w:p>
        </w:tc>
        <w:tc>
          <w:tcPr>
            <w:tcW w:w="80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0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5,509.90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万元，比期初增加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5,481.60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万元，主要为本期数字认证（武汉）建造办公楼所致</w:t>
            </w:r>
          </w:p>
        </w:tc>
      </w:tr>
    </w:tbl>
    <w:p>
      <w:pPr>
        <w:spacing w:line="240" w:lineRule="auto" w:before="6"/>
        <w:rPr>
          <w:rFonts w:ascii="宋体" w:hAnsi="宋体" w:cs="宋体" w:eastAsia="宋体" w:hint="default"/>
          <w:b/>
          <w:bCs/>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三、核心竞争力分析</w:t>
      </w:r>
      <w:r>
        <w:rPr>
          <w:b w:val="0"/>
          <w:bCs w:val="0"/>
        </w:rPr>
      </w:r>
    </w:p>
    <w:p>
      <w:pPr>
        <w:spacing w:line="430" w:lineRule="atLeast" w:before="170"/>
        <w:ind w:left="573" w:right="982" w:firstLine="0"/>
        <w:jc w:val="left"/>
        <w:rPr>
          <w:rFonts w:ascii="宋体" w:hAnsi="宋体" w:cs="宋体" w:eastAsia="宋体" w:hint="default"/>
          <w:sz w:val="21"/>
          <w:szCs w:val="21"/>
        </w:rPr>
      </w:pPr>
      <w:r>
        <w:rPr>
          <w:rFonts w:ascii="宋体" w:hAnsi="宋体" w:cs="宋体" w:eastAsia="宋体" w:hint="default"/>
          <w:b/>
          <w:bCs/>
          <w:sz w:val="21"/>
          <w:szCs w:val="21"/>
        </w:rPr>
        <w:t>（一）一体化的网络安全解决方案</w:t>
      </w:r>
      <w:r>
        <w:rPr>
          <w:rFonts w:ascii="宋体" w:hAnsi="宋体" w:cs="宋体" w:eastAsia="宋体" w:hint="default"/>
          <w:b/>
          <w:bCs/>
          <w:w w:val="100"/>
          <w:sz w:val="21"/>
          <w:szCs w:val="21"/>
        </w:rPr>
        <w:t> </w:t>
      </w:r>
      <w:r>
        <w:rPr>
          <w:rFonts w:ascii="宋体" w:hAnsi="宋体" w:cs="宋体" w:eastAsia="宋体" w:hint="default"/>
          <w:spacing w:val="-2"/>
          <w:sz w:val="21"/>
          <w:szCs w:val="21"/>
        </w:rPr>
        <w:t>公司是国内为数不多的既可以保障用户信息系统可靠运行，又可以保护业务可信开展，还可以保卫用</w:t>
      </w:r>
    </w:p>
    <w:p>
      <w:pPr>
        <w:pStyle w:val="Heading4"/>
        <w:spacing w:line="273" w:lineRule="auto" w:before="37"/>
        <w:ind w:right="1126"/>
        <w:jc w:val="both"/>
      </w:pPr>
      <w:r>
        <w:rPr>
          <w:spacing w:val="-2"/>
        </w:rPr>
        <w:t>户数字资产安全的综合性网络安全解决方案提供商，能结合客户业务信息系统特点，将公司自有产品、第</w:t>
      </w:r>
      <w:r>
        <w:rPr>
          <w:spacing w:val="-43"/>
        </w:rPr>
        <w:t> </w:t>
      </w:r>
      <w:r>
        <w:rPr>
          <w:spacing w:val="-43"/>
        </w:rPr>
      </w:r>
      <w:r>
        <w:rPr>
          <w:spacing w:val="-2"/>
        </w:rPr>
        <w:t>三方信息系统和网络安全产品有效集成到用户业务系统中，为不同行业客户提供全方位一体化的网络安全</w:t>
      </w:r>
      <w:r>
        <w:rPr>
          <w:spacing w:val="-43"/>
        </w:rPr>
        <w:t> </w:t>
      </w:r>
      <w:r>
        <w:rPr>
          <w:spacing w:val="-43"/>
        </w:rPr>
      </w:r>
      <w:r>
        <w:rPr/>
        <w:t>解决方案。</w:t>
      </w:r>
    </w:p>
    <w:p>
      <w:pPr>
        <w:pStyle w:val="Heading3"/>
        <w:spacing w:line="240" w:lineRule="auto" w:before="127"/>
        <w:ind w:left="573" w:right="982"/>
        <w:jc w:val="left"/>
        <w:rPr>
          <w:b w:val="0"/>
          <w:bCs w:val="0"/>
        </w:rPr>
      </w:pPr>
      <w:r>
        <w:rPr/>
        <w:t>（二）行业领先的技术水平</w:t>
      </w:r>
      <w:r>
        <w:rPr>
          <w:b w:val="0"/>
          <w:bCs w:val="0"/>
        </w:rPr>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66" w:lineRule="auto" w:before="36"/>
        <w:ind w:right="982" w:firstLine="420"/>
        <w:jc w:val="left"/>
      </w:pPr>
      <w:r>
        <w:rPr/>
        <w:t>公司全面掌握电子认证领域相关技术，积极进行技术研究工作。报告期内，公司投入大量科研力量进</w:t>
      </w:r>
      <w:r>
        <w:rPr>
          <w:w w:val="100"/>
        </w:rPr>
        <w:t> </w:t>
      </w:r>
      <w:r>
        <w:rPr>
          <w:spacing w:val="-5"/>
        </w:rPr>
        <w:t>行技术研发，通过牵头和参与国家级科研课题研究，在移动互联网和工业互联网等领域开展密码技术攻关， </w:t>
      </w:r>
      <w:r>
        <w:rPr>
          <w:spacing w:val="-5"/>
        </w:rPr>
      </w:r>
      <w:r>
        <w:rPr>
          <w:spacing w:val="-2"/>
        </w:rPr>
        <w:t>在云密码技术、数字身份管理、车联网安全认证、区块链等领域进行技术储备。截至报告期末拥有发明专</w:t>
      </w:r>
      <w:r>
        <w:rPr>
          <w:spacing w:val="-46"/>
        </w:rPr>
        <w:t> </w:t>
      </w:r>
      <w:r>
        <w:rPr>
          <w:spacing w:val="-46"/>
        </w:rPr>
      </w:r>
      <w:r>
        <w:rPr/>
        <w:t>利</w:t>
      </w:r>
      <w:r>
        <w:rPr>
          <w:rFonts w:ascii="Times New Roman" w:hAnsi="Times New Roman" w:cs="Times New Roman" w:eastAsia="Times New Roman" w:hint="default"/>
        </w:rPr>
        <w:t>12</w:t>
      </w:r>
      <w:r>
        <w:rPr/>
        <w:t>项，软件著作权</w:t>
      </w:r>
      <w:r>
        <w:rPr>
          <w:rFonts w:ascii="Times New Roman" w:hAnsi="Times New Roman" w:cs="Times New Roman" w:eastAsia="Times New Roman" w:hint="default"/>
        </w:rPr>
        <w:t>140</w:t>
      </w:r>
      <w:r>
        <w:rPr/>
        <w:t>项，技术水平不断提升。公司是行业技术创新的重要参与者。截至报告期末，公</w:t>
      </w:r>
      <w:r>
        <w:rPr>
          <w:spacing w:val="-27"/>
        </w:rPr>
        <w:t> </w:t>
      </w:r>
      <w:r>
        <w:rPr>
          <w:spacing w:val="-27"/>
        </w:rPr>
      </w:r>
      <w:r>
        <w:rPr/>
        <w:t>司已完成国家级和省部级课题共</w:t>
      </w:r>
      <w:r>
        <w:rPr>
          <w:rFonts w:ascii="Times New Roman" w:hAnsi="Times New Roman" w:cs="Times New Roman" w:eastAsia="Times New Roman" w:hint="default"/>
        </w:rPr>
        <w:t>32</w:t>
      </w:r>
      <w:r>
        <w:rPr/>
        <w:t>项，其中国家级课题</w:t>
      </w:r>
      <w:r>
        <w:rPr>
          <w:rFonts w:ascii="Times New Roman" w:hAnsi="Times New Roman" w:cs="Times New Roman" w:eastAsia="Times New Roman" w:hint="default"/>
        </w:rPr>
        <w:t>6</w:t>
      </w:r>
      <w:r>
        <w:rPr/>
        <w:t>项；由公司牵头和参与制定的</w:t>
      </w:r>
      <w:r>
        <w:rPr>
          <w:rFonts w:ascii="Times New Roman" w:hAnsi="Times New Roman" w:cs="Times New Roman" w:eastAsia="Times New Roman" w:hint="default"/>
        </w:rPr>
        <w:t>55</w:t>
      </w:r>
      <w:r>
        <w:rPr/>
        <w:t>项国家、行业、</w:t>
      </w:r>
      <w:r>
        <w:rPr>
          <w:spacing w:val="-23"/>
        </w:rPr>
        <w:t> </w:t>
      </w:r>
      <w:r>
        <w:rPr>
          <w:spacing w:val="-23"/>
        </w:rPr>
      </w:r>
      <w:r>
        <w:rPr/>
        <w:t>地方、团体标准已发布。</w:t>
      </w:r>
    </w:p>
    <w:p>
      <w:pPr>
        <w:pStyle w:val="Heading4"/>
        <w:spacing w:line="432" w:lineRule="exact" w:before="33"/>
        <w:ind w:left="573" w:right="982"/>
        <w:jc w:val="left"/>
      </w:pPr>
      <w:r>
        <w:rPr>
          <w:rFonts w:ascii="宋体" w:hAnsi="宋体" w:cs="宋体" w:eastAsia="宋体" w:hint="default"/>
          <w:b/>
          <w:bCs/>
        </w:rPr>
        <w:t>（三）业务创新能力</w:t>
      </w:r>
      <w:r>
        <w:rPr>
          <w:rFonts w:ascii="宋体" w:hAnsi="宋体" w:cs="宋体" w:eastAsia="宋体" w:hint="default"/>
          <w:b/>
          <w:bCs/>
          <w:spacing w:val="-103"/>
        </w:rPr>
        <w:t> </w:t>
      </w:r>
      <w:r>
        <w:rPr>
          <w:spacing w:val="-2"/>
        </w:rPr>
        <w:t>持续高效的创新是公司业务发展的重要推动力。多年来，公司积极拥抱市场变化，不断强化创新能力</w:t>
      </w:r>
    </w:p>
    <w:p>
      <w:pPr>
        <w:pStyle w:val="Heading4"/>
        <w:spacing w:line="255" w:lineRule="exact"/>
        <w:ind w:right="0"/>
        <w:jc w:val="both"/>
      </w:pPr>
      <w:r>
        <w:rPr/>
        <w:t>建设，在医疗、保险、交通等行业推出了众多创新解决方案，解决各行业不断涌现的网络安全问题，满足</w:t>
      </w:r>
    </w:p>
    <w:p>
      <w:pPr>
        <w:pStyle w:val="Heading4"/>
        <w:spacing w:line="273" w:lineRule="auto" w:before="37"/>
        <w:ind w:right="1126"/>
        <w:jc w:val="both"/>
      </w:pPr>
      <w:r>
        <w:rPr>
          <w:spacing w:val="-2"/>
        </w:rPr>
        <w:t>客户需求，积极推动网络安全在重点行业业务应用领域的发展。目前为顺应无纸化发展趋势，公司全力打</w:t>
      </w:r>
      <w:r>
        <w:rPr>
          <w:spacing w:val="-44"/>
        </w:rPr>
        <w:t> </w:t>
      </w:r>
      <w:r>
        <w:rPr>
          <w:spacing w:val="-44"/>
        </w:rPr>
      </w:r>
      <w:r>
        <w:rPr>
          <w:spacing w:val="-2"/>
        </w:rPr>
        <w:t>造数字身份管理、电子签名、电子合同、电子保全等产品和服务，面对不同应用场景形成了多个可靠可信</w:t>
      </w:r>
      <w:r>
        <w:rPr>
          <w:spacing w:val="-47"/>
        </w:rPr>
        <w:t> </w:t>
      </w:r>
      <w:r>
        <w:rPr>
          <w:spacing w:val="-47"/>
        </w:rPr>
      </w:r>
      <w:r>
        <w:rPr/>
        <w:t>并具有法律效力的网络安全解决方案，已在金融、教育、企业信息化等领域的知名企业得到广泛使用。</w:t>
      </w:r>
    </w:p>
    <w:p>
      <w:pPr>
        <w:spacing w:line="432" w:lineRule="exact" w:before="27"/>
        <w:ind w:left="573" w:right="982" w:firstLine="0"/>
        <w:jc w:val="left"/>
        <w:rPr>
          <w:rFonts w:ascii="宋体" w:hAnsi="宋体" w:cs="宋体" w:eastAsia="宋体" w:hint="default"/>
          <w:sz w:val="21"/>
          <w:szCs w:val="21"/>
        </w:rPr>
      </w:pPr>
      <w:r>
        <w:rPr>
          <w:rFonts w:ascii="宋体" w:hAnsi="宋体" w:cs="宋体" w:eastAsia="宋体" w:hint="default"/>
          <w:b/>
          <w:bCs/>
          <w:sz w:val="21"/>
          <w:szCs w:val="21"/>
        </w:rPr>
        <w:t>（四）有效的全国营销体系</w:t>
      </w:r>
      <w:r>
        <w:rPr>
          <w:rFonts w:ascii="宋体" w:hAnsi="宋体" w:cs="宋体" w:eastAsia="宋体" w:hint="default"/>
          <w:b/>
          <w:bCs/>
          <w:w w:val="100"/>
          <w:sz w:val="21"/>
          <w:szCs w:val="21"/>
        </w:rPr>
        <w:t> </w:t>
      </w:r>
      <w:r>
        <w:rPr>
          <w:rFonts w:ascii="宋体" w:hAnsi="宋体" w:cs="宋体" w:eastAsia="宋体" w:hint="default"/>
          <w:spacing w:val="-2"/>
          <w:sz w:val="21"/>
          <w:szCs w:val="21"/>
        </w:rPr>
        <w:t>网络安全业务多以行业解决方案模式在市场推广，具备全国服务能力成为客户选择的关键因素。公司</w:t>
      </w:r>
    </w:p>
    <w:p>
      <w:pPr>
        <w:pStyle w:val="Heading4"/>
        <w:spacing w:line="271" w:lineRule="exact"/>
        <w:ind w:right="0"/>
        <w:jc w:val="both"/>
      </w:pPr>
      <w:r>
        <w:rPr/>
        <w:t>多年来一直坚持</w:t>
      </w:r>
      <w:r>
        <w:rPr>
          <w:rFonts w:ascii="Times New Roman" w:hAnsi="Times New Roman" w:cs="Times New Roman" w:eastAsia="Times New Roman" w:hint="default"/>
        </w:rPr>
        <w:t>“</w:t>
      </w:r>
      <w:r>
        <w:rPr/>
        <w:t>行业引领、区域落实</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立足北京，服务全国</w:t>
      </w:r>
      <w:r>
        <w:rPr>
          <w:rFonts w:ascii="Times New Roman" w:hAnsi="Times New Roman" w:cs="Times New Roman" w:eastAsia="Times New Roman" w:hint="default"/>
        </w:rPr>
        <w:t>”</w:t>
      </w:r>
      <w:r>
        <w:rPr/>
        <w:t>发展战略，在业务模式上通过调研行业需</w:t>
      </w:r>
    </w:p>
    <w:p>
      <w:pPr>
        <w:pStyle w:val="Heading4"/>
        <w:spacing w:line="266" w:lineRule="auto" w:before="21"/>
        <w:ind w:right="1104"/>
        <w:jc w:val="both"/>
      </w:pPr>
      <w:r>
        <w:rPr>
          <w:spacing w:val="-2"/>
        </w:rPr>
        <w:t>求，形成行业解决方案，树立样本工程，在全国范围进行推广。按照此业务推进模式，公司构建了总部、</w:t>
      </w:r>
      <w:r>
        <w:rPr>
          <w:spacing w:val="-21"/>
        </w:rPr>
        <w:t> </w:t>
      </w:r>
      <w:r>
        <w:rPr>
          <w:spacing w:val="-21"/>
        </w:rPr>
      </w:r>
      <w:r>
        <w:rPr>
          <w:spacing w:val="-2"/>
        </w:rPr>
        <w:t>大区、重点城市为一体的营销体系，在重点区域市场组建销售、咨询、交付铁三角，建立了以客户为中心</w:t>
      </w:r>
      <w:r>
        <w:rPr>
          <w:spacing w:val="-43"/>
        </w:rPr>
        <w:t> </w:t>
      </w:r>
      <w:r>
        <w:rPr>
          <w:spacing w:val="-43"/>
        </w:rPr>
      </w:r>
      <w:r>
        <w:rPr>
          <w:spacing w:val="-2"/>
        </w:rPr>
        <w:t>强有力的服务团队。目前业务范围覆盖全国</w:t>
      </w:r>
      <w:r>
        <w:rPr>
          <w:rFonts w:ascii="Times New Roman" w:hAnsi="Times New Roman" w:cs="Times New Roman" w:eastAsia="Times New Roman" w:hint="default"/>
          <w:spacing w:val="-2"/>
        </w:rPr>
        <w:t>30</w:t>
      </w:r>
      <w:r>
        <w:rPr>
          <w:spacing w:val="-2"/>
        </w:rPr>
        <w:t>多个省市自治区，报告期内数字认证母公司华北地区以外收</w:t>
      </w:r>
      <w:r>
        <w:rPr>
          <w:spacing w:val="-41"/>
        </w:rPr>
        <w:t> </w:t>
      </w:r>
      <w:r>
        <w:rPr>
          <w:spacing w:val="-41"/>
        </w:rPr>
      </w:r>
      <w:r>
        <w:rPr/>
        <w:t>入占比已接近</w:t>
      </w:r>
      <w:r>
        <w:rPr>
          <w:rFonts w:ascii="Times New Roman" w:hAnsi="Times New Roman" w:cs="Times New Roman" w:eastAsia="Times New Roman" w:hint="default"/>
        </w:rPr>
        <w:t>40%</w:t>
      </w:r>
      <w:r>
        <w:rPr/>
        <w:t>。</w:t>
      </w:r>
    </w:p>
    <w:p>
      <w:pPr>
        <w:pStyle w:val="Heading4"/>
        <w:spacing w:line="432" w:lineRule="exact" w:before="15"/>
        <w:ind w:left="573" w:right="982"/>
        <w:jc w:val="left"/>
      </w:pPr>
      <w:r>
        <w:rPr>
          <w:rFonts w:ascii="宋体" w:hAnsi="宋体" w:cs="宋体" w:eastAsia="宋体" w:hint="default"/>
          <w:b/>
          <w:bCs/>
        </w:rPr>
        <w:t>（五）优质的客户群体</w:t>
      </w:r>
      <w:r>
        <w:rPr>
          <w:rFonts w:ascii="宋体" w:hAnsi="宋体" w:cs="宋体" w:eastAsia="宋体" w:hint="default"/>
          <w:b/>
          <w:bCs/>
          <w:w w:val="100"/>
        </w:rPr>
        <w:t> </w:t>
      </w:r>
      <w:r>
        <w:rPr>
          <w:spacing w:val="-2"/>
        </w:rPr>
        <w:t>公司用户群体广泛，覆盖政府机构、金融、医疗卫生、大型企业等多个领域。优质的客户资源不仅为</w:t>
      </w:r>
    </w:p>
    <w:p>
      <w:pPr>
        <w:pStyle w:val="Heading4"/>
        <w:spacing w:line="255" w:lineRule="exact"/>
        <w:ind w:right="0"/>
        <w:jc w:val="both"/>
      </w:pPr>
      <w:r>
        <w:rPr/>
        <w:t>公司提供新业务拓展机遇，还可以利用客户行业影响力，降低同类型企业推广难度，是公司稳定、可持续</w:t>
      </w:r>
    </w:p>
    <w:p>
      <w:pPr>
        <w:pStyle w:val="Heading4"/>
        <w:spacing w:line="240" w:lineRule="auto" w:before="37"/>
        <w:ind w:right="0"/>
        <w:jc w:val="both"/>
      </w:pPr>
      <w:r>
        <w:rPr/>
        <w:t>发展的基础。</w:t>
      </w:r>
    </w:p>
    <w:p>
      <w:pPr>
        <w:spacing w:after="0" w:line="240" w:lineRule="auto"/>
        <w:jc w:val="both"/>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spacing w:line="240" w:lineRule="auto"/>
        <w:ind w:left="2964" w:right="982"/>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2"/>
        <w:jc w:val="left"/>
        <w:rPr>
          <w:b w:val="0"/>
          <w:bCs w:val="0"/>
        </w:rPr>
      </w:pPr>
      <w:r>
        <w:rPr/>
        <w:t>一、概述</w:t>
      </w:r>
      <w:r>
        <w:rPr>
          <w:b w:val="0"/>
          <w:bCs w:val="0"/>
        </w:rPr>
      </w:r>
    </w:p>
    <w:p>
      <w:pPr>
        <w:spacing w:line="240" w:lineRule="auto" w:before="12"/>
        <w:rPr>
          <w:rFonts w:ascii="宋体" w:hAnsi="宋体" w:cs="宋体" w:eastAsia="宋体" w:hint="default"/>
          <w:b/>
          <w:bCs/>
          <w:sz w:val="24"/>
          <w:szCs w:val="24"/>
        </w:rPr>
      </w:pPr>
    </w:p>
    <w:p>
      <w:pPr>
        <w:pStyle w:val="Heading4"/>
        <w:spacing w:line="261" w:lineRule="auto"/>
        <w:ind w:right="1126" w:firstLine="420"/>
        <w:jc w:val="both"/>
      </w:pPr>
      <w:r>
        <w:rPr>
          <w:spacing w:val="-3"/>
        </w:rPr>
        <w:t>报告期内，公司实现营业收入</w:t>
      </w:r>
      <w:r>
        <w:rPr>
          <w:rFonts w:ascii="Times New Roman" w:hAnsi="Times New Roman" w:cs="Times New Roman" w:eastAsia="Times New Roman" w:hint="default"/>
          <w:spacing w:val="-3"/>
        </w:rPr>
        <w:t>7.94 </w:t>
      </w:r>
      <w:r>
        <w:rPr>
          <w:spacing w:val="-4"/>
        </w:rPr>
        <w:t>亿元，较上年同期增长</w:t>
      </w:r>
      <w:r>
        <w:rPr>
          <w:rFonts w:ascii="Times New Roman" w:hAnsi="Times New Roman" w:cs="Times New Roman" w:eastAsia="Times New Roman" w:hint="default"/>
          <w:spacing w:val="-4"/>
        </w:rPr>
        <w:t>18.90%</w:t>
      </w:r>
      <w:r>
        <w:rPr>
          <w:spacing w:val="-4"/>
        </w:rPr>
        <w:t>；营业利润</w:t>
      </w:r>
      <w:r>
        <w:rPr>
          <w:rFonts w:ascii="Times New Roman" w:hAnsi="Times New Roman" w:cs="Times New Roman" w:eastAsia="Times New Roman" w:hint="default"/>
          <w:spacing w:val="-4"/>
        </w:rPr>
        <w:t>1.10</w:t>
      </w:r>
      <w:r>
        <w:rPr>
          <w:rFonts w:ascii="Times New Roman" w:hAnsi="Times New Roman" w:cs="Times New Roman" w:eastAsia="Times New Roman" w:hint="default"/>
          <w:spacing w:val="38"/>
        </w:rPr>
        <w:t> </w:t>
      </w:r>
      <w:r>
        <w:rPr>
          <w:spacing w:val="-5"/>
        </w:rPr>
        <w:t>亿元、较上年同期增</w:t>
      </w:r>
      <w:r>
        <w:rPr>
          <w:w w:val="100"/>
        </w:rPr>
        <w:t> </w:t>
      </w:r>
      <w:r>
        <w:rPr/>
        <w:t>长</w:t>
      </w:r>
      <w:r>
        <w:rPr>
          <w:rFonts w:ascii="Times New Roman" w:hAnsi="Times New Roman" w:cs="Times New Roman" w:eastAsia="Times New Roman" w:hint="default"/>
        </w:rPr>
        <w:t>11.50%</w:t>
      </w:r>
      <w:r>
        <w:rPr/>
        <w:t>；归属于上市公司股东的净利润</w:t>
      </w:r>
      <w:r>
        <w:rPr>
          <w:rFonts w:ascii="Times New Roman" w:hAnsi="Times New Roman" w:cs="Times New Roman" w:eastAsia="Times New Roman" w:hint="default"/>
        </w:rPr>
        <w:t>9,853</w:t>
      </w:r>
      <w:r>
        <w:rPr/>
        <w:t>万元，较上年同期增长</w:t>
      </w:r>
      <w:r>
        <w:rPr>
          <w:rFonts w:ascii="Times New Roman" w:hAnsi="Times New Roman" w:cs="Times New Roman" w:eastAsia="Times New Roman" w:hint="default"/>
        </w:rPr>
        <w:t>13.96%</w:t>
      </w:r>
      <w:r>
        <w:rPr/>
        <w:t>；归属于上市公司股东的扣</w:t>
      </w:r>
      <w:r>
        <w:rPr>
          <w:spacing w:val="-9"/>
        </w:rPr>
        <w:t> </w:t>
      </w:r>
      <w:r>
        <w:rPr>
          <w:spacing w:val="-9"/>
        </w:rPr>
      </w:r>
      <w:r>
        <w:rPr>
          <w:spacing w:val="-4"/>
        </w:rPr>
        <w:t>除非经常性损益的净利润</w:t>
      </w:r>
      <w:r>
        <w:rPr>
          <w:rFonts w:ascii="Times New Roman" w:hAnsi="Times New Roman" w:cs="Times New Roman" w:eastAsia="Times New Roman" w:hint="default"/>
          <w:spacing w:val="-4"/>
        </w:rPr>
        <w:t>8,435</w:t>
      </w:r>
      <w:r>
        <w:rPr>
          <w:spacing w:val="-4"/>
        </w:rPr>
        <w:t>万元，较上年同期增长</w:t>
      </w:r>
      <w:r>
        <w:rPr>
          <w:rFonts w:ascii="Times New Roman" w:hAnsi="Times New Roman" w:cs="Times New Roman" w:eastAsia="Times New Roman" w:hint="default"/>
          <w:spacing w:val="-4"/>
        </w:rPr>
        <w:t>11.33%</w:t>
      </w:r>
      <w:r>
        <w:rPr>
          <w:spacing w:val="-4"/>
        </w:rPr>
        <w:t>。公司业绩快速增长的主要原因：一是从区域</w:t>
      </w:r>
      <w:r>
        <w:rPr>
          <w:spacing w:val="-2"/>
        </w:rPr>
        <w:t> </w:t>
      </w:r>
      <w:r>
        <w:rPr>
          <w:spacing w:val="-2"/>
        </w:rPr>
        <w:t>看，北京地区业务保持稳定增长，外地业务发展加速，其中华东、西部、华中、东北地区业务规模同比增</w:t>
      </w:r>
      <w:r>
        <w:rPr>
          <w:spacing w:val="-45"/>
        </w:rPr>
        <w:t> </w:t>
      </w:r>
      <w:r>
        <w:rPr>
          <w:spacing w:val="-45"/>
        </w:rPr>
      </w:r>
      <w:r>
        <w:rPr>
          <w:spacing w:val="-1"/>
        </w:rPr>
        <w:t>长均超过</w:t>
      </w:r>
      <w:r>
        <w:rPr>
          <w:rFonts w:ascii="Times New Roman" w:hAnsi="Times New Roman" w:cs="Times New Roman" w:eastAsia="Times New Roman" w:hint="default"/>
          <w:spacing w:val="-1"/>
        </w:rPr>
        <w:t>40%</w:t>
      </w:r>
      <w:r>
        <w:rPr>
          <w:spacing w:val="-1"/>
        </w:rPr>
        <w:t>；二是卫生、政务、金融等优势行业持续增长，卫生业务增速明显，教育、企业等新兴市场</w:t>
      </w:r>
      <w:r>
        <w:rPr>
          <w:spacing w:val="-51"/>
        </w:rPr>
        <w:t> </w:t>
      </w:r>
      <w:r>
        <w:rPr>
          <w:spacing w:val="-51"/>
        </w:rPr>
      </w:r>
      <w:r>
        <w:rPr>
          <w:spacing w:val="-2"/>
        </w:rPr>
        <w:t>也快速发展；三是充分发挥公司作为北京市网络安全基础设施的作用，积极参与北京市网络安全建设，积</w:t>
      </w:r>
      <w:r>
        <w:rPr>
          <w:spacing w:val="-42"/>
        </w:rPr>
        <w:t> </w:t>
      </w:r>
      <w:r>
        <w:rPr>
          <w:spacing w:val="-42"/>
        </w:rPr>
      </w:r>
      <w:r>
        <w:rPr/>
        <w:t>极参与城市副中心、冬奥会、北京电子政务内网、世园会等重大项目网络安全建设与服务工作。</w:t>
      </w:r>
    </w:p>
    <w:p>
      <w:pPr>
        <w:spacing w:line="240" w:lineRule="auto" w:before="10"/>
        <w:rPr>
          <w:rFonts w:ascii="宋体" w:hAnsi="宋体" w:cs="宋体" w:eastAsia="宋体" w:hint="default"/>
          <w:sz w:val="19"/>
          <w:szCs w:val="19"/>
        </w:rPr>
      </w:pPr>
    </w:p>
    <w:p>
      <w:pPr>
        <w:pStyle w:val="Heading3"/>
        <w:spacing w:line="240" w:lineRule="auto"/>
        <w:ind w:left="573" w:right="982"/>
        <w:jc w:val="left"/>
        <w:rPr>
          <w:b w:val="0"/>
          <w:bCs w:val="0"/>
        </w:rPr>
      </w:pPr>
      <w:r>
        <w:rPr/>
        <w:t>报告期内公司的重点工作：</w:t>
      </w:r>
      <w:r>
        <w:rPr>
          <w:b w:val="0"/>
          <w:bCs w:val="0"/>
        </w:rPr>
      </w:r>
    </w:p>
    <w:p>
      <w:pPr>
        <w:pStyle w:val="Heading4"/>
        <w:spacing w:line="430" w:lineRule="atLeast" w:before="2"/>
        <w:ind w:left="573" w:right="982" w:firstLine="2"/>
        <w:jc w:val="left"/>
      </w:pPr>
      <w:r>
        <w:rPr>
          <w:rFonts w:ascii="宋体" w:hAnsi="宋体" w:cs="宋体" w:eastAsia="宋体" w:hint="default"/>
          <w:b/>
          <w:bCs/>
        </w:rPr>
        <w:t>（一）重点营销工作</w:t>
      </w:r>
      <w:r>
        <w:rPr>
          <w:rFonts w:ascii="宋体" w:hAnsi="宋体" w:cs="宋体" w:eastAsia="宋体" w:hint="default"/>
          <w:b/>
          <w:bCs/>
          <w:w w:val="100"/>
        </w:rPr>
        <w:t> </w:t>
      </w:r>
      <w:r>
        <w:rPr>
          <w:spacing w:val="-2"/>
        </w:rPr>
        <w:t>优势行业稳步增长，新兴行业快速发展。报告期内公司不断优化和丰富优势行业网络安全解决方案，</w:t>
      </w:r>
    </w:p>
    <w:p>
      <w:pPr>
        <w:pStyle w:val="Heading4"/>
        <w:spacing w:line="266" w:lineRule="auto" w:before="37"/>
        <w:ind w:right="1126"/>
        <w:jc w:val="both"/>
      </w:pPr>
      <w:r>
        <w:rPr>
          <w:spacing w:val="-2"/>
        </w:rPr>
        <w:t>业务规模持续增长。在卫生行业领先优势持续扩大，报告期内新增数百家医院客户，成为国家级药监部门</w:t>
      </w:r>
      <w:r>
        <w:rPr>
          <w:spacing w:val="-45"/>
        </w:rPr>
        <w:t> </w:t>
      </w:r>
      <w:r>
        <w:rPr>
          <w:spacing w:val="-45"/>
        </w:rPr>
      </w:r>
      <w:r>
        <w:rPr>
          <w:spacing w:val="-1"/>
        </w:rPr>
        <w:t>的电子认证服务提供者，公司推出的</w:t>
      </w:r>
      <w:r>
        <w:rPr>
          <w:rFonts w:ascii="Times New Roman" w:hAnsi="Times New Roman" w:cs="Times New Roman" w:eastAsia="Times New Roman" w:hint="default"/>
          <w:spacing w:val="-1"/>
        </w:rPr>
        <w:t>“</w:t>
      </w:r>
      <w:r>
        <w:rPr>
          <w:spacing w:val="-1"/>
        </w:rPr>
        <w:t>安全可信互联网医院解决方案</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互联网医院监管方案</w:t>
      </w:r>
      <w:r>
        <w:rPr>
          <w:rFonts w:ascii="Times New Roman" w:hAnsi="Times New Roman" w:cs="Times New Roman" w:eastAsia="Times New Roman" w:hint="default"/>
          <w:spacing w:val="-1"/>
        </w:rPr>
        <w:t>”</w:t>
      </w:r>
      <w:r>
        <w:rPr>
          <w:spacing w:val="-1"/>
        </w:rPr>
        <w:t>为多个大型</w:t>
      </w:r>
      <w:r>
        <w:rPr>
          <w:spacing w:val="-41"/>
        </w:rPr>
        <w:t> </w:t>
      </w:r>
      <w:r>
        <w:rPr>
          <w:spacing w:val="-41"/>
        </w:rPr>
      </w:r>
      <w:r>
        <w:rPr/>
        <w:t>医院和多个省级监管平台提供互联网医疗安全保障。在政务行业稳步发展，公司紧紧围绕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spacing w:val="-2"/>
        </w:rPr>
        <w:t>和优化营商环境的需要，积极参与国家政务服务一体化建设，承担了多个省市、部委统一认证系统和统一</w:t>
      </w:r>
      <w:r>
        <w:rPr>
          <w:spacing w:val="-43"/>
        </w:rPr>
        <w:t> </w:t>
      </w:r>
      <w:r>
        <w:rPr>
          <w:spacing w:val="-43"/>
        </w:rPr>
      </w:r>
      <w:r>
        <w:rPr>
          <w:spacing w:val="-2"/>
        </w:rPr>
        <w:t>签章平台建设及与国办平台对接的相关工作；公共资源交易、住房公积金等安全解决方案也在多个省市自</w:t>
      </w:r>
      <w:r>
        <w:rPr>
          <w:spacing w:val="-42"/>
        </w:rPr>
        <w:t> </w:t>
      </w:r>
      <w:r>
        <w:rPr>
          <w:spacing w:val="-42"/>
        </w:rPr>
      </w:r>
      <w:r>
        <w:rPr>
          <w:spacing w:val="-2"/>
        </w:rPr>
        <w:t>治区得到推广落地。在金融行业继续深耕细作，公司通过紧抓保险、证券客户密码应用升级以及无纸化签</w:t>
      </w:r>
      <w:r>
        <w:rPr>
          <w:spacing w:val="-44"/>
        </w:rPr>
        <w:t> </w:t>
      </w:r>
      <w:r>
        <w:rPr>
          <w:spacing w:val="-44"/>
        </w:rPr>
      </w:r>
      <w:r>
        <w:rPr>
          <w:spacing w:val="-2"/>
        </w:rPr>
        <w:t>名场景升级需求，优化深化解决方案在多家保险和证券领域重点客户得到应用；创新推出基于公安权威身</w:t>
      </w:r>
      <w:r>
        <w:rPr>
          <w:spacing w:val="-44"/>
        </w:rPr>
        <w:t> </w:t>
      </w:r>
      <w:r>
        <w:rPr>
          <w:spacing w:val="-44"/>
        </w:rPr>
      </w:r>
      <w:r>
        <w:rPr>
          <w:spacing w:val="-2"/>
        </w:rPr>
        <w:t>份库的身份核实服务已在多家大型金融机构落地。报告期内公司加大在企业客户、教育、交通行业的资源</w:t>
      </w:r>
      <w:r>
        <w:rPr>
          <w:spacing w:val="-43"/>
        </w:rPr>
        <w:t> </w:t>
      </w:r>
      <w:r>
        <w:rPr>
          <w:spacing w:val="-43"/>
        </w:rPr>
      </w:r>
      <w:r>
        <w:rPr>
          <w:spacing w:val="-2"/>
        </w:rPr>
        <w:t>投入，业务规模快速增长，在企业客户领域逐渐产生规模效益，公司按照</w:t>
      </w:r>
      <w:r>
        <w:rPr>
          <w:rFonts w:ascii="Times New Roman" w:hAnsi="Times New Roman" w:cs="Times New Roman" w:eastAsia="Times New Roman" w:hint="default"/>
          <w:spacing w:val="-2"/>
        </w:rPr>
        <w:t>“</w:t>
      </w:r>
      <w:r>
        <w:rPr>
          <w:spacing w:val="-2"/>
        </w:rPr>
        <w:t>抓住头部客户，形成样本示范</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5"/>
        </w:rPr>
        <w:t> </w:t>
      </w:r>
      <w:r>
        <w:rPr>
          <w:spacing w:val="-2"/>
        </w:rPr>
        <w:t>的营销策略，主要在房地产、制造业、互联网企业等市场积极开展营销，已拓展了数十家大型知名企业客</w:t>
      </w:r>
      <w:r>
        <w:rPr>
          <w:spacing w:val="-47"/>
        </w:rPr>
        <w:t> </w:t>
      </w:r>
      <w:r>
        <w:rPr>
          <w:spacing w:val="-47"/>
        </w:rPr>
      </w:r>
      <w:r>
        <w:rPr>
          <w:spacing w:val="-4"/>
        </w:rPr>
        <w:t>户，通过大量成功案例，已在市场逐步树立起</w:t>
      </w:r>
      <w:r>
        <w:rPr>
          <w:rFonts w:ascii="Times New Roman" w:hAnsi="Times New Roman" w:cs="Times New Roman" w:eastAsia="Times New Roman" w:hint="default"/>
          <w:spacing w:val="-4"/>
        </w:rPr>
        <w:t>“500</w:t>
      </w:r>
      <w:r>
        <w:rPr>
          <w:spacing w:val="-4"/>
        </w:rPr>
        <w:t>强信任之选</w:t>
      </w:r>
      <w:r>
        <w:rPr>
          <w:rFonts w:ascii="Times New Roman" w:hAnsi="Times New Roman" w:cs="Times New Roman" w:eastAsia="Times New Roman" w:hint="default"/>
          <w:spacing w:val="-4"/>
        </w:rPr>
        <w:t>”</w:t>
      </w:r>
      <w:r>
        <w:rPr>
          <w:spacing w:val="-4"/>
        </w:rPr>
        <w:t>的品牌形象；在教育行业公司业务市场地位</w:t>
      </w:r>
      <w:r>
        <w:rPr>
          <w:spacing w:val="-23"/>
        </w:rPr>
        <w:t> </w:t>
      </w:r>
      <w:r>
        <w:rPr>
          <w:spacing w:val="-23"/>
        </w:rPr>
      </w:r>
      <w:r>
        <w:rPr>
          <w:spacing w:val="-2"/>
        </w:rPr>
        <w:t>和影响力显著提升，公司积极利用已形成的标杆案例影响力，新签约了多个重点高校；在交通行业领域继</w:t>
      </w:r>
      <w:r>
        <w:rPr>
          <w:spacing w:val="-47"/>
        </w:rPr>
        <w:t> </w:t>
      </w:r>
      <w:r>
        <w:rPr>
          <w:spacing w:val="-47"/>
        </w:rPr>
      </w:r>
      <w:r>
        <w:rPr/>
        <w:t>续突破，新签约了铁路和邮政等新领域项目。</w:t>
      </w:r>
    </w:p>
    <w:p>
      <w:pPr>
        <w:pStyle w:val="Heading4"/>
        <w:spacing w:line="271" w:lineRule="auto" w:before="134"/>
        <w:ind w:right="1105" w:firstLine="420"/>
        <w:jc w:val="both"/>
      </w:pPr>
      <w:r>
        <w:rPr>
          <w:spacing w:val="-2"/>
        </w:rPr>
        <w:t>京津冀区域业务稳步推进，外地区域发展成效显著。在京津冀地区公司紧抓重点项目推进，积极推动</w:t>
      </w:r>
      <w:r>
        <w:rPr>
          <w:w w:val="100"/>
        </w:rPr>
        <w:t> </w:t>
      </w:r>
      <w:r>
        <w:rPr>
          <w:spacing w:val="-2"/>
        </w:rPr>
        <w:t>政务密码云服务，电子印章、统一认证等重点项目，积极参与冬奥会、北京电子政务内网、世园会等重大</w:t>
      </w:r>
      <w:r>
        <w:rPr>
          <w:spacing w:val="-43"/>
        </w:rPr>
        <w:t> </w:t>
      </w:r>
      <w:r>
        <w:rPr>
          <w:spacing w:val="-43"/>
        </w:rPr>
      </w:r>
      <w:r>
        <w:rPr>
          <w:spacing w:val="-2"/>
        </w:rPr>
        <w:t>项目网络安全建设与服务，承担了北京电子政务内网、行政办公系统移动化、部分楼体网络、安防专网等</w:t>
      </w:r>
      <w:r>
        <w:rPr>
          <w:spacing w:val="-47"/>
        </w:rPr>
        <w:t> </w:t>
      </w:r>
      <w:r>
        <w:rPr>
          <w:spacing w:val="-47"/>
        </w:rPr>
      </w:r>
      <w:r>
        <w:rPr>
          <w:spacing w:val="-2"/>
        </w:rPr>
        <w:t>网络安全建设工作，为各政府单位顺利入驻提供重要的技术支撑。顺利完成了</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论坛、亚洲文明</w:t>
      </w:r>
      <w:r>
        <w:rPr>
          <w:spacing w:val="-18"/>
        </w:rPr>
        <w:t> </w:t>
      </w:r>
      <w:r>
        <w:rPr>
          <w:spacing w:val="-18"/>
        </w:rPr>
      </w:r>
      <w:r>
        <w:rPr>
          <w:spacing w:val="-2"/>
        </w:rPr>
        <w:t>对话、世园会等重大活动的网络安全相关保障工作；外地区域市场开拓成果显著，公司借助领先的产品、</w:t>
      </w:r>
      <w:r>
        <w:rPr>
          <w:spacing w:val="-21"/>
        </w:rPr>
        <w:t> </w:t>
      </w:r>
      <w:r>
        <w:rPr>
          <w:spacing w:val="-21"/>
        </w:rPr>
      </w:r>
      <w:r>
        <w:rPr>
          <w:spacing w:val="-2"/>
        </w:rPr>
        <w:t>服务及解决方案，借助行业标杆案例的示范作用，在全国各区域市场积极推进业务发展和项目落地，各区</w:t>
      </w:r>
      <w:r>
        <w:rPr>
          <w:spacing w:val="-42"/>
        </w:rPr>
        <w:t> </w:t>
      </w:r>
      <w:r>
        <w:rPr>
          <w:spacing w:val="-42"/>
        </w:rPr>
      </w:r>
      <w:r>
        <w:rPr/>
        <w:t>域市场业绩增长较快，其中华中、华东、西部、东北等区域业务增幅均超过</w:t>
      </w:r>
      <w:r>
        <w:rPr>
          <w:rFonts w:ascii="Times New Roman" w:hAnsi="Times New Roman" w:cs="Times New Roman" w:eastAsia="Times New Roman" w:hint="default"/>
        </w:rPr>
        <w:t>40%</w:t>
      </w:r>
      <w:r>
        <w:rPr/>
        <w:t>。</w:t>
      </w:r>
    </w:p>
    <w:p>
      <w:pPr>
        <w:pStyle w:val="Heading4"/>
        <w:spacing w:line="430" w:lineRule="atLeast" w:before="76"/>
        <w:ind w:left="573" w:right="982"/>
        <w:jc w:val="left"/>
      </w:pPr>
      <w:r>
        <w:rPr>
          <w:rFonts w:ascii="宋体" w:hAnsi="宋体" w:cs="宋体" w:eastAsia="宋体" w:hint="default"/>
          <w:b/>
          <w:bCs/>
        </w:rPr>
        <w:t>（二）重点研发工作</w:t>
      </w:r>
      <w:r>
        <w:rPr>
          <w:rFonts w:ascii="宋体" w:hAnsi="宋体" w:cs="宋体" w:eastAsia="宋体" w:hint="default"/>
          <w:b/>
          <w:bCs/>
          <w:spacing w:val="-103"/>
        </w:rPr>
        <w:t> </w:t>
      </w:r>
      <w:r>
        <w:rPr>
          <w:spacing w:val="-2"/>
        </w:rPr>
        <w:t>公司积极投身信息技术安全可靠应用工作。报告期内，公司围绕信息技术安全可靠应用工作的需要，</w:t>
      </w:r>
    </w:p>
    <w:p>
      <w:pPr>
        <w:pStyle w:val="Heading4"/>
        <w:spacing w:line="264" w:lineRule="auto" w:before="40"/>
        <w:ind w:right="982"/>
        <w:jc w:val="left"/>
      </w:pPr>
      <w:r>
        <w:rPr>
          <w:spacing w:val="-5"/>
        </w:rPr>
        <w:t>积极参与标准制定、课题研究，开展关键核心技术攻关，全面提升公司产品在多个国产化平台的适配能力，</w:t>
      </w:r>
      <w:r>
        <w:rPr>
          <w:spacing w:val="-3"/>
        </w:rPr>
        <w:t> </w:t>
      </w:r>
      <w:r>
        <w:rPr>
          <w:spacing w:val="-3"/>
        </w:rPr>
      </w:r>
      <w:r>
        <w:rPr/>
        <w:t>性能和稳定性得到全面提升，已有</w:t>
      </w:r>
      <w:r>
        <w:rPr>
          <w:rFonts w:ascii="Times New Roman" w:hAnsi="Times New Roman" w:cs="Times New Roman" w:eastAsia="Times New Roman" w:hint="default"/>
        </w:rPr>
        <w:t>8</w:t>
      </w:r>
      <w:r>
        <w:rPr/>
        <w:t>款产品通过适配检测并进入到目录，相关产品已得到应用，公司已成</w:t>
      </w:r>
      <w:r>
        <w:rPr>
          <w:spacing w:val="-23"/>
        </w:rPr>
        <w:t> </w:t>
      </w:r>
      <w:r>
        <w:rPr>
          <w:spacing w:val="-23"/>
        </w:rPr>
      </w:r>
      <w:r>
        <w:rPr/>
        <w:t>为安全可靠领域电子认证类产品主要提供商。</w:t>
      </w:r>
    </w:p>
    <w:p>
      <w:pPr>
        <w:spacing w:after="0" w:line="264"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73" w:lineRule="auto" w:before="36"/>
        <w:ind w:right="982" w:firstLine="420"/>
        <w:jc w:val="left"/>
      </w:pPr>
      <w:r>
        <w:rPr/>
        <w:t>公司积极有效推进云服务战略。报告期内公司不断加大云技术领域的资源投入，着力进行云服务的基</w:t>
      </w:r>
      <w:r>
        <w:rPr>
          <w:w w:val="100"/>
        </w:rPr>
        <w:t> </w:t>
      </w:r>
      <w:r>
        <w:rPr>
          <w:spacing w:val="-5"/>
        </w:rPr>
        <w:t>础技术研发，持续对云密码、云信任、云安全、云签名、可信电子合同等方面的云服务体系进行优化完善。</w:t>
      </w:r>
      <w:r>
        <w:rPr>
          <w:spacing w:val="-8"/>
        </w:rPr>
        <w:t> </w:t>
      </w:r>
      <w:r>
        <w:rPr>
          <w:spacing w:val="-8"/>
        </w:rPr>
      </w:r>
      <w:r>
        <w:rPr>
          <w:spacing w:val="-2"/>
        </w:rPr>
        <w:t>受益于公司云服务能力提升，签名服务业务逐渐产生规模效益，报告期内签名服务业务量将近翻一番，目</w:t>
      </w:r>
      <w:r>
        <w:rPr>
          <w:spacing w:val="-42"/>
        </w:rPr>
        <w:t> </w:t>
      </w:r>
      <w:r>
        <w:rPr>
          <w:spacing w:val="-42"/>
        </w:rPr>
      </w:r>
      <w:r>
        <w:rPr/>
        <w:t>前公司的公有云签名服务平台同时支撑数百个项目的运营服务，云服务业务发展步入快车道。</w:t>
      </w:r>
    </w:p>
    <w:p>
      <w:pPr>
        <w:pStyle w:val="Heading4"/>
        <w:spacing w:line="273" w:lineRule="auto" w:before="127"/>
        <w:ind w:right="1126" w:firstLine="420"/>
        <w:jc w:val="both"/>
      </w:pPr>
      <w:r>
        <w:rPr>
          <w:spacing w:val="-2"/>
        </w:rPr>
        <w:t>公司为拓展业务应用领域，满足客户业务场景多元化需求，不断丰富公司产品和解决方案。报告期内</w:t>
      </w:r>
      <w:r>
        <w:rPr>
          <w:w w:val="100"/>
        </w:rPr>
        <w:t> </w:t>
      </w:r>
      <w:r>
        <w:rPr>
          <w:spacing w:val="-2"/>
        </w:rPr>
        <w:t>公司持续拓展了公司密码产品拼图，研发了面向中小企业的接入认证产品满足不同类型客户业务需求，将</w:t>
      </w:r>
      <w:r>
        <w:rPr>
          <w:spacing w:val="-42"/>
        </w:rPr>
        <w:t> </w:t>
      </w:r>
      <w:r>
        <w:rPr>
          <w:spacing w:val="-42"/>
        </w:rPr>
      </w:r>
      <w:r>
        <w:rPr>
          <w:spacing w:val="-2"/>
        </w:rPr>
        <w:t>生物识别技术与密码技术深度融合，推出了生物识别签名系统，全面提升了产品安全性和使用方便性，得</w:t>
      </w:r>
      <w:r>
        <w:rPr>
          <w:spacing w:val="-43"/>
        </w:rPr>
        <w:t> </w:t>
      </w:r>
      <w:r>
        <w:rPr>
          <w:spacing w:val="-43"/>
        </w:rPr>
      </w:r>
      <w:r>
        <w:rPr>
          <w:spacing w:val="-2"/>
        </w:rPr>
        <w:t>到用户广泛好评。面向不断涌现的新应用、新场景的需要，公司积极研发了移动协同签名服务器、数字化</w:t>
      </w:r>
      <w:r>
        <w:rPr>
          <w:spacing w:val="-50"/>
        </w:rPr>
        <w:t> </w:t>
      </w:r>
      <w:r>
        <w:rPr>
          <w:spacing w:val="-50"/>
        </w:rPr>
      </w:r>
      <w:r>
        <w:rPr/>
        <w:t>审图系统等多款新产品。</w:t>
      </w:r>
    </w:p>
    <w:p>
      <w:pPr>
        <w:pStyle w:val="Heading4"/>
        <w:spacing w:line="266" w:lineRule="auto" w:before="127"/>
        <w:ind w:right="1126" w:firstLine="420"/>
        <w:jc w:val="both"/>
      </w:pPr>
      <w:r>
        <w:rPr>
          <w:spacing w:val="-3"/>
        </w:rPr>
        <w:t>公司紧紧围绕网络安全等保</w:t>
      </w:r>
      <w:r>
        <w:rPr>
          <w:rFonts w:ascii="Times New Roman" w:hAnsi="Times New Roman" w:cs="Times New Roman" w:eastAsia="Times New Roman" w:hint="default"/>
          <w:spacing w:val="-3"/>
        </w:rPr>
        <w:t>2.0</w:t>
      </w:r>
      <w:r>
        <w:rPr>
          <w:spacing w:val="-3"/>
        </w:rPr>
        <w:t>及相关标准的要求，全面提升公司可管理安全服务解决方案，通过研发</w:t>
      </w:r>
      <w:r>
        <w:rPr>
          <w:w w:val="100"/>
        </w:rPr>
        <w:t> </w:t>
      </w:r>
      <w:r>
        <w:rPr>
          <w:spacing w:val="-2"/>
        </w:rPr>
        <w:t>新产品、优化服务体系，有效提升了技术保障能力，强化了风险管理机制，帮助客户更好地构建符合要求</w:t>
      </w:r>
      <w:r>
        <w:rPr>
          <w:spacing w:val="-44"/>
        </w:rPr>
        <w:t> </w:t>
      </w:r>
      <w:r>
        <w:rPr>
          <w:spacing w:val="-44"/>
        </w:rPr>
      </w:r>
      <w:r>
        <w:rPr/>
        <w:t>的网络安全保障体系。</w:t>
      </w:r>
    </w:p>
    <w:p>
      <w:pPr>
        <w:pStyle w:val="Heading4"/>
        <w:spacing w:line="273" w:lineRule="auto" w:before="134"/>
        <w:ind w:right="1126" w:firstLine="420"/>
        <w:jc w:val="both"/>
      </w:pPr>
      <w:r>
        <w:rPr>
          <w:spacing w:val="-2"/>
        </w:rPr>
        <w:t>公司深入研究行业热点技术领域。在物联网方面，积极投入车联网相关技术研究，广泛参与智能网联</w:t>
      </w:r>
      <w:r>
        <w:rPr>
          <w:w w:val="100"/>
        </w:rPr>
        <w:t> </w:t>
      </w:r>
      <w:r>
        <w:rPr>
          <w:spacing w:val="-2"/>
        </w:rPr>
        <w:t>汽车产业标准建设，并在一些试点项目成功进行了互联互通测试，在车联网领域取得了一定突破。在区块</w:t>
      </w:r>
      <w:r>
        <w:rPr>
          <w:spacing w:val="-44"/>
        </w:rPr>
        <w:t> </w:t>
      </w:r>
      <w:r>
        <w:rPr>
          <w:spacing w:val="-44"/>
        </w:rPr>
      </w:r>
      <w:r>
        <w:rPr>
          <w:spacing w:val="-2"/>
        </w:rPr>
        <w:t>链方面，积极开展国产自主可信区块链相关技术的研究，探索国产密码算法、电子认证与区块链融合的关</w:t>
      </w:r>
      <w:r>
        <w:rPr>
          <w:spacing w:val="-44"/>
        </w:rPr>
        <w:t> </w:t>
      </w:r>
      <w:r>
        <w:rPr>
          <w:spacing w:val="-44"/>
        </w:rPr>
      </w:r>
      <w:r>
        <w:rPr/>
        <w:t>键技术；完成区块链行业垂直应用平台</w:t>
      </w:r>
      <w:r>
        <w:rPr>
          <w:rFonts w:ascii="Times New Roman" w:hAnsi="Times New Roman" w:cs="Times New Roman" w:eastAsia="Times New Roman" w:hint="default"/>
        </w:rPr>
        <w:t>——</w:t>
      </w:r>
      <w:r>
        <w:rPr/>
        <w:t>信认链的原型开发，并在数据版权业务中开展项目试点。</w:t>
      </w:r>
    </w:p>
    <w:p>
      <w:pPr>
        <w:pStyle w:val="Heading4"/>
        <w:spacing w:line="256" w:lineRule="auto" w:before="108"/>
        <w:ind w:right="1126" w:firstLine="420"/>
        <w:jc w:val="both"/>
      </w:pPr>
      <w:r>
        <w:rPr/>
        <w:t>公司积极进行技术创新，持续进行前沿技术研究。报告期内公司新取得发明专利</w:t>
      </w:r>
      <w:r>
        <w:rPr>
          <w:rFonts w:ascii="Times New Roman" w:hAnsi="Times New Roman" w:cs="Times New Roman" w:eastAsia="Times New Roman" w:hint="default"/>
        </w:rPr>
        <w:t>3</w:t>
      </w:r>
      <w:r>
        <w:rPr/>
        <w:t>项，软件著作权</w:t>
      </w:r>
      <w:r>
        <w:rPr>
          <w:rFonts w:ascii="Times New Roman" w:hAnsi="Times New Roman" w:cs="Times New Roman" w:eastAsia="Times New Roman" w:hint="default"/>
        </w:rPr>
        <w:t>31</w:t>
      </w:r>
      <w:r>
        <w:rPr>
          <w:rFonts w:ascii="Times New Roman" w:hAnsi="Times New Roman" w:cs="Times New Roman" w:eastAsia="Times New Roman" w:hint="default"/>
          <w:w w:val="100"/>
        </w:rPr>
        <w:t> </w:t>
      </w:r>
      <w:r>
        <w:rPr>
          <w:spacing w:val="-2"/>
        </w:rPr>
        <w:t>项；报告期内公司正牵头和参与制定的国家、行业、地方、团体标准达</w:t>
      </w:r>
      <w:r>
        <w:rPr>
          <w:rFonts w:ascii="Times New Roman" w:hAnsi="Times New Roman" w:cs="Times New Roman" w:eastAsia="Times New Roman" w:hint="default"/>
          <w:spacing w:val="-2"/>
        </w:rPr>
        <w:t>67</w:t>
      </w:r>
      <w:r>
        <w:rPr>
          <w:spacing w:val="-2"/>
        </w:rPr>
        <w:t>项；在研国家级课题</w:t>
      </w:r>
      <w:r>
        <w:rPr>
          <w:rFonts w:ascii="Times New Roman" w:hAnsi="Times New Roman" w:cs="Times New Roman" w:eastAsia="Times New Roman" w:hint="default"/>
          <w:spacing w:val="-2"/>
        </w:rPr>
        <w:t>12</w:t>
      </w:r>
      <w:r>
        <w:rPr>
          <w:spacing w:val="-2"/>
        </w:rPr>
        <w:t>项；在研</w:t>
      </w:r>
      <w:r>
        <w:rPr>
          <w:spacing w:val="-36"/>
        </w:rPr>
        <w:t> </w:t>
      </w:r>
      <w:r>
        <w:rPr>
          <w:spacing w:val="-36"/>
        </w:rPr>
      </w:r>
      <w:r>
        <w:rPr/>
        <w:t>省部级课题</w:t>
      </w:r>
      <w:r>
        <w:rPr>
          <w:rFonts w:ascii="Times New Roman" w:hAnsi="Times New Roman" w:cs="Times New Roman" w:eastAsia="Times New Roman" w:hint="default"/>
        </w:rPr>
        <w:t>6</w:t>
      </w:r>
      <w:r>
        <w:rPr/>
        <w:t>项。国家级课题基本情况如下：</w:t>
      </w:r>
    </w:p>
    <w:p>
      <w:pPr>
        <w:spacing w:line="240" w:lineRule="auto" w:before="0"/>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036"/>
        <w:gridCol w:w="3068"/>
        <w:gridCol w:w="4537"/>
      </w:tblGrid>
      <w:tr>
        <w:trPr>
          <w:trHeight w:val="598" w:hRule="exact"/>
        </w:trPr>
        <w:tc>
          <w:tcPr>
            <w:tcW w:w="20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7"/>
              <w:ind w:left="5" w:right="0"/>
              <w:jc w:val="center"/>
              <w:rPr>
                <w:rFonts w:ascii="宋体" w:hAnsi="宋体" w:cs="宋体" w:eastAsia="宋体" w:hint="default"/>
                <w:sz w:val="18"/>
                <w:szCs w:val="18"/>
              </w:rPr>
            </w:pPr>
            <w:r>
              <w:rPr>
                <w:rFonts w:ascii="宋体" w:hAnsi="宋体" w:cs="宋体" w:eastAsia="宋体" w:hint="default"/>
                <w:sz w:val="18"/>
                <w:szCs w:val="18"/>
              </w:rPr>
              <w:t>门类</w:t>
            </w:r>
          </w:p>
        </w:tc>
        <w:tc>
          <w:tcPr>
            <w:tcW w:w="3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7"/>
              <w:ind w:left="5"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4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7"/>
              <w:ind w:left="2" w:right="0"/>
              <w:jc w:val="center"/>
              <w:rPr>
                <w:rFonts w:ascii="宋体" w:hAnsi="宋体" w:cs="宋体" w:eastAsia="宋体" w:hint="default"/>
                <w:sz w:val="18"/>
                <w:szCs w:val="18"/>
              </w:rPr>
            </w:pPr>
            <w:r>
              <w:rPr>
                <w:rFonts w:ascii="宋体" w:hAnsi="宋体" w:cs="宋体" w:eastAsia="宋体" w:hint="default"/>
                <w:sz w:val="18"/>
                <w:szCs w:val="18"/>
              </w:rPr>
              <w:t>牵头</w:t>
            </w:r>
            <w:r>
              <w:rPr>
                <w:rFonts w:ascii="Times New Roman" w:hAnsi="Times New Roman" w:cs="Times New Roman" w:eastAsia="Times New Roman" w:hint="default"/>
                <w:sz w:val="18"/>
                <w:szCs w:val="18"/>
              </w:rPr>
              <w:t>/</w:t>
            </w:r>
            <w:r>
              <w:rPr>
                <w:rFonts w:ascii="宋体" w:hAnsi="宋体" w:cs="宋体" w:eastAsia="宋体" w:hint="default"/>
                <w:sz w:val="18"/>
                <w:szCs w:val="18"/>
              </w:rPr>
              <w:t>参与项目</w:t>
            </w:r>
          </w:p>
        </w:tc>
      </w:tr>
      <w:tr>
        <w:trPr>
          <w:trHeight w:val="595" w:hRule="exact"/>
        </w:trPr>
        <w:tc>
          <w:tcPr>
            <w:tcW w:w="20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00" w:lineRule="auto"/>
              <w:ind w:left="254" w:right="71" w:hanging="180"/>
              <w:jc w:val="left"/>
              <w:rPr>
                <w:rFonts w:ascii="宋体" w:hAnsi="宋体" w:cs="宋体" w:eastAsia="宋体" w:hint="default"/>
                <w:sz w:val="18"/>
                <w:szCs w:val="18"/>
              </w:rPr>
            </w:pPr>
            <w:r>
              <w:rPr>
                <w:rFonts w:ascii="宋体" w:hAnsi="宋体" w:cs="宋体" w:eastAsia="宋体" w:hint="default"/>
                <w:sz w:val="18"/>
                <w:szCs w:val="18"/>
              </w:rPr>
              <w:t>国家重点研发计划</w:t>
            </w:r>
            <w:r>
              <w:rPr>
                <w:rFonts w:ascii="Times New Roman" w:hAnsi="Times New Roman" w:cs="Times New Roman" w:eastAsia="Times New Roman" w:hint="default"/>
                <w:sz w:val="18"/>
                <w:szCs w:val="18"/>
              </w:rPr>
              <w:t>“</w:t>
            </w:r>
            <w:r>
              <w:rPr>
                <w:rFonts w:ascii="宋体" w:hAnsi="宋体" w:cs="宋体" w:eastAsia="宋体" w:hint="default"/>
                <w:sz w:val="18"/>
                <w:szCs w:val="18"/>
              </w:rPr>
              <w:t>网络 空间安全</w:t>
            </w:r>
            <w:r>
              <w:rPr>
                <w:rFonts w:ascii="Times New Roman" w:hAnsi="Times New Roman" w:cs="Times New Roman" w:eastAsia="Times New Roman" w:hint="default"/>
                <w:sz w:val="18"/>
                <w:szCs w:val="18"/>
              </w:rPr>
              <w:t>”</w:t>
            </w:r>
            <w:r>
              <w:rPr>
                <w:rFonts w:ascii="宋体" w:hAnsi="宋体" w:cs="宋体" w:eastAsia="宋体" w:hint="default"/>
                <w:sz w:val="18"/>
                <w:szCs w:val="18"/>
              </w:rPr>
              <w:t>重点专项</w:t>
            </w:r>
          </w:p>
        </w:tc>
        <w:tc>
          <w:tcPr>
            <w:tcW w:w="30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1171" w:right="86" w:hanging="1081"/>
              <w:jc w:val="left"/>
              <w:rPr>
                <w:rFonts w:ascii="宋体" w:hAnsi="宋体" w:cs="宋体" w:eastAsia="宋体" w:hint="default"/>
                <w:sz w:val="18"/>
                <w:szCs w:val="18"/>
              </w:rPr>
            </w:pPr>
            <w:r>
              <w:rPr>
                <w:rFonts w:ascii="宋体" w:hAnsi="宋体" w:cs="宋体" w:eastAsia="宋体" w:hint="default"/>
                <w:sz w:val="18"/>
                <w:szCs w:val="18"/>
              </w:rPr>
              <w:t>基于国产密码算法的服务认证与证明 关键技术</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牵头负责</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信息服务可信管理平台研制及应用示范</w:t>
            </w:r>
            <w:r>
              <w:rPr>
                <w:rFonts w:ascii="Times New Roman" w:hAnsi="Times New Roman" w:cs="Times New Roman" w:eastAsia="Times New Roman" w:hint="default"/>
                <w:sz w:val="18"/>
                <w:szCs w:val="18"/>
              </w:rPr>
              <w:t>”</w:t>
            </w:r>
          </w:p>
        </w:tc>
      </w:tr>
      <w:tr>
        <w:trPr>
          <w:trHeight w:val="598" w:hRule="exact"/>
        </w:trPr>
        <w:tc>
          <w:tcPr>
            <w:tcW w:w="2036" w:type="dxa"/>
            <w:vMerge/>
            <w:tcBorders>
              <w:left w:val="single" w:sz="4" w:space="0" w:color="000000"/>
              <w:right w:val="single" w:sz="4" w:space="0" w:color="000000"/>
            </w:tcBorders>
          </w:tcPr>
          <w:p>
            <w:pPr/>
          </w:p>
        </w:tc>
        <w:tc>
          <w:tcPr>
            <w:tcW w:w="3068" w:type="dxa"/>
            <w:vMerge/>
            <w:tcBorders>
              <w:left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参与</w:t>
            </w:r>
            <w:r>
              <w:rPr>
                <w:rFonts w:ascii="Times New Roman" w:hAnsi="Times New Roman" w:cs="Times New Roman" w:eastAsia="Times New Roman" w:hint="default"/>
                <w:sz w:val="18"/>
                <w:szCs w:val="18"/>
              </w:rPr>
              <w:t>“</w:t>
            </w:r>
            <w:r>
              <w:rPr>
                <w:rFonts w:ascii="宋体" w:hAnsi="宋体" w:cs="宋体" w:eastAsia="宋体" w:hint="default"/>
                <w:sz w:val="18"/>
                <w:szCs w:val="18"/>
              </w:rPr>
              <w:t>信息服务可信管理分级分类体系研究</w:t>
            </w:r>
            <w:r>
              <w:rPr>
                <w:rFonts w:ascii="Times New Roman" w:hAnsi="Times New Roman" w:cs="Times New Roman" w:eastAsia="Times New Roman" w:hint="default"/>
                <w:sz w:val="18"/>
                <w:szCs w:val="18"/>
              </w:rPr>
              <w:t>”</w:t>
            </w:r>
          </w:p>
        </w:tc>
      </w:tr>
      <w:tr>
        <w:trPr>
          <w:trHeight w:val="598" w:hRule="exact"/>
        </w:trPr>
        <w:tc>
          <w:tcPr>
            <w:tcW w:w="2036" w:type="dxa"/>
            <w:vMerge/>
            <w:tcBorders>
              <w:left w:val="single" w:sz="4" w:space="0" w:color="000000"/>
              <w:right w:val="single" w:sz="4" w:space="0" w:color="000000"/>
            </w:tcBorders>
          </w:tcPr>
          <w:p>
            <w:pPr/>
          </w:p>
        </w:tc>
        <w:tc>
          <w:tcPr>
            <w:tcW w:w="3068" w:type="dxa"/>
            <w:vMerge/>
            <w:tcBorders>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参与</w:t>
            </w:r>
            <w:r>
              <w:rPr>
                <w:rFonts w:ascii="Times New Roman" w:hAnsi="Times New Roman" w:cs="Times New Roman" w:eastAsia="Times New Roman" w:hint="default"/>
                <w:sz w:val="18"/>
                <w:szCs w:val="18"/>
              </w:rPr>
              <w:t>“</w:t>
            </w:r>
            <w:r>
              <w:rPr>
                <w:rFonts w:ascii="宋体" w:hAnsi="宋体" w:cs="宋体" w:eastAsia="宋体" w:hint="default"/>
                <w:sz w:val="18"/>
                <w:szCs w:val="18"/>
              </w:rPr>
              <w:t>信息服务实体管理及身份鉴别体系研究</w:t>
            </w:r>
            <w:r>
              <w:rPr>
                <w:rFonts w:ascii="Times New Roman" w:hAnsi="Times New Roman" w:cs="Times New Roman" w:eastAsia="Times New Roman" w:hint="default"/>
                <w:sz w:val="18"/>
                <w:szCs w:val="18"/>
              </w:rPr>
              <w:t>”</w:t>
            </w:r>
          </w:p>
        </w:tc>
      </w:tr>
      <w:tr>
        <w:trPr>
          <w:trHeight w:val="598" w:hRule="exact"/>
        </w:trPr>
        <w:tc>
          <w:tcPr>
            <w:tcW w:w="2036" w:type="dxa"/>
            <w:vMerge/>
            <w:tcBorders>
              <w:left w:val="single" w:sz="4" w:space="0" w:color="000000"/>
              <w:right w:val="single" w:sz="4" w:space="0" w:color="000000"/>
            </w:tcBorders>
          </w:tcPr>
          <w:p>
            <w:pPr/>
          </w:p>
        </w:tc>
        <w:tc>
          <w:tcPr>
            <w:tcW w:w="30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1"/>
              <w:ind w:left="451" w:right="86" w:hanging="360"/>
              <w:jc w:val="left"/>
              <w:rPr>
                <w:rFonts w:ascii="宋体" w:hAnsi="宋体" w:cs="宋体" w:eastAsia="宋体" w:hint="default"/>
                <w:sz w:val="18"/>
                <w:szCs w:val="18"/>
              </w:rPr>
            </w:pPr>
            <w:r>
              <w:rPr>
                <w:rFonts w:ascii="宋体" w:hAnsi="宋体" w:cs="宋体" w:eastAsia="宋体" w:hint="default"/>
                <w:sz w:val="18"/>
                <w:szCs w:val="18"/>
              </w:rPr>
              <w:t>基于国产密码算法的移动互联网密码 服务支撑基础设施关键技术</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牵头负责</w:t>
            </w: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移动互联网电子认证服务技术研究</w:t>
            </w:r>
            <w:r>
              <w:rPr>
                <w:rFonts w:ascii="Times New Roman" w:hAnsi="Times New Roman" w:cs="Times New Roman" w:eastAsia="Times New Roman" w:hint="default"/>
                <w:sz w:val="18"/>
                <w:szCs w:val="18"/>
              </w:rPr>
              <w:t>”</w:t>
            </w:r>
          </w:p>
        </w:tc>
      </w:tr>
      <w:tr>
        <w:trPr>
          <w:trHeight w:val="596" w:hRule="exact"/>
        </w:trPr>
        <w:tc>
          <w:tcPr>
            <w:tcW w:w="2036" w:type="dxa"/>
            <w:vMerge/>
            <w:tcBorders>
              <w:left w:val="single" w:sz="4" w:space="0" w:color="000000"/>
              <w:right w:val="single" w:sz="4" w:space="0" w:color="000000"/>
            </w:tcBorders>
          </w:tcPr>
          <w:p>
            <w:pPr/>
          </w:p>
        </w:tc>
        <w:tc>
          <w:tcPr>
            <w:tcW w:w="3068" w:type="dxa"/>
            <w:vMerge/>
            <w:tcBorders>
              <w:left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参与</w:t>
            </w:r>
            <w:r>
              <w:rPr>
                <w:rFonts w:ascii="Times New Roman" w:hAnsi="Times New Roman" w:cs="Times New Roman" w:eastAsia="Times New Roman" w:hint="default"/>
                <w:sz w:val="18"/>
                <w:szCs w:val="18"/>
              </w:rPr>
              <w:t>“</w:t>
            </w:r>
            <w:r>
              <w:rPr>
                <w:rFonts w:ascii="宋体" w:hAnsi="宋体" w:cs="宋体" w:eastAsia="宋体" w:hint="default"/>
                <w:sz w:val="18"/>
                <w:szCs w:val="18"/>
              </w:rPr>
              <w:t>移动终端软件生态体系安全技术研究</w:t>
            </w:r>
            <w:r>
              <w:rPr>
                <w:rFonts w:ascii="Times New Roman" w:hAnsi="Times New Roman" w:cs="Times New Roman" w:eastAsia="Times New Roman" w:hint="default"/>
                <w:sz w:val="18"/>
                <w:szCs w:val="18"/>
              </w:rPr>
              <w:t>”</w:t>
            </w:r>
          </w:p>
        </w:tc>
      </w:tr>
      <w:tr>
        <w:trPr>
          <w:trHeight w:val="598" w:hRule="exact"/>
        </w:trPr>
        <w:tc>
          <w:tcPr>
            <w:tcW w:w="2036" w:type="dxa"/>
            <w:vMerge/>
            <w:tcBorders>
              <w:left w:val="single" w:sz="4" w:space="0" w:color="000000"/>
              <w:right w:val="single" w:sz="4" w:space="0" w:color="000000"/>
            </w:tcBorders>
          </w:tcPr>
          <w:p>
            <w:pPr/>
          </w:p>
        </w:tc>
        <w:tc>
          <w:tcPr>
            <w:tcW w:w="3068" w:type="dxa"/>
            <w:vMerge/>
            <w:tcBorders>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参与</w:t>
            </w: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移动互联网密码服务示范应用</w:t>
            </w:r>
            <w:r>
              <w:rPr>
                <w:rFonts w:ascii="Times New Roman" w:hAnsi="Times New Roman" w:cs="Times New Roman" w:eastAsia="Times New Roman" w:hint="default"/>
                <w:sz w:val="18"/>
                <w:szCs w:val="18"/>
              </w:rPr>
              <w:t>”</w:t>
            </w:r>
          </w:p>
        </w:tc>
      </w:tr>
      <w:tr>
        <w:trPr>
          <w:trHeight w:val="598" w:hRule="exact"/>
        </w:trPr>
        <w:tc>
          <w:tcPr>
            <w:tcW w:w="2036" w:type="dxa"/>
            <w:vMerge/>
            <w:tcBorders>
              <w:left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 w:right="0"/>
              <w:jc w:val="center"/>
              <w:rPr>
                <w:rFonts w:ascii="宋体" w:hAnsi="宋体" w:cs="宋体" w:eastAsia="宋体" w:hint="default"/>
                <w:sz w:val="18"/>
                <w:szCs w:val="18"/>
              </w:rPr>
            </w:pPr>
            <w:r>
              <w:rPr>
                <w:rFonts w:ascii="宋体" w:hAnsi="宋体" w:cs="宋体" w:eastAsia="宋体" w:hint="default"/>
                <w:sz w:val="18"/>
                <w:szCs w:val="18"/>
              </w:rPr>
              <w:t>网络可信身份管理技术研究</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参与</w:t>
            </w:r>
            <w:r>
              <w:rPr>
                <w:rFonts w:ascii="Times New Roman" w:hAnsi="Times New Roman" w:cs="Times New Roman" w:eastAsia="Times New Roman" w:hint="default"/>
                <w:sz w:val="18"/>
                <w:szCs w:val="18"/>
              </w:rPr>
              <w:t>“</w:t>
            </w:r>
            <w:r>
              <w:rPr>
                <w:rFonts w:ascii="宋体" w:hAnsi="宋体" w:cs="宋体" w:eastAsia="宋体" w:hint="default"/>
                <w:sz w:val="18"/>
                <w:szCs w:val="18"/>
              </w:rPr>
              <w:t>亿级规模网络身份管理与服务系统技术</w:t>
            </w:r>
            <w:r>
              <w:rPr>
                <w:rFonts w:ascii="Times New Roman" w:hAnsi="Times New Roman" w:cs="Times New Roman" w:eastAsia="Times New Roman" w:hint="default"/>
                <w:sz w:val="18"/>
                <w:szCs w:val="18"/>
              </w:rPr>
              <w:t>”</w:t>
            </w:r>
          </w:p>
        </w:tc>
      </w:tr>
      <w:tr>
        <w:trPr>
          <w:trHeight w:val="598" w:hRule="exact"/>
        </w:trPr>
        <w:tc>
          <w:tcPr>
            <w:tcW w:w="2036" w:type="dxa"/>
            <w:vMerge/>
            <w:tcBorders>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 w:right="0"/>
              <w:jc w:val="center"/>
              <w:rPr>
                <w:rFonts w:ascii="宋体" w:hAnsi="宋体" w:cs="宋体" w:eastAsia="宋体" w:hint="default"/>
                <w:sz w:val="18"/>
                <w:szCs w:val="18"/>
              </w:rPr>
            </w:pPr>
            <w:r>
              <w:rPr>
                <w:rFonts w:ascii="宋体" w:hAnsi="宋体" w:cs="宋体" w:eastAsia="宋体" w:hint="default"/>
                <w:sz w:val="18"/>
                <w:szCs w:val="18"/>
              </w:rPr>
              <w:t>某涉密项目</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7" w:right="0"/>
              <w:jc w:val="left"/>
              <w:rPr>
                <w:rFonts w:ascii="宋体" w:hAnsi="宋体" w:cs="宋体" w:eastAsia="宋体" w:hint="default"/>
                <w:sz w:val="18"/>
                <w:szCs w:val="18"/>
              </w:rPr>
            </w:pPr>
            <w:r>
              <w:rPr>
                <w:rFonts w:ascii="宋体" w:hAnsi="宋体" w:cs="宋体" w:eastAsia="宋体" w:hint="default"/>
                <w:sz w:val="18"/>
                <w:szCs w:val="18"/>
              </w:rPr>
              <w:t>参与</w:t>
            </w:r>
            <w:r>
              <w:rPr>
                <w:rFonts w:ascii="Times New Roman" w:hAnsi="Times New Roman" w:cs="Times New Roman" w:eastAsia="Times New Roman" w:hint="default"/>
                <w:sz w:val="18"/>
                <w:szCs w:val="18"/>
              </w:rPr>
              <w:t>3</w:t>
            </w:r>
            <w:r>
              <w:rPr>
                <w:rFonts w:ascii="宋体" w:hAnsi="宋体" w:cs="宋体" w:eastAsia="宋体" w:hint="default"/>
                <w:sz w:val="18"/>
                <w:szCs w:val="18"/>
              </w:rPr>
              <w:t>项课题</w:t>
            </w:r>
          </w:p>
        </w:tc>
      </w:tr>
      <w:tr>
        <w:trPr>
          <w:trHeight w:val="734"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1"/>
              <w:ind w:left="744" w:right="17" w:hanging="7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年工业互联网创新发 展工程</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1260" w:right="86" w:hanging="1170"/>
              <w:jc w:val="left"/>
              <w:rPr>
                <w:rFonts w:ascii="宋体" w:hAnsi="宋体" w:cs="宋体" w:eastAsia="宋体" w:hint="default"/>
                <w:sz w:val="18"/>
                <w:szCs w:val="18"/>
              </w:rPr>
            </w:pPr>
            <w:r>
              <w:rPr>
                <w:rFonts w:ascii="宋体" w:hAnsi="宋体" w:cs="宋体" w:eastAsia="宋体" w:hint="default"/>
                <w:sz w:val="18"/>
                <w:szCs w:val="18"/>
              </w:rPr>
              <w:t>工业互联网标识解析节点接入认证系 统项目</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参与</w:t>
            </w:r>
            <w:r>
              <w:rPr>
                <w:rFonts w:ascii="Times New Roman" w:hAnsi="Times New Roman" w:cs="Times New Roman" w:eastAsia="Times New Roman" w:hint="default"/>
                <w:sz w:val="18"/>
                <w:szCs w:val="18"/>
              </w:rPr>
              <w:t>“</w:t>
            </w:r>
            <w:r>
              <w:rPr>
                <w:rFonts w:ascii="宋体" w:hAnsi="宋体" w:cs="宋体" w:eastAsia="宋体" w:hint="default"/>
                <w:sz w:val="18"/>
                <w:szCs w:val="18"/>
              </w:rPr>
              <w:t>工业互联网标识解析节点接入认证系统项目</w:t>
            </w:r>
            <w:r>
              <w:rPr>
                <w:rFonts w:ascii="Times New Roman" w:hAnsi="Times New Roman" w:cs="Times New Roman" w:eastAsia="Times New Roman" w:hint="default"/>
                <w:sz w:val="18"/>
                <w:szCs w:val="18"/>
              </w:rPr>
              <w:t>”</w:t>
            </w:r>
          </w:p>
        </w:tc>
      </w:tr>
      <w:tr>
        <w:trPr>
          <w:trHeight w:val="735"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国家自然科学基金项目</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1"/>
              <w:ind w:left="950" w:right="47" w:hanging="901"/>
              <w:jc w:val="left"/>
              <w:rPr>
                <w:rFonts w:ascii="Times New Roman" w:hAnsi="Times New Roman" w:cs="Times New Roman" w:eastAsia="Times New Roman" w:hint="default"/>
                <w:sz w:val="18"/>
                <w:szCs w:val="18"/>
              </w:rPr>
            </w:pPr>
            <w:r>
              <w:rPr>
                <w:rFonts w:ascii="宋体" w:hAnsi="宋体" w:cs="宋体" w:eastAsia="宋体" w:hint="default"/>
                <w:sz w:val="18"/>
                <w:szCs w:val="18"/>
              </w:rPr>
              <w:t>国家自然科学基金项目</w:t>
            </w:r>
            <w:r>
              <w:rPr>
                <w:rFonts w:ascii="Times New Roman" w:hAnsi="Times New Roman" w:cs="Times New Roman" w:eastAsia="Times New Roman" w:hint="default"/>
                <w:sz w:val="18"/>
                <w:szCs w:val="18"/>
              </w:rPr>
              <w:t>“</w:t>
            </w:r>
            <w:r>
              <w:rPr>
                <w:rFonts w:ascii="宋体" w:hAnsi="宋体" w:cs="宋体" w:eastAsia="宋体" w:hint="default"/>
                <w:sz w:val="18"/>
                <w:szCs w:val="18"/>
              </w:rPr>
              <w:t>边缘计算安全 关键技术研究</w:t>
            </w:r>
            <w:r>
              <w:rPr>
                <w:rFonts w:ascii="Times New Roman" w:hAnsi="Times New Roman" w:cs="Times New Roman" w:eastAsia="Times New Roman" w:hint="default"/>
                <w:sz w:val="18"/>
                <w:szCs w:val="18"/>
              </w:rPr>
              <w:t>”</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参与</w:t>
            </w:r>
            <w:r>
              <w:rPr>
                <w:rFonts w:ascii="Times New Roman" w:hAnsi="Times New Roman" w:cs="Times New Roman" w:eastAsia="Times New Roman" w:hint="default"/>
                <w:sz w:val="18"/>
                <w:szCs w:val="18"/>
              </w:rPr>
              <w:t>“</w:t>
            </w:r>
            <w:r>
              <w:rPr>
                <w:rFonts w:ascii="宋体" w:hAnsi="宋体" w:cs="宋体" w:eastAsia="宋体" w:hint="default"/>
                <w:sz w:val="18"/>
                <w:szCs w:val="18"/>
              </w:rPr>
              <w:t>边缘计算安全关键技术研究</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left="573" w:right="982"/>
        <w:jc w:val="left"/>
      </w:pPr>
      <w:r>
        <w:rPr/>
        <w:t>报告期内，公司获得技术奖项情况如下：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229"/>
        <w:gridCol w:w="3684"/>
        <w:gridCol w:w="2727"/>
      </w:tblGrid>
      <w:tr>
        <w:trPr>
          <w:trHeight w:val="460" w:hRule="exact"/>
        </w:trPr>
        <w:tc>
          <w:tcPr>
            <w:tcW w:w="32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奖项名称</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颁发机构</w:t>
            </w:r>
          </w:p>
        </w:tc>
        <w:tc>
          <w:tcPr>
            <w:tcW w:w="27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5" w:right="0"/>
              <w:jc w:val="center"/>
              <w:rPr>
                <w:rFonts w:ascii="宋体" w:hAnsi="宋体" w:cs="宋体" w:eastAsia="宋体" w:hint="default"/>
                <w:sz w:val="18"/>
                <w:szCs w:val="18"/>
              </w:rPr>
            </w:pPr>
            <w:r>
              <w:rPr>
                <w:rFonts w:ascii="宋体" w:hAnsi="宋体" w:cs="宋体" w:eastAsia="宋体" w:hint="default"/>
                <w:sz w:val="18"/>
                <w:szCs w:val="18"/>
              </w:rPr>
              <w:t>奖项等级</w:t>
            </w:r>
          </w:p>
        </w:tc>
      </w:tr>
      <w:tr>
        <w:trPr>
          <w:trHeight w:val="508" w:hRule="exact"/>
        </w:trPr>
        <w:tc>
          <w:tcPr>
            <w:tcW w:w="3229" w:type="dxa"/>
            <w:tcBorders>
              <w:top w:val="single" w:sz="15" w:space="0" w:color="D9D9D9"/>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科技进步奖</w:t>
            </w:r>
          </w:p>
        </w:tc>
        <w:tc>
          <w:tcPr>
            <w:tcW w:w="3684" w:type="dxa"/>
            <w:tcBorders>
              <w:top w:val="single" w:sz="15" w:space="0" w:color="D9D9D9"/>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宋体" w:hAnsi="宋体" w:cs="宋体" w:eastAsia="宋体" w:hint="default"/>
                <w:sz w:val="18"/>
                <w:szCs w:val="18"/>
              </w:rPr>
            </w:pPr>
            <w:r>
              <w:rPr>
                <w:rFonts w:ascii="宋体" w:hAnsi="宋体" w:cs="宋体" w:eastAsia="宋体" w:hint="default"/>
                <w:sz w:val="18"/>
                <w:szCs w:val="18"/>
              </w:rPr>
              <w:t>党政密码科学技术进步奖励评审委员会</w:t>
            </w:r>
          </w:p>
        </w:tc>
        <w:tc>
          <w:tcPr>
            <w:tcW w:w="2727" w:type="dxa"/>
            <w:tcBorders>
              <w:top w:val="single" w:sz="15" w:space="0" w:color="D9D9D9"/>
              <w:left w:val="single" w:sz="4" w:space="0" w:color="000000"/>
              <w:bottom w:val="single" w:sz="4" w:space="0" w:color="000000"/>
              <w:right w:val="single" w:sz="4" w:space="0" w:color="000000"/>
            </w:tcBorders>
          </w:tcPr>
          <w:p>
            <w:pPr>
              <w:pStyle w:val="TableParagraph"/>
              <w:spacing w:line="240" w:lineRule="auto" w:before="100"/>
              <w:ind w:left="5" w:right="0"/>
              <w:jc w:val="center"/>
              <w:rPr>
                <w:rFonts w:ascii="宋体" w:hAnsi="宋体" w:cs="宋体" w:eastAsia="宋体" w:hint="default"/>
                <w:sz w:val="18"/>
                <w:szCs w:val="18"/>
              </w:rPr>
            </w:pPr>
            <w:r>
              <w:rPr>
                <w:rFonts w:ascii="宋体" w:hAnsi="宋体" w:cs="宋体" w:eastAsia="宋体" w:hint="default"/>
                <w:sz w:val="18"/>
                <w:szCs w:val="18"/>
              </w:rPr>
              <w:t>省部级三等奖</w:t>
            </w:r>
          </w:p>
        </w:tc>
      </w:tr>
      <w:tr>
        <w:trPr>
          <w:trHeight w:val="48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重庆市科学技术奖</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重庆市人民政府</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宋体" w:hAnsi="宋体" w:cs="宋体" w:eastAsia="宋体" w:hint="default"/>
                <w:sz w:val="18"/>
                <w:szCs w:val="18"/>
              </w:rPr>
            </w:pPr>
            <w:r>
              <w:rPr>
                <w:rFonts w:ascii="宋体" w:hAnsi="宋体" w:cs="宋体" w:eastAsia="宋体" w:hint="default"/>
                <w:sz w:val="18"/>
                <w:szCs w:val="18"/>
              </w:rPr>
              <w:t>省部级三等奖</w:t>
            </w:r>
          </w:p>
        </w:tc>
      </w:tr>
      <w:tr>
        <w:trPr>
          <w:trHeight w:val="48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中国政府信息化产品技术创新奖</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中国信息协会</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13"/>
        <w:rPr>
          <w:rFonts w:ascii="宋体" w:hAnsi="宋体" w:cs="宋体" w:eastAsia="宋体" w:hint="default"/>
          <w:sz w:val="23"/>
          <w:szCs w:val="23"/>
        </w:rPr>
      </w:pPr>
    </w:p>
    <w:p>
      <w:pPr>
        <w:pStyle w:val="Heading3"/>
        <w:spacing w:line="240" w:lineRule="auto" w:before="36"/>
        <w:ind w:left="575" w:right="982"/>
        <w:jc w:val="left"/>
        <w:rPr>
          <w:b w:val="0"/>
          <w:bCs w:val="0"/>
        </w:rPr>
      </w:pPr>
      <w:r>
        <w:rPr/>
        <w:t>（三）经营管理工作</w:t>
      </w:r>
      <w:r>
        <w:rPr>
          <w:b w:val="0"/>
          <w:bCs w:val="0"/>
        </w:rPr>
      </w:r>
    </w:p>
    <w:p>
      <w:pPr>
        <w:pStyle w:val="Heading4"/>
        <w:spacing w:line="268" w:lineRule="auto" w:before="155"/>
        <w:ind w:right="1104" w:firstLine="420"/>
        <w:jc w:val="both"/>
      </w:pPr>
      <w:r>
        <w:rPr>
          <w:spacing w:val="-2"/>
        </w:rPr>
        <w:t>注重人才队伍的培育。构建适合员工发展的任职资格体系，切实牵引员工发展，打通人才发展通道。</w:t>
      </w:r>
      <w:r>
        <w:rPr>
          <w:w w:val="100"/>
        </w:rPr>
        <w:t> </w:t>
      </w:r>
      <w:r>
        <w:rPr>
          <w:spacing w:val="-2"/>
        </w:rPr>
        <w:t>报告期内公司子公司安信天行股权激励项目经北京市国资委批准后顺利实施，安信天行已根据国有科技型</w:t>
      </w:r>
      <w:r>
        <w:rPr>
          <w:spacing w:val="-43"/>
        </w:rPr>
        <w:t> </w:t>
      </w:r>
      <w:r>
        <w:rPr>
          <w:spacing w:val="-43"/>
        </w:rPr>
      </w:r>
      <w:r>
        <w:rPr>
          <w:spacing w:val="-2"/>
        </w:rPr>
        <w:t>企业股权激励政策建立起</w:t>
      </w:r>
      <w:r>
        <w:rPr>
          <w:rFonts w:ascii="Times New Roman" w:hAnsi="Times New Roman" w:cs="Times New Roman" w:eastAsia="Times New Roman" w:hint="default"/>
          <w:spacing w:val="-2"/>
        </w:rPr>
        <w:t>“</w:t>
      </w:r>
      <w:r>
        <w:rPr>
          <w:spacing w:val="-2"/>
        </w:rPr>
        <w:t>利益共享、风险共担</w:t>
      </w:r>
      <w:r>
        <w:rPr>
          <w:rFonts w:ascii="Times New Roman" w:hAnsi="Times New Roman" w:cs="Times New Roman" w:eastAsia="Times New Roman" w:hint="default"/>
          <w:spacing w:val="-2"/>
        </w:rPr>
        <w:t>”</w:t>
      </w:r>
      <w:r>
        <w:rPr>
          <w:spacing w:val="-2"/>
        </w:rPr>
        <w:t>的激励约束机制，有效提升了团队凝聚力及公司核心竞争</w:t>
      </w:r>
      <w:r>
        <w:rPr>
          <w:spacing w:val="-18"/>
        </w:rPr>
        <w:t> </w:t>
      </w:r>
      <w:r>
        <w:rPr>
          <w:spacing w:val="-18"/>
        </w:rPr>
      </w:r>
      <w:r>
        <w:rPr/>
        <w:t>力。</w:t>
      </w:r>
    </w:p>
    <w:p>
      <w:pPr>
        <w:pStyle w:val="Heading4"/>
        <w:spacing w:line="264" w:lineRule="auto" w:before="132"/>
        <w:ind w:right="1126" w:firstLine="420"/>
        <w:jc w:val="both"/>
      </w:pPr>
      <w:r>
        <w:rPr>
          <w:spacing w:val="-2"/>
        </w:rPr>
        <w:t>优化流程，提升工作效率。公司落实</w:t>
      </w:r>
      <w:r>
        <w:rPr>
          <w:rFonts w:ascii="Times New Roman" w:hAnsi="Times New Roman" w:cs="Times New Roman" w:eastAsia="Times New Roman" w:hint="default"/>
          <w:spacing w:val="-2"/>
        </w:rPr>
        <w:t>“</w:t>
      </w:r>
      <w:r>
        <w:rPr>
          <w:spacing w:val="-2"/>
        </w:rPr>
        <w:t>以客户为中心</w:t>
      </w:r>
      <w:r>
        <w:rPr>
          <w:rFonts w:ascii="Times New Roman" w:hAnsi="Times New Roman" w:cs="Times New Roman" w:eastAsia="Times New Roman" w:hint="default"/>
          <w:spacing w:val="-2"/>
        </w:rPr>
        <w:t>”</w:t>
      </w:r>
      <w:r>
        <w:rPr>
          <w:spacing w:val="-2"/>
        </w:rPr>
        <w:t>的后端管理流程优化战略，优化营销端流程，实</w:t>
      </w:r>
      <w:r>
        <w:rPr>
          <w:w w:val="100"/>
        </w:rPr>
        <w:t> </w:t>
      </w:r>
      <w:r>
        <w:rPr>
          <w:spacing w:val="-2"/>
        </w:rPr>
        <w:t>现数字化支持决策、业务审计监督，完成项目统一管控和管理体系优化，通过有效机制的建立，促进实施</w:t>
      </w:r>
      <w:r>
        <w:rPr>
          <w:spacing w:val="-50"/>
        </w:rPr>
        <w:t> </w:t>
      </w:r>
      <w:r>
        <w:rPr>
          <w:spacing w:val="-50"/>
        </w:rPr>
      </w:r>
      <w:r>
        <w:rPr/>
        <w:t>项目高质高效的推进。</w:t>
      </w:r>
    </w:p>
    <w:p>
      <w:pPr>
        <w:pStyle w:val="Heading4"/>
        <w:spacing w:line="273" w:lineRule="auto" w:before="136"/>
        <w:ind w:right="1126" w:firstLine="420"/>
        <w:jc w:val="both"/>
      </w:pPr>
      <w:r>
        <w:rPr>
          <w:spacing w:val="-2"/>
        </w:rPr>
        <w:t>加强外部风险管控，规范内部管理体系。公司积极开展内控自我评价工作，持续补强风险控制的薄弱</w:t>
      </w:r>
      <w:r>
        <w:rPr>
          <w:w w:val="100"/>
        </w:rPr>
        <w:t> </w:t>
      </w:r>
      <w:r>
        <w:rPr/>
        <w:t>环节，完善经济责任审计制度，不断加强内控体系建设，为公司健康发展保驾护航。</w:t>
      </w:r>
    </w:p>
    <w:p>
      <w:pPr>
        <w:pStyle w:val="Heading4"/>
        <w:spacing w:line="264" w:lineRule="auto" w:before="128"/>
        <w:ind w:right="1126" w:firstLine="420"/>
        <w:jc w:val="both"/>
      </w:pPr>
      <w:r>
        <w:rPr>
          <w:spacing w:val="-2"/>
        </w:rPr>
        <w:t>重视信息披露和投资者关系管理工作。报告期内公司再次获得深圳证券交易所信息披露和规范运作考</w:t>
      </w:r>
      <w:r>
        <w:rPr>
          <w:w w:val="100"/>
        </w:rPr>
        <w:t> </w:t>
      </w:r>
      <w:r>
        <w:rPr/>
        <w:t>核最高等级</w:t>
      </w:r>
      <w:r>
        <w:rPr>
          <w:rFonts w:ascii="Times New Roman" w:hAnsi="Times New Roman" w:cs="Times New Roman" w:eastAsia="Times New Roman" w:hint="default"/>
        </w:rPr>
        <w:t>A</w:t>
      </w:r>
      <w:r>
        <w:rPr/>
        <w:t>级评价。凭借在信息披露、投资者关系管理等方面的突出表现，公司获得</w:t>
      </w:r>
      <w:r>
        <w:rPr>
          <w:rFonts w:ascii="Times New Roman" w:hAnsi="Times New Roman" w:cs="Times New Roman" w:eastAsia="Times New Roman" w:hint="default"/>
        </w:rPr>
        <w:t>“</w:t>
      </w:r>
      <w:r>
        <w:rPr/>
        <w:t>上市公司金牛奖</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和</w:t>
      </w:r>
      <w:r>
        <w:rPr>
          <w:rFonts w:ascii="Times New Roman" w:hAnsi="Times New Roman" w:cs="Times New Roman" w:eastAsia="Times New Roman" w:hint="default"/>
        </w:rPr>
        <w:t>“</w:t>
      </w:r>
      <w:r>
        <w:rPr/>
        <w:t>上市公司金质量奖</w:t>
      </w:r>
      <w:r>
        <w:rPr>
          <w:rFonts w:ascii="Times New Roman" w:hAnsi="Times New Roman" w:cs="Times New Roman" w:eastAsia="Times New Roman" w:hint="default"/>
        </w:rPr>
        <w:t>”</w:t>
      </w:r>
      <w:r>
        <w:rPr/>
        <w:t>，得到资本市场的充分认可。</w:t>
      </w:r>
    </w:p>
    <w:p>
      <w:pPr>
        <w:spacing w:line="240" w:lineRule="auto" w:before="11"/>
        <w:rPr>
          <w:rFonts w:ascii="宋体" w:hAnsi="宋体" w:cs="宋体" w:eastAsia="宋体" w:hint="default"/>
          <w:sz w:val="20"/>
          <w:szCs w:val="20"/>
        </w:rPr>
      </w:pPr>
    </w:p>
    <w:p>
      <w:pPr>
        <w:pStyle w:val="Heading2"/>
        <w:spacing w:line="240" w:lineRule="auto"/>
        <w:ind w:right="982"/>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7"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4"/>
        <w:ind w:right="982"/>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营业收入整体情况</w:t>
      </w:r>
    </w:p>
    <w:p>
      <w:pPr>
        <w:pStyle w:val="BodyText"/>
        <w:spacing w:line="240" w:lineRule="auto" w:before="117"/>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27"/>
        <w:gridCol w:w="1702"/>
        <w:gridCol w:w="1560"/>
        <w:gridCol w:w="1558"/>
        <w:gridCol w:w="1561"/>
        <w:gridCol w:w="1061"/>
      </w:tblGrid>
      <w:tr>
        <w:trPr>
          <w:trHeight w:val="403"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32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793,892,436.34</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667,720,172.71</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18.90%</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793,892,436.34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667,720,172.71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7"/>
        <w:gridCol w:w="1702"/>
        <w:gridCol w:w="1560"/>
        <w:gridCol w:w="1558"/>
        <w:gridCol w:w="1561"/>
        <w:gridCol w:w="1061"/>
      </w:tblGrid>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电子认证服务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262,575,616.13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33.07%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264,398,141.29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39.60%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-0.69%</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安全集成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347,766,566.17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258,787,036.04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38.76%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34.38%</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安全咨询与运维服务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183,550,254.04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23.12%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144,534,995.38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21.64%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26.99%</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579,550,077.75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73.00%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535,530,452.54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80.20%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8.22%</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214,342,358.59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132,189,720.17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19.80%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62.15%</w:t>
            </w:r>
          </w:p>
        </w:tc>
      </w:tr>
    </w:tbl>
    <w:p>
      <w:pPr>
        <w:pStyle w:val="BodyText"/>
        <w:spacing w:line="240" w:lineRule="auto" w:before="49"/>
        <w:ind w:right="982"/>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0"/>
        <w:gridCol w:w="1008"/>
        <w:gridCol w:w="1009"/>
        <w:gridCol w:w="1013"/>
        <w:gridCol w:w="1011"/>
        <w:gridCol w:w="1003"/>
        <w:gridCol w:w="1006"/>
        <w:gridCol w:w="1001"/>
        <w:gridCol w:w="1003"/>
      </w:tblGrid>
      <w:tr>
        <w:trPr>
          <w:trHeight w:val="401" w:hRule="exact"/>
        </w:trPr>
        <w:tc>
          <w:tcPr>
            <w:tcW w:w="1520"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520"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2"/>
                <w:sz w:val="15"/>
              </w:rPr>
              <w:t>114,646,550.82</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6" w:right="0"/>
              <w:jc w:val="center"/>
              <w:rPr>
                <w:rFonts w:ascii="Times New Roman" w:hAnsi="Times New Roman" w:cs="Times New Roman" w:eastAsia="Times New Roman" w:hint="default"/>
                <w:sz w:val="15"/>
                <w:szCs w:val="15"/>
              </w:rPr>
            </w:pPr>
            <w:r>
              <w:rPr>
                <w:rFonts w:ascii="Times New Roman"/>
                <w:sz w:val="15"/>
              </w:rPr>
              <w:t>141,974,047.42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147,132,962.10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9" w:right="0"/>
              <w:jc w:val="center"/>
              <w:rPr>
                <w:rFonts w:ascii="Times New Roman" w:hAnsi="Times New Roman" w:cs="Times New Roman" w:eastAsia="Times New Roman" w:hint="default"/>
                <w:sz w:val="15"/>
                <w:szCs w:val="15"/>
              </w:rPr>
            </w:pPr>
            <w:r>
              <w:rPr>
                <w:rFonts w:ascii="Times New Roman"/>
                <w:sz w:val="15"/>
              </w:rPr>
              <w:t>390,138,876.00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85,143,073.21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122,447,301.65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6" w:right="0"/>
              <w:jc w:val="center"/>
              <w:rPr>
                <w:rFonts w:ascii="Times New Roman" w:hAnsi="Times New Roman" w:cs="Times New Roman" w:eastAsia="Times New Roman" w:hint="default"/>
                <w:sz w:val="15"/>
                <w:szCs w:val="15"/>
              </w:rPr>
            </w:pPr>
            <w:r>
              <w:rPr>
                <w:rFonts w:ascii="Times New Roman"/>
                <w:sz w:val="15"/>
              </w:rPr>
              <w:t>118,585,373.66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 w:right="0"/>
              <w:jc w:val="center"/>
              <w:rPr>
                <w:rFonts w:ascii="Times New Roman" w:hAnsi="Times New Roman" w:cs="Times New Roman" w:eastAsia="Times New Roman" w:hint="default"/>
                <w:sz w:val="15"/>
                <w:szCs w:val="15"/>
              </w:rPr>
            </w:pPr>
            <w:r>
              <w:rPr>
                <w:rFonts w:ascii="Times New Roman"/>
                <w:sz w:val="15"/>
              </w:rPr>
              <w:t>341,544,424.19</w:t>
            </w:r>
          </w:p>
        </w:tc>
      </w:tr>
      <w:tr>
        <w:trPr>
          <w:trHeight w:val="715"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6,601,470.07</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94" w:right="0"/>
              <w:jc w:val="center"/>
              <w:rPr>
                <w:rFonts w:ascii="Times New Roman" w:hAnsi="Times New Roman" w:cs="Times New Roman" w:eastAsia="Times New Roman" w:hint="default"/>
                <w:sz w:val="15"/>
                <w:szCs w:val="15"/>
              </w:rPr>
            </w:pPr>
            <w:r>
              <w:rPr>
                <w:rFonts w:ascii="Times New Roman"/>
                <w:sz w:val="15"/>
              </w:rPr>
              <w:t>20,176,527.31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15,526,137.98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96" w:right="0"/>
              <w:jc w:val="center"/>
              <w:rPr>
                <w:rFonts w:ascii="Times New Roman" w:hAnsi="Times New Roman" w:cs="Times New Roman" w:eastAsia="Times New Roman" w:hint="default"/>
                <w:sz w:val="15"/>
                <w:szCs w:val="15"/>
              </w:rPr>
            </w:pPr>
            <w:r>
              <w:rPr>
                <w:rFonts w:ascii="Times New Roman"/>
                <w:sz w:val="15"/>
              </w:rPr>
              <w:t>56,221,892.87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6,086,000.62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2"/>
                <w:sz w:val="15"/>
              </w:rPr>
              <w:t>18,109,549.11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87" w:right="0"/>
              <w:jc w:val="center"/>
              <w:rPr>
                <w:rFonts w:ascii="Times New Roman" w:hAnsi="Times New Roman" w:cs="Times New Roman" w:eastAsia="Times New Roman" w:hint="default"/>
                <w:sz w:val="15"/>
                <w:szCs w:val="15"/>
              </w:rPr>
            </w:pPr>
            <w:r>
              <w:rPr>
                <w:rFonts w:ascii="Times New Roman"/>
                <w:sz w:val="15"/>
              </w:rPr>
              <w:t>14,968,938.98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89" w:right="0"/>
              <w:jc w:val="center"/>
              <w:rPr>
                <w:rFonts w:ascii="Times New Roman" w:hAnsi="Times New Roman" w:cs="Times New Roman" w:eastAsia="Times New Roman" w:hint="default"/>
                <w:sz w:val="15"/>
                <w:szCs w:val="15"/>
              </w:rPr>
            </w:pPr>
            <w:r>
              <w:rPr>
                <w:rFonts w:ascii="Times New Roman"/>
                <w:sz w:val="15"/>
              </w:rPr>
              <w:t>47,290,911.98</w:t>
            </w:r>
          </w:p>
        </w:tc>
      </w:tr>
    </w:tbl>
    <w:p>
      <w:pPr>
        <w:pStyle w:val="BodyText"/>
        <w:spacing w:line="240" w:lineRule="auto" w:before="49"/>
        <w:ind w:right="982"/>
        <w:jc w:val="left"/>
      </w:pPr>
      <w:r>
        <w:rPr/>
        <w:t>说明经营季节性（或周期性）发生的原因及波动风险</w:t>
      </w:r>
    </w:p>
    <w:p>
      <w:pPr>
        <w:pStyle w:val="Heading4"/>
        <w:spacing w:line="273" w:lineRule="auto" w:before="96"/>
        <w:ind w:right="1126" w:firstLine="420"/>
        <w:jc w:val="both"/>
      </w:pPr>
      <w:r>
        <w:rPr>
          <w:spacing w:val="-2"/>
        </w:rPr>
        <w:t>业务收入季节性波动风险，政府部门是公司目前集成业务的主要客户群体，此类客户大多在上半年对</w:t>
      </w:r>
      <w:r>
        <w:rPr>
          <w:w w:val="100"/>
        </w:rPr>
        <w:t> </w:t>
      </w:r>
      <w:r>
        <w:rPr>
          <w:spacing w:val="-2"/>
        </w:rPr>
        <w:t>全年投资和采购进行规划，下半年甚至第四季度进行招标、项目验收和项目结算，公司业务收入也随之呈</w:t>
      </w:r>
      <w:r>
        <w:rPr>
          <w:spacing w:val="-44"/>
        </w:rPr>
        <w:t> </w:t>
      </w:r>
      <w:r>
        <w:rPr>
          <w:spacing w:val="-44"/>
        </w:rPr>
      </w:r>
      <w:r>
        <w:rPr/>
        <w:t>现季节性波动。</w:t>
      </w:r>
      <w:r>
        <w:rPr>
          <w:rFonts w:ascii="Times New Roman" w:hAnsi="Times New Roman" w:cs="Times New Roman" w:eastAsia="Times New Roman" w:hint="default"/>
        </w:rPr>
        <w:t>2019</w:t>
      </w:r>
      <w:r>
        <w:rPr/>
        <w:t>年公司第四季度营业收入占全年营业收入</w:t>
      </w:r>
      <w:r>
        <w:rPr>
          <w:rFonts w:ascii="Times New Roman" w:hAnsi="Times New Roman" w:cs="Times New Roman" w:eastAsia="Times New Roman" w:hint="default"/>
        </w:rPr>
        <w:t>49.14%</w:t>
      </w:r>
      <w:r>
        <w:rPr/>
        <w:t>。</w:t>
      </w:r>
    </w:p>
    <w:p>
      <w:pPr>
        <w:spacing w:line="240" w:lineRule="auto" w:before="1"/>
        <w:rPr>
          <w:rFonts w:ascii="宋体" w:hAnsi="宋体" w:cs="宋体" w:eastAsia="宋体" w:hint="default"/>
          <w:sz w:val="22"/>
          <w:szCs w:val="22"/>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9" w:top="1060" w:bottom="1160" w:left="980" w:right="0"/>
        </w:sectPr>
      </w:pPr>
    </w:p>
    <w:p>
      <w:pPr>
        <w:pStyle w:val="BodyText"/>
        <w:spacing w:line="240" w:lineRule="auto" w:before="44"/>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419"/>
        <w:gridCol w:w="1416"/>
        <w:gridCol w:w="960"/>
        <w:gridCol w:w="1262"/>
        <w:gridCol w:w="1265"/>
        <w:gridCol w:w="1265"/>
      </w:tblGrid>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7" w:right="84" w:hanging="92"/>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7" w:right="87" w:hanging="92"/>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8" w:right="84"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793,892,436.34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315,396,417.89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60.27%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14.14%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电子认证服务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262,575,616.13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73,542,110.01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71.99%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安全集成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347,766,566.17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160,944,396.01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53.72%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34.38%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30.83%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安全咨询与运维服务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183,550,254.04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80,909,911.87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55.92%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26.99%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579,550,077.75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246,330,447.05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57.50%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214,342,358.59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69,065,970.84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67.78%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62.15%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87.62%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w:t>
            </w:r>
          </w:p>
        </w:tc>
      </w:tr>
    </w:tbl>
    <w:p>
      <w:pPr>
        <w:pStyle w:val="BodyText"/>
        <w:spacing w:line="240" w:lineRule="auto" w:before="49"/>
        <w:ind w:right="982"/>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产品分类</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419"/>
        <w:gridCol w:w="1274"/>
        <w:gridCol w:w="1419"/>
        <w:gridCol w:w="1274"/>
        <w:gridCol w:w="1419"/>
        <w:gridCol w:w="1066"/>
      </w:tblGrid>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4"/>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电子认证服务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直接材料及人工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73,542,110.01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83,228,504.69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-11.64%</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安全集成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直接材料及人工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160,944,396.01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center"/>
              <w:rPr>
                <w:rFonts w:ascii="Times New Roman" w:hAnsi="Times New Roman" w:cs="Times New Roman" w:eastAsia="Times New Roman" w:hint="default"/>
                <w:sz w:val="18"/>
                <w:szCs w:val="18"/>
              </w:rPr>
            </w:pPr>
            <w:r>
              <w:rPr>
                <w:rFonts w:ascii="Times New Roman"/>
                <w:sz w:val="18"/>
              </w:rPr>
              <w:t>123,014,089.84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30.83%</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安全咨询与运维服务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直接材料及人工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80,909,911.87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70,088,258.75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25.36%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15.44%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pStyle w:val="BodyText"/>
        <w:spacing w:line="240" w:lineRule="auto" w:before="49"/>
        <w:ind w:right="-17"/>
        <w:jc w:val="left"/>
      </w:pPr>
      <w:r>
        <w:rPr/>
        <w:t>说明</w:t>
      </w:r>
    </w:p>
    <w:p>
      <w:pPr>
        <w:pStyle w:val="BodyText"/>
        <w:spacing w:line="340" w:lineRule="auto" w:before="117"/>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702"/>
        <w:gridCol w:w="1699"/>
        <w:gridCol w:w="1702"/>
        <w:gridCol w:w="1702"/>
        <w:gridCol w:w="1061"/>
      </w:tblGrid>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4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直接材料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134,234,612.63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141,737,105.87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51.29%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人工及费用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181,161,805.26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134,593,747.41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48.71%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34.60%</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819"/>
        <w:gridCol w:w="4751"/>
      </w:tblGrid>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163,754,142.00</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20.63%</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7"/>
        <w:rPr>
          <w:rFonts w:ascii="宋体" w:hAnsi="宋体" w:cs="宋体" w:eastAsia="宋体" w:hint="default"/>
          <w:sz w:val="25"/>
          <w:szCs w:val="25"/>
        </w:rPr>
      </w:pPr>
    </w:p>
    <w:p>
      <w:pPr>
        <w:pStyle w:val="BodyText"/>
        <w:spacing w:line="240" w:lineRule="auto" w:before="44"/>
        <w:ind w:right="982"/>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92,749,235.42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11.68%</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38,332,979.28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13,803,945.59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9,799,981.71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9,068,000.00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163,754,142.00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20.63%</w:t>
            </w:r>
          </w:p>
        </w:tc>
      </w:tr>
    </w:tbl>
    <w:p>
      <w:pPr>
        <w:pStyle w:val="BodyText"/>
        <w:spacing w:line="240" w:lineRule="auto" w:before="49"/>
        <w:ind w:right="982"/>
        <w:jc w:val="left"/>
      </w:pPr>
      <w:r>
        <w:rPr/>
        <w:t>主要客户其他情况说明</w:t>
      </w:r>
    </w:p>
    <w:p>
      <w:pPr>
        <w:pStyle w:val="BodyText"/>
        <w:spacing w:line="338" w:lineRule="auto" w:before="11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56,783,824.00</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17.40%</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82"/>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14,905,352.89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4.57%</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13,827,718.71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12,031,535.08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3.69%</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8,357,061.49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7,662,155.83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2.35%</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56,783,824.00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17.40%</w:t>
            </w:r>
          </w:p>
        </w:tc>
      </w:tr>
    </w:tbl>
    <w:p>
      <w:pPr>
        <w:pStyle w:val="BodyText"/>
        <w:spacing w:line="240" w:lineRule="auto" w:before="49"/>
        <w:ind w:right="982"/>
        <w:jc w:val="left"/>
      </w:pPr>
      <w:r>
        <w:rPr/>
        <w:t>主要供应商其他情况说明</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77"/>
        <w:gridCol w:w="1796"/>
        <w:gridCol w:w="1795"/>
        <w:gridCol w:w="1796"/>
        <w:gridCol w:w="2907"/>
      </w:tblGrid>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1"/>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112,497,013.94</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102,619,143.46</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1"/>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111,587,541.75</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107,257,821.86</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1"/>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-1,786,414.48</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-2,804,615.10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-36.30%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银行利息收入同比减少</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1"/>
              <w:jc w:val="right"/>
              <w:rPr>
                <w:rFonts w:ascii="宋体" w:hAnsi="宋体" w:cs="宋体" w:eastAsia="宋体" w:hint="default"/>
                <w:sz w:val="18"/>
                <w:szCs w:val="18"/>
              </w:rPr>
            </w:pPr>
            <w:r>
              <w:rPr>
                <w:rFonts w:ascii="宋体" w:hAnsi="宋体" w:cs="宋体" w:eastAsia="宋体" w:hint="default"/>
                <w:sz w:val="18"/>
                <w:szCs w:val="18"/>
              </w:rPr>
              <w:t>研发费用</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142,015,038.34</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83,958,490.28</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69.15%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研发项目增多，投入力度加大</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4</w:t>
      </w:r>
      <w:r>
        <w:rPr/>
        <w:t>、研发投入</w:t>
      </w:r>
      <w:r>
        <w:rPr>
          <w:b w:val="0"/>
          <w:bCs w:val="0"/>
        </w:rPr>
      </w:r>
    </w:p>
    <w:p>
      <w:pPr>
        <w:spacing w:after="0" w:line="240" w:lineRule="auto"/>
        <w:jc w:val="left"/>
        <w:sectPr>
          <w:footerReference w:type="default" r:id="rId11"/>
          <w:pgSz w:w="11910" w:h="16840"/>
          <w:pgMar w:footer="1611" w:header="748" w:top="1060" w:bottom="1800" w:left="980" w:right="0"/>
          <w:pgNumType w:start="17"/>
        </w:sectPr>
      </w:pPr>
    </w:p>
    <w:p>
      <w:pPr>
        <w:spacing w:line="240" w:lineRule="auto" w:before="10"/>
        <w:rPr>
          <w:rFonts w:ascii="宋体" w:hAnsi="宋体" w:cs="宋体" w:eastAsia="宋体" w:hint="default"/>
          <w:b/>
          <w:bCs/>
          <w:sz w:val="24"/>
          <w:szCs w:val="24"/>
        </w:rPr>
      </w:pPr>
    </w:p>
    <w:p>
      <w:pPr>
        <w:pStyle w:val="Heading4"/>
        <w:spacing w:line="256" w:lineRule="auto" w:before="36"/>
        <w:ind w:right="1104" w:firstLine="420"/>
        <w:jc w:val="both"/>
      </w:pPr>
      <w:r>
        <w:rPr>
          <w:rFonts w:ascii="Times New Roman" w:hAnsi="Times New Roman" w:cs="Times New Roman" w:eastAsia="Times New Roman" w:hint="default"/>
          <w:spacing w:val="-2"/>
        </w:rPr>
        <w:t>2019</w:t>
      </w:r>
      <w:r>
        <w:rPr>
          <w:spacing w:val="-2"/>
        </w:rPr>
        <w:t>年度，公司研发投入基于云的实名核验及签名服务、信手书电子合同、可信电子病案管理系统、</w:t>
      </w:r>
      <w:r>
        <w:rPr>
          <w:w w:val="100"/>
        </w:rPr>
        <w:t> </w:t>
      </w:r>
      <w:r>
        <w:rPr>
          <w:spacing w:val="-2"/>
        </w:rPr>
        <w:t>无纸化电子签名应用、综合监管网研发项目、信步云等项目，研发投入共计</w:t>
      </w:r>
      <w:r>
        <w:rPr>
          <w:rFonts w:ascii="Times New Roman" w:hAnsi="Times New Roman" w:cs="Times New Roman" w:eastAsia="Times New Roman" w:hint="default"/>
          <w:spacing w:val="-2"/>
        </w:rPr>
        <w:t>14,201.50</w:t>
      </w:r>
      <w:r>
        <w:rPr>
          <w:spacing w:val="-2"/>
        </w:rPr>
        <w:t>万元，较上年同期增</w:t>
      </w:r>
      <w:r>
        <w:rPr>
          <w:spacing w:val="-40"/>
        </w:rPr>
        <w:t> </w:t>
      </w:r>
      <w:r>
        <w:rPr>
          <w:spacing w:val="-40"/>
        </w:rPr>
      </w:r>
      <w:r>
        <w:rPr>
          <w:spacing w:val="-3"/>
        </w:rPr>
        <w:t>加</w:t>
      </w:r>
      <w:r>
        <w:rPr>
          <w:rFonts w:ascii="Times New Roman" w:hAnsi="Times New Roman" w:cs="Times New Roman" w:eastAsia="Times New Roman" w:hint="default"/>
          <w:spacing w:val="-3"/>
        </w:rPr>
        <w:t>69.15%</w:t>
      </w:r>
      <w:r>
        <w:rPr>
          <w:spacing w:val="-3"/>
        </w:rPr>
        <w:t>，占营业收入的</w:t>
      </w:r>
      <w:r>
        <w:rPr>
          <w:rFonts w:ascii="Times New Roman" w:hAnsi="Times New Roman" w:cs="Times New Roman" w:eastAsia="Times New Roman" w:hint="default"/>
          <w:spacing w:val="-3"/>
        </w:rPr>
        <w:t>17.89%</w:t>
      </w:r>
      <w:r>
        <w:rPr>
          <w:spacing w:val="-3"/>
        </w:rPr>
        <w:t>，高于上年同期</w:t>
      </w:r>
      <w:r>
        <w:rPr>
          <w:rFonts w:ascii="Times New Roman" w:hAnsi="Times New Roman" w:cs="Times New Roman" w:eastAsia="Times New Roman" w:hint="default"/>
          <w:spacing w:val="-3"/>
        </w:rPr>
        <w:t>5.32%</w:t>
      </w:r>
      <w:r>
        <w:rPr>
          <w:spacing w:val="-3"/>
        </w:rPr>
        <w:t>。截至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日，本公司有专业研发人员</w:t>
      </w:r>
      <w:r>
        <w:rPr>
          <w:rFonts w:ascii="Times New Roman" w:hAnsi="Times New Roman" w:cs="Times New Roman" w:eastAsia="Times New Roman" w:hint="default"/>
          <w:spacing w:val="-3"/>
        </w:rPr>
        <w:t>774</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人，占公司员工总数的</w:t>
      </w:r>
      <w:r>
        <w:rPr>
          <w:rFonts w:ascii="Times New Roman" w:hAnsi="Times New Roman" w:cs="Times New Roman" w:eastAsia="Times New Roman" w:hint="default"/>
        </w:rPr>
        <w:t>65%</w:t>
      </w:r>
      <w:r>
        <w:rPr/>
        <w:t>。</w:t>
      </w:r>
    </w:p>
    <w:p>
      <w:pPr>
        <w:pStyle w:val="BodyText"/>
        <w:spacing w:line="240" w:lineRule="auto" w:before="64"/>
        <w:ind w:right="982"/>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2148"/>
        <w:gridCol w:w="2150"/>
        <w:gridCol w:w="2151"/>
      </w:tblGrid>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774</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65.00%</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54.01%</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56.94%</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142,015,038.34</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83,958,490.28</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53,683,464.64</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17.89%</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12.57%</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10.33%</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1611" w:top="1060" w:bottom="1800" w:left="980" w:right="0"/>
        </w:sectPr>
      </w:pPr>
    </w:p>
    <w:p>
      <w:pPr>
        <w:pStyle w:val="BodyText"/>
        <w:spacing w:line="240" w:lineRule="auto" w:before="49"/>
        <w:ind w:right="-17"/>
        <w:jc w:val="left"/>
      </w:pPr>
      <w:r>
        <w:rPr/>
        <w:t>研发投入总额占营业收入的比重较上年发生显著变化的原因</w:t>
      </w:r>
    </w:p>
    <w:p>
      <w:pPr>
        <w:pStyle w:val="BodyText"/>
        <w:spacing w:line="338" w:lineRule="auto" w:before="119"/>
        <w:ind w:right="49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3"/>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2244"/>
        <w:gridCol w:w="2244"/>
        <w:gridCol w:w="2247"/>
      </w:tblGrid>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849,147,665.65</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816,626,224.89</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774,361,254.61</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688,663,162.87</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12.44%</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74,786,411.04</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127,963,062.02</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-41.56%</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288,642,362.39</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406,384,444.29</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-28.97%</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357,426,712.93</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322,040,115.88</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10.99%</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-68,784,350.54</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84,344,328.41</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-181.55%</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7,056,000.00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-16,944,000.00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-29.40%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-10,941,939.50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188,307,390.43</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-105.81%</w:t>
            </w:r>
          </w:p>
        </w:tc>
      </w:tr>
    </w:tbl>
    <w:p>
      <w:pPr>
        <w:pStyle w:val="BodyText"/>
        <w:spacing w:line="240" w:lineRule="auto" w:before="49"/>
        <w:ind w:right="982"/>
        <w:jc w:val="left"/>
      </w:pPr>
      <w:r>
        <w:rPr/>
        <w:t>相关数据同比发生重大变动的主要影响因素说明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61" w:lineRule="auto" w:before="36"/>
        <w:ind w:right="1126" w:firstLine="420"/>
        <w:jc w:val="both"/>
      </w:pPr>
      <w:r>
        <w:rPr>
          <w:spacing w:val="-3"/>
        </w:rPr>
        <w:t>经营活动产生的现金流入和流出均增加，净额同比减少</w:t>
      </w:r>
      <w:r>
        <w:rPr>
          <w:rFonts w:ascii="Times New Roman" w:hAnsi="Times New Roman" w:cs="Times New Roman" w:eastAsia="Times New Roman" w:hint="default"/>
          <w:spacing w:val="-3"/>
        </w:rPr>
        <w:t>41.56%</w:t>
      </w:r>
      <w:r>
        <w:rPr>
          <w:spacing w:val="-3"/>
        </w:rPr>
        <w:t>主要系项目回款节奏差异导致经营活动</w:t>
      </w:r>
      <w:r>
        <w:rPr>
          <w:w w:val="100"/>
        </w:rPr>
        <w:t> </w:t>
      </w:r>
      <w:r>
        <w:rPr>
          <w:spacing w:val="-2"/>
        </w:rPr>
        <w:t>现金流入的增幅低于经营活动现金流出的增幅，经营活动现金流出的增加主要是支付给职工及为职工支付</w:t>
      </w:r>
      <w:r>
        <w:rPr>
          <w:spacing w:val="-43"/>
        </w:rPr>
        <w:t> </w:t>
      </w:r>
      <w:r>
        <w:rPr>
          <w:spacing w:val="-43"/>
        </w:rPr>
      </w:r>
      <w:r>
        <w:rPr/>
        <w:t>的现金增加；投资活动产生的现金流量净额同比减少</w:t>
      </w:r>
      <w:r>
        <w:rPr>
          <w:rFonts w:ascii="Times New Roman" w:hAnsi="Times New Roman" w:cs="Times New Roman" w:eastAsia="Times New Roman" w:hint="default"/>
        </w:rPr>
        <w:t>181.55%</w:t>
      </w:r>
      <w:r>
        <w:rPr/>
        <w:t>，主要系本期武汉研发基地建设投资增加所</w:t>
      </w:r>
      <w:r>
        <w:rPr>
          <w:spacing w:val="-40"/>
        </w:rPr>
        <w:t> </w:t>
      </w:r>
      <w:r>
        <w:rPr>
          <w:spacing w:val="-40"/>
        </w:rPr>
      </w:r>
      <w:r>
        <w:rPr/>
        <w:t>致；现金及现金等价物减少主要系经营活动现金流入同比减少及投资活动支出同比增加所致。</w:t>
      </w:r>
    </w:p>
    <w:p>
      <w:pPr>
        <w:pStyle w:val="BodyText"/>
        <w:spacing w:line="240" w:lineRule="auto" w:before="77"/>
        <w:ind w:right="982"/>
        <w:jc w:val="left"/>
      </w:pPr>
      <w:r>
        <w:rPr/>
        <w:t>报告期内公司经营活动产生的现金净流量与本年度净利润存在重大差异的原因说明</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三、非主营业务情况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609"/>
        <w:gridCol w:w="1418"/>
        <w:gridCol w:w="1560"/>
        <w:gridCol w:w="1277"/>
        <w:gridCol w:w="992"/>
        <w:gridCol w:w="1346"/>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30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8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3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2" w:type="dxa"/>
            <w:vMerge/>
            <w:tcBorders>
              <w:left w:val="single" w:sz="4" w:space="0" w:color="000000"/>
              <w:bottom w:val="single" w:sz="4" w:space="0" w:color="000000"/>
              <w:right w:val="single" w:sz="4" w:space="0" w:color="000000"/>
            </w:tcBorders>
            <w:shd w:val="clear" w:color="auto" w:fill="D2D2D2"/>
          </w:tcPr>
          <w:p>
            <w:pPr/>
          </w:p>
        </w:tc>
        <w:tc>
          <w:tcPr>
            <w:tcW w:w="134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660,107,910.15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675,685,333.13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-10.34%</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269,710,307.21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171,162,624.93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177,649,013.30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124,314,909.58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16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16,296,198.75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16,418,491.64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27,653,582.93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21,147,473.93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55,099,037.21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283,018.87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spacing w:line="496" w:lineRule="auto" w:before="0"/>
        <w:ind w:left="152" w:right="982"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100"/>
          <w:sz w:val="21"/>
          <w:szCs w:val="21"/>
        </w:rPr>
        <w:t> </w:t>
      </w:r>
      <w:r>
        <w:rPr>
          <w:rFonts w:ascii="宋体" w:hAnsi="宋体" w:cs="宋体" w:eastAsia="宋体" w:hint="default"/>
          <w:spacing w:val="-2"/>
          <w:sz w:val="21"/>
          <w:szCs w:val="21"/>
        </w:rPr>
        <w:t>期末，本集团其他货币资金</w:t>
      </w:r>
      <w:r>
        <w:rPr>
          <w:rFonts w:ascii="Times New Roman" w:hAnsi="Times New Roman" w:cs="Times New Roman" w:eastAsia="Times New Roman" w:hint="default"/>
          <w:spacing w:val="-2"/>
          <w:sz w:val="21"/>
          <w:szCs w:val="21"/>
        </w:rPr>
        <w:t>16,897,897.59</w:t>
      </w:r>
      <w:r>
        <w:rPr>
          <w:rFonts w:ascii="宋体" w:hAnsi="宋体" w:cs="宋体" w:eastAsia="宋体" w:hint="default"/>
          <w:spacing w:val="-2"/>
          <w:sz w:val="21"/>
          <w:szCs w:val="21"/>
        </w:rPr>
        <w:t>元为使用权受到限制的款项，全部为履约保证金。</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b/>
          <w:bCs/>
          <w:sz w:val="24"/>
          <w:szCs w:val="24"/>
        </w:rPr>
        <w:t>五、投资状况分析</w:t>
      </w:r>
      <w:r>
        <w:rPr>
          <w:rFonts w:ascii="宋体" w:hAnsi="宋体" w:cs="宋体" w:eastAsia="宋体" w:hint="default"/>
          <w:sz w:val="24"/>
          <w:szCs w:val="24"/>
        </w:rPr>
      </w:r>
    </w:p>
    <w:p>
      <w:pPr>
        <w:pStyle w:val="Heading3"/>
        <w:spacing w:line="240" w:lineRule="auto" w:before="69"/>
        <w:ind w:right="982"/>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12"/>
          <w:pgSz w:w="11910" w:h="16840"/>
          <w:pgMar w:footer="979" w:header="748" w:top="1060" w:bottom="1160" w:left="980" w:right="0"/>
          <w:pgNumType w:start="19"/>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before="44"/>
        <w:ind w:left="0" w:right="1066"/>
        <w:jc w:val="right"/>
      </w:pPr>
      <w:r>
        <w:rPr/>
        <w:pict>
          <v:shape style="position:absolute;margin-left:56.400002pt;margin-top:-204.418259pt;width:482.75pt;height:372.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2"/>
                    <w:gridCol w:w="883"/>
                    <w:gridCol w:w="869"/>
                    <w:gridCol w:w="871"/>
                    <w:gridCol w:w="869"/>
                    <w:gridCol w:w="872"/>
                    <w:gridCol w:w="869"/>
                    <w:gridCol w:w="871"/>
                    <w:gridCol w:w="869"/>
                    <w:gridCol w:w="871"/>
                    <w:gridCol w:w="943"/>
                  </w:tblGrid>
                  <w:tr>
                    <w:trPr>
                      <w:trHeight w:val="1577"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108" w:right="103"/>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直接定价 发行方式 发行人民 币普通股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22,666.48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7,443.24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18,644.60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4,021.88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详见募集 资金承诺 项目情况</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22,666.48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7,443.24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18,644.60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4,021.88</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964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723" w:hRule="exact"/>
                    </w:trPr>
                    <w:tc>
                      <w:tcPr>
                        <w:tcW w:w="964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（一）实际募集资金金额、资金到账情况</w:t>
                        </w:r>
                      </w:p>
                      <w:p>
                        <w:pPr>
                          <w:pStyle w:val="TableParagraph"/>
                          <w:spacing w:line="300" w:lineRule="auto" w:before="117"/>
                          <w:ind w:left="24" w:right="62"/>
                          <w:jc w:val="left"/>
                          <w:rPr>
                            <w:rFonts w:ascii="宋体" w:hAnsi="宋体" w:cs="宋体" w:eastAsia="宋体" w:hint="default"/>
                            <w:sz w:val="18"/>
                            <w:szCs w:val="18"/>
                          </w:rPr>
                        </w:pPr>
                        <w:r>
                          <w:rPr>
                            <w:rFonts w:ascii="宋体" w:hAnsi="宋体" w:cs="宋体" w:eastAsia="宋体" w:hint="default"/>
                            <w:spacing w:val="-2"/>
                            <w:sz w:val="18"/>
                            <w:szCs w:val="18"/>
                          </w:rPr>
                          <w:t>经中国证券监督管理委员会《关于核准北京数字认证股份有限公司首次公开发行股票的批复》（证监许可〔</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2863</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r>
                          <w:rPr>
                            <w:rFonts w:ascii="宋体" w:hAnsi="宋体" w:cs="宋体" w:eastAsia="宋体" w:hint="default"/>
                            <w:spacing w:val="-71"/>
                            <w:sz w:val="18"/>
                            <w:szCs w:val="18"/>
                          </w:rPr>
                          <w:t> </w:t>
                        </w:r>
                        <w:r>
                          <w:rPr>
                            <w:rFonts w:ascii="宋体" w:hAnsi="宋体" w:cs="宋体" w:eastAsia="宋体" w:hint="default"/>
                            <w:sz w:val="18"/>
                            <w:szCs w:val="18"/>
                          </w:rPr>
                          <w:t>核准，并经深圳证券交易所同意，本公司由主承销商中信建投证券股份有限公司通过深圳证券交易所系统于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日采用全部向二级市场投资者定价配售方式，向社会公众公开发行了普通股（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股）股票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万股，发行价为每股人</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00" w:lineRule="auto" w:before="103"/>
                          <w:ind w:left="24" w:right="2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日，本公司共募集资金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26,640.00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万元，扣除发行费用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2,600.00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万元，募集资金净额为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24,040.00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上述募集资金净额已经致同会计师事务所（特殊普通合伙）致同验字（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110ZC0705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号《验资报告》验证。另扣除 审计费、律师费、法定信息披露费等其他发行费用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1,373.52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22,666.48 </w:t>
                        </w:r>
                        <w:r>
                          <w:rPr>
                            <w:rFonts w:ascii="宋体" w:hAnsi="宋体" w:cs="宋体" w:eastAsia="宋体" w:hint="default"/>
                            <w:sz w:val="18"/>
                            <w:szCs w:val="18"/>
                          </w:rPr>
                          <w:t>万元。</w:t>
                        </w:r>
                      </w:p>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（二）以前年度已使用金额、本年度使用金额及当前余额</w:t>
                        </w:r>
                      </w:p>
                      <w:p>
                        <w:pPr>
                          <w:pStyle w:val="TableParagraph"/>
                          <w:spacing w:line="240" w:lineRule="auto" w:before="11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、以前年度已使用金额</w:t>
                        </w: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11,201.36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万元，尚未使用的金额为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12,188.64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0" w:right="1066"/>
        <w:jc w:val="right"/>
      </w:pPr>
      <w:r>
        <w:rPr/>
        <w:t>。</w:t>
      </w:r>
    </w:p>
    <w:p>
      <w:pPr>
        <w:spacing w:after="0" w:line="240" w:lineRule="auto"/>
        <w:jc w:val="right"/>
        <w:sectPr>
          <w:pgSz w:w="11910" w:h="16840"/>
          <w:pgMar w:header="748" w:footer="979" w:top="1060" w:bottom="1160" w:left="980" w:right="0"/>
        </w:sectPr>
      </w:pPr>
    </w:p>
    <w:p>
      <w:pPr>
        <w:spacing w:line="240" w:lineRule="auto" w:before="9"/>
        <w:rPr>
          <w:rFonts w:ascii="宋体" w:hAnsi="宋体" w:cs="宋体" w:eastAsia="宋体" w:hint="default"/>
          <w:sz w:val="28"/>
          <w:szCs w:val="28"/>
        </w:rPr>
      </w:pPr>
    </w:p>
    <w:p>
      <w:pPr>
        <w:spacing w:line="1135" w:lineRule="exact"/>
        <w:ind w:left="292" w:right="0" w:firstLine="0"/>
        <w:rPr>
          <w:rFonts w:ascii="宋体" w:hAnsi="宋体" w:cs="宋体" w:eastAsia="宋体" w:hint="default"/>
          <w:sz w:val="20"/>
          <w:szCs w:val="20"/>
        </w:rPr>
      </w:pPr>
      <w:r>
        <w:rPr>
          <w:rFonts w:ascii="宋体" w:hAnsi="宋体" w:cs="宋体" w:eastAsia="宋体" w:hint="default"/>
          <w:position w:val="-22"/>
          <w:sz w:val="20"/>
          <w:szCs w:val="20"/>
        </w:rPr>
        <w:pict>
          <v:shape style="width:482.05pt;height:56.8pt;mso-position-horizontal-relative:char;mso-position-vertical-relative:line" type="#_x0000_t202" filled="false" stroked="true" strokeweight=".47998pt" strokecolor="#000000">
            <w10:anchorlock/>
            <v:textbox inset="0,0,0,0">
              <w:txbxContent>
                <w:p>
                  <w:pPr>
                    <w:pStyle w:val="BodyText"/>
                    <w:spacing w:line="240" w:lineRule="auto" w:before="85"/>
                    <w:ind w:left="24" w:right="0"/>
                    <w:jc w:val="left"/>
                  </w:pPr>
                  <w:r>
                    <w:rPr>
                      <w:rFonts w:ascii="Times New Roman" w:hAnsi="Times New Roman" w:cs="Times New Roman" w:eastAsia="Times New Roman" w:hint="default"/>
                    </w:rPr>
                    <w:t>2</w:t>
                  </w:r>
                  <w:r>
                    <w:rPr/>
                    <w:t>、本年度使用金额及当前余额</w:t>
                  </w:r>
                </w:p>
                <w:p>
                  <w:pPr>
                    <w:pStyle w:val="BodyText"/>
                    <w:spacing w:line="240" w:lineRule="auto" w:before="103"/>
                    <w:ind w:left="24" w:right="0"/>
                    <w:jc w:val="left"/>
                  </w:pPr>
                  <w:r>
                    <w:rPr/>
                    <w:t>本年度以募集资金直接投入募集项目</w:t>
                  </w:r>
                  <w:r>
                    <w:rPr>
                      <w:spacing w:val="-46"/>
                    </w:rPr>
                    <w:t> </w:t>
                  </w:r>
                  <w:r>
                    <w:rPr>
                      <w:rFonts w:ascii="Times New Roman" w:hAnsi="Times New Roman" w:cs="Times New Roman" w:eastAsia="Times New Roman" w:hint="default"/>
                    </w:rPr>
                    <w:t>7,443.24 </w:t>
                  </w:r>
                  <w:r>
                    <w:rPr/>
                    <w:t>万元。截止</w:t>
                  </w:r>
                  <w:r>
                    <w:rPr>
                      <w:spacing w:val="-49"/>
                    </w:rPr>
                    <w:t> </w:t>
                  </w:r>
                  <w:r>
                    <w:rPr>
                      <w:rFonts w:ascii="Times New Roman" w:hAnsi="Times New Roman" w:cs="Times New Roman" w:eastAsia="Times New Roman" w:hint="default"/>
                    </w:rPr>
                    <w:t>2019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日，本公司募集资金累计直接投入募投项目</w:t>
                  </w:r>
                </w:p>
                <w:p>
                  <w:pPr>
                    <w:pStyle w:val="BodyText"/>
                    <w:spacing w:line="240" w:lineRule="auto" w:before="63"/>
                    <w:ind w:left="24" w:right="0"/>
                    <w:jc w:val="left"/>
                  </w:pPr>
                  <w:r>
                    <w:rPr>
                      <w:rFonts w:ascii="Times New Roman" w:hAnsi="Times New Roman" w:cs="Times New Roman" w:eastAsia="Times New Roman" w:hint="default"/>
                    </w:rPr>
                    <w:t>18,644.60</w:t>
                  </w:r>
                  <w:r>
                    <w:rPr>
                      <w:rFonts w:ascii="Times New Roman" w:hAnsi="Times New Roman" w:cs="Times New Roman" w:eastAsia="Times New Roman" w:hint="default"/>
                      <w:spacing w:val="-1"/>
                    </w:rPr>
                    <w:t> </w:t>
                  </w:r>
                  <w:r>
                    <w:rPr/>
                    <w:t>万元，尚未使用的金额为</w:t>
                  </w:r>
                  <w:r>
                    <w:rPr>
                      <w:spacing w:val="-47"/>
                    </w:rPr>
                    <w:t> </w:t>
                  </w:r>
                  <w:r>
                    <w:rPr>
                      <w:rFonts w:ascii="Times New Roman" w:hAnsi="Times New Roman" w:cs="Times New Roman" w:eastAsia="Times New Roman" w:hint="default"/>
                    </w:rPr>
                    <w:t>4,952.23</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w:t>
                  </w:r>
                  <w:r>
                    <w:rPr/>
                    <w:t>含利息</w:t>
                  </w:r>
                  <w:r>
                    <w:rPr>
                      <w:rFonts w:ascii="Times New Roman" w:hAnsi="Times New Roman" w:cs="Times New Roman" w:eastAsia="Times New Roman" w:hint="default"/>
                    </w:rPr>
                    <w:t>)</w:t>
                  </w:r>
                  <w:r>
                    <w:rPr/>
                    <w:t>。</w:t>
                  </w:r>
                </w:p>
              </w:txbxContent>
            </v:textbox>
          </v:shape>
        </w:pict>
      </w:r>
      <w:r>
        <w:rPr>
          <w:rFonts w:ascii="宋体" w:hAnsi="宋体" w:cs="宋体" w:eastAsia="宋体" w:hint="default"/>
          <w:position w:val="-22"/>
          <w:sz w:val="20"/>
          <w:szCs w:val="20"/>
        </w:rPr>
      </w:r>
    </w:p>
    <w:p>
      <w:pPr>
        <w:spacing w:line="240" w:lineRule="auto" w:before="10"/>
        <w:rPr>
          <w:rFonts w:ascii="宋体" w:hAnsi="宋体" w:cs="宋体" w:eastAsia="宋体" w:hint="default"/>
          <w:sz w:val="19"/>
          <w:szCs w:val="19"/>
        </w:rPr>
      </w:pPr>
    </w:p>
    <w:p>
      <w:pPr>
        <w:pStyle w:val="Heading3"/>
        <w:spacing w:line="240" w:lineRule="auto" w:before="36"/>
        <w:ind w:left="292" w:right="7334"/>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29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16"/>
        <w:gridCol w:w="708"/>
        <w:gridCol w:w="992"/>
        <w:gridCol w:w="852"/>
        <w:gridCol w:w="850"/>
        <w:gridCol w:w="852"/>
        <w:gridCol w:w="708"/>
        <w:gridCol w:w="991"/>
        <w:gridCol w:w="711"/>
        <w:gridCol w:w="708"/>
        <w:gridCol w:w="583"/>
        <w:gridCol w:w="727"/>
      </w:tblGrid>
      <w:tr>
        <w:trPr>
          <w:trHeight w:val="1651" w:hRule="exact"/>
        </w:trPr>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115" w:right="108"/>
              <w:jc w:val="center"/>
              <w:rPr>
                <w:rFonts w:ascii="宋体" w:hAnsi="宋体" w:cs="宋体" w:eastAsia="宋体" w:hint="default"/>
                <w:sz w:val="18"/>
                <w:szCs w:val="18"/>
              </w:rPr>
            </w:pPr>
            <w:r>
              <w:rPr>
                <w:rFonts w:ascii="宋体" w:hAnsi="宋体" w:cs="宋体" w:eastAsia="宋体" w:hint="default"/>
                <w:sz w:val="18"/>
                <w:szCs w:val="18"/>
              </w:rPr>
              <w:t>承诺投资项目 和超募资金投 向</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0" w:right="47"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0" w:right="39"/>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5" w:right="4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60"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4" w:right="60"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6" w:lineRule="exact"/>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40" w:right="38"/>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79" w:right="80"/>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7"/>
              <w:jc w:val="center"/>
              <w:rPr>
                <w:rFonts w:ascii="宋体" w:hAnsi="宋体" w:cs="宋体" w:eastAsia="宋体" w:hint="default"/>
                <w:sz w:val="18"/>
                <w:szCs w:val="18"/>
              </w:rPr>
            </w:pPr>
            <w:r>
              <w:rPr>
                <w:rFonts w:ascii="宋体" w:hAnsi="宋体" w:cs="宋体" w:eastAsia="宋体" w:hint="default"/>
                <w:sz w:val="18"/>
                <w:szCs w:val="18"/>
              </w:rPr>
              <w:t>截至报 告期末 累计实 现的效 益</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7" w:right="103"/>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8"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9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97"/>
              <w:jc w:val="both"/>
              <w:rPr>
                <w:rFonts w:ascii="宋体" w:hAnsi="宋体" w:cs="宋体" w:eastAsia="宋体" w:hint="default"/>
                <w:sz w:val="18"/>
                <w:szCs w:val="18"/>
              </w:rPr>
            </w:pPr>
            <w:r>
              <w:rPr>
                <w:rFonts w:ascii="宋体" w:hAnsi="宋体" w:cs="宋体" w:eastAsia="宋体" w:hint="default"/>
                <w:sz w:val="18"/>
                <w:szCs w:val="18"/>
              </w:rPr>
              <w:t>可靠电子签名 技术升级及新 产品研发项目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6,695.12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7,799.06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2,397.39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sz w:val="18"/>
              </w:rPr>
              <w:t>6,185.49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79.31%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6" w:right="197"/>
              <w:jc w:val="both"/>
              <w:rPr>
                <w:rFonts w:ascii="宋体" w:hAnsi="宋体" w:cs="宋体" w:eastAsia="宋体" w:hint="default"/>
                <w:sz w:val="18"/>
                <w:szCs w:val="18"/>
              </w:rPr>
            </w:pPr>
            <w:r>
              <w:rPr>
                <w:rFonts w:ascii="宋体" w:hAnsi="宋体" w:cs="宋体" w:eastAsia="宋体" w:hint="default"/>
                <w:sz w:val="18"/>
                <w:szCs w:val="18"/>
              </w:rPr>
              <w:t>可信数字身份 管理解决方案 升级项目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6,865.95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8,121.26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sz w:val="18"/>
              </w:rPr>
              <w:t>6,359.64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78.31%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sz w:val="18"/>
              </w:rPr>
              <w:t>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97"/>
              <w:jc w:val="left"/>
              <w:rPr>
                <w:rFonts w:ascii="宋体" w:hAnsi="宋体" w:cs="宋体" w:eastAsia="宋体" w:hint="default"/>
                <w:sz w:val="18"/>
                <w:szCs w:val="18"/>
              </w:rPr>
            </w:pPr>
            <w:r>
              <w:rPr>
                <w:rFonts w:ascii="宋体" w:hAnsi="宋体" w:cs="宋体" w:eastAsia="宋体" w:hint="default"/>
                <w:sz w:val="18"/>
                <w:szCs w:val="18"/>
              </w:rPr>
              <w:t>信息安全服务 平台建设项目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6,337.51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3,927.42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1,463.74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sz w:val="18"/>
              </w:rPr>
              <w:t>3,927.42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96" w:right="103" w:hanging="89"/>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6" w:right="197"/>
              <w:jc w:val="left"/>
              <w:rPr>
                <w:rFonts w:ascii="宋体" w:hAnsi="宋体" w:cs="宋体" w:eastAsia="宋体" w:hint="default"/>
                <w:sz w:val="18"/>
                <w:szCs w:val="18"/>
              </w:rPr>
            </w:pPr>
            <w:r>
              <w:rPr>
                <w:rFonts w:ascii="宋体" w:hAnsi="宋体" w:cs="宋体" w:eastAsia="宋体" w:hint="default"/>
                <w:sz w:val="18"/>
                <w:szCs w:val="18"/>
              </w:rPr>
              <w:t>营销体系建设 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2,767.90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2,818.74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1,119.21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sz w:val="18"/>
              </w:rPr>
              <w:t>2,172.05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77.06%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197"/>
              <w:jc w:val="left"/>
              <w:rPr>
                <w:rFonts w:ascii="宋体" w:hAnsi="宋体" w:cs="宋体" w:eastAsia="宋体" w:hint="default"/>
                <w:sz w:val="18"/>
                <w:szCs w:val="18"/>
              </w:rPr>
            </w:pPr>
            <w:r>
              <w:rPr>
                <w:rFonts w:ascii="宋体" w:hAnsi="宋体" w:cs="宋体" w:eastAsia="宋体" w:hint="default"/>
                <w:sz w:val="18"/>
                <w:szCs w:val="18"/>
              </w:rPr>
              <w:t>承诺投资项目 小计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7"/>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22,666.48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22,666.48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7,443.24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18,644.60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9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6"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22,666.48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22,666.48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7,443.24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4" w:right="0"/>
              <w:jc w:val="center"/>
              <w:rPr>
                <w:rFonts w:ascii="Times New Roman" w:hAnsi="Times New Roman" w:cs="Times New Roman" w:eastAsia="Times New Roman" w:hint="default"/>
                <w:sz w:val="18"/>
                <w:szCs w:val="18"/>
              </w:rPr>
            </w:pPr>
            <w:r>
              <w:rPr>
                <w:rFonts w:ascii="Times New Roman"/>
                <w:sz w:val="18"/>
              </w:rPr>
              <w:t>18,644.60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27" w:right="0"/>
              <w:jc w:val="lef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99" w:right="0"/>
              <w:jc w:val="left"/>
              <w:rPr>
                <w:rFonts w:ascii="Times New Roman" w:hAnsi="Times New Roman" w:cs="Times New Roman" w:eastAsia="Times New Roman" w:hint="default"/>
                <w:sz w:val="18"/>
                <w:szCs w:val="18"/>
              </w:rPr>
            </w:pPr>
            <w:r>
              <w:rPr>
                <w:rFonts w:ascii="Times New Roman"/>
                <w:sz w:val="18"/>
              </w:rPr>
              <w:t>--</w:t>
            </w:r>
          </w:p>
        </w:tc>
      </w:tr>
      <w:tr>
        <w:trPr>
          <w:trHeight w:val="2273" w:hRule="exact"/>
        </w:trPr>
        <w:tc>
          <w:tcPr>
            <w:tcW w:w="20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6" w:right="21"/>
              <w:jc w:val="left"/>
              <w:rPr>
                <w:rFonts w:ascii="宋体" w:hAnsi="宋体" w:cs="宋体" w:eastAsia="宋体" w:hint="default"/>
                <w:sz w:val="18"/>
                <w:szCs w:val="18"/>
              </w:rPr>
            </w:pPr>
            <w:r>
              <w:rPr>
                <w:rFonts w:ascii="宋体" w:hAnsi="宋体" w:cs="宋体" w:eastAsia="宋体" w:hint="default"/>
                <w:sz w:val="18"/>
                <w:szCs w:val="18"/>
              </w:rPr>
              <w:t>未达到计划进度或预计 </w:t>
            </w:r>
            <w:r>
              <w:rPr>
                <w:rFonts w:ascii="宋体" w:hAnsi="宋体" w:cs="宋体" w:eastAsia="宋体" w:hint="default"/>
                <w:spacing w:val="-2"/>
                <w:sz w:val="18"/>
                <w:szCs w:val="18"/>
              </w:rPr>
              <w:t>收益的情况和原因（分具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体项目）</w:t>
            </w:r>
          </w:p>
        </w:tc>
        <w:tc>
          <w:tcPr>
            <w:tcW w:w="797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年第一次临时股东大会审议通过《关于设立子公司和部分变更募集资金投资项目实施内容的议</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，由于募投项目自建办公</w:t>
            </w:r>
            <w:r>
              <w:rPr>
                <w:rFonts w:ascii="宋体" w:hAnsi="宋体" w:cs="宋体" w:eastAsia="宋体" w:hint="default"/>
                <w:spacing w:val="2"/>
                <w:sz w:val="18"/>
                <w:szCs w:val="18"/>
              </w:rPr>
              <w:t>楼</w:t>
            </w:r>
            <w:r>
              <w:rPr>
                <w:rFonts w:ascii="宋体" w:hAnsi="宋体" w:cs="宋体" w:eastAsia="宋体" w:hint="default"/>
                <w:sz w:val="18"/>
                <w:szCs w:val="18"/>
              </w:rPr>
              <w:t>需要一定周期，同意公司各募投项目实施期限均延期至</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300" w:lineRule="auto" w:before="63"/>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7"/>
                <w:sz w:val="18"/>
                <w:szCs w:val="18"/>
              </w:rPr>
              <w:t> </w:t>
            </w:r>
            <w:r>
              <w:rPr>
                <w:rFonts w:ascii="宋体" w:hAnsi="宋体" w:cs="宋体" w:eastAsia="宋体" w:hint="default"/>
                <w:spacing w:val="-2"/>
                <w:sz w:val="18"/>
                <w:szCs w:val="18"/>
              </w:rPr>
              <w:t>年第三届董事会第二十一次会议、第三届监事会第十三次会议审议通过《关于部分募集资金投资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项目延期的议案》，根据武汉办公楼建设项目实际进展情况，同意将募投项目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可靠电子签名技术升级</w:t>
            </w:r>
            <w:r>
              <w:rPr>
                <w:rFonts w:ascii="宋体" w:hAnsi="宋体" w:cs="宋体" w:eastAsia="宋体" w:hint="default"/>
                <w:sz w:val="18"/>
                <w:szCs w:val="18"/>
              </w:rPr>
              <w:t> 及新产品研发项目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可信数字身份管理解决方案升级项目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营销体系建设项目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实施期限延期至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716" w:hRule="exact"/>
        </w:trPr>
        <w:tc>
          <w:tcPr>
            <w:tcW w:w="20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6" w:right="185"/>
              <w:jc w:val="left"/>
              <w:rPr>
                <w:rFonts w:ascii="宋体" w:hAnsi="宋体" w:cs="宋体" w:eastAsia="宋体" w:hint="default"/>
                <w:sz w:val="18"/>
                <w:szCs w:val="18"/>
              </w:rPr>
            </w:pPr>
            <w:r>
              <w:rPr>
                <w:rFonts w:ascii="宋体" w:hAnsi="宋体" w:cs="宋体" w:eastAsia="宋体" w:hint="default"/>
                <w:sz w:val="18"/>
                <w:szCs w:val="18"/>
              </w:rPr>
              <w:t>项目可行性发生重大变 化的情况说明</w:t>
            </w:r>
          </w:p>
        </w:tc>
        <w:tc>
          <w:tcPr>
            <w:tcW w:w="797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0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1"/>
              <w:jc w:val="left"/>
              <w:rPr>
                <w:rFonts w:ascii="宋体" w:hAnsi="宋体" w:cs="宋体" w:eastAsia="宋体" w:hint="default"/>
                <w:sz w:val="18"/>
                <w:szCs w:val="18"/>
              </w:rPr>
            </w:pPr>
            <w:r>
              <w:rPr>
                <w:rFonts w:ascii="宋体" w:hAnsi="宋体" w:cs="宋体" w:eastAsia="宋体" w:hint="default"/>
                <w:spacing w:val="-2"/>
                <w:sz w:val="18"/>
                <w:szCs w:val="18"/>
              </w:rPr>
              <w:t>超募资金的金额、用途及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使用进展情况</w:t>
            </w:r>
          </w:p>
        </w:tc>
        <w:tc>
          <w:tcPr>
            <w:tcW w:w="797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8" w:footer="979" w:top="1060" w:bottom="1160" w:left="8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44"/>
        <w:ind w:left="0" w:right="888"/>
        <w:jc w:val="right"/>
      </w:pPr>
      <w:r>
        <w:rPr/>
        <w:pict>
          <v:shape style="position:absolute;margin-left:47.459999pt;margin-top:-152.188263pt;width:500.6pt;height:497.9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22"/>
                    <w:gridCol w:w="7974"/>
                  </w:tblGrid>
                  <w:tr>
                    <w:trPr>
                      <w:trHeight w:val="401" w:hRule="exact"/>
                    </w:trPr>
                    <w:tc>
                      <w:tcPr>
                        <w:tcW w:w="20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25" w:right="185"/>
                          <w:jc w:val="left"/>
                          <w:rPr>
                            <w:rFonts w:ascii="宋体" w:hAnsi="宋体" w:cs="宋体" w:eastAsia="宋体" w:hint="default"/>
                            <w:sz w:val="18"/>
                            <w:szCs w:val="18"/>
                          </w:rPr>
                        </w:pPr>
                        <w:r>
                          <w:rPr>
                            <w:rFonts w:ascii="宋体" w:hAnsi="宋体" w:cs="宋体" w:eastAsia="宋体" w:hint="default"/>
                            <w:sz w:val="18"/>
                            <w:szCs w:val="18"/>
                          </w:rPr>
                          <w:t>募集资金投资项目实施 地点变更情况</w:t>
                        </w: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2022" w:type="dxa"/>
                        <w:vMerge/>
                        <w:tcBorders>
                          <w:left w:val="single" w:sz="4" w:space="0" w:color="000000"/>
                          <w:right w:val="single" w:sz="4" w:space="0" w:color="000000"/>
                        </w:tcBorders>
                        <w:shd w:val="clear" w:color="auto" w:fill="D2D2D2"/>
                      </w:tcPr>
                      <w:p>
                        <w:pP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626" w:hRule="exact"/>
                    </w:trPr>
                    <w:tc>
                      <w:tcPr>
                        <w:tcW w:w="2022" w:type="dxa"/>
                        <w:vMerge/>
                        <w:tcBorders>
                          <w:left w:val="single" w:sz="4" w:space="0" w:color="000000"/>
                          <w:bottom w:val="single" w:sz="4" w:space="0" w:color="000000"/>
                          <w:right w:val="single" w:sz="4" w:space="0" w:color="000000"/>
                        </w:tcBorders>
                        <w:shd w:val="clear" w:color="auto" w:fill="D2D2D2"/>
                      </w:tcPr>
                      <w:p>
                        <w:pP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信息安全服务平台建设项目的实施主体和实施地点变更情况：实施主体由公司变更为公司和子公司安 信天行共同实施；实施地点由北京市海淀区北四环西路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号双桥大厦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层（即公司住所）变更为北</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京市海淀区北四环西路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号双桥大厦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层和北京市海淀区北四环西路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 </w:t>
                        </w:r>
                        <w:r>
                          <w:rPr>
                            <w:rFonts w:ascii="宋体" w:hAnsi="宋体" w:cs="宋体" w:eastAsia="宋体" w:hint="default"/>
                            <w:sz w:val="18"/>
                            <w:szCs w:val="18"/>
                          </w:rPr>
                          <w:t>号双桥大厦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层（即安信</w:t>
                        </w:r>
                      </w:p>
                      <w:p>
                        <w:pPr>
                          <w:pStyle w:val="TableParagraph"/>
                          <w:spacing w:line="319" w:lineRule="auto" w:before="63"/>
                          <w:ind w:left="23" w:right="23"/>
                          <w:jc w:val="left"/>
                          <w:rPr>
                            <w:rFonts w:ascii="宋体" w:hAnsi="宋体" w:cs="宋体" w:eastAsia="宋体" w:hint="default"/>
                            <w:sz w:val="18"/>
                            <w:szCs w:val="18"/>
                          </w:rPr>
                        </w:pPr>
                        <w:r>
                          <w:rPr>
                            <w:rFonts w:ascii="宋体" w:hAnsi="宋体" w:cs="宋体" w:eastAsia="宋体" w:hint="default"/>
                            <w:spacing w:val="-10"/>
                            <w:sz w:val="18"/>
                            <w:szCs w:val="18"/>
                          </w:rPr>
                          <w:t>天行住所）。</w:t>
                        </w:r>
                        <w:r>
                          <w:rPr>
                            <w:rFonts w:ascii="Times New Roman" w:hAnsi="Times New Roman" w:cs="Times New Roman" w:eastAsia="Times New Roman" w:hint="default"/>
                            <w:spacing w:val="-10"/>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日，公司召开的第二届董事会第十六次会议批准了前述变更。</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可靠电子签名技术升级及新产品研发项目、可信数字身份管理解决方案升级项目、营销体系建设项目</w:t>
                        </w:r>
                        <w:r>
                          <w:rPr>
                            <w:rFonts w:ascii="宋体" w:hAnsi="宋体" w:cs="宋体" w:eastAsia="宋体" w:hint="default"/>
                            <w:sz w:val="18"/>
                            <w:szCs w:val="18"/>
                          </w:rPr>
                          <w:t> 的实施主体和实施地点变更情况：公司以募集资金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万元在武汉临空港经济技术开发区国家网络 </w:t>
                        </w:r>
                        <w:r>
                          <w:rPr>
                            <w:rFonts w:ascii="宋体" w:hAnsi="宋体" w:cs="宋体" w:eastAsia="宋体" w:hint="default"/>
                            <w:spacing w:val="-3"/>
                            <w:sz w:val="18"/>
                            <w:szCs w:val="18"/>
                          </w:rPr>
                          <w:t>安全人才与创新基地投资设立全资子公司数字认证（武汉）。实施主体由公司变更为公司和数字认证</w:t>
                        </w:r>
                      </w:p>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pacing w:val="-5"/>
                            <w:sz w:val="18"/>
                            <w:szCs w:val="18"/>
                          </w:rPr>
                          <w:t>（武汉）共同实施；实施地点由北京变更为北京和武汉，</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年第一次临时股东大会批准了前述变更</w:t>
                        </w:r>
                      </w:p>
                    </w:tc>
                  </w:tr>
                  <w:tr>
                    <w:trPr>
                      <w:trHeight w:val="403" w:hRule="exact"/>
                    </w:trPr>
                    <w:tc>
                      <w:tcPr>
                        <w:tcW w:w="20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314" w:lineRule="auto"/>
                          <w:ind w:left="25" w:right="185"/>
                          <w:jc w:val="left"/>
                          <w:rPr>
                            <w:rFonts w:ascii="宋体" w:hAnsi="宋体" w:cs="宋体" w:eastAsia="宋体" w:hint="default"/>
                            <w:sz w:val="18"/>
                            <w:szCs w:val="18"/>
                          </w:rPr>
                        </w:pPr>
                        <w:r>
                          <w:rPr>
                            <w:rFonts w:ascii="宋体" w:hAnsi="宋体" w:cs="宋体" w:eastAsia="宋体" w:hint="default"/>
                            <w:sz w:val="18"/>
                            <w:szCs w:val="18"/>
                          </w:rPr>
                          <w:t>募集资金投资项目实施 方式调整情况</w:t>
                        </w: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2022" w:type="dxa"/>
                        <w:vMerge/>
                        <w:tcBorders>
                          <w:left w:val="single" w:sz="4" w:space="0" w:color="000000"/>
                          <w:right w:val="single" w:sz="4" w:space="0" w:color="000000"/>
                        </w:tcBorders>
                        <w:shd w:val="clear" w:color="auto" w:fill="D2D2D2"/>
                      </w:tcPr>
                      <w:p>
                        <w:pP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339" w:hRule="exact"/>
                    </w:trPr>
                    <w:tc>
                      <w:tcPr>
                        <w:tcW w:w="2022" w:type="dxa"/>
                        <w:vMerge/>
                        <w:tcBorders>
                          <w:left w:val="single" w:sz="4" w:space="0" w:color="000000"/>
                          <w:bottom w:val="single" w:sz="4" w:space="0" w:color="000000"/>
                          <w:right w:val="single" w:sz="4" w:space="0" w:color="000000"/>
                        </w:tcBorders>
                        <w:shd w:val="clear" w:color="auto" w:fill="D2D2D2"/>
                      </w:tcPr>
                      <w:p>
                        <w:pP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年第一次临时股东大会审议通过《关于设立子公司和部分变更募集资金投资项目实施内容的议 </w:t>
                        </w:r>
                        <w:r>
                          <w:rPr>
                            <w:rFonts w:ascii="宋体" w:hAnsi="宋体" w:cs="宋体" w:eastAsia="宋体" w:hint="default"/>
                            <w:spacing w:val="-2"/>
                            <w:w w:val="100"/>
                            <w:sz w:val="18"/>
                            <w:szCs w:val="18"/>
                          </w:rPr>
                          <w:t>案》，同意公司募集资金投资项目</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可靠电子签名技术升级及新产品研发项目</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可信数字身份管理解</w:t>
                        </w:r>
                        <w:r>
                          <w:rPr>
                            <w:rFonts w:ascii="宋体" w:hAnsi="宋体" w:cs="宋体" w:eastAsia="宋体" w:hint="default"/>
                            <w:sz w:val="18"/>
                            <w:szCs w:val="18"/>
                          </w:rPr>
                          <w:t> 决方案升级项目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营销体系建设项目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的实施方式由购买办公用房变更为自建办公楼，</w:t>
                        </w:r>
                        <w:r>
                          <w:rPr>
                            <w:rFonts w:ascii="Times New Roman" w:hAnsi="Times New Roman" w:cs="Times New Roman" w:eastAsia="Times New Roman" w:hint="default"/>
                            <w:sz w:val="18"/>
                            <w:szCs w:val="18"/>
                          </w:rPr>
                          <w:t>“</w:t>
                        </w:r>
                        <w:r>
                          <w:rPr>
                            <w:rFonts w:ascii="宋体" w:hAnsi="宋体" w:cs="宋体" w:eastAsia="宋体" w:hint="default"/>
                            <w:sz w:val="18"/>
                            <w:szCs w:val="18"/>
                          </w:rPr>
                          <w:t>信息安全服 务平台建设项目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实施方式由购买办公用房变更为租赁办公用房。</w:t>
                        </w:r>
                      </w:p>
                    </w:tc>
                  </w:tr>
                  <w:tr>
                    <w:trPr>
                      <w:trHeight w:val="401" w:hRule="exact"/>
                    </w:trPr>
                    <w:tc>
                      <w:tcPr>
                        <w:tcW w:w="20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25" w:right="185"/>
                          <w:jc w:val="left"/>
                          <w:rPr>
                            <w:rFonts w:ascii="宋体" w:hAnsi="宋体" w:cs="宋体" w:eastAsia="宋体" w:hint="default"/>
                            <w:sz w:val="18"/>
                            <w:szCs w:val="18"/>
                          </w:rPr>
                        </w:pPr>
                        <w:r>
                          <w:rPr>
                            <w:rFonts w:ascii="宋体" w:hAnsi="宋体" w:cs="宋体" w:eastAsia="宋体" w:hint="default"/>
                            <w:sz w:val="18"/>
                            <w:szCs w:val="18"/>
                          </w:rPr>
                          <w:t>募集资金投资项目先期 投入及置换情况</w:t>
                        </w: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8" w:hRule="exact"/>
                    </w:trPr>
                    <w:tc>
                      <w:tcPr>
                        <w:tcW w:w="2022" w:type="dxa"/>
                        <w:vMerge/>
                        <w:tcBorders>
                          <w:left w:val="single" w:sz="4" w:space="0" w:color="000000"/>
                          <w:bottom w:val="single" w:sz="4" w:space="0" w:color="000000"/>
                          <w:right w:val="single" w:sz="4" w:space="0" w:color="000000"/>
                        </w:tcBorders>
                        <w:shd w:val="clear" w:color="auto" w:fill="D2D2D2"/>
                      </w:tcPr>
                      <w:p>
                        <w:pP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可靠电子签名技术升级及新产品研发项目已先期投入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30,522,420.00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元，可信数字身份管理解决方案升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级项目已先期投入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31,440,612.25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元，营销体系建设项目已先期投入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8,885,037.60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元，合计已先期投入</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70,848,069.85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日已全部置换。</w:t>
                        </w:r>
                      </w:p>
                    </w:tc>
                  </w:tr>
                  <w:tr>
                    <w:trPr>
                      <w:trHeight w:val="713"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5" w:right="185"/>
                          <w:jc w:val="left"/>
                          <w:rPr>
                            <w:rFonts w:ascii="宋体" w:hAnsi="宋体" w:cs="宋体" w:eastAsia="宋体" w:hint="default"/>
                            <w:sz w:val="18"/>
                            <w:szCs w:val="18"/>
                          </w:rPr>
                        </w:pPr>
                        <w:r>
                          <w:rPr>
                            <w:rFonts w:ascii="宋体" w:hAnsi="宋体" w:cs="宋体" w:eastAsia="宋体" w:hint="default"/>
                            <w:sz w:val="18"/>
                            <w:szCs w:val="18"/>
                          </w:rPr>
                          <w:t>用闲置募集资金暂时补 充流动资金情况</w:t>
                        </w: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4"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7"/>
                          <w:ind w:left="25" w:right="185"/>
                          <w:jc w:val="left"/>
                          <w:rPr>
                            <w:rFonts w:ascii="宋体" w:hAnsi="宋体" w:cs="宋体" w:eastAsia="宋体" w:hint="default"/>
                            <w:sz w:val="18"/>
                            <w:szCs w:val="18"/>
                          </w:rPr>
                        </w:pPr>
                        <w:r>
                          <w:rPr>
                            <w:rFonts w:ascii="宋体" w:hAnsi="宋体" w:cs="宋体" w:eastAsia="宋体" w:hint="default"/>
                            <w:sz w:val="18"/>
                            <w:szCs w:val="18"/>
                          </w:rPr>
                          <w:t>项目实施出现募集资金 结余的金额及原因</w:t>
                        </w: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185"/>
                          <w:jc w:val="left"/>
                          <w:rPr>
                            <w:rFonts w:ascii="宋体" w:hAnsi="宋体" w:cs="宋体" w:eastAsia="宋体" w:hint="default"/>
                            <w:sz w:val="18"/>
                            <w:szCs w:val="18"/>
                          </w:rPr>
                        </w:pPr>
                        <w:r>
                          <w:rPr>
                            <w:rFonts w:ascii="宋体" w:hAnsi="宋体" w:cs="宋体" w:eastAsia="宋体" w:hint="default"/>
                            <w:sz w:val="18"/>
                            <w:szCs w:val="18"/>
                          </w:rPr>
                          <w:t>尚未使用的募集资金用 途及去向</w:t>
                        </w: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截至本报告期末剩余尚未使用的募集资金均存放在公司银行募集资金专户中。</w:t>
                        </w:r>
                      </w:p>
                    </w:tc>
                  </w:tr>
                  <w:tr>
                    <w:trPr>
                      <w:trHeight w:val="713"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5" w:right="185"/>
                          <w:jc w:val="left"/>
                          <w:rPr>
                            <w:rFonts w:ascii="宋体" w:hAnsi="宋体" w:cs="宋体" w:eastAsia="宋体" w:hint="default"/>
                            <w:sz w:val="18"/>
                            <w:szCs w:val="18"/>
                          </w:rPr>
                        </w:pPr>
                        <w:r>
                          <w:rPr>
                            <w:rFonts w:ascii="宋体" w:hAnsi="宋体" w:cs="宋体" w:eastAsia="宋体" w:hint="default"/>
                            <w:sz w:val="18"/>
                            <w:szCs w:val="18"/>
                          </w:rPr>
                          <w:t>募集资金使用及披露中 存在的问题或其他情况</w:t>
                        </w: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3"/>
        <w:spacing w:line="240" w:lineRule="auto" w:before="36"/>
        <w:ind w:left="292" w:right="7334"/>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29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left="292" w:right="7334"/>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92" w:right="7334"/>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left="292"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after="0" w:line="338" w:lineRule="auto"/>
        <w:jc w:val="left"/>
        <w:sectPr>
          <w:pgSz w:w="11910" w:h="16840"/>
          <w:pgMar w:header="748" w:footer="979" w:top="1060" w:bottom="1160" w:left="84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9"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850"/>
        <w:gridCol w:w="1311"/>
        <w:gridCol w:w="1044"/>
        <w:gridCol w:w="1047"/>
        <w:gridCol w:w="1046"/>
        <w:gridCol w:w="1044"/>
        <w:gridCol w:w="1045"/>
        <w:gridCol w:w="1046"/>
      </w:tblGrid>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1"/>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1"/>
              <w:jc w:val="right"/>
              <w:rPr>
                <w:rFonts w:ascii="宋体" w:hAnsi="宋体" w:cs="宋体" w:eastAsia="宋体" w:hint="default"/>
                <w:sz w:val="18"/>
                <w:szCs w:val="18"/>
              </w:rPr>
            </w:pPr>
            <w:r>
              <w:rPr>
                <w:rFonts w:ascii="宋体" w:hAnsi="宋体" w:cs="宋体" w:eastAsia="宋体" w:hint="default"/>
                <w:sz w:val="18"/>
                <w:szCs w:val="18"/>
              </w:rPr>
              <w:t>安信天行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379" w:right="110" w:hanging="269"/>
              <w:jc w:val="left"/>
              <w:rPr>
                <w:rFonts w:ascii="宋体" w:hAnsi="宋体" w:cs="宋体" w:eastAsia="宋体" w:hint="default"/>
                <w:sz w:val="18"/>
                <w:szCs w:val="18"/>
              </w:rPr>
            </w:pPr>
            <w:r>
              <w:rPr>
                <w:rFonts w:ascii="宋体" w:hAnsi="宋体" w:cs="宋体" w:eastAsia="宋体" w:hint="default"/>
                <w:sz w:val="18"/>
                <w:szCs w:val="18"/>
              </w:rPr>
              <w:t>系统集成及软 件开发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51" w:right="0"/>
              <w:jc w:val="left"/>
              <w:rPr>
                <w:rFonts w:ascii="Times New Roman" w:hAnsi="Times New Roman" w:cs="Times New Roman" w:eastAsia="Times New Roman" w:hint="default"/>
                <w:sz w:val="15"/>
                <w:szCs w:val="15"/>
              </w:rPr>
            </w:pPr>
            <w:r>
              <w:rPr>
                <w:rFonts w:ascii="Times New Roman"/>
                <w:sz w:val="15"/>
              </w:rPr>
              <w:t>31,470,000.00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457,537,056.14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2"/>
                <w:sz w:val="15"/>
              </w:rPr>
              <w:t>110,842,887.00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3" w:right="0"/>
              <w:jc w:val="center"/>
              <w:rPr>
                <w:rFonts w:ascii="Times New Roman" w:hAnsi="Times New Roman" w:cs="Times New Roman" w:eastAsia="Times New Roman" w:hint="default"/>
                <w:sz w:val="15"/>
                <w:szCs w:val="15"/>
              </w:rPr>
            </w:pPr>
            <w:r>
              <w:rPr>
                <w:rFonts w:ascii="Times New Roman"/>
                <w:sz w:val="15"/>
              </w:rPr>
              <w:t>319,671,129.42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51" w:right="0"/>
              <w:jc w:val="left"/>
              <w:rPr>
                <w:rFonts w:ascii="Times New Roman" w:hAnsi="Times New Roman" w:cs="Times New Roman" w:eastAsia="Times New Roman" w:hint="default"/>
                <w:sz w:val="15"/>
                <w:szCs w:val="15"/>
              </w:rPr>
            </w:pPr>
            <w:r>
              <w:rPr>
                <w:rFonts w:ascii="Times New Roman"/>
                <w:sz w:val="15"/>
              </w:rPr>
              <w:t>28,170,327.15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25,142,328.35</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1"/>
              <w:jc w:val="right"/>
              <w:rPr>
                <w:rFonts w:ascii="宋体" w:hAnsi="宋体" w:cs="宋体" w:eastAsia="宋体" w:hint="default"/>
                <w:sz w:val="18"/>
                <w:szCs w:val="18"/>
              </w:rPr>
            </w:pPr>
            <w:r>
              <w:rPr>
                <w:rFonts w:ascii="宋体" w:hAnsi="宋体" w:cs="宋体" w:eastAsia="宋体" w:hint="default"/>
                <w:sz w:val="18"/>
                <w:szCs w:val="18"/>
              </w:rPr>
              <w:t>数字医信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0" w:right="110"/>
              <w:jc w:val="left"/>
              <w:rPr>
                <w:rFonts w:ascii="宋体" w:hAnsi="宋体" w:cs="宋体" w:eastAsia="宋体" w:hint="default"/>
                <w:sz w:val="18"/>
                <w:szCs w:val="18"/>
              </w:rPr>
            </w:pPr>
            <w:r>
              <w:rPr>
                <w:rFonts w:ascii="宋体" w:hAnsi="宋体" w:cs="宋体" w:eastAsia="宋体" w:hint="default"/>
                <w:sz w:val="18"/>
                <w:szCs w:val="18"/>
              </w:rPr>
              <w:t>安全可信的互 联网医疗服务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51" w:right="0"/>
              <w:jc w:val="left"/>
              <w:rPr>
                <w:rFonts w:ascii="Times New Roman" w:hAnsi="Times New Roman" w:cs="Times New Roman" w:eastAsia="Times New Roman" w:hint="default"/>
                <w:sz w:val="15"/>
                <w:szCs w:val="15"/>
              </w:rPr>
            </w:pPr>
            <w:r>
              <w:rPr>
                <w:rFonts w:ascii="Times New Roman"/>
                <w:sz w:val="15"/>
              </w:rPr>
              <w:t>10,000,000.00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14,344,379.63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-2,426,654.71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30" w:right="0"/>
              <w:jc w:val="center"/>
              <w:rPr>
                <w:rFonts w:ascii="Times New Roman" w:hAnsi="Times New Roman" w:cs="Times New Roman" w:eastAsia="Times New Roman" w:hint="default"/>
                <w:sz w:val="15"/>
                <w:szCs w:val="15"/>
              </w:rPr>
            </w:pPr>
            <w:r>
              <w:rPr>
                <w:rFonts w:ascii="Times New Roman"/>
                <w:sz w:val="15"/>
              </w:rPr>
              <w:t>16,491,332.32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75" w:right="0"/>
              <w:jc w:val="left"/>
              <w:rPr>
                <w:rFonts w:ascii="Times New Roman" w:hAnsi="Times New Roman" w:cs="Times New Roman" w:eastAsia="Times New Roman" w:hint="default"/>
                <w:sz w:val="15"/>
                <w:szCs w:val="15"/>
              </w:rPr>
            </w:pPr>
            <w:r>
              <w:rPr>
                <w:rFonts w:ascii="Times New Roman"/>
                <w:sz w:val="15"/>
              </w:rPr>
              <w:t>-7,137,801.26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-6,180,549.82</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82" w:right="22" w:hanging="359"/>
              <w:jc w:val="left"/>
              <w:rPr>
                <w:rFonts w:ascii="宋体" w:hAnsi="宋体" w:cs="宋体" w:eastAsia="宋体" w:hint="default"/>
                <w:sz w:val="18"/>
                <w:szCs w:val="18"/>
              </w:rPr>
            </w:pPr>
            <w:r>
              <w:rPr>
                <w:rFonts w:ascii="宋体" w:hAnsi="宋体" w:cs="宋体" w:eastAsia="宋体" w:hint="default"/>
                <w:sz w:val="18"/>
                <w:szCs w:val="18"/>
              </w:rPr>
              <w:t>数字认证（武 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79" w:right="110" w:hanging="269"/>
              <w:jc w:val="left"/>
              <w:rPr>
                <w:rFonts w:ascii="宋体" w:hAnsi="宋体" w:cs="宋体" w:eastAsia="宋体" w:hint="default"/>
                <w:sz w:val="18"/>
                <w:szCs w:val="18"/>
              </w:rPr>
            </w:pPr>
            <w:r>
              <w:rPr>
                <w:rFonts w:ascii="宋体" w:hAnsi="宋体" w:cs="宋体" w:eastAsia="宋体" w:hint="default"/>
                <w:sz w:val="18"/>
                <w:szCs w:val="18"/>
              </w:rPr>
              <w:t>信息安全及软 件服务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51" w:right="0"/>
              <w:jc w:val="left"/>
              <w:rPr>
                <w:rFonts w:ascii="Times New Roman" w:hAnsi="Times New Roman" w:cs="Times New Roman" w:eastAsia="Times New Roman" w:hint="default"/>
                <w:sz w:val="15"/>
                <w:szCs w:val="15"/>
              </w:rPr>
            </w:pPr>
            <w:r>
              <w:rPr>
                <w:rFonts w:ascii="Times New Roman"/>
                <w:sz w:val="15"/>
              </w:rPr>
              <w:t>20,000,000.00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65,703,469.18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18,856,727.52</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75" w:right="0"/>
              <w:jc w:val="left"/>
              <w:rPr>
                <w:rFonts w:ascii="Times New Roman" w:hAnsi="Times New Roman" w:cs="Times New Roman" w:eastAsia="Times New Roman" w:hint="default"/>
                <w:sz w:val="15"/>
                <w:szCs w:val="15"/>
              </w:rPr>
            </w:pPr>
            <w:r>
              <w:rPr>
                <w:rFonts w:ascii="Times New Roman"/>
                <w:sz w:val="15"/>
              </w:rPr>
              <w:t>-1,038,068.01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-1,038,068.01</w:t>
            </w:r>
          </w:p>
        </w:tc>
      </w:tr>
    </w:tbl>
    <w:p>
      <w:pPr>
        <w:pStyle w:val="BodyText"/>
        <w:spacing w:line="240" w:lineRule="auto" w:before="49"/>
        <w:ind w:right="982"/>
        <w:jc w:val="left"/>
      </w:pPr>
      <w:r>
        <w:rPr/>
        <w:t>报告期内取得和处置子公司的情况</w:t>
      </w:r>
    </w:p>
    <w:p>
      <w:pPr>
        <w:pStyle w:val="BodyText"/>
        <w:spacing w:line="338" w:lineRule="auto" w:before="119"/>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w:t>
      </w:r>
    </w:p>
    <w:p>
      <w:pPr>
        <w:spacing w:line="240" w:lineRule="auto" w:before="8"/>
        <w:rPr>
          <w:rFonts w:ascii="宋体" w:hAnsi="宋体" w:cs="宋体" w:eastAsia="宋体" w:hint="default"/>
          <w:sz w:val="19"/>
          <w:szCs w:val="19"/>
        </w:rPr>
      </w:pPr>
    </w:p>
    <w:p>
      <w:pPr>
        <w:pStyle w:val="Heading2"/>
        <w:spacing w:line="240" w:lineRule="auto"/>
        <w:ind w:right="982"/>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r>
        <w:rPr/>
        <w:t>九、公司未来发展的展望</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573" w:right="982"/>
        <w:jc w:val="left"/>
        <w:rPr>
          <w:b w:val="0"/>
          <w:bCs w:val="0"/>
        </w:rPr>
      </w:pPr>
      <w:r>
        <w:rPr/>
        <w:t>（一）行业发展趋势</w:t>
      </w:r>
      <w:r>
        <w:rPr>
          <w:b w:val="0"/>
          <w:bCs w:val="0"/>
        </w:rPr>
      </w:r>
    </w:p>
    <w:p>
      <w:pPr>
        <w:spacing w:line="240" w:lineRule="auto" w:before="2"/>
        <w:rPr>
          <w:rFonts w:ascii="宋体" w:hAnsi="宋体" w:cs="宋体" w:eastAsia="宋体" w:hint="default"/>
          <w:b/>
          <w:bCs/>
          <w:sz w:val="21"/>
          <w:szCs w:val="21"/>
        </w:rPr>
      </w:pPr>
    </w:p>
    <w:p>
      <w:pPr>
        <w:pStyle w:val="Heading3"/>
        <w:spacing w:line="240" w:lineRule="auto"/>
        <w:ind w:left="573" w:right="982"/>
        <w:jc w:val="left"/>
        <w:rPr>
          <w:b w:val="0"/>
          <w:bCs w:val="0"/>
        </w:rPr>
      </w:pPr>
      <w:r>
        <w:rPr>
          <w:rFonts w:ascii="Times New Roman" w:hAnsi="Times New Roman" w:cs="Times New Roman" w:eastAsia="Times New Roman" w:hint="default"/>
        </w:rPr>
        <w:t>1</w:t>
      </w:r>
      <w:r>
        <w:rPr/>
        <w:t>、国家推动网络安全高质量发展，行业正处于快速发展阶段</w:t>
      </w:r>
      <w:r>
        <w:rPr>
          <w:b w:val="0"/>
          <w:bCs w:val="0"/>
        </w:rPr>
      </w:r>
    </w:p>
    <w:p>
      <w:pPr>
        <w:pStyle w:val="Heading4"/>
        <w:spacing w:line="268" w:lineRule="auto" w:before="141"/>
        <w:ind w:right="1126" w:firstLine="420"/>
        <w:jc w:val="both"/>
      </w:pPr>
      <w:r>
        <w:rPr>
          <w:rFonts w:ascii="Times New Roman" w:hAnsi="Times New Roman" w:cs="Times New Roman" w:eastAsia="Times New Roman" w:hint="default"/>
          <w:spacing w:val="-3"/>
        </w:rPr>
        <w:t>“</w:t>
      </w:r>
      <w:r>
        <w:rPr>
          <w:spacing w:val="-3"/>
        </w:rPr>
        <w:t>没有网络安全就没有国家安全，就没有经济社会稳定运行，广大人民群众利益也难以得到保障</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0"/>
        </w:rPr>
        <w:t> </w:t>
      </w:r>
      <w:r>
        <w:rPr>
          <w:spacing w:val="-16"/>
        </w:rPr>
        <w:t>。网</w:t>
      </w:r>
      <w:r>
        <w:rPr>
          <w:w w:val="100"/>
        </w:rPr>
        <w:t> </w:t>
      </w:r>
      <w:r>
        <w:rPr>
          <w:spacing w:val="-2"/>
        </w:rPr>
        <w:t>络空间安全已成为第五维度国家安全。《网络安全法》、《密码法》等法规及政策的推出与贯彻落实，体</w:t>
      </w:r>
      <w:r>
        <w:rPr>
          <w:spacing w:val="-44"/>
        </w:rPr>
        <w:t> </w:t>
      </w:r>
      <w:r>
        <w:rPr>
          <w:spacing w:val="-44"/>
        </w:rPr>
      </w:r>
      <w:r>
        <w:rPr>
          <w:spacing w:val="-2"/>
        </w:rPr>
        <w:t>现了国家意志捍卫网络空间安全的决心，带动了网络安全市场需求，必将推动我国网络安全产业高质量发</w:t>
      </w:r>
      <w:r>
        <w:rPr>
          <w:spacing w:val="-42"/>
        </w:rPr>
        <w:t> </w:t>
      </w:r>
      <w:r>
        <w:rPr>
          <w:spacing w:val="-42"/>
        </w:rPr>
      </w:r>
      <w:r>
        <w:rPr/>
        <w:t>展，为维护国家网络空间安全、保障网络强国建设提供有力的产业支撑。</w:t>
      </w:r>
    </w:p>
    <w:p>
      <w:pPr>
        <w:spacing w:line="432" w:lineRule="exact" w:before="31"/>
        <w:ind w:left="573" w:right="98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、信息技术安全可靠应用成为网安行业发展趋势</w:t>
      </w:r>
      <w:r>
        <w:rPr>
          <w:rFonts w:ascii="宋体" w:hAnsi="宋体" w:cs="宋体" w:eastAsia="宋体" w:hint="default"/>
          <w:b/>
          <w:bCs/>
          <w:w w:val="100"/>
          <w:sz w:val="21"/>
          <w:szCs w:val="21"/>
        </w:rPr>
        <w:t> </w:t>
      </w:r>
      <w:r>
        <w:rPr>
          <w:rFonts w:ascii="宋体" w:hAnsi="宋体" w:cs="宋体" w:eastAsia="宋体" w:hint="default"/>
          <w:sz w:val="21"/>
          <w:szCs w:val="21"/>
        </w:rPr>
        <w:t>信息技术应用是双刃剑，信息技术安全可靠应用成为各行业信息化的发展趋势，发展</w:t>
      </w:r>
      <w:r>
        <w:rPr>
          <w:rFonts w:ascii="Times New Roman" w:hAnsi="Times New Roman" w:cs="Times New Roman" w:eastAsia="Times New Roman" w:hint="default"/>
          <w:sz w:val="21"/>
          <w:szCs w:val="21"/>
        </w:rPr>
        <w:t>“</w:t>
      </w:r>
      <w:r>
        <w:rPr>
          <w:rFonts w:ascii="宋体" w:hAnsi="宋体" w:cs="宋体" w:eastAsia="宋体" w:hint="default"/>
          <w:sz w:val="21"/>
          <w:szCs w:val="21"/>
        </w:rPr>
        <w:t>自主可控、安</w:t>
      </w:r>
    </w:p>
    <w:p>
      <w:pPr>
        <w:pStyle w:val="Heading4"/>
        <w:spacing w:line="271" w:lineRule="exact"/>
        <w:ind w:right="982"/>
        <w:jc w:val="left"/>
      </w:pPr>
      <w:r>
        <w:rPr/>
        <w:t>全可信</w:t>
      </w:r>
      <w:r>
        <w:rPr>
          <w:rFonts w:ascii="Times New Roman" w:hAnsi="Times New Roman" w:cs="Times New Roman" w:eastAsia="Times New Roman" w:hint="default"/>
        </w:rPr>
        <w:t>”</w:t>
      </w:r>
      <w:r>
        <w:rPr/>
        <w:t>的网络安全体系迫在眉睫，实现关键技术和产品的国产化是未来数年内电子信息产业发展的必然</w:t>
      </w:r>
    </w:p>
    <w:p>
      <w:pPr>
        <w:pStyle w:val="Heading4"/>
        <w:spacing w:line="240" w:lineRule="auto" w:before="21"/>
        <w:ind w:right="982"/>
        <w:jc w:val="left"/>
      </w:pPr>
      <w:r>
        <w:rPr/>
        <w:t>趋势。</w:t>
      </w:r>
    </w:p>
    <w:p>
      <w:pPr>
        <w:spacing w:line="357" w:lineRule="auto" w:before="157"/>
        <w:ind w:left="573" w:right="98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、产业互联网的快速发展是网络安全行业的机遇</w:t>
      </w:r>
      <w:r>
        <w:rPr>
          <w:rFonts w:ascii="宋体" w:hAnsi="宋体" w:cs="宋体" w:eastAsia="宋体" w:hint="default"/>
          <w:b/>
          <w:bCs/>
          <w:w w:val="100"/>
          <w:sz w:val="21"/>
          <w:szCs w:val="21"/>
        </w:rPr>
        <w:t> </w:t>
      </w:r>
      <w:r>
        <w:rPr>
          <w:rFonts w:ascii="宋体" w:hAnsi="宋体" w:cs="宋体" w:eastAsia="宋体" w:hint="default"/>
          <w:spacing w:val="-2"/>
          <w:sz w:val="21"/>
          <w:szCs w:val="21"/>
        </w:rPr>
        <w:t>产业互联网是互联网发展模式的深化，产业互联网进一步将连接从广度上扩展到不同产业企业间、从</w:t>
      </w:r>
    </w:p>
    <w:p>
      <w:pPr>
        <w:pStyle w:val="Heading4"/>
        <w:spacing w:line="209" w:lineRule="exact"/>
        <w:ind w:right="982"/>
        <w:jc w:val="left"/>
      </w:pPr>
      <w:r>
        <w:rPr/>
        <w:t>深度上纵深到企业内部，数字化贯穿企业全流程，无不涉及安全需求，安全与保护将成为企业的生命线，</w:t>
      </w:r>
    </w:p>
    <w:p>
      <w:pPr>
        <w:pStyle w:val="Heading4"/>
        <w:spacing w:line="240" w:lineRule="auto" w:before="37"/>
        <w:ind w:right="982"/>
        <w:jc w:val="left"/>
      </w:pPr>
      <w:r>
        <w:rPr/>
        <w:t>也将成为企业的核心竞争力，网络安全的重要性正被提升到前所未有的程度。</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line="357" w:lineRule="auto" w:before="36"/>
        <w:ind w:left="573" w:right="98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、网络安全将更为依赖专业化的安全服务，安全运营服务市场将成为新的增长点</w:t>
      </w:r>
      <w:r>
        <w:rPr>
          <w:rFonts w:ascii="宋体" w:hAnsi="宋体" w:cs="宋体" w:eastAsia="宋体" w:hint="default"/>
          <w:b/>
          <w:bCs/>
          <w:w w:val="100"/>
          <w:sz w:val="21"/>
          <w:szCs w:val="21"/>
        </w:rPr>
        <w:t> </w:t>
      </w:r>
      <w:r>
        <w:rPr>
          <w:rFonts w:ascii="宋体" w:hAnsi="宋体" w:cs="宋体" w:eastAsia="宋体" w:hint="default"/>
          <w:spacing w:val="-2"/>
          <w:sz w:val="21"/>
          <w:szCs w:val="21"/>
        </w:rPr>
        <w:t>未来随着智慧城市建设提速、万物互联时代的到来，政府和企业客户网络安全系统将越来越复杂，导</w:t>
      </w:r>
    </w:p>
    <w:p>
      <w:pPr>
        <w:pStyle w:val="Heading4"/>
        <w:spacing w:line="225" w:lineRule="exact"/>
        <w:ind w:right="0"/>
        <w:jc w:val="both"/>
      </w:pPr>
      <w:r>
        <w:rPr/>
        <w:t>致获得数据难度增加，普通客户也不具备对海量网络安全相关数据的分析能力，必将依赖</w:t>
      </w:r>
      <w:r>
        <w:rPr>
          <w:rFonts w:ascii="Times New Roman" w:hAnsi="Times New Roman" w:cs="Times New Roman" w:eastAsia="Times New Roman" w:hint="default"/>
        </w:rPr>
        <w:t>“</w:t>
      </w:r>
      <w:r>
        <w:rPr/>
        <w:t>专家服务</w:t>
      </w:r>
      <w:r>
        <w:rPr>
          <w:rFonts w:ascii="Times New Roman" w:hAnsi="Times New Roman" w:cs="Times New Roman" w:eastAsia="Times New Roman" w:hint="default"/>
        </w:rPr>
        <w:t>”+“</w:t>
      </w:r>
      <w:r>
        <w:rPr/>
        <w:t>产</w:t>
      </w:r>
    </w:p>
    <w:p>
      <w:pPr>
        <w:pStyle w:val="Heading4"/>
        <w:spacing w:line="256" w:lineRule="auto" w:before="21"/>
        <w:ind w:right="1126"/>
        <w:jc w:val="both"/>
      </w:pPr>
      <w:r>
        <w:rPr>
          <w:spacing w:val="-2"/>
        </w:rPr>
        <w:t>品</w:t>
      </w:r>
      <w:r>
        <w:rPr>
          <w:rFonts w:ascii="Times New Roman" w:hAnsi="Times New Roman" w:cs="Times New Roman" w:eastAsia="Times New Roman" w:hint="default"/>
          <w:spacing w:val="-2"/>
        </w:rPr>
        <w:t>”+“</w:t>
      </w:r>
      <w:r>
        <w:rPr>
          <w:spacing w:val="-2"/>
        </w:rPr>
        <w:t>运维</w:t>
      </w:r>
      <w:r>
        <w:rPr>
          <w:rFonts w:ascii="Times New Roman" w:hAnsi="Times New Roman" w:cs="Times New Roman" w:eastAsia="Times New Roman" w:hint="default"/>
          <w:spacing w:val="-2"/>
        </w:rPr>
        <w:t>”</w:t>
      </w:r>
      <w:r>
        <w:rPr>
          <w:spacing w:val="-2"/>
        </w:rPr>
        <w:t>的网络安全运营团队，为其构建全方位、全过程、全覆盖的网络安全保障，安全运营服务市场</w:t>
      </w:r>
      <w:r>
        <w:rPr>
          <w:spacing w:val="-18"/>
        </w:rPr>
        <w:t> </w:t>
      </w:r>
      <w:r>
        <w:rPr>
          <w:spacing w:val="-18"/>
        </w:rPr>
      </w:r>
      <w:r>
        <w:rPr/>
        <w:t>将成为新的增长点。</w:t>
      </w:r>
    </w:p>
    <w:p>
      <w:pPr>
        <w:spacing w:line="240" w:lineRule="auto" w:before="1"/>
        <w:rPr>
          <w:rFonts w:ascii="宋体" w:hAnsi="宋体" w:cs="宋体" w:eastAsia="宋体" w:hint="default"/>
          <w:sz w:val="20"/>
          <w:szCs w:val="20"/>
        </w:rPr>
      </w:pPr>
    </w:p>
    <w:p>
      <w:pPr>
        <w:pStyle w:val="Heading3"/>
        <w:spacing w:line="240" w:lineRule="auto"/>
        <w:ind w:left="573" w:right="982"/>
        <w:jc w:val="left"/>
        <w:rPr>
          <w:b w:val="0"/>
          <w:bCs w:val="0"/>
        </w:rPr>
      </w:pPr>
      <w:r>
        <w:rPr/>
        <w:t>（二）公司战略及</w:t>
      </w:r>
      <w:r>
        <w:rPr>
          <w:rFonts w:ascii="Times New Roman" w:hAnsi="Times New Roman" w:cs="Times New Roman" w:eastAsia="Times New Roman" w:hint="default"/>
        </w:rPr>
        <w:t>2020</w:t>
      </w:r>
      <w:r>
        <w:rPr/>
        <w:t>年度经营计划</w:t>
      </w:r>
      <w:r>
        <w:rPr>
          <w:b w:val="0"/>
          <w:bCs w:val="0"/>
        </w:rPr>
      </w:r>
    </w:p>
    <w:p>
      <w:pPr>
        <w:spacing w:line="240" w:lineRule="auto" w:before="13"/>
        <w:rPr>
          <w:rFonts w:ascii="宋体" w:hAnsi="宋体" w:cs="宋体" w:eastAsia="宋体" w:hint="default"/>
          <w:b/>
          <w:bCs/>
          <w:sz w:val="19"/>
          <w:szCs w:val="19"/>
        </w:rPr>
      </w:pPr>
    </w:p>
    <w:p>
      <w:pPr>
        <w:pStyle w:val="Heading4"/>
        <w:spacing w:line="256" w:lineRule="auto"/>
        <w:ind w:right="982" w:firstLine="420"/>
        <w:jc w:val="left"/>
      </w:pPr>
      <w:r>
        <w:rPr>
          <w:rFonts w:ascii="Times New Roman" w:hAnsi="Times New Roman" w:cs="Times New Roman" w:eastAsia="Times New Roman" w:hint="default"/>
        </w:rPr>
        <w:t>2020</w:t>
      </w:r>
      <w:r>
        <w:rPr/>
        <w:t>年公司将继续坚持</w:t>
      </w:r>
      <w:r>
        <w:rPr>
          <w:rFonts w:ascii="Times New Roman" w:hAnsi="Times New Roman" w:cs="Times New Roman" w:eastAsia="Times New Roman" w:hint="default"/>
        </w:rPr>
        <w:t>“</w:t>
      </w:r>
      <w:r>
        <w:rPr/>
        <w:t>共建可信任的数字世界</w:t>
      </w:r>
      <w:r>
        <w:rPr>
          <w:rFonts w:ascii="Times New Roman" w:hAnsi="Times New Roman" w:cs="Times New Roman" w:eastAsia="Times New Roman" w:hint="default"/>
        </w:rPr>
        <w:t>”</w:t>
      </w:r>
      <w:r>
        <w:rPr/>
        <w:t>的企业愿景与网络安全业务主航道，抓住政策及市场</w:t>
      </w:r>
      <w:r>
        <w:rPr>
          <w:w w:val="100"/>
        </w:rPr>
        <w:t> </w:t>
      </w:r>
      <w:r>
        <w:rPr>
          <w:spacing w:val="-3"/>
        </w:rPr>
        <w:t>的重要机遇，聚焦</w:t>
      </w:r>
      <w:r>
        <w:rPr>
          <w:rFonts w:ascii="Times New Roman" w:hAnsi="Times New Roman" w:cs="Times New Roman" w:eastAsia="Times New Roman" w:hint="default"/>
          <w:spacing w:val="-3"/>
        </w:rPr>
        <w:t>“</w:t>
      </w:r>
      <w:r>
        <w:rPr>
          <w:spacing w:val="-3"/>
        </w:rPr>
        <w:t>具有核心能力的密码技术服务</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完整交付的网络信任服务</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高品质的网络安全运营</w:t>
      </w:r>
      <w:r>
        <w:rPr>
          <w:spacing w:val="-43"/>
        </w:rPr>
        <w:t> </w:t>
      </w:r>
      <w:r>
        <w:rPr>
          <w:spacing w:val="-43"/>
        </w:rPr>
      </w:r>
      <w:r>
        <w:rPr>
          <w:spacing w:val="-3"/>
        </w:rPr>
        <w:t>服务</w:t>
      </w:r>
      <w:r>
        <w:rPr>
          <w:rFonts w:ascii="Times New Roman" w:hAnsi="Times New Roman" w:cs="Times New Roman" w:eastAsia="Times New Roman" w:hint="default"/>
          <w:spacing w:val="-3"/>
        </w:rPr>
        <w:t>”</w:t>
      </w:r>
      <w:r>
        <w:rPr>
          <w:spacing w:val="-3"/>
        </w:rPr>
        <w:t>三个战略方向，以</w:t>
      </w:r>
      <w:r>
        <w:rPr>
          <w:rFonts w:ascii="Times New Roman" w:hAnsi="Times New Roman" w:cs="Times New Roman" w:eastAsia="Times New Roman" w:hint="default"/>
          <w:spacing w:val="-3"/>
        </w:rPr>
        <w:t>“</w:t>
      </w:r>
      <w:r>
        <w:rPr>
          <w:spacing w:val="-3"/>
        </w:rPr>
        <w:t>满足客户需求</w:t>
      </w:r>
      <w:r>
        <w:rPr>
          <w:rFonts w:ascii="Times New Roman" w:hAnsi="Times New Roman" w:cs="Times New Roman" w:eastAsia="Times New Roman" w:hint="default"/>
          <w:spacing w:val="-3"/>
        </w:rPr>
        <w:t>”</w:t>
      </w:r>
      <w:r>
        <w:rPr>
          <w:spacing w:val="-3"/>
        </w:rPr>
        <w:t>为目标，推动公司产品、技术、业务的创新；贯彻</w:t>
      </w:r>
      <w:r>
        <w:rPr>
          <w:rFonts w:ascii="Times New Roman" w:hAnsi="Times New Roman" w:cs="Times New Roman" w:eastAsia="Times New Roman" w:hint="default"/>
          <w:spacing w:val="-3"/>
        </w:rPr>
        <w:t>“</w:t>
      </w:r>
      <w:r>
        <w:rPr>
          <w:spacing w:val="-3"/>
        </w:rPr>
        <w:t>以客户为中心、</w:t>
      </w:r>
      <w:r>
        <w:rPr>
          <w:spacing w:val="-49"/>
        </w:rPr>
        <w:t> </w:t>
      </w:r>
      <w:r>
        <w:rPr>
          <w:spacing w:val="-49"/>
        </w:rPr>
      </w:r>
      <w:r>
        <w:rPr/>
        <w:t>以价值为导向</w:t>
      </w:r>
      <w:r>
        <w:rPr>
          <w:rFonts w:ascii="Times New Roman" w:hAnsi="Times New Roman" w:cs="Times New Roman" w:eastAsia="Times New Roman" w:hint="default"/>
        </w:rPr>
        <w:t>”</w:t>
      </w:r>
      <w:r>
        <w:rPr/>
        <w:t>的经营理念，推动重大战略商机在公司各行业、各区域全面落地。</w:t>
      </w:r>
    </w:p>
    <w:p>
      <w:pPr>
        <w:pStyle w:val="Heading4"/>
        <w:spacing w:line="357" w:lineRule="auto" w:before="125"/>
        <w:ind w:left="573" w:right="982" w:firstLine="2"/>
        <w:jc w:val="left"/>
      </w:pPr>
      <w:r>
        <w:rPr>
          <w:rFonts w:ascii="Times New Roman" w:hAnsi="Times New Roman" w:cs="Times New Roman" w:eastAsia="Times New Roman" w:hint="default"/>
          <w:b/>
          <w:bCs/>
        </w:rPr>
        <w:t>1</w:t>
      </w:r>
      <w:r>
        <w:rPr>
          <w:rFonts w:ascii="宋体" w:hAnsi="宋体" w:cs="宋体" w:eastAsia="宋体" w:hint="default"/>
          <w:b/>
          <w:bCs/>
        </w:rPr>
        <w:t>、业务推进工作</w:t>
      </w:r>
      <w:r>
        <w:rPr>
          <w:rFonts w:ascii="宋体" w:hAnsi="宋体" w:cs="宋体" w:eastAsia="宋体" w:hint="default"/>
          <w:b/>
          <w:bCs/>
          <w:w w:val="100"/>
        </w:rPr>
        <w:t> </w:t>
      </w:r>
      <w:r>
        <w:rPr>
          <w:spacing w:val="-2"/>
        </w:rPr>
        <w:t>深耕重点行业，强化行业引领，推动项目落地。在医疗卫生行业，积极拥抱医疗业务互联网化、无纸</w:t>
      </w:r>
    </w:p>
    <w:p>
      <w:pPr>
        <w:pStyle w:val="Heading4"/>
        <w:spacing w:line="209" w:lineRule="exact"/>
        <w:ind w:right="0"/>
        <w:jc w:val="both"/>
      </w:pPr>
      <w:r>
        <w:rPr/>
        <w:t>化趋势，全力推进适应全场景的智慧医院安全可信解决方案，最大范围覆盖医院市场，深入研究医药、医</w:t>
      </w:r>
    </w:p>
    <w:p>
      <w:pPr>
        <w:pStyle w:val="Heading4"/>
        <w:spacing w:line="271" w:lineRule="auto" w:before="37"/>
        <w:ind w:right="1126"/>
        <w:jc w:val="both"/>
      </w:pPr>
      <w:r>
        <w:rPr/>
        <w:t>保和公共卫生业务需求，大力开拓新兴业务领域。在政务行业，继续围绕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w:t>
      </w:r>
      <w:r>
        <w:rPr>
          <w:rFonts w:ascii="Times New Roman" w:hAnsi="Times New Roman" w:cs="Times New Roman" w:eastAsia="Times New Roman" w:hint="default"/>
        </w:rPr>
        <w:t>”</w:t>
      </w:r>
      <w:r>
        <w:rPr/>
        <w:t>和政府优化营商</w:t>
      </w:r>
      <w:r>
        <w:rPr>
          <w:spacing w:val="-13"/>
        </w:rPr>
        <w:t> </w:t>
      </w:r>
      <w:r>
        <w:rPr>
          <w:spacing w:val="-13"/>
        </w:rPr>
      </w:r>
      <w:r>
        <w:rPr>
          <w:spacing w:val="-2"/>
        </w:rPr>
        <w:t>环境的需要，把握政务服务互联网化、政务系统云化的特点和要求，优化公司产品和服务，形成行业领先</w:t>
      </w:r>
      <w:r>
        <w:rPr>
          <w:spacing w:val="-50"/>
        </w:rPr>
        <w:t> </w:t>
      </w:r>
      <w:r>
        <w:rPr>
          <w:spacing w:val="-50"/>
        </w:rPr>
      </w:r>
      <w:r>
        <w:rPr>
          <w:spacing w:val="-2"/>
        </w:rPr>
        <w:t>的解决方案面向全国进行推广；在北京地区，公司还将完善公司政务云安全服务功能和性能，为已进入政</w:t>
      </w:r>
      <w:r>
        <w:rPr>
          <w:spacing w:val="-45"/>
        </w:rPr>
        <w:t> </w:t>
      </w:r>
      <w:r>
        <w:rPr>
          <w:spacing w:val="-45"/>
        </w:rPr>
      </w:r>
      <w:r>
        <w:rPr>
          <w:spacing w:val="-2"/>
        </w:rPr>
        <w:t>务云的用户进行管家式云安全服务，并加快未入云客户的入云节奏，进一步增强在北京政务市场的市场地</w:t>
      </w:r>
      <w:r>
        <w:rPr>
          <w:spacing w:val="-43"/>
        </w:rPr>
        <w:t> </w:t>
      </w:r>
      <w:r>
        <w:rPr>
          <w:spacing w:val="-43"/>
        </w:rPr>
      </w:r>
      <w:r>
        <w:rPr>
          <w:spacing w:val="-2"/>
        </w:rPr>
        <w:t>位；公司要抓住信息技术安全可靠应用推进的契机，加强同集成商和业务系统厂商的联动，共同推动项目</w:t>
      </w:r>
      <w:r>
        <w:rPr>
          <w:spacing w:val="-43"/>
        </w:rPr>
        <w:t> </w:t>
      </w:r>
      <w:r>
        <w:rPr>
          <w:spacing w:val="-43"/>
        </w:rPr>
      </w:r>
      <w:r>
        <w:rPr>
          <w:spacing w:val="-2"/>
        </w:rPr>
        <w:t>在全国范围的落地。在金融行业，围绕金融业务无纸化和在线化、安全技术国产化的需要，全面推广公司</w:t>
      </w:r>
      <w:r>
        <w:rPr>
          <w:spacing w:val="-50"/>
        </w:rPr>
        <w:t> </w:t>
      </w:r>
      <w:r>
        <w:rPr>
          <w:spacing w:val="-50"/>
        </w:rPr>
      </w:r>
      <w:r>
        <w:rPr>
          <w:spacing w:val="-2"/>
        </w:rPr>
        <w:t>的可信身份解决方案、可靠电子签名解决方案、可信单证解决方案和可信电子合同解决方案，重点加强在</w:t>
      </w:r>
      <w:r>
        <w:rPr>
          <w:spacing w:val="-45"/>
        </w:rPr>
        <w:t> </w:t>
      </w:r>
      <w:r>
        <w:rPr>
          <w:spacing w:val="-45"/>
        </w:rPr>
      </w:r>
      <w:r>
        <w:rPr/>
        <w:t>北京地区、华南市场和华东市场的业务推广。</w:t>
      </w:r>
    </w:p>
    <w:p>
      <w:pPr>
        <w:pStyle w:val="Heading4"/>
        <w:spacing w:line="273" w:lineRule="auto" w:before="130"/>
        <w:ind w:right="1126" w:firstLine="420"/>
        <w:jc w:val="both"/>
      </w:pPr>
      <w:r>
        <w:rPr>
          <w:spacing w:val="-2"/>
        </w:rPr>
        <w:t>培育新业务，快速扩大业务规模，进行衍生领域探索。公司将进一步加大交通、教育、企业客户等行</w:t>
      </w:r>
      <w:r>
        <w:rPr>
          <w:w w:val="100"/>
        </w:rPr>
        <w:t> </w:t>
      </w:r>
      <w:r>
        <w:rPr>
          <w:spacing w:val="-2"/>
        </w:rPr>
        <w:t>业的资源投入，根据客户要求，优化现有解决方案，快速树立在全国各区域的重点客户标杆项目，利用标</w:t>
      </w:r>
      <w:r>
        <w:rPr>
          <w:spacing w:val="-50"/>
        </w:rPr>
        <w:t> </w:t>
      </w:r>
      <w:r>
        <w:rPr>
          <w:spacing w:val="-50"/>
        </w:rPr>
      </w:r>
      <w:r>
        <w:rPr>
          <w:spacing w:val="-2"/>
        </w:rPr>
        <w:t>杆项目辐射效应，加快解决方案的落地，快速形成规模效应和品牌影响力。利用现有的电子合同产品客户</w:t>
      </w:r>
      <w:r>
        <w:rPr>
          <w:spacing w:val="-44"/>
        </w:rPr>
        <w:t> </w:t>
      </w:r>
      <w:r>
        <w:rPr>
          <w:spacing w:val="-44"/>
        </w:rPr>
      </w:r>
      <w:r>
        <w:rPr/>
        <w:t>的影响力和示范效应，将产品向其上下游客户进行推广，逐步打造信任服务第一品牌。</w:t>
      </w:r>
    </w:p>
    <w:p>
      <w:pPr>
        <w:pStyle w:val="Heading4"/>
        <w:spacing w:line="357" w:lineRule="auto" w:before="127"/>
        <w:ind w:left="573" w:right="982" w:firstLine="2"/>
        <w:jc w:val="left"/>
      </w:pPr>
      <w:r>
        <w:rPr>
          <w:rFonts w:ascii="Times New Roman" w:hAnsi="Times New Roman" w:cs="Times New Roman" w:eastAsia="Times New Roman" w:hint="default"/>
          <w:b/>
          <w:bCs/>
        </w:rPr>
        <w:t>2</w:t>
      </w:r>
      <w:r>
        <w:rPr>
          <w:rFonts w:ascii="宋体" w:hAnsi="宋体" w:cs="宋体" w:eastAsia="宋体" w:hint="default"/>
          <w:b/>
          <w:bCs/>
        </w:rPr>
        <w:t>、重点研发工作</w:t>
      </w:r>
      <w:r>
        <w:rPr>
          <w:rFonts w:ascii="宋体" w:hAnsi="宋体" w:cs="宋体" w:eastAsia="宋体" w:hint="default"/>
          <w:b/>
          <w:bCs/>
          <w:w w:val="100"/>
        </w:rPr>
        <w:t> </w:t>
      </w:r>
      <w:r>
        <w:rPr>
          <w:spacing w:val="-2"/>
        </w:rPr>
        <w:t>优化、改造、升级现有的产品和服务。一是深入客户应用场景研究，通过打造统一设备管理、集成和</w:t>
      </w:r>
    </w:p>
    <w:p>
      <w:pPr>
        <w:pStyle w:val="Heading4"/>
        <w:spacing w:line="209" w:lineRule="exact"/>
        <w:ind w:right="0"/>
        <w:jc w:val="both"/>
      </w:pPr>
      <w:r>
        <w:rPr/>
        <w:t>配置，提升产品的适应能力，进一步降低实施成本，强化产品的规模化推广水平；二是继续加强技术能力</w:t>
      </w:r>
    </w:p>
    <w:p>
      <w:pPr>
        <w:pStyle w:val="Heading4"/>
        <w:spacing w:line="273" w:lineRule="auto" w:before="37"/>
        <w:ind w:right="1126"/>
        <w:jc w:val="both"/>
      </w:pPr>
      <w:r>
        <w:rPr>
          <w:spacing w:val="-2"/>
        </w:rPr>
        <w:t>建设，将基础密码技术、基础密码架构、基础密码服务全面组件化，提升产品设计研发效率；三是加快适</w:t>
      </w:r>
      <w:r>
        <w:rPr>
          <w:spacing w:val="-43"/>
        </w:rPr>
        <w:t> </w:t>
      </w:r>
      <w:r>
        <w:rPr>
          <w:spacing w:val="-43"/>
        </w:rPr>
      </w:r>
      <w:r>
        <w:rPr>
          <w:spacing w:val="-2"/>
        </w:rPr>
        <w:t>配国产芯片和操作系统的密码产品进程。四是提升安全服务能力，丰富和完善态势感知产品线的分析与管</w:t>
      </w:r>
      <w:r>
        <w:rPr>
          <w:spacing w:val="-42"/>
        </w:rPr>
        <w:t> </w:t>
      </w:r>
      <w:r>
        <w:rPr>
          <w:spacing w:val="-42"/>
        </w:rPr>
      </w:r>
      <w:r>
        <w:rPr/>
        <w:t>理能力，提升对云上资产的数据防护能力，持续提升服务效率和品质。</w:t>
      </w:r>
    </w:p>
    <w:p>
      <w:pPr>
        <w:pStyle w:val="Heading4"/>
        <w:spacing w:line="264" w:lineRule="auto" w:before="127"/>
        <w:ind w:right="1126" w:firstLine="420"/>
        <w:jc w:val="both"/>
      </w:pPr>
      <w:r>
        <w:rPr>
          <w:spacing w:val="-2"/>
        </w:rPr>
        <w:t>开展前沿技术预研，完善技术战略储备。</w:t>
      </w:r>
      <w:r>
        <w:rPr>
          <w:rFonts w:ascii="Times New Roman" w:hAnsi="Times New Roman" w:cs="Times New Roman" w:eastAsia="Times New Roman" w:hint="default"/>
          <w:spacing w:val="-2"/>
        </w:rPr>
        <w:t>2020</w:t>
      </w:r>
      <w:r>
        <w:rPr>
          <w:spacing w:val="-2"/>
        </w:rPr>
        <w:t>年公司将设立研究院，加强与科研院所和高校合作，加</w:t>
      </w:r>
      <w:r>
        <w:rPr>
          <w:w w:val="100"/>
        </w:rPr>
        <w:t> </w:t>
      </w:r>
      <w:r>
        <w:rPr>
          <w:spacing w:val="-2"/>
        </w:rPr>
        <w:t>大技术预研投入，继续进行前沿技术与公司业务产品的紧密融合，重点开展车联网、区块链和零信任等方</w:t>
      </w:r>
      <w:r>
        <w:rPr>
          <w:spacing w:val="-44"/>
        </w:rPr>
        <w:t> </w:t>
      </w:r>
      <w:r>
        <w:rPr>
          <w:spacing w:val="-44"/>
        </w:rPr>
      </w:r>
      <w:r>
        <w:rPr/>
        <w:t>向的研究。</w:t>
      </w:r>
    </w:p>
    <w:p>
      <w:pPr>
        <w:pStyle w:val="Heading4"/>
        <w:spacing w:line="357" w:lineRule="auto" w:before="136"/>
        <w:ind w:left="573" w:right="982" w:firstLine="2"/>
        <w:jc w:val="left"/>
      </w:pPr>
      <w:r>
        <w:rPr>
          <w:rFonts w:ascii="Times New Roman" w:hAnsi="Times New Roman" w:cs="Times New Roman" w:eastAsia="Times New Roman" w:hint="default"/>
          <w:b/>
          <w:bCs/>
        </w:rPr>
        <w:t>3</w:t>
      </w:r>
      <w:r>
        <w:rPr>
          <w:rFonts w:ascii="宋体" w:hAnsi="宋体" w:cs="宋体" w:eastAsia="宋体" w:hint="default"/>
          <w:b/>
          <w:bCs/>
        </w:rPr>
        <w:t>、经营管理工作</w:t>
      </w:r>
      <w:r>
        <w:rPr>
          <w:rFonts w:ascii="宋体" w:hAnsi="宋体" w:cs="宋体" w:eastAsia="宋体" w:hint="default"/>
          <w:b/>
          <w:bCs/>
          <w:w w:val="100"/>
        </w:rPr>
        <w:t> </w:t>
      </w:r>
      <w:r>
        <w:rPr>
          <w:spacing w:val="-2"/>
        </w:rPr>
        <w:t>优化组织，调整绩效考核机制，聚焦利润，实现有质量的增长。公司将继续推进建设以客户为中心的</w:t>
      </w:r>
    </w:p>
    <w:p>
      <w:pPr>
        <w:pStyle w:val="Heading4"/>
        <w:spacing w:line="209" w:lineRule="exact"/>
        <w:ind w:right="0"/>
        <w:jc w:val="both"/>
      </w:pPr>
      <w:r>
        <w:rPr/>
        <w:t>市场与产品组织架构，通过组建业务单元，将产品技术考核与销售业绩紧密关联等方式，促进产品向市场</w:t>
      </w:r>
    </w:p>
    <w:p>
      <w:pPr>
        <w:pStyle w:val="Heading4"/>
        <w:spacing w:line="273" w:lineRule="auto" w:before="37"/>
        <w:ind w:right="1126"/>
        <w:jc w:val="both"/>
      </w:pPr>
      <w:r>
        <w:rPr>
          <w:spacing w:val="-2"/>
        </w:rPr>
        <w:t>的靠近。继续推进建设与利润挂钩的部门核算体系，各部门追求内部销售额最大化和费用最小化，提高人</w:t>
      </w:r>
      <w:r>
        <w:rPr>
          <w:spacing w:val="-44"/>
        </w:rPr>
        <w:t> </w:t>
      </w:r>
      <w:r>
        <w:rPr>
          <w:spacing w:val="-44"/>
        </w:rPr>
      </w:r>
      <w:r>
        <w:rPr/>
        <w:t>均产出效率。</w:t>
      </w:r>
    </w:p>
    <w:p>
      <w:pPr>
        <w:spacing w:after="0" w:line="273" w:lineRule="auto"/>
        <w:jc w:val="both"/>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66" w:lineRule="auto" w:before="36"/>
        <w:ind w:right="982" w:firstLine="420"/>
        <w:jc w:val="left"/>
      </w:pPr>
      <w:r>
        <w:rPr>
          <w:spacing w:val="-5"/>
        </w:rPr>
        <w:t>持续优化人才管理体系，推进公司长效激励机制建设。公司将进一步优化双通道发展的任职资格体系，</w:t>
      </w:r>
      <w:r>
        <w:rPr>
          <w:w w:val="100"/>
        </w:rPr>
        <w:t> </w:t>
      </w:r>
      <w:r>
        <w:rPr/>
        <w:t>激发员工的活力；进一步改进任职资格标准，切实牵引员工发展，完善全职位体系的任职资格标准开发。</w:t>
      </w:r>
      <w:r>
        <w:rPr>
          <w:w w:val="100"/>
        </w:rPr>
        <w:t> </w:t>
      </w:r>
      <w:r>
        <w:rPr/>
        <w:t>全力坚守</w:t>
      </w:r>
      <w:r>
        <w:rPr>
          <w:rFonts w:ascii="Times New Roman" w:hAnsi="Times New Roman" w:cs="Times New Roman" w:eastAsia="Times New Roman" w:hint="default"/>
        </w:rPr>
        <w:t>“</w:t>
      </w:r>
      <w:r>
        <w:rPr/>
        <w:t>客户为中心，奋斗者为本</w:t>
      </w:r>
      <w:r>
        <w:rPr>
          <w:rFonts w:ascii="Times New Roman" w:hAnsi="Times New Roman" w:cs="Times New Roman" w:eastAsia="Times New Roman" w:hint="default"/>
        </w:rPr>
        <w:t>”</w:t>
      </w:r>
      <w:r>
        <w:rPr/>
        <w:t>的核心价值观，继续营造</w:t>
      </w:r>
      <w:r>
        <w:rPr>
          <w:rFonts w:ascii="Times New Roman" w:hAnsi="Times New Roman" w:cs="Times New Roman" w:eastAsia="Times New Roman" w:hint="default"/>
        </w:rPr>
        <w:t>“</w:t>
      </w:r>
      <w:r>
        <w:rPr/>
        <w:t>风清气正</w:t>
      </w:r>
      <w:r>
        <w:rPr>
          <w:rFonts w:ascii="Times New Roman" w:hAnsi="Times New Roman" w:cs="Times New Roman" w:eastAsia="Times New Roman" w:hint="default"/>
        </w:rPr>
        <w:t>”</w:t>
      </w:r>
      <w:r>
        <w:rPr/>
        <w:t>的公司氛围。继续探索中长期激</w:t>
      </w:r>
      <w:r>
        <w:rPr>
          <w:spacing w:val="-91"/>
        </w:rPr>
        <w:t> </w:t>
      </w:r>
      <w:r>
        <w:rPr>
          <w:spacing w:val="-91"/>
        </w:rPr>
      </w:r>
      <w:r>
        <w:rPr/>
        <w:t>励约束机制，继续实施安信天行股权激励项目。</w:t>
      </w:r>
    </w:p>
    <w:p>
      <w:pPr>
        <w:spacing w:line="240" w:lineRule="auto" w:before="5"/>
        <w:rPr>
          <w:rFonts w:ascii="宋体" w:hAnsi="宋体" w:cs="宋体" w:eastAsia="宋体" w:hint="default"/>
          <w:sz w:val="19"/>
          <w:szCs w:val="19"/>
        </w:rPr>
      </w:pPr>
    </w:p>
    <w:p>
      <w:pPr>
        <w:pStyle w:val="Heading3"/>
        <w:spacing w:line="240" w:lineRule="auto"/>
        <w:ind w:left="573" w:right="982"/>
        <w:jc w:val="left"/>
        <w:rPr>
          <w:b w:val="0"/>
          <w:bCs w:val="0"/>
        </w:rPr>
      </w:pPr>
      <w:r>
        <w:rPr/>
        <w:t>（三）公司经营风险及应对措施</w:t>
      </w:r>
      <w:r>
        <w:rPr>
          <w:b w:val="0"/>
          <w:bCs w:val="0"/>
        </w:rPr>
      </w:r>
    </w:p>
    <w:p>
      <w:pPr>
        <w:spacing w:line="430" w:lineRule="atLeast" w:before="138"/>
        <w:ind w:left="573" w:right="98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北京市法人一证通</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项目风险</w:t>
      </w:r>
      <w:r>
        <w:rPr>
          <w:rFonts w:ascii="宋体" w:hAnsi="宋体" w:cs="宋体" w:eastAsia="宋体" w:hint="default"/>
          <w:b/>
          <w:bCs/>
          <w:w w:val="100"/>
          <w:sz w:val="21"/>
          <w:szCs w:val="21"/>
        </w:rPr>
        <w:t> </w:t>
      </w:r>
      <w:r>
        <w:rPr>
          <w:rFonts w:ascii="宋体" w:hAnsi="宋体" w:cs="宋体" w:eastAsia="宋体" w:hint="default"/>
          <w:spacing w:val="-2"/>
          <w:sz w:val="21"/>
          <w:szCs w:val="21"/>
        </w:rPr>
        <w:t>根据北京市的相关文件，企业将从单一使用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法人一证通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证书作为法人认证登录手段转换到可选择使</w:t>
      </w:r>
    </w:p>
    <w:p>
      <w:pPr>
        <w:pStyle w:val="Heading4"/>
        <w:spacing w:line="256" w:lineRule="auto" w:before="21"/>
        <w:ind w:right="1131"/>
        <w:jc w:val="both"/>
      </w:pPr>
      <w:r>
        <w:rPr>
          <w:spacing w:val="-2"/>
        </w:rPr>
        <w:t>用电子营业执照、数字证书等多种方式，自</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日起，北京市将不再集中采购</w:t>
      </w:r>
      <w:r>
        <w:rPr>
          <w:rFonts w:ascii="Times New Roman" w:hAnsi="Times New Roman" w:cs="Times New Roman" w:eastAsia="Times New Roman" w:hint="default"/>
          <w:spacing w:val="-2"/>
        </w:rPr>
        <w:t>“</w:t>
      </w:r>
      <w:r>
        <w:rPr>
          <w:spacing w:val="-2"/>
        </w:rPr>
        <w:t>法人一证通</w:t>
      </w:r>
      <w:r>
        <w:rPr>
          <w:rFonts w:ascii="Times New Roman" w:hAnsi="Times New Roman" w:cs="Times New Roman" w:eastAsia="Times New Roman" w:hint="default"/>
          <w:spacing w:val="-2"/>
        </w:rPr>
        <w:t>”</w:t>
      </w:r>
      <w:r>
        <w:rPr>
          <w:spacing w:val="-2"/>
        </w:rPr>
        <w:t>证书服</w:t>
      </w:r>
      <w:r>
        <w:rPr>
          <w:spacing w:val="-17"/>
        </w:rPr>
        <w:t> </w:t>
      </w:r>
      <w:r>
        <w:rPr>
          <w:spacing w:val="-17"/>
        </w:rPr>
      </w:r>
      <w:r>
        <w:rPr/>
        <w:t>务，市属相关部门可根据电子政务网络安全需要自行采购政务数字证书服务。</w:t>
      </w:r>
    </w:p>
    <w:p>
      <w:pPr>
        <w:pStyle w:val="Heading4"/>
        <w:spacing w:line="273" w:lineRule="auto" w:before="143"/>
        <w:ind w:right="1126" w:firstLine="420"/>
        <w:jc w:val="both"/>
      </w:pPr>
      <w:r>
        <w:rPr>
          <w:spacing w:val="-3"/>
        </w:rPr>
        <w:t>应对措施：公司将加强与政府部门合作，充分发挥数字证书在身份认证、信息加密、电子签名等方面</w:t>
      </w:r>
      <w:r>
        <w:rPr>
          <w:w w:val="100"/>
        </w:rPr>
        <w:t> </w:t>
      </w:r>
      <w:r>
        <w:rPr>
          <w:spacing w:val="-2"/>
        </w:rPr>
        <w:t>的综合优势，为北京市电子政务提供优质的网络安全保障；同时进一步扩大电子认证服务的应用范围，继</w:t>
      </w:r>
      <w:r>
        <w:rPr>
          <w:spacing w:val="-42"/>
        </w:rPr>
        <w:t> </w:t>
      </w:r>
      <w:r>
        <w:rPr>
          <w:spacing w:val="-42"/>
        </w:rPr>
      </w:r>
      <w:r>
        <w:rPr>
          <w:spacing w:val="-2"/>
        </w:rPr>
        <w:t>续提高政务、卫生、金融等优势行业的市场占有率，在交通、教育、企业客户等行业也力争实现跨越式增</w:t>
      </w:r>
      <w:r>
        <w:rPr>
          <w:spacing w:val="-43"/>
        </w:rPr>
        <w:t> </w:t>
      </w:r>
      <w:r>
        <w:rPr>
          <w:spacing w:val="-43"/>
        </w:rPr>
      </w:r>
      <w:r>
        <w:rPr/>
        <w:t>长，并全力开拓新的行业领域。</w:t>
      </w:r>
    </w:p>
    <w:p>
      <w:pPr>
        <w:spacing w:line="357" w:lineRule="auto" w:before="127"/>
        <w:ind w:left="573" w:right="98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、信息技术快速进步风险</w:t>
      </w:r>
      <w:r>
        <w:rPr>
          <w:rFonts w:ascii="宋体" w:hAnsi="宋体" w:cs="宋体" w:eastAsia="宋体" w:hint="default"/>
          <w:b/>
          <w:bCs/>
          <w:w w:val="100"/>
          <w:sz w:val="21"/>
          <w:szCs w:val="21"/>
        </w:rPr>
        <w:t> </w:t>
      </w:r>
      <w:r>
        <w:rPr>
          <w:rFonts w:ascii="宋体" w:hAnsi="宋体" w:cs="宋体" w:eastAsia="宋体" w:hint="default"/>
          <w:spacing w:val="-2"/>
          <w:sz w:val="21"/>
          <w:szCs w:val="21"/>
        </w:rPr>
        <w:t>目前，随着云计算、物联网、移动化、大数据、智慧化城市等新技术的大规模应用，网络边界正在瓦</w:t>
      </w:r>
    </w:p>
    <w:p>
      <w:pPr>
        <w:pStyle w:val="Heading4"/>
        <w:spacing w:line="209" w:lineRule="exact"/>
        <w:ind w:right="0"/>
        <w:jc w:val="both"/>
      </w:pPr>
      <w:r>
        <w:rPr/>
        <w:t>解，基于边界的安全防护体系正在失效，针对边界防护的安全架构越来越难以解决客户遇到的实际问题，</w:t>
      </w:r>
    </w:p>
    <w:p>
      <w:pPr>
        <w:pStyle w:val="Heading4"/>
        <w:spacing w:line="240" w:lineRule="auto" w:before="37"/>
        <w:ind w:right="0"/>
        <w:jc w:val="both"/>
      </w:pPr>
      <w:r>
        <w:rPr/>
        <w:t>需要设计新的安全体系架构以逐步适应新形态信息系统的要求。</w:t>
      </w:r>
    </w:p>
    <w:p>
      <w:pPr>
        <w:pStyle w:val="Heading4"/>
        <w:spacing w:line="273" w:lineRule="auto" w:before="157"/>
        <w:ind w:right="1126" w:firstLine="420"/>
        <w:jc w:val="both"/>
      </w:pPr>
      <w:r>
        <w:rPr>
          <w:spacing w:val="-2"/>
        </w:rPr>
        <w:t>应对措施：公司会持续加大新产品服务的研发力度，以适应新技术环境下的业务变化。未来公司将推</w:t>
      </w:r>
      <w:r>
        <w:rPr>
          <w:w w:val="100"/>
        </w:rPr>
        <w:t> </w:t>
      </w:r>
      <w:r>
        <w:rPr>
          <w:spacing w:val="-2"/>
        </w:rPr>
        <w:t>出以身份认证为核心，对人、设备、系统进行动态访问控制的网络安全解决方案，帮助客户抵御高级威胁</w:t>
      </w:r>
      <w:r>
        <w:rPr>
          <w:spacing w:val="-47"/>
        </w:rPr>
        <w:t> </w:t>
      </w:r>
      <w:r>
        <w:rPr>
          <w:spacing w:val="-47"/>
        </w:rPr>
      </w:r>
      <w:r>
        <w:rPr/>
        <w:t>攻击，防范重要数据泄露。</w:t>
      </w:r>
    </w:p>
    <w:p>
      <w:pPr>
        <w:spacing w:line="357" w:lineRule="auto" w:before="127"/>
        <w:ind w:left="573" w:right="98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、业务收入季节性波动风险</w:t>
      </w:r>
      <w:r>
        <w:rPr>
          <w:rFonts w:ascii="宋体" w:hAnsi="宋体" w:cs="宋体" w:eastAsia="宋体" w:hint="default"/>
          <w:b/>
          <w:bCs/>
          <w:w w:val="100"/>
          <w:sz w:val="21"/>
          <w:szCs w:val="21"/>
        </w:rPr>
        <w:t> </w:t>
      </w:r>
      <w:r>
        <w:rPr>
          <w:rFonts w:ascii="宋体" w:hAnsi="宋体" w:cs="宋体" w:eastAsia="宋体" w:hint="default"/>
          <w:spacing w:val="-2"/>
          <w:sz w:val="21"/>
          <w:szCs w:val="21"/>
        </w:rPr>
        <w:t>政府部门是公司目前集成业务的主要客户群体，此类客户大多在上半年对全年投资和采购进行规划，</w:t>
      </w:r>
    </w:p>
    <w:p>
      <w:pPr>
        <w:pStyle w:val="Heading4"/>
        <w:spacing w:line="209" w:lineRule="exact"/>
        <w:ind w:right="0"/>
        <w:jc w:val="both"/>
      </w:pPr>
      <w:r>
        <w:rPr/>
        <w:t>下半年甚至第四季度进行招标、项目验收和项目结算，公司业务收入也随之呈现季节性波动。</w:t>
      </w:r>
    </w:p>
    <w:p>
      <w:pPr>
        <w:pStyle w:val="Heading4"/>
        <w:spacing w:line="273" w:lineRule="auto" w:before="157"/>
        <w:ind w:right="1126" w:firstLine="420"/>
        <w:jc w:val="both"/>
      </w:pPr>
      <w:r>
        <w:rPr>
          <w:spacing w:val="-2"/>
        </w:rPr>
        <w:t>应对措施：公司将进一步加强业务拓展领域，积极开发不同领域的优质客户，从而减少季节性波动对</w:t>
      </w:r>
      <w:r>
        <w:rPr>
          <w:w w:val="100"/>
        </w:rPr>
        <w:t> </w:t>
      </w:r>
      <w:r>
        <w:rPr/>
        <w:t>生产经营的不利影响。</w:t>
      </w:r>
    </w:p>
    <w:p>
      <w:pPr>
        <w:pStyle w:val="Heading4"/>
        <w:spacing w:line="357" w:lineRule="auto" w:before="127"/>
        <w:ind w:left="573" w:right="982" w:firstLine="2"/>
        <w:jc w:val="left"/>
      </w:pPr>
      <w:r>
        <w:rPr>
          <w:rFonts w:ascii="Times New Roman" w:hAnsi="Times New Roman" w:cs="Times New Roman" w:eastAsia="Times New Roman" w:hint="default"/>
          <w:b/>
          <w:bCs/>
        </w:rPr>
        <w:t>4</w:t>
      </w:r>
      <w:r>
        <w:rPr>
          <w:rFonts w:ascii="宋体" w:hAnsi="宋体" w:cs="宋体" w:eastAsia="宋体" w:hint="default"/>
          <w:b/>
          <w:bCs/>
        </w:rPr>
        <w:t>、应收账款较高风险</w:t>
      </w:r>
      <w:r>
        <w:rPr>
          <w:rFonts w:ascii="宋体" w:hAnsi="宋体" w:cs="宋体" w:eastAsia="宋体" w:hint="default"/>
          <w:b/>
          <w:bCs/>
          <w:w w:val="100"/>
        </w:rPr>
        <w:t> </w:t>
      </w:r>
      <w:r>
        <w:rPr>
          <w:spacing w:val="-2"/>
        </w:rPr>
        <w:t>随着公司经营规模的持续扩大，应收账款余额呈增加趋势，公司按照相应的会计政策对应收账款计提</w:t>
      </w:r>
    </w:p>
    <w:p>
      <w:pPr>
        <w:pStyle w:val="Heading4"/>
        <w:spacing w:line="209" w:lineRule="exact"/>
        <w:ind w:right="0"/>
        <w:jc w:val="both"/>
      </w:pPr>
      <w:r>
        <w:rPr/>
        <w:t>坏账准备。公司客户主要是行政事业单位、资金实力和信用较好的大中型企业等，资金回收具有一定的保</w:t>
      </w:r>
    </w:p>
    <w:p>
      <w:pPr>
        <w:pStyle w:val="Heading4"/>
        <w:spacing w:line="273" w:lineRule="auto" w:before="37"/>
        <w:ind w:right="1126"/>
        <w:jc w:val="both"/>
      </w:pPr>
      <w:r>
        <w:rPr>
          <w:spacing w:val="-2"/>
        </w:rPr>
        <w:t>障，应收账款发生坏账的风险整体可控。随着应收账款余额的增加，如客户经营和资信状况发生变化，公</w:t>
      </w:r>
      <w:r>
        <w:rPr>
          <w:spacing w:val="-47"/>
        </w:rPr>
        <w:t> </w:t>
      </w:r>
      <w:r>
        <w:rPr>
          <w:spacing w:val="-47"/>
        </w:rPr>
      </w:r>
      <w:r>
        <w:rPr>
          <w:spacing w:val="-2"/>
        </w:rPr>
        <w:t>司可能会面临部分应收账款不能及时回收或无法回收的风险，进而影响经营性现金流入，对经营产生不利</w:t>
      </w:r>
      <w:r>
        <w:rPr>
          <w:spacing w:val="-43"/>
        </w:rPr>
        <w:t> </w:t>
      </w:r>
      <w:r>
        <w:rPr>
          <w:spacing w:val="-43"/>
        </w:rPr>
      </w:r>
      <w:r>
        <w:rPr/>
        <w:t>影响。</w:t>
      </w:r>
    </w:p>
    <w:p>
      <w:pPr>
        <w:pStyle w:val="Heading4"/>
        <w:spacing w:line="273" w:lineRule="auto" w:before="127"/>
        <w:ind w:right="1128" w:firstLine="420"/>
        <w:jc w:val="both"/>
      </w:pPr>
      <w:r>
        <w:rPr>
          <w:spacing w:val="-2"/>
        </w:rPr>
        <w:t>应对措施：公司将进一步完善应收账款管理制度，采取相应措施对应收账款持续跟进、及时催收，对</w:t>
      </w:r>
      <w:r>
        <w:rPr>
          <w:w w:val="100"/>
        </w:rPr>
        <w:t> </w:t>
      </w:r>
      <w:r>
        <w:rPr/>
        <w:t>资金风险及时预警，缩短回款周期，控制应收账款风险。</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both"/>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2"/>
        <w:gridCol w:w="994"/>
        <w:gridCol w:w="1416"/>
        <w:gridCol w:w="5459"/>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5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3"/>
              <w:ind w:left="23"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pacing w:val="-1"/>
                <w:sz w:val="18"/>
                <w:szCs w:val="18"/>
              </w:rPr>
              <w:t>(https://view.officeapps.live.com/op/view.aspx?src=http%3A%2F%2Fstati</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pacing w:val="-24"/>
                <w:sz w:val="18"/>
                <w:szCs w:val="18"/>
              </w:rPr>
            </w:r>
            <w:r>
              <w:rPr>
                <w:rFonts w:ascii="Times New Roman" w:hAnsi="Times New Roman" w:cs="Times New Roman" w:eastAsia="Times New Roman" w:hint="default"/>
                <w:sz w:val="18"/>
                <w:szCs w:val="18"/>
              </w:rPr>
              <w:t>c.cninfo.com.cn%2Ffinalpage%2F2019-03-29%2F1205964559.docx)</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1"/>
              <w:ind w:left="23" w:right="5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pacing w:val="-1"/>
                <w:sz w:val="18"/>
                <w:szCs w:val="18"/>
              </w:rPr>
              <w:t>(https://view.officeapps.live.com/op/view.aspx?src=http%3A%2F%2Fstati</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Times New Roman" w:hAnsi="Times New Roman" w:cs="Times New Roman" w:eastAsia="Times New Roman" w:hint="default"/>
                <w:sz w:val="18"/>
                <w:szCs w:val="18"/>
              </w:rPr>
              <w:t>c.cninfo.com.cn%2Ffinalpage%2F2019-05-22%2F1206295209.docx)</w:t>
            </w:r>
          </w:p>
        </w:tc>
      </w:tr>
      <w:tr>
        <w:trPr>
          <w:trHeight w:val="108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2"/>
              <w:ind w:left="23" w:right="5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pacing w:val="-1"/>
                <w:sz w:val="18"/>
                <w:szCs w:val="18"/>
              </w:rPr>
              <w:t>(https://view.officeapps.live.com/op/view.aspx?src=http%3A%2F%2Fstati</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Times New Roman" w:hAnsi="Times New Roman" w:cs="Times New Roman" w:eastAsia="Times New Roman" w:hint="default"/>
                <w:sz w:val="18"/>
                <w:szCs w:val="18"/>
              </w:rPr>
              <w:t>c.cninfo.com.cn%2Ffinalpage%2F2019-08-29%2F1206726767.docx)</w:t>
            </w:r>
          </w:p>
        </w:tc>
      </w:tr>
    </w:tbl>
    <w:p>
      <w:pPr>
        <w:spacing w:after="0" w:line="36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976"/>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82"/>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报告期内普通股利润分配政策，特别是现金分红政策的制定、执行或调整情况</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4"/>
        <w:spacing w:line="264" w:lineRule="auto" w:before="159"/>
        <w:ind w:right="1128" w:firstLine="420"/>
        <w:jc w:val="both"/>
      </w:pPr>
      <w:r>
        <w:rPr>
          <w:spacing w:val="-3"/>
        </w:rPr>
        <w:t>根据《中华人民共和国公司法》、《公司章程》等有关规定，结合公司实际经营情况，并兼顾全体股</w:t>
      </w:r>
      <w:r>
        <w:rPr>
          <w:w w:val="100"/>
        </w:rPr>
        <w:t> </w:t>
      </w:r>
      <w:r>
        <w:rPr>
          <w:spacing w:val="-1"/>
        </w:rPr>
        <w:t>东的整体利益，公司制定了</w:t>
      </w:r>
      <w:r>
        <w:rPr>
          <w:rFonts w:ascii="Times New Roman" w:hAnsi="Times New Roman" w:cs="Times New Roman" w:eastAsia="Times New Roman" w:hint="default"/>
          <w:spacing w:val="-1"/>
        </w:rPr>
        <w:t>2018</w:t>
      </w:r>
      <w:r>
        <w:rPr>
          <w:spacing w:val="-1"/>
        </w:rPr>
        <w:t>年度权益分派方案，具体为：以公司股本总数</w:t>
      </w:r>
      <w:r>
        <w:rPr>
          <w:rFonts w:ascii="Times New Roman" w:hAnsi="Times New Roman" w:cs="Times New Roman" w:eastAsia="Times New Roman" w:hint="default"/>
          <w:spacing w:val="-1"/>
        </w:rPr>
        <w:t>12,000</w:t>
      </w:r>
      <w:r>
        <w:rPr>
          <w:spacing w:val="-1"/>
        </w:rPr>
        <w:t>万股为基数，向全体</w:t>
      </w:r>
      <w:r>
        <w:rPr>
          <w:spacing w:val="-26"/>
        </w:rPr>
        <w:t> </w:t>
      </w:r>
      <w:r>
        <w:rPr>
          <w:spacing w:val="-26"/>
        </w:rPr>
      </w:r>
      <w:r>
        <w:rPr>
          <w:spacing w:val="-3"/>
        </w:rPr>
        <w:t>股东每</w:t>
      </w: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2.00</w:t>
      </w:r>
      <w:r>
        <w:rPr>
          <w:spacing w:val="-3"/>
        </w:rPr>
        <w:t>元（含税），同时以资本公积向全体股东每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5</w:t>
      </w:r>
      <w:r>
        <w:rPr>
          <w:spacing w:val="-3"/>
        </w:rPr>
        <w:t>股。报告期内，公司召</w:t>
      </w:r>
      <w:r>
        <w:rPr>
          <w:spacing w:val="-37"/>
        </w:rPr>
        <w:t> </w:t>
      </w:r>
      <w:r>
        <w:rPr>
          <w:spacing w:val="-37"/>
        </w:rPr>
      </w:r>
      <w:r>
        <w:rPr/>
        <w:t>开</w:t>
      </w:r>
      <w:r>
        <w:rPr>
          <w:rFonts w:ascii="Times New Roman" w:hAnsi="Times New Roman" w:cs="Times New Roman" w:eastAsia="Times New Roman" w:hint="default"/>
        </w:rPr>
        <w:t>2018</w:t>
      </w:r>
      <w:r>
        <w:rPr/>
        <w:t>年年度股东大会审议通过该权益分派方案，并已按照股东大会决议执行完毕。</w:t>
      </w:r>
    </w:p>
    <w:p>
      <w:pPr>
        <w:spacing w:line="240" w:lineRule="auto" w:before="7"/>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381"/>
        <w:gridCol w:w="3190"/>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3" w:hRule="exact"/>
        </w:trPr>
        <w:tc>
          <w:tcPr>
            <w:tcW w:w="6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未进行调整和变更</w:t>
            </w:r>
          </w:p>
        </w:tc>
      </w:tr>
    </w:tbl>
    <w:p>
      <w:pPr>
        <w:pStyle w:val="BodyText"/>
        <w:spacing w:line="240" w:lineRule="auto" w:before="49"/>
        <w:ind w:right="982"/>
        <w:jc w:val="left"/>
      </w:pPr>
      <w:r>
        <w:rPr/>
        <w:t>公司报告期利润分配预案及资本公积金转增股本预案与公司章程和分红管理办法等的相关规定一致</w:t>
      </w:r>
    </w:p>
    <w:p>
      <w:pPr>
        <w:pStyle w:val="BodyText"/>
        <w:spacing w:line="348" w:lineRule="auto" w:before="119"/>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395"/>
        <w:gridCol w:w="5175"/>
      </w:tblGrid>
      <w:tr>
        <w:trPr>
          <w:trHeight w:val="401"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1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3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18"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pacing w:val="-1"/>
                <w:sz w:val="18"/>
              </w:rPr>
              <w:t>237,653,871.87</w:t>
            </w:r>
          </w:p>
        </w:tc>
      </w:tr>
      <w:tr>
        <w:trPr>
          <w:trHeight w:val="407"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12"/>
        <w:rPr>
          <w:rFonts w:ascii="宋体" w:hAnsi="宋体" w:cs="宋体" w:eastAsia="宋体" w:hint="default"/>
          <w:sz w:val="27"/>
          <w:szCs w:val="27"/>
        </w:rPr>
      </w:pPr>
    </w:p>
    <w:p>
      <w:pPr>
        <w:spacing w:line="1046" w:lineRule="exact"/>
        <w:ind w:left="148"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481.85pt;height:52.35pt;mso-position-horizontal-relative:char;mso-position-vertical-relative:line" coordorigin="0,0" coordsize="9637,1047">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1038" coordorigin="5,5" coordsize="2,1038">
              <v:shape style="position:absolute;left:5;top:5;width:2;height:1038" coordorigin="5,5" coordsize="0,1038" path="m5,5l5,1042e" filled="false" stroked="true" strokeweight=".48pt" strokecolor="#000000">
                <v:path arrowok="t"/>
              </v:shape>
            </v:group>
            <v:group style="position:absolute;left:10;top:1037;width:9562;height:2" coordorigin="10,1037" coordsize="9562,2">
              <v:shape style="position:absolute;left:10;top:1037;width:9562;height:2" coordorigin="10,1037" coordsize="9562,0" path="m10,1037l9571,1037e" filled="false" stroked="true" strokeweight=".48pt" strokecolor="#000000">
                <v:path arrowok="t"/>
              </v:shape>
            </v:group>
            <v:group style="position:absolute;left:9576;top:5;width:2;height:1038" coordorigin="9576,5" coordsize="2,1038">
              <v:shape style="position:absolute;left:9576;top:5;width:2;height:1038" coordorigin="9576,5" coordsize="0,1038" path="m9576,5l9576,1042e" filled="false" stroked="true" strokeweight=".47998pt" strokecolor="#000000">
                <v:path arrowok="t"/>
              </v:shape>
              <v:shape style="position:absolute;left:0;top:0;width:9637;height:1047" type="#_x0000_t202" filled="false" stroked="false">
                <v:textbox inset="0,0,0,0">
                  <w:txbxContent>
                    <w:p>
                      <w:pPr>
                        <w:spacing w:line="316" w:lineRule="auto" w:before="66"/>
                        <w:ind w:left="33" w:right="84" w:firstLine="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根据《中华人民共和国公司法》、《公司章程》等有关规定及公司实际经营情况，着眼于公司长远发展，并兼顾全体股东整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体利益，公司制定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年度利润分配预案为：以公司股本总数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万股为基数，向全体股东每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股派发现金股利</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p>
                    <w:p>
                      <w:pPr>
                        <w:spacing w:line="248" w:lineRule="exact" w:before="0"/>
                        <w:ind w:left="33" w:right="0" w:firstLine="0"/>
                        <w:jc w:val="left"/>
                        <w:rPr>
                          <w:rFonts w:ascii="宋体" w:hAnsi="宋体" w:cs="宋体" w:eastAsia="宋体" w:hint="default"/>
                          <w:sz w:val="18"/>
                          <w:szCs w:val="18"/>
                        </w:rPr>
                      </w:pPr>
                      <w:r>
                        <w:rPr>
                          <w:rFonts w:ascii="宋体" w:hAnsi="宋体" w:cs="宋体" w:eastAsia="宋体" w:hint="default"/>
                          <w:spacing w:val="-15"/>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共计派发现金股利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17"/>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剩余未分配利润结转至下一年度</w:t>
                      </w:r>
                      <w:r>
                        <w:rPr>
                          <w:rFonts w:ascii="宋体" w:hAnsi="宋体" w:cs="宋体" w:eastAsia="宋体" w:hint="default"/>
                          <w:spacing w:val="-15"/>
                          <w:sz w:val="18"/>
                          <w:szCs w:val="18"/>
                        </w:rPr>
                        <w:t>；</w:t>
                      </w:r>
                      <w:r>
                        <w:rPr>
                          <w:rFonts w:ascii="宋体" w:hAnsi="宋体" w:cs="宋体" w:eastAsia="宋体" w:hint="default"/>
                          <w:sz w:val="18"/>
                          <w:szCs w:val="18"/>
                        </w:rPr>
                        <w:t>不进行资本公积金转增股本和送股。</w:t>
                      </w:r>
                    </w:p>
                  </w:txbxContent>
                </v:textbox>
                <w10:wrap type="none"/>
              </v:shape>
            </v:group>
          </v:group>
        </w:pict>
      </w:r>
      <w:r>
        <w:rPr>
          <w:rFonts w:ascii="宋体" w:hAnsi="宋体" w:cs="宋体" w:eastAsia="宋体" w:hint="default"/>
          <w:position w:val="-20"/>
          <w:sz w:val="20"/>
          <w:szCs w:val="20"/>
        </w:rPr>
      </w:r>
    </w:p>
    <w:p>
      <w:pPr>
        <w:pStyle w:val="BodyText"/>
        <w:spacing w:line="240" w:lineRule="auto" w:before="45"/>
        <w:ind w:right="982"/>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spacing w:line="240" w:lineRule="auto" w:before="5"/>
        <w:rPr>
          <w:rFonts w:ascii="宋体" w:hAnsi="宋体" w:cs="宋体" w:eastAsia="宋体" w:hint="default"/>
          <w:sz w:val="12"/>
          <w:szCs w:val="12"/>
        </w:rPr>
      </w:pPr>
    </w:p>
    <w:p>
      <w:pPr>
        <w:pStyle w:val="Heading4"/>
        <w:spacing w:line="240" w:lineRule="auto"/>
        <w:ind w:left="573" w:right="982"/>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2017</w:t>
      </w:r>
      <w:r>
        <w:rPr/>
        <w:t>年度利润分配方案情况</w:t>
      </w:r>
    </w:p>
    <w:p>
      <w:pPr>
        <w:pStyle w:val="Heading4"/>
        <w:spacing w:line="256" w:lineRule="auto" w:before="141"/>
        <w:ind w:right="1126" w:firstLine="42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月，公司召开</w:t>
      </w:r>
      <w:r>
        <w:rPr>
          <w:rFonts w:ascii="Times New Roman" w:hAnsi="Times New Roman" w:cs="Times New Roman" w:eastAsia="Times New Roman" w:hint="default"/>
          <w:spacing w:val="-1"/>
        </w:rPr>
        <w:t>2017</w:t>
      </w:r>
      <w:r>
        <w:rPr>
          <w:spacing w:val="-1"/>
        </w:rPr>
        <w:t>年年度股东大会审议通过</w:t>
      </w:r>
      <w:r>
        <w:rPr>
          <w:rFonts w:ascii="Times New Roman" w:hAnsi="Times New Roman" w:cs="Times New Roman" w:eastAsia="Times New Roman" w:hint="default"/>
          <w:spacing w:val="-1"/>
        </w:rPr>
        <w:t>2017</w:t>
      </w:r>
      <w:r>
        <w:rPr>
          <w:spacing w:val="-1"/>
        </w:rPr>
        <w:t>年度利润分配方案，以公司股本总数</w:t>
      </w:r>
      <w:r>
        <w:rPr>
          <w:rFonts w:ascii="Times New Roman" w:hAnsi="Times New Roman" w:cs="Times New Roman" w:eastAsia="Times New Roman" w:hint="default"/>
          <w:spacing w:val="-1"/>
        </w:rPr>
        <w:t>8,000</w:t>
      </w:r>
      <w:r>
        <w:rPr>
          <w:spacing w:val="-1"/>
        </w:rPr>
        <w:t>万</w:t>
      </w:r>
      <w:r>
        <w:rPr>
          <w:w w:val="100"/>
        </w:rPr>
        <w:t> </w:t>
      </w:r>
      <w:r>
        <w:rPr>
          <w:spacing w:val="-2"/>
        </w:rPr>
        <w:t>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3.00</w:t>
      </w:r>
      <w:r>
        <w:rPr>
          <w:spacing w:val="-2"/>
        </w:rPr>
        <w:t>元（含税），共计派发现金股利</w:t>
      </w:r>
      <w:r>
        <w:rPr>
          <w:rFonts w:ascii="Times New Roman" w:hAnsi="Times New Roman" w:cs="Times New Roman" w:eastAsia="Times New Roman" w:hint="default"/>
          <w:spacing w:val="-2"/>
        </w:rPr>
        <w:t>2,400</w:t>
      </w:r>
      <w:r>
        <w:rPr>
          <w:spacing w:val="-2"/>
        </w:rPr>
        <w:t>万元（含税），同时</w:t>
      </w:r>
      <w:r>
        <w:rPr>
          <w:spacing w:val="-39"/>
        </w:rPr>
        <w:t> </w:t>
      </w:r>
      <w:r>
        <w:rPr>
          <w:spacing w:val="-39"/>
        </w:rPr>
      </w:r>
      <w:r>
        <w:rPr/>
        <w:t>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股。该利润分配方案已在当年规定时间内实施完毕。</w:t>
      </w:r>
    </w:p>
    <w:p>
      <w:pPr>
        <w:pStyle w:val="Heading4"/>
        <w:spacing w:line="240" w:lineRule="auto" w:before="125"/>
        <w:ind w:left="573" w:right="982"/>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2018</w:t>
      </w:r>
      <w:r>
        <w:rPr/>
        <w:t>年度利润分配方案情况</w:t>
      </w:r>
    </w:p>
    <w:p>
      <w:pPr>
        <w:pStyle w:val="Heading4"/>
        <w:spacing w:line="256" w:lineRule="auto" w:before="142"/>
        <w:ind w:right="1126"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月，公司召开</w:t>
      </w:r>
      <w:r>
        <w:rPr>
          <w:rFonts w:ascii="Times New Roman" w:hAnsi="Times New Roman" w:cs="Times New Roman" w:eastAsia="Times New Roman" w:hint="default"/>
        </w:rPr>
        <w:t>2018</w:t>
      </w:r>
      <w:r>
        <w:rPr/>
        <w:t>年年度股东大会审议通过</w:t>
      </w:r>
      <w:r>
        <w:rPr>
          <w:rFonts w:ascii="Times New Roman" w:hAnsi="Times New Roman" w:cs="Times New Roman" w:eastAsia="Times New Roman" w:hint="default"/>
        </w:rPr>
        <w:t>2018</w:t>
      </w:r>
      <w:r>
        <w:rPr/>
        <w:t>年度利润分配方案，以公司股本总数</w:t>
      </w:r>
      <w:r>
        <w:rPr>
          <w:rFonts w:ascii="Times New Roman" w:hAnsi="Times New Roman" w:cs="Times New Roman" w:eastAsia="Times New Roman" w:hint="default"/>
        </w:rPr>
        <w:t>12,000</w:t>
      </w:r>
      <w:r>
        <w:rPr>
          <w:rFonts w:ascii="Times New Roman" w:hAnsi="Times New Roman" w:cs="Times New Roman" w:eastAsia="Times New Roman" w:hint="default"/>
          <w:w w:val="100"/>
        </w:rPr>
        <w:t> </w:t>
      </w:r>
      <w:r>
        <w:rPr>
          <w:spacing w:val="-2"/>
        </w:rPr>
        <w:t>万股为基数，向全体股东每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2.00</w:t>
      </w:r>
      <w:r>
        <w:rPr>
          <w:spacing w:val="-2"/>
        </w:rPr>
        <w:t>元（含税），共计派发现金股利</w:t>
      </w:r>
      <w:r>
        <w:rPr>
          <w:rFonts w:ascii="Times New Roman" w:hAnsi="Times New Roman" w:cs="Times New Roman" w:eastAsia="Times New Roman" w:hint="default"/>
          <w:spacing w:val="-2"/>
        </w:rPr>
        <w:t>2,400</w:t>
      </w:r>
      <w:r>
        <w:rPr>
          <w:spacing w:val="-2"/>
        </w:rPr>
        <w:t>万元（含税），同</w:t>
      </w:r>
      <w:r>
        <w:rPr>
          <w:spacing w:val="-33"/>
        </w:rPr>
        <w:t> </w:t>
      </w:r>
      <w:r>
        <w:rPr>
          <w:spacing w:val="-33"/>
        </w:rPr>
      </w:r>
      <w:r>
        <w:rPr/>
        <w:t>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股。该利润分配方案已在当年规定时间内实施完毕。</w:t>
      </w:r>
    </w:p>
    <w:p>
      <w:pPr>
        <w:pStyle w:val="Heading4"/>
        <w:spacing w:line="432" w:lineRule="exact" w:before="24"/>
        <w:ind w:left="573" w:right="982" w:firstLine="84"/>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2019</w:t>
      </w:r>
      <w:r>
        <w:rPr/>
        <w:t>年度利润分配预案情况</w:t>
      </w:r>
      <w:r>
        <w:rPr>
          <w:w w:val="100"/>
        </w:rPr>
        <w:t> </w:t>
      </w:r>
      <w:r>
        <w:rPr>
          <w:spacing w:val="-1"/>
        </w:rPr>
        <w:t>经致同会计师事务所（特殊普通合伙）审计，公司（母公司口径）</w:t>
      </w:r>
      <w:r>
        <w:rPr>
          <w:rFonts w:ascii="Times New Roman" w:hAnsi="Times New Roman" w:cs="Times New Roman" w:eastAsia="Times New Roman" w:hint="default"/>
          <w:spacing w:val="-1"/>
        </w:rPr>
        <w:t>2019</w:t>
      </w:r>
      <w:r>
        <w:rPr>
          <w:spacing w:val="-1"/>
        </w:rPr>
        <w:t>年度实现净利润</w:t>
      </w:r>
      <w:r>
        <w:rPr>
          <w:rFonts w:ascii="Times New Roman" w:hAnsi="Times New Roman" w:cs="Times New Roman" w:eastAsia="Times New Roman" w:hint="default"/>
          <w:spacing w:val="-1"/>
        </w:rPr>
        <w:t>85,181,844.25</w:t>
      </w:r>
    </w:p>
    <w:p>
      <w:pPr>
        <w:pStyle w:val="Heading4"/>
        <w:spacing w:line="271" w:lineRule="exact"/>
        <w:ind w:right="982"/>
        <w:jc w:val="left"/>
      </w:pPr>
      <w:r>
        <w:rPr>
          <w:spacing w:val="7"/>
        </w:rPr>
        <w:t>元，提取</w:t>
      </w:r>
      <w:r>
        <w:rPr>
          <w:rFonts w:ascii="Times New Roman" w:hAnsi="Times New Roman" w:cs="Times New Roman" w:eastAsia="Times New Roman" w:hint="default"/>
          <w:spacing w:val="7"/>
        </w:rPr>
        <w:t>10%</w:t>
      </w:r>
      <w:r>
        <w:rPr>
          <w:spacing w:val="7"/>
        </w:rPr>
        <w:t>法定盈余公积金</w:t>
      </w:r>
      <w:r>
        <w:rPr>
          <w:rFonts w:ascii="Times New Roman" w:hAnsi="Times New Roman" w:cs="Times New Roman" w:eastAsia="Times New Roman" w:hint="default"/>
          <w:spacing w:val="7"/>
        </w:rPr>
        <w:t>8,518,184.43</w:t>
      </w:r>
      <w:r>
        <w:rPr>
          <w:spacing w:val="7"/>
        </w:rPr>
        <w:t>元，加年初未分配利润</w:t>
      </w:r>
      <w:r>
        <w:rPr>
          <w:rFonts w:ascii="Times New Roman" w:hAnsi="Times New Roman" w:cs="Times New Roman" w:eastAsia="Times New Roman" w:hint="default"/>
          <w:spacing w:val="7"/>
        </w:rPr>
        <w:t>184,990,212.05</w:t>
      </w:r>
      <w:r>
        <w:rPr>
          <w:spacing w:val="7"/>
        </w:rPr>
        <w:t>元，减分配现金股利</w:t>
      </w:r>
    </w:p>
    <w:p>
      <w:pPr>
        <w:pStyle w:val="Heading4"/>
        <w:spacing w:line="240" w:lineRule="auto" w:before="21"/>
        <w:ind w:right="982"/>
        <w:jc w:val="left"/>
      </w:pPr>
      <w:r>
        <w:rPr>
          <w:rFonts w:ascii="Times New Roman" w:hAnsi="Times New Roman" w:cs="Times New Roman" w:eastAsia="Times New Roman" w:hint="default"/>
        </w:rPr>
        <w:t>24,000,000</w:t>
      </w:r>
      <w:r>
        <w:rPr/>
        <w:t>元，期末可供股东分配利润为</w:t>
      </w:r>
      <w:r>
        <w:rPr>
          <w:rFonts w:ascii="Times New Roman" w:hAnsi="Times New Roman" w:cs="Times New Roman" w:eastAsia="Times New Roman" w:hint="default"/>
        </w:rPr>
        <w:t>237,653,871.87</w:t>
      </w:r>
      <w:r>
        <w:rPr/>
        <w:t>元。</w:t>
      </w:r>
    </w:p>
    <w:p>
      <w:pPr>
        <w:pStyle w:val="Heading4"/>
        <w:spacing w:line="256" w:lineRule="auto" w:before="141"/>
        <w:ind w:right="1126" w:firstLine="420"/>
        <w:jc w:val="both"/>
      </w:pPr>
      <w:r>
        <w:rPr>
          <w:spacing w:val="-1"/>
        </w:rPr>
        <w:t>公司</w:t>
      </w:r>
      <w:r>
        <w:rPr>
          <w:rFonts w:ascii="Times New Roman" w:hAnsi="Times New Roman" w:cs="Times New Roman" w:eastAsia="Times New Roman" w:hint="default"/>
          <w:spacing w:val="-1"/>
        </w:rPr>
        <w:t>2019</w:t>
      </w:r>
      <w:r>
        <w:rPr>
          <w:spacing w:val="-1"/>
        </w:rPr>
        <w:t>年度利润分配预案为：以公司股本总数</w:t>
      </w:r>
      <w:r>
        <w:rPr>
          <w:rFonts w:ascii="Times New Roman" w:hAnsi="Times New Roman" w:cs="Times New Roman" w:eastAsia="Times New Roman" w:hint="default"/>
          <w:spacing w:val="-1"/>
        </w:rPr>
        <w:t>18,000</w:t>
      </w:r>
      <w:r>
        <w:rPr>
          <w:spacing w:val="-1"/>
        </w:rPr>
        <w:t>万股为基数，向全体股东每</w:t>
      </w:r>
      <w:r>
        <w:rPr>
          <w:rFonts w:ascii="Times New Roman" w:hAnsi="Times New Roman" w:cs="Times New Roman" w:eastAsia="Times New Roman" w:hint="default"/>
          <w:spacing w:val="-1"/>
        </w:rPr>
        <w:t>10</w:t>
      </w:r>
      <w:r>
        <w:rPr>
          <w:spacing w:val="-1"/>
        </w:rPr>
        <w:t>股派发现金股利</w:t>
      </w:r>
      <w:r>
        <w:rPr>
          <w:w w:val="100"/>
        </w:rPr>
        <w:t> </w:t>
      </w:r>
      <w:r>
        <w:rPr>
          <w:rFonts w:ascii="Times New Roman" w:hAnsi="Times New Roman" w:cs="Times New Roman" w:eastAsia="Times New Roman" w:hint="default"/>
          <w:spacing w:val="-2"/>
        </w:rPr>
        <w:t>1.00</w:t>
      </w:r>
      <w:r>
        <w:rPr>
          <w:spacing w:val="-2"/>
        </w:rPr>
        <w:t>元（含税），共计派发现金股利</w:t>
      </w:r>
      <w:r>
        <w:rPr>
          <w:rFonts w:ascii="Times New Roman" w:hAnsi="Times New Roman" w:cs="Times New Roman" w:eastAsia="Times New Roman" w:hint="default"/>
          <w:spacing w:val="-2"/>
        </w:rPr>
        <w:t>1,800</w:t>
      </w:r>
      <w:r>
        <w:rPr>
          <w:spacing w:val="-2"/>
        </w:rPr>
        <w:t>万（含税），剩余未分配利润结转至下一年度；不进行资本公积</w:t>
      </w:r>
      <w:r>
        <w:rPr>
          <w:spacing w:val="-37"/>
        </w:rPr>
        <w:t> </w:t>
      </w:r>
      <w:r>
        <w:rPr>
          <w:spacing w:val="-37"/>
        </w:rPr>
      </w:r>
      <w:r>
        <w:rPr/>
        <w:t>金转增股本和送股。</w:t>
      </w:r>
    </w:p>
    <w:p>
      <w:pPr>
        <w:spacing w:line="240" w:lineRule="auto" w:before="11"/>
        <w:rPr>
          <w:rFonts w:ascii="宋体" w:hAnsi="宋体" w:cs="宋体" w:eastAsia="宋体" w:hint="default"/>
          <w:sz w:val="11"/>
          <w:szCs w:val="11"/>
        </w:rPr>
      </w:pPr>
    </w:p>
    <w:p>
      <w:pPr>
        <w:pStyle w:val="BodyText"/>
        <w:spacing w:line="240" w:lineRule="auto" w:before="44"/>
        <w:ind w:right="982"/>
        <w:jc w:val="left"/>
      </w:pPr>
      <w:r>
        <w:rPr/>
        <w:t>公司近三年（包括本报告期）普通股现金分红情况表</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227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4"/>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98,526,028.23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18.27%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18.27%</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86,455,400.69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27.76%</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84,245,509.94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28.49%</w:t>
            </w:r>
          </w:p>
        </w:tc>
      </w:tr>
    </w:tbl>
    <w:p>
      <w:pPr>
        <w:pStyle w:val="BodyText"/>
        <w:spacing w:line="240" w:lineRule="auto" w:before="49"/>
        <w:ind w:right="982"/>
        <w:jc w:val="left"/>
      </w:pPr>
      <w:r>
        <w:rPr/>
        <w:t>公司报告期内盈利且母公司可供普通股股东分配利润为正但未提出普通股现金红利分配预案</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982"/>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880"/>
        <w:gridCol w:w="1673"/>
        <w:gridCol w:w="737"/>
        <w:gridCol w:w="3800"/>
        <w:gridCol w:w="850"/>
        <w:gridCol w:w="850"/>
        <w:gridCol w:w="780"/>
      </w:tblGrid>
      <w:tr>
        <w:trPr>
          <w:trHeight w:val="161" w:hRule="exact"/>
        </w:trPr>
        <w:tc>
          <w:tcPr>
            <w:tcW w:w="8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74" w:right="91"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3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4"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3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880" w:type="dxa"/>
            <w:vMerge/>
            <w:tcBorders>
              <w:left w:val="single" w:sz="4" w:space="0" w:color="000000"/>
              <w:bottom w:val="single" w:sz="4" w:space="0" w:color="000000"/>
              <w:right w:val="single" w:sz="4" w:space="0" w:color="000000"/>
            </w:tcBorders>
            <w:shd w:val="clear" w:color="auto" w:fill="D2D2D2"/>
          </w:tcPr>
          <w:p>
            <w:pPr/>
          </w:p>
        </w:tc>
        <w:tc>
          <w:tcPr>
            <w:tcW w:w="1673"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3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49" w:hRule="exact"/>
        </w:trPr>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5"/>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 承诺</w:t>
            </w:r>
          </w:p>
        </w:tc>
        <w:tc>
          <w:tcPr>
            <w:tcW w:w="167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8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5"/>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167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8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8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9" w:lineRule="auto"/>
              <w:ind w:left="73" w:right="75"/>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01" w:right="108" w:hanging="89"/>
              <w:jc w:val="left"/>
              <w:rPr>
                <w:rFonts w:ascii="宋体" w:hAnsi="宋体" w:cs="宋体" w:eastAsia="宋体" w:hint="default"/>
                <w:sz w:val="18"/>
                <w:szCs w:val="18"/>
              </w:rPr>
            </w:pPr>
            <w:r>
              <w:rPr>
                <w:rFonts w:ascii="宋体" w:hAnsi="宋体" w:cs="宋体" w:eastAsia="宋体" w:hint="default"/>
                <w:sz w:val="18"/>
                <w:szCs w:val="18"/>
              </w:rPr>
              <w:t>北京市国有资产经 营有限责任公司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94" w:right="91"/>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自公司股票上市之日起三十六个月内，公司控股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股东及实际控制人北京国资公司不转让或者委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托他人管理其直接或者间接持有的公司公开发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行股票前已发行的股份，也不由公司回购其直接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或者间接持有的公开发行股票前已发行的股份。 </w:t>
            </w:r>
            <w:r>
              <w:rPr>
                <w:rFonts w:ascii="宋体" w:hAnsi="宋体" w:cs="宋体" w:eastAsia="宋体" w:hint="default"/>
                <w:spacing w:val="-2"/>
                <w:sz w:val="18"/>
                <w:szCs w:val="18"/>
              </w:rPr>
              <w:t>公司首次公开发行并上市后，北京国资公司所持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的股票在锁定期满后两年内减持的，减持价格不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低于发行价；公司上市后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个月内如股票连续</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z w:val="18"/>
                <w:szCs w:val="18"/>
              </w:rPr>
            </w:r>
          </w:p>
          <w:p>
            <w:pPr>
              <w:pStyle w:val="TableParagraph"/>
              <w:spacing w:line="309" w:lineRule="auto"/>
              <w:ind w:left="24" w:right="19"/>
              <w:jc w:val="both"/>
              <w:rPr>
                <w:rFonts w:ascii="宋体" w:hAnsi="宋体" w:cs="宋体" w:eastAsia="宋体" w:hint="default"/>
                <w:sz w:val="18"/>
                <w:szCs w:val="18"/>
              </w:rPr>
            </w:pPr>
            <w:r>
              <w:rPr>
                <w:rFonts w:ascii="宋体" w:hAnsi="宋体" w:cs="宋体" w:eastAsia="宋体" w:hint="default"/>
                <w:sz w:val="18"/>
                <w:szCs w:val="18"/>
              </w:rPr>
              <w:t>个交易日的收盘价均低于发行价，或者上市后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2"/>
                <w:sz w:val="18"/>
                <w:szCs w:val="18"/>
              </w:rPr>
              <w:t>个月期末收盘价低于发行价，北京国资公司持有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股票的锁定期限将自动延长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6" w:right="23"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3212" w:hRule="exact"/>
        </w:trPr>
        <w:tc>
          <w:tcPr>
            <w:tcW w:w="880" w:type="dxa"/>
            <w:vMerge/>
            <w:tcBorders>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72" w:right="108" w:hanging="360"/>
              <w:jc w:val="left"/>
              <w:rPr>
                <w:rFonts w:ascii="宋体" w:hAnsi="宋体" w:cs="宋体" w:eastAsia="宋体" w:hint="default"/>
                <w:sz w:val="18"/>
                <w:szCs w:val="18"/>
              </w:rPr>
            </w:pPr>
            <w:r>
              <w:rPr>
                <w:rFonts w:ascii="宋体" w:hAnsi="宋体" w:cs="宋体" w:eastAsia="宋体" w:hint="default"/>
                <w:sz w:val="18"/>
                <w:szCs w:val="18"/>
              </w:rPr>
              <w:t>首都信息发展股份 有限公司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4" w:right="91"/>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
              <w:jc w:val="both"/>
              <w:rPr>
                <w:rFonts w:ascii="宋体" w:hAnsi="宋体" w:cs="宋体" w:eastAsia="宋体" w:hint="default"/>
                <w:sz w:val="18"/>
                <w:szCs w:val="18"/>
              </w:rPr>
            </w:pPr>
            <w:r>
              <w:rPr>
                <w:rFonts w:ascii="宋体" w:hAnsi="宋体" w:cs="宋体" w:eastAsia="宋体" w:hint="default"/>
                <w:spacing w:val="-2"/>
                <w:sz w:val="18"/>
                <w:szCs w:val="18"/>
              </w:rPr>
              <w:t>自公司股票上市之日起三十六个月内，公司股东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首信股份不转让或者委托他人管理其直接或者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间接持有的公开发行股票前已发行的股份，也不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由公司回购其直接或者间接持有的公开发行股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票前已发行的股份。首次公开发行并上市后，首</w:t>
            </w:r>
            <w:r>
              <w:rPr>
                <w:rFonts w:ascii="宋体" w:hAnsi="宋体" w:cs="宋体" w:eastAsia="宋体" w:hint="default"/>
                <w:sz w:val="18"/>
                <w:szCs w:val="18"/>
              </w:rPr>
              <w:t> </w:t>
            </w:r>
            <w:r>
              <w:rPr>
                <w:rFonts w:ascii="宋体" w:hAnsi="宋体" w:cs="宋体" w:eastAsia="宋体" w:hint="default"/>
                <w:spacing w:val="-2"/>
                <w:sz w:val="18"/>
                <w:szCs w:val="18"/>
              </w:rPr>
              <w:t>信股份所持股票在锁定期满后两年内减持的，减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持价格不低于发行价；公司上市后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个月内如股</w:t>
            </w:r>
          </w:p>
          <w:p>
            <w:pPr>
              <w:pStyle w:val="TableParagraph"/>
              <w:spacing w:line="246" w:lineRule="exact"/>
              <w:ind w:left="24" w:right="0"/>
              <w:jc w:val="both"/>
              <w:rPr>
                <w:rFonts w:ascii="宋体" w:hAnsi="宋体" w:cs="宋体" w:eastAsia="宋体" w:hint="default"/>
                <w:sz w:val="18"/>
                <w:szCs w:val="18"/>
              </w:rPr>
            </w:pPr>
            <w:r>
              <w:rPr>
                <w:rFonts w:ascii="宋体" w:hAnsi="宋体" w:cs="宋体" w:eastAsia="宋体" w:hint="default"/>
                <w:sz w:val="18"/>
                <w:szCs w:val="18"/>
              </w:rPr>
              <w:t>票连续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个交易日的收盘价均低于发行价，或</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者上市后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个月期末收盘价低于发行价，首信股</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份持有股票的锁定期限将自动延长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6" w:right="23"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1649" w:hRule="exact"/>
        </w:trPr>
        <w:tc>
          <w:tcPr>
            <w:tcW w:w="880" w:type="dxa"/>
            <w:vMerge/>
            <w:tcBorders>
              <w:left w:val="single" w:sz="4" w:space="0" w:color="000000"/>
              <w:bottom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12" w:right="108"/>
              <w:jc w:val="left"/>
              <w:rPr>
                <w:rFonts w:ascii="宋体" w:hAnsi="宋体" w:cs="宋体" w:eastAsia="宋体" w:hint="default"/>
                <w:sz w:val="18"/>
                <w:szCs w:val="18"/>
              </w:rPr>
            </w:pPr>
            <w:r>
              <w:rPr>
                <w:rFonts w:ascii="宋体" w:hAnsi="宋体" w:cs="宋体" w:eastAsia="宋体" w:hint="default"/>
                <w:sz w:val="18"/>
                <w:szCs w:val="18"/>
              </w:rPr>
              <w:t>北京科桥创业投资 中心（有限合伙）</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1"/>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
              <w:jc w:val="both"/>
              <w:rPr>
                <w:rFonts w:ascii="宋体" w:hAnsi="宋体" w:cs="宋体" w:eastAsia="宋体" w:hint="default"/>
                <w:sz w:val="18"/>
                <w:szCs w:val="18"/>
              </w:rPr>
            </w:pPr>
            <w:r>
              <w:rPr>
                <w:rFonts w:ascii="宋体" w:hAnsi="宋体" w:cs="宋体" w:eastAsia="宋体" w:hint="default"/>
                <w:spacing w:val="-2"/>
                <w:sz w:val="18"/>
                <w:szCs w:val="18"/>
              </w:rPr>
              <w:t>公司股东科桥投资承诺：自公司股票上市之日起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三十六个月内，不转让或者委托他人管理其直接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或者间接持有的公开发行股票前已发行的股份， </w:t>
            </w:r>
            <w:r>
              <w:rPr>
                <w:rFonts w:ascii="宋体" w:hAnsi="宋体" w:cs="宋体" w:eastAsia="宋体" w:hint="default"/>
                <w:spacing w:val="7"/>
                <w:sz w:val="18"/>
                <w:szCs w:val="18"/>
              </w:rPr>
              <w:t>也不由公司回购其直接或者间接持有的公开发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行股票前已发行的股份。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97" w:right="23" w:hanging="272"/>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6"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0.838013pt;margin-top:460.509979pt;width:111.2pt;height:298.4pt;mso-position-horizontal-relative:page;mso-position-vertical-relative:page;z-index:-8838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0"/>
                    <w:ind w:left="0" w:right="0"/>
                    <w:jc w:val="left"/>
                  </w:pPr>
                  <w:r>
                    <w:rPr/>
                    <w:t>以任何方式从事，</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880"/>
        <w:gridCol w:w="1673"/>
        <w:gridCol w:w="737"/>
        <w:gridCol w:w="3800"/>
        <w:gridCol w:w="850"/>
        <w:gridCol w:w="850"/>
        <w:gridCol w:w="780"/>
      </w:tblGrid>
      <w:tr>
        <w:trPr>
          <w:trHeight w:val="1961" w:hRule="exact"/>
        </w:trPr>
        <w:tc>
          <w:tcPr>
            <w:tcW w:w="880" w:type="dxa"/>
            <w:vMerge w:val="restart"/>
            <w:tcBorders>
              <w:top w:val="single" w:sz="4" w:space="0" w:color="000000"/>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01" w:right="108" w:hanging="89"/>
              <w:jc w:val="left"/>
              <w:rPr>
                <w:rFonts w:ascii="宋体" w:hAnsi="宋体" w:cs="宋体" w:eastAsia="宋体" w:hint="default"/>
                <w:sz w:val="18"/>
                <w:szCs w:val="18"/>
              </w:rPr>
            </w:pPr>
            <w:r>
              <w:rPr>
                <w:rFonts w:ascii="宋体" w:hAnsi="宋体" w:cs="宋体" w:eastAsia="宋体" w:hint="default"/>
                <w:sz w:val="18"/>
                <w:szCs w:val="18"/>
              </w:rPr>
              <w:t>北京市国有资产经 营有限责任公司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94" w:right="91"/>
              <w:jc w:val="left"/>
              <w:rPr>
                <w:rFonts w:ascii="宋体" w:hAnsi="宋体" w:cs="宋体" w:eastAsia="宋体" w:hint="default"/>
                <w:sz w:val="18"/>
                <w:szCs w:val="18"/>
              </w:rPr>
            </w:pPr>
            <w:r>
              <w:rPr>
                <w:rFonts w:ascii="宋体" w:hAnsi="宋体" w:cs="宋体" w:eastAsia="宋体" w:hint="default"/>
                <w:sz w:val="18"/>
                <w:szCs w:val="18"/>
              </w:rPr>
              <w:t>股份减 持承诺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pacing w:val="-2"/>
                <w:sz w:val="18"/>
                <w:szCs w:val="18"/>
              </w:rPr>
              <w:t>在锁定期届满后两年内无减持意向。此后拟减持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股票的，北京国资公司将提前三个交易日通知公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司并公告拟减持的数量、减持价格区间、减持时</w:t>
            </w:r>
            <w:r>
              <w:rPr>
                <w:rFonts w:ascii="宋体" w:hAnsi="宋体" w:cs="宋体" w:eastAsia="宋体" w:hint="default"/>
                <w:sz w:val="18"/>
                <w:szCs w:val="18"/>
              </w:rPr>
              <w:t> </w:t>
            </w:r>
            <w:r>
              <w:rPr>
                <w:rFonts w:ascii="宋体" w:hAnsi="宋体" w:cs="宋体" w:eastAsia="宋体" w:hint="default"/>
                <w:spacing w:val="-2"/>
                <w:sz w:val="18"/>
                <w:szCs w:val="18"/>
              </w:rPr>
              <w:t>间区间等。如果北京国资公司未能履行关于股份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锁定期的所有承诺，则违规减持的收入将归公司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所有。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6" w:right="23"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2588" w:hRule="exact"/>
        </w:trPr>
        <w:tc>
          <w:tcPr>
            <w:tcW w:w="880" w:type="dxa"/>
            <w:vMerge/>
            <w:tcBorders>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2"/>
              <w:ind w:left="472" w:right="108" w:hanging="360"/>
              <w:jc w:val="left"/>
              <w:rPr>
                <w:rFonts w:ascii="宋体" w:hAnsi="宋体" w:cs="宋体" w:eastAsia="宋体" w:hint="default"/>
                <w:sz w:val="18"/>
                <w:szCs w:val="18"/>
              </w:rPr>
            </w:pPr>
            <w:r>
              <w:rPr>
                <w:rFonts w:ascii="宋体" w:hAnsi="宋体" w:cs="宋体" w:eastAsia="宋体" w:hint="default"/>
                <w:sz w:val="18"/>
                <w:szCs w:val="18"/>
              </w:rPr>
              <w:t>首都信息发展股份 有限公司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2"/>
              <w:ind w:left="94" w:right="91"/>
              <w:jc w:val="left"/>
              <w:rPr>
                <w:rFonts w:ascii="宋体" w:hAnsi="宋体" w:cs="宋体" w:eastAsia="宋体" w:hint="default"/>
                <w:sz w:val="18"/>
                <w:szCs w:val="18"/>
              </w:rPr>
            </w:pPr>
            <w:r>
              <w:rPr>
                <w:rFonts w:ascii="宋体" w:hAnsi="宋体" w:cs="宋体" w:eastAsia="宋体" w:hint="default"/>
                <w:sz w:val="18"/>
                <w:szCs w:val="18"/>
              </w:rPr>
              <w:t>股份减 持承诺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
              <w:jc w:val="both"/>
              <w:rPr>
                <w:rFonts w:ascii="宋体" w:hAnsi="宋体" w:cs="宋体" w:eastAsia="宋体" w:hint="default"/>
                <w:sz w:val="18"/>
                <w:szCs w:val="18"/>
              </w:rPr>
            </w:pPr>
            <w:r>
              <w:rPr>
                <w:rFonts w:ascii="宋体" w:hAnsi="宋体" w:cs="宋体" w:eastAsia="宋体" w:hint="default"/>
                <w:spacing w:val="7"/>
                <w:sz w:val="18"/>
                <w:szCs w:val="18"/>
              </w:rPr>
              <w:t>在锁定期满后两年内每年减持的股份数量不超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过上一年末其所持公司股份的</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25%</w:t>
            </w:r>
            <w:r>
              <w:rPr>
                <w:rFonts w:ascii="宋体" w:hAnsi="宋体" w:cs="宋体" w:eastAsia="宋体" w:hint="default"/>
                <w:spacing w:val="-6"/>
                <w:sz w:val="18"/>
                <w:szCs w:val="18"/>
              </w:rPr>
              <w:t>。首信股份所</w:t>
            </w:r>
            <w:r>
              <w:rPr>
                <w:rFonts w:ascii="宋体" w:hAnsi="宋体" w:cs="宋体" w:eastAsia="宋体" w:hint="default"/>
                <w:sz w:val="18"/>
                <w:szCs w:val="18"/>
              </w:rPr>
              <w:t> </w:t>
            </w:r>
            <w:r>
              <w:rPr>
                <w:rFonts w:ascii="宋体" w:hAnsi="宋体" w:cs="宋体" w:eastAsia="宋体" w:hint="default"/>
                <w:spacing w:val="-2"/>
                <w:sz w:val="18"/>
                <w:szCs w:val="18"/>
              </w:rPr>
              <w:t>持公司股票在锁定期满后两年内减持的，其减持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价格不低于发行价。首信股份拟减持股票的，将</w:t>
            </w:r>
            <w:r>
              <w:rPr>
                <w:rFonts w:ascii="宋体" w:hAnsi="宋体" w:cs="宋体" w:eastAsia="宋体" w:hint="default"/>
                <w:sz w:val="18"/>
                <w:szCs w:val="18"/>
              </w:rPr>
              <w:t> 提前三个交易日通知公司并公告拟减持的数量、 </w:t>
            </w:r>
            <w:r>
              <w:rPr>
                <w:rFonts w:ascii="宋体" w:hAnsi="宋体" w:cs="宋体" w:eastAsia="宋体" w:hint="default"/>
                <w:spacing w:val="-2"/>
                <w:sz w:val="18"/>
                <w:szCs w:val="18"/>
              </w:rPr>
              <w:t>减持价格区间、减持时间区间等。如果首信股份</w:t>
            </w:r>
            <w:r>
              <w:rPr>
                <w:rFonts w:ascii="宋体" w:hAnsi="宋体" w:cs="宋体" w:eastAsia="宋体" w:hint="default"/>
                <w:sz w:val="18"/>
                <w:szCs w:val="18"/>
              </w:rPr>
              <w:t> </w:t>
            </w:r>
            <w:r>
              <w:rPr>
                <w:rFonts w:ascii="宋体" w:hAnsi="宋体" w:cs="宋体" w:eastAsia="宋体" w:hint="default"/>
                <w:spacing w:val="-2"/>
                <w:sz w:val="18"/>
                <w:szCs w:val="18"/>
              </w:rPr>
              <w:t>未能履行关于股份锁定期的所有承诺，则违规减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持的收入将归公司所有。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6" w:right="23"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3209" w:hRule="exact"/>
        </w:trPr>
        <w:tc>
          <w:tcPr>
            <w:tcW w:w="880" w:type="dxa"/>
            <w:vMerge/>
            <w:tcBorders>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12" w:right="108"/>
              <w:jc w:val="left"/>
              <w:rPr>
                <w:rFonts w:ascii="宋体" w:hAnsi="宋体" w:cs="宋体" w:eastAsia="宋体" w:hint="default"/>
                <w:sz w:val="18"/>
                <w:szCs w:val="18"/>
              </w:rPr>
            </w:pPr>
            <w:r>
              <w:rPr>
                <w:rFonts w:ascii="宋体" w:hAnsi="宋体" w:cs="宋体" w:eastAsia="宋体" w:hint="default"/>
                <w:sz w:val="18"/>
                <w:szCs w:val="18"/>
              </w:rPr>
              <w:t>北京科桥创业投资 中心（有限合伙）</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94" w:right="91"/>
              <w:jc w:val="left"/>
              <w:rPr>
                <w:rFonts w:ascii="宋体" w:hAnsi="宋体" w:cs="宋体" w:eastAsia="宋体" w:hint="default"/>
                <w:sz w:val="18"/>
                <w:szCs w:val="18"/>
              </w:rPr>
            </w:pPr>
            <w:r>
              <w:rPr>
                <w:rFonts w:ascii="宋体" w:hAnsi="宋体" w:cs="宋体" w:eastAsia="宋体" w:hint="default"/>
                <w:sz w:val="18"/>
                <w:szCs w:val="18"/>
              </w:rPr>
              <w:t>股份减 持承诺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5"/>
              <w:jc w:val="both"/>
              <w:rPr>
                <w:rFonts w:ascii="宋体" w:hAnsi="宋体" w:cs="宋体" w:eastAsia="宋体" w:hint="default"/>
                <w:sz w:val="18"/>
                <w:szCs w:val="18"/>
              </w:rPr>
            </w:pPr>
            <w:r>
              <w:rPr>
                <w:rFonts w:ascii="宋体" w:hAnsi="宋体" w:cs="宋体" w:eastAsia="宋体" w:hint="default"/>
                <w:spacing w:val="-2"/>
                <w:sz w:val="18"/>
                <w:szCs w:val="18"/>
              </w:rPr>
              <w:t>在股份锁定期届满后，将结合其自身资金需求并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综合考虑公司实际经营状况决定持股情况。如果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科桥投资拟减持公司股票的，将提前三个交易日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通知发行人并公告拟减持的数量、减持价格区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间、减持时间区间等。科桥投资在锁定期届满后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个月内减持数量将不超过其目前所持公司股 </w:t>
            </w:r>
            <w:r>
              <w:rPr>
                <w:rFonts w:ascii="宋体" w:hAnsi="宋体" w:cs="宋体" w:eastAsia="宋体" w:hint="default"/>
                <w:sz w:val="18"/>
                <w:szCs w:val="18"/>
              </w:rPr>
              <w:t>份数量的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12-24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个月内减持数量将不超过 其目前所持公司股份数量的</w:t>
            </w:r>
            <w:r>
              <w:rPr>
                <w:rFonts w:ascii="宋体" w:hAnsi="宋体" w:cs="宋体" w:eastAsia="宋体" w:hint="default"/>
                <w:spacing w:val="-41"/>
                <w:sz w:val="18"/>
                <w:szCs w:val="18"/>
              </w:rPr>
              <w:t> </w:t>
            </w:r>
            <w:r>
              <w:rPr>
                <w:rFonts w:ascii="Times New Roman" w:hAnsi="Times New Roman" w:cs="Times New Roman" w:eastAsia="Times New Roman" w:hint="default"/>
                <w:spacing w:val="-6"/>
                <w:sz w:val="18"/>
                <w:szCs w:val="18"/>
              </w:rPr>
              <w:t>50%</w:t>
            </w:r>
            <w:r>
              <w:rPr>
                <w:rFonts w:ascii="宋体" w:hAnsi="宋体" w:cs="宋体" w:eastAsia="宋体" w:hint="default"/>
                <w:spacing w:val="-6"/>
                <w:sz w:val="18"/>
                <w:szCs w:val="18"/>
              </w:rPr>
              <w:t>。如科桥投资未</w:t>
            </w:r>
            <w:r>
              <w:rPr>
                <w:rFonts w:ascii="宋体" w:hAnsi="宋体" w:cs="宋体" w:eastAsia="宋体" w:hint="default"/>
                <w:sz w:val="18"/>
                <w:szCs w:val="18"/>
              </w:rPr>
              <w:t> </w:t>
            </w:r>
            <w:r>
              <w:rPr>
                <w:rFonts w:ascii="宋体" w:hAnsi="宋体" w:cs="宋体" w:eastAsia="宋体" w:hint="default"/>
                <w:spacing w:val="-2"/>
                <w:sz w:val="18"/>
                <w:szCs w:val="18"/>
              </w:rPr>
              <w:t>能履行关于股份锁定期的所有承诺，则违规减持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的收入将归公司所有。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6" w:right="23"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5979" w:hRule="exact"/>
        </w:trPr>
        <w:tc>
          <w:tcPr>
            <w:tcW w:w="880" w:type="dxa"/>
            <w:vMerge/>
            <w:tcBorders>
              <w:left w:val="single" w:sz="4" w:space="0" w:color="000000"/>
              <w:bottom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6" w:lineRule="auto"/>
              <w:ind w:left="201" w:right="108" w:hanging="89"/>
              <w:jc w:val="left"/>
              <w:rPr>
                <w:rFonts w:ascii="宋体" w:hAnsi="宋体" w:cs="宋体" w:eastAsia="宋体" w:hint="default"/>
                <w:sz w:val="18"/>
                <w:szCs w:val="18"/>
              </w:rPr>
            </w:pPr>
            <w:r>
              <w:rPr>
                <w:rFonts w:ascii="宋体" w:hAnsi="宋体" w:cs="宋体" w:eastAsia="宋体" w:hint="default"/>
                <w:sz w:val="18"/>
                <w:szCs w:val="18"/>
              </w:rPr>
              <w:t>北京市国有资产经 营有限责任公司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9" w:lineRule="auto"/>
              <w:ind w:left="24" w:right="-17" w:hanging="40"/>
              <w:jc w:val="center"/>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0"/>
                <w:sz w:val="18"/>
                <w:szCs w:val="18"/>
              </w:rPr>
              <w:t>易、资金</w:t>
            </w:r>
            <w:r>
              <w:rPr>
                <w:rFonts w:ascii="宋体" w:hAnsi="宋体" w:cs="宋体" w:eastAsia="宋体" w:hint="default"/>
                <w:sz w:val="18"/>
                <w:szCs w:val="18"/>
              </w:rPr>
              <w:t> 占用方 面的承</w:t>
            </w:r>
          </w:p>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5"/>
              <w:jc w:val="left"/>
              <w:rPr>
                <w:rFonts w:ascii="宋体" w:hAnsi="宋体" w:cs="宋体" w:eastAsia="宋体" w:hint="default"/>
                <w:sz w:val="18"/>
                <w:szCs w:val="18"/>
              </w:rPr>
            </w:pPr>
            <w:r>
              <w:rPr>
                <w:rFonts w:ascii="宋体" w:hAnsi="宋体" w:cs="宋体" w:eastAsia="宋体" w:hint="default"/>
                <w:spacing w:val="7"/>
                <w:sz w:val="18"/>
                <w:szCs w:val="18"/>
              </w:rPr>
              <w:t>本企业目前不存在且不从事与北京数字认证股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份有限公司及其子公司主营业务相同或构成竞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争的业务，也未以投资控股、参股、合资、联营</w:t>
            </w:r>
            <w:r>
              <w:rPr>
                <w:rFonts w:ascii="宋体" w:hAnsi="宋体" w:cs="宋体" w:eastAsia="宋体" w:hint="default"/>
                <w:sz w:val="18"/>
                <w:szCs w:val="18"/>
              </w:rPr>
              <w:t> 或其它形式经营或为他人经营任何与北京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及 </w:t>
            </w:r>
            <w:r>
              <w:rPr>
                <w:rFonts w:ascii="宋体" w:hAnsi="宋体" w:cs="宋体" w:eastAsia="宋体" w:hint="default"/>
                <w:spacing w:val="-2"/>
                <w:sz w:val="18"/>
                <w:szCs w:val="18"/>
              </w:rPr>
              <w:t>其子公司的主营业务相同、相近或构成竞争的业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务。同时，本企业承诺：将来不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包括与他人合作直接或间接从事与北京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及其 </w:t>
            </w:r>
            <w:r>
              <w:rPr>
                <w:rFonts w:ascii="宋体" w:hAnsi="宋体" w:cs="宋体" w:eastAsia="宋体" w:hint="default"/>
                <w:spacing w:val="7"/>
                <w:sz w:val="18"/>
                <w:szCs w:val="18"/>
              </w:rPr>
              <w:t>子公司相同、相似或在任何方面构成竞争的业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务；将来不直接或间接投资于业务与北京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及 </w:t>
            </w:r>
            <w:r>
              <w:rPr>
                <w:rFonts w:ascii="宋体" w:hAnsi="宋体" w:cs="宋体" w:eastAsia="宋体" w:hint="default"/>
                <w:spacing w:val="-2"/>
                <w:sz w:val="18"/>
                <w:szCs w:val="18"/>
              </w:rPr>
              <w:t>其子公司相同、类似或在任何方面构成竞争的公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司、企业或其他机构、组织；将来不向其他业务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与北京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及其子公司相同、类似或在任何方面 </w:t>
            </w:r>
            <w:r>
              <w:rPr>
                <w:rFonts w:ascii="宋体" w:hAnsi="宋体" w:cs="宋体" w:eastAsia="宋体" w:hint="default"/>
                <w:spacing w:val="-2"/>
                <w:sz w:val="18"/>
                <w:szCs w:val="18"/>
              </w:rPr>
              <w:t>构成竞争的公司、企业或其他机构、组织或个人</w:t>
            </w:r>
            <w:r>
              <w:rPr>
                <w:rFonts w:ascii="宋体" w:hAnsi="宋体" w:cs="宋体" w:eastAsia="宋体" w:hint="default"/>
                <w:sz w:val="18"/>
                <w:szCs w:val="18"/>
              </w:rPr>
              <w:t> </w:t>
            </w:r>
            <w:r>
              <w:rPr>
                <w:rFonts w:ascii="宋体" w:hAnsi="宋体" w:cs="宋体" w:eastAsia="宋体" w:hint="default"/>
                <w:spacing w:val="-2"/>
                <w:sz w:val="18"/>
                <w:szCs w:val="18"/>
              </w:rPr>
              <w:t>提供专有技术或提供销售渠道、客户信息等商业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机密；如果未来本企业拟从事的业务可能与北京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及其子公司存在同业竞争，本企业将本着北 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及其子公司优先的原则与北京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协商解 </w:t>
            </w:r>
            <w:r>
              <w:rPr>
                <w:rFonts w:ascii="宋体" w:hAnsi="宋体" w:cs="宋体" w:eastAsia="宋体" w:hint="default"/>
                <w:spacing w:val="-2"/>
                <w:sz w:val="18"/>
                <w:szCs w:val="18"/>
              </w:rPr>
              <w:t>决。本承诺函自盖章之日起生效，并在本企业作</w:t>
            </w:r>
            <w:r>
              <w:rPr>
                <w:rFonts w:ascii="宋体" w:hAnsi="宋体" w:cs="宋体" w:eastAsia="宋体" w:hint="default"/>
                <w:sz w:val="18"/>
                <w:szCs w:val="18"/>
              </w:rPr>
              <w:t> 为北京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股东的整个期间持续有效。如出现因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596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8"/>
                <w:sz w:val="20"/>
                <w:szCs w:val="20"/>
              </w:rPr>
              <w:pict>
                <v:group style="width:42.05pt;height:298.4pt;mso-position-horizontal-relative:char;mso-position-vertical-relative:line" coordorigin="0,0" coordsize="841,5968">
                  <v:group style="position:absolute;left:0;top:0;width:841;height:5968" coordorigin="0,0" coordsize="841,5968">
                    <v:shape style="position:absolute;left:0;top:0;width:841;height:5968" coordorigin="0,0" coordsize="841,5968" path="m0,5967l840,5967,840,0,0,0,0,5967xe" filled="true" fillcolor="#ffffff" stroked="false">
                      <v:path arrowok="t"/>
                      <v:fill type="solid"/>
                    </v:shape>
                  </v:group>
                  <v:group style="position:absolute;left:24;top:2631;width:795;height:353" coordorigin="24,2631" coordsize="795,353">
                    <v:shape style="position:absolute;left:24;top:2631;width:795;height:353" coordorigin="24,2631" coordsize="795,353" path="m24,2984l819,2984,819,2631,24,2631,24,2984xe" filled="true" fillcolor="#ffffff" stroked="false">
                      <v:path arrowok="t"/>
                      <v:fill type="solid"/>
                    </v:shape>
                  </v:group>
                  <v:group style="position:absolute;left:24;top:2984;width:795;height:353" coordorigin="24,2984" coordsize="795,353">
                    <v:shape style="position:absolute;left:24;top:2984;width:795;height:353" coordorigin="24,2984" coordsize="795,353" path="m24,3337l819,3337,819,2984,24,2984,24,3337xe" filled="true" fillcolor="#ffffff" stroked="false">
                      <v:path arrowok="t"/>
                      <v:fill type="solid"/>
                    </v:shape>
                  </v:group>
                </v:group>
              </w:pict>
            </w:r>
            <w:r>
              <w:rPr>
                <w:rFonts w:ascii="Times New Roman" w:hAnsi="Times New Roman" w:cs="Times New Roman" w:eastAsia="Times New Roman" w:hint="default"/>
                <w:position w:val="-118"/>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9"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6" w:right="23"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bl>
    <w:p>
      <w:pPr>
        <w:spacing w:after="0" w:line="316"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7.146011pt;margin-top:407.109985pt;width:42.4pt;height:349.25pt;mso-position-horizontal-relative:page;mso-position-vertical-relative:page;z-index:-8838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3"/>
                    <w:ind w:left="0" w:right="0"/>
                    <w:jc w:val="left"/>
                  </w:pPr>
                  <w:r>
                    <w:rPr/>
                    <w:t>；</w:t>
                  </w:r>
                </w:p>
              </w:txbxContent>
            </v:textbox>
            <w10:wrap type="none"/>
          </v:shape>
        </w:pict>
      </w:r>
      <w:r>
        <w:rPr/>
        <w:pict>
          <v:group style="position:absolute;margin-left:183.139999pt;margin-top:407.109985pt;width:36.4pt;height:349.25pt;mso-position-horizontal-relative:page;mso-position-vertical-relative:page;z-index:-883792" coordorigin="3663,8142" coordsize="728,6985">
            <v:group style="position:absolute;left:3663;top:8142;width:728;height:6985" coordorigin="3663,8142" coordsize="728,6985">
              <v:shape style="position:absolute;left:3663;top:8142;width:728;height:6985" coordorigin="3663,8142" coordsize="728,6985" path="m3663,15127l4390,15127,4390,8142,3663,8142,3663,15127xe" filled="true" fillcolor="#ffffff" stroked="false">
                <v:path arrowok="t"/>
                <v:fill type="solid"/>
              </v:shape>
            </v:group>
            <v:group style="position:absolute;left:3687;top:11128;width:683;height:351" coordorigin="3687,11128" coordsize="683,351">
              <v:shape style="position:absolute;left:3687;top:11128;width:683;height:351" coordorigin="3687,11128" coordsize="683,351" path="m3687,11479l4369,11479,4369,11128,3687,11128,3687,11479xe" filled="true" fillcolor="#ffffff" stroked="false">
                <v:path arrowok="t"/>
                <v:fill type="solid"/>
              </v:shape>
            </v:group>
            <v:group style="position:absolute;left:3687;top:11479;width:683;height:312" coordorigin="3687,11479" coordsize="683,312">
              <v:shape style="position:absolute;left:3687;top:11479;width:683;height:312" coordorigin="3687,11479" coordsize="683,312" path="m3687,11791l4369,11791,4369,11479,3687,11479,3687,11791xe" filled="true" fillcolor="#ffffff" stroked="false">
                <v:path arrowok="t"/>
                <v:fill type="solid"/>
              </v:shape>
            </v:group>
            <v:group style="position:absolute;left:3687;top:11791;width:683;height:353" coordorigin="3687,11791" coordsize="683,353">
              <v:shape style="position:absolute;left:3687;top:11791;width:683;height:353" coordorigin="3687,11791" coordsize="683,353" path="m3687,12144l4369,12144,4369,11791,3687,11791,3687,12144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880"/>
        <w:gridCol w:w="1673"/>
        <w:gridCol w:w="737"/>
        <w:gridCol w:w="3800"/>
        <w:gridCol w:w="850"/>
        <w:gridCol w:w="850"/>
        <w:gridCol w:w="780"/>
      </w:tblGrid>
      <w:tr>
        <w:trPr>
          <w:trHeight w:val="322" w:hRule="exact"/>
        </w:trPr>
        <w:tc>
          <w:tcPr>
            <w:tcW w:w="880" w:type="dxa"/>
            <w:vMerge w:val="restart"/>
            <w:tcBorders>
              <w:top w:val="single" w:sz="4" w:space="0" w:color="000000"/>
              <w:left w:val="single" w:sz="4" w:space="0" w:color="000000"/>
              <w:right w:val="single" w:sz="4" w:space="0" w:color="000000"/>
            </w:tcBorders>
            <w:shd w:val="clear" w:color="auto" w:fill="D2D2D2"/>
          </w:tcPr>
          <w:p>
            <w:pPr/>
          </w:p>
        </w:tc>
        <w:tc>
          <w:tcPr>
            <w:tcW w:w="1673"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3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本企业违反上述承诺而导致北京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及其子公司</w:t>
            </w:r>
          </w:p>
        </w:tc>
        <w:tc>
          <w:tcPr>
            <w:tcW w:w="85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权益受到损害的情况，本企业愿意承担相应的赔</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5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3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偿责任。</w:t>
            </w: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358" w:hRule="exact"/>
        </w:trPr>
        <w:tc>
          <w:tcPr>
            <w:tcW w:w="880" w:type="dxa"/>
            <w:vMerge/>
            <w:tcBorders>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3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7"/>
                <w:sz w:val="18"/>
                <w:szCs w:val="18"/>
              </w:rPr>
              <w:t>北京数字认证股份有限公司及其子公司的主营</w:t>
            </w:r>
            <w:r>
              <w:rPr>
                <w:rFonts w:ascii="宋体" w:hAnsi="宋体" w:cs="宋体" w:eastAsia="宋体" w:hint="default"/>
                <w:sz w:val="18"/>
                <w:szCs w:val="18"/>
              </w:rPr>
            </w: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业务为提供电子认证服务、电子认证产品及信息</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安全服务。除持有北京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股份外，本公司目前</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不存在且不从事与北京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及其子公司上述主营</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15"/>
              <w:jc w:val="left"/>
              <w:rPr>
                <w:rFonts w:ascii="宋体" w:hAnsi="宋体" w:cs="宋体" w:eastAsia="宋体" w:hint="default"/>
                <w:sz w:val="18"/>
                <w:szCs w:val="18"/>
              </w:rPr>
            </w:pPr>
            <w:r>
              <w:rPr>
                <w:rFonts w:ascii="宋体" w:hAnsi="宋体" w:cs="宋体" w:eastAsia="宋体" w:hint="default"/>
                <w:sz w:val="18"/>
                <w:szCs w:val="18"/>
              </w:rPr>
              <w:t>业务相同或构成竞争的业务，也未以投资控股、</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2497"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472" w:right="108" w:hanging="360"/>
              <w:jc w:val="left"/>
              <w:rPr>
                <w:rFonts w:ascii="宋体" w:hAnsi="宋体" w:cs="宋体" w:eastAsia="宋体" w:hint="default"/>
                <w:sz w:val="18"/>
                <w:szCs w:val="18"/>
              </w:rPr>
            </w:pPr>
            <w:r>
              <w:rPr>
                <w:rFonts w:ascii="宋体" w:hAnsi="宋体" w:cs="宋体" w:eastAsia="宋体" w:hint="default"/>
                <w:sz w:val="18"/>
                <w:szCs w:val="18"/>
              </w:rPr>
              <w:t>首都信息发展股份 有限公司</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17" w:hanging="40"/>
              <w:jc w:val="center"/>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0"/>
                <w:sz w:val="18"/>
                <w:szCs w:val="18"/>
              </w:rPr>
              <w:t>易、资金</w:t>
            </w:r>
            <w:r>
              <w:rPr>
                <w:rFonts w:ascii="宋体" w:hAnsi="宋体" w:cs="宋体" w:eastAsia="宋体" w:hint="default"/>
                <w:sz w:val="18"/>
                <w:szCs w:val="18"/>
              </w:rPr>
              <w:t> 占用方 面的承</w:t>
            </w:r>
          </w:p>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诺</w:t>
            </w: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4" w:right="2"/>
              <w:jc w:val="both"/>
              <w:rPr>
                <w:rFonts w:ascii="宋体" w:hAnsi="宋体" w:cs="宋体" w:eastAsia="宋体" w:hint="default"/>
                <w:sz w:val="18"/>
                <w:szCs w:val="18"/>
              </w:rPr>
            </w:pPr>
            <w:r>
              <w:rPr>
                <w:rFonts w:ascii="宋体" w:hAnsi="宋体" w:cs="宋体" w:eastAsia="宋体" w:hint="default"/>
                <w:spacing w:val="-2"/>
                <w:sz w:val="18"/>
                <w:szCs w:val="18"/>
              </w:rPr>
              <w:t>参股、合资、联营或其它形式经营或为他人经营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任何与北京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及其子公司上述主营业务相同、 </w:t>
            </w:r>
            <w:r>
              <w:rPr>
                <w:rFonts w:ascii="宋体" w:hAnsi="宋体" w:cs="宋体" w:eastAsia="宋体" w:hint="default"/>
                <w:spacing w:val="-2"/>
                <w:sz w:val="18"/>
                <w:szCs w:val="18"/>
              </w:rPr>
              <w:t>相近或构成竞争的业务。本公司承诺：本公司将</w:t>
            </w:r>
            <w:r>
              <w:rPr>
                <w:rFonts w:ascii="宋体" w:hAnsi="宋体" w:cs="宋体" w:eastAsia="宋体" w:hint="default"/>
                <w:sz w:val="18"/>
                <w:szCs w:val="18"/>
              </w:rPr>
              <w:t> </w:t>
            </w:r>
            <w:r>
              <w:rPr>
                <w:rFonts w:ascii="宋体" w:hAnsi="宋体" w:cs="宋体" w:eastAsia="宋体" w:hint="default"/>
                <w:spacing w:val="-2"/>
                <w:sz w:val="18"/>
                <w:szCs w:val="18"/>
              </w:rPr>
              <w:t>来不以任何方式从事，包括与他人合作直接或间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接从事与北京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及其子公司上述主营业务相</w:t>
            </w:r>
            <w:r>
              <w:rPr>
                <w:rFonts w:ascii="宋体" w:hAnsi="宋体" w:cs="宋体" w:eastAsia="宋体" w:hint="default"/>
                <w:spacing w:val="4"/>
                <w:sz w:val="18"/>
                <w:szCs w:val="18"/>
              </w:rPr>
              <w:t> </w:t>
            </w:r>
            <w:r>
              <w:rPr>
                <w:rFonts w:ascii="宋体" w:hAnsi="宋体" w:cs="宋体" w:eastAsia="宋体" w:hint="default"/>
                <w:spacing w:val="-2"/>
                <w:sz w:val="18"/>
                <w:szCs w:val="18"/>
              </w:rPr>
              <w:t>同、相似或在任何方面构成竞争的业务；本公司</w:t>
            </w:r>
            <w:r>
              <w:rPr>
                <w:rFonts w:ascii="宋体" w:hAnsi="宋体" w:cs="宋体" w:eastAsia="宋体" w:hint="default"/>
                <w:sz w:val="18"/>
                <w:szCs w:val="18"/>
              </w:rPr>
              <w:t> 将不直接或间接投资于业务与北京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及其子公 </w:t>
            </w:r>
            <w:r>
              <w:rPr>
                <w:rFonts w:ascii="宋体" w:hAnsi="宋体" w:cs="宋体" w:eastAsia="宋体" w:hint="default"/>
                <w:spacing w:val="-2"/>
                <w:sz w:val="18"/>
                <w:szCs w:val="18"/>
              </w:rPr>
              <w:t>司上述主营业务相同、类似或在任何方面构成竞</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26" w:right="23"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争的公司、企业或其他机构、组织。本承诺函自</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盖章之日起生效，并在本公司作为北京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股东</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的整个期间持续有效。如出现因本企业违反上述</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承诺而导致北京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及其子公司权益受到损害的</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3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情况，本企业愿意承担相应的赔偿责任。</w:t>
            </w: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880" w:type="dxa"/>
            <w:vMerge/>
            <w:tcBorders>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3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公司稳定股价的措施包括公司回购股票，控股股</w:t>
            </w: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东增持股票和公司董事（不</w:t>
            </w:r>
            <w:r>
              <w:rPr>
                <w:rFonts w:ascii="宋体" w:hAnsi="宋体" w:cs="宋体" w:eastAsia="宋体" w:hint="default"/>
                <w:spacing w:val="4"/>
                <w:sz w:val="18"/>
                <w:szCs w:val="18"/>
              </w:rPr>
              <w:t>含</w:t>
            </w:r>
            <w:r>
              <w:rPr>
                <w:rFonts w:ascii="宋体" w:hAnsi="宋体" w:cs="宋体" w:eastAsia="宋体" w:hint="default"/>
                <w:spacing w:val="2"/>
                <w:sz w:val="18"/>
                <w:szCs w:val="18"/>
              </w:rPr>
              <w:t>独立董事</w:t>
            </w:r>
            <w:r>
              <w:rPr>
                <w:rFonts w:ascii="宋体" w:hAnsi="宋体" w:cs="宋体" w:eastAsia="宋体" w:hint="default"/>
                <w:spacing w:val="-87"/>
                <w:sz w:val="18"/>
                <w:szCs w:val="18"/>
              </w:rPr>
              <w:t>）</w:t>
            </w:r>
            <w:r>
              <w:rPr>
                <w:rFonts w:ascii="宋体" w:hAnsi="宋体" w:cs="宋体" w:eastAsia="宋体" w:hint="default"/>
                <w:spacing w:val="2"/>
                <w:sz w:val="18"/>
                <w:szCs w:val="18"/>
              </w:rPr>
              <w:t>、高级</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管理人员增持股票。在上市后三年内每次触及启</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动条件时，公司每次稳定股价的计划分两个阶段</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实施。第一阶段由公司回购股票和控股股东增持</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公司股票，第二阶段由公司董事和高级管理人员</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增持公司股票。</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506"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4"/>
                <w:sz w:val="18"/>
                <w:szCs w:val="18"/>
              </w:rPr>
              <w:t> </w:t>
            </w:r>
            <w:r>
              <w:rPr>
                <w:rFonts w:ascii="宋体" w:hAnsi="宋体" w:cs="宋体" w:eastAsia="宋体" w:hint="default"/>
                <w:sz w:val="18"/>
                <w:szCs w:val="18"/>
              </w:rPr>
              <w:t>京</w:t>
            </w:r>
            <w:r>
              <w:rPr>
                <w:rFonts w:ascii="宋体" w:hAnsi="宋体" w:cs="宋体" w:eastAsia="宋体" w:hint="default"/>
                <w:spacing w:val="-64"/>
                <w:sz w:val="18"/>
                <w:szCs w:val="18"/>
              </w:rPr>
              <w:t> </w:t>
            </w:r>
            <w:r>
              <w:rPr>
                <w:rFonts w:ascii="宋体" w:hAnsi="宋体" w:cs="宋体" w:eastAsia="宋体" w:hint="default"/>
                <w:sz w:val="18"/>
                <w:szCs w:val="18"/>
              </w:rPr>
              <w:t>市</w:t>
            </w:r>
            <w:r>
              <w:rPr>
                <w:rFonts w:ascii="宋体" w:hAnsi="宋体" w:cs="宋体" w:eastAsia="宋体" w:hint="default"/>
                <w:spacing w:val="-67"/>
                <w:sz w:val="18"/>
                <w:szCs w:val="18"/>
              </w:rPr>
              <w:t> </w:t>
            </w:r>
            <w:r>
              <w:rPr>
                <w:rFonts w:ascii="宋体" w:hAnsi="宋体" w:cs="宋体" w:eastAsia="宋体" w:hint="default"/>
                <w:sz w:val="18"/>
                <w:szCs w:val="18"/>
              </w:rPr>
              <w:t>国</w:t>
            </w:r>
            <w:r>
              <w:rPr>
                <w:rFonts w:ascii="宋体" w:hAnsi="宋体" w:cs="宋体" w:eastAsia="宋体" w:hint="default"/>
                <w:spacing w:val="-64"/>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产</w:t>
            </w:r>
            <w:r>
              <w:rPr>
                <w:rFonts w:ascii="宋体" w:hAnsi="宋体" w:cs="宋体" w:eastAsia="宋体" w:hint="default"/>
                <w:spacing w:val="-64"/>
                <w:sz w:val="18"/>
                <w:szCs w:val="18"/>
              </w:rPr>
              <w:t> </w:t>
            </w:r>
            <w:r>
              <w:rPr>
                <w:rFonts w:ascii="宋体" w:hAnsi="宋体" w:cs="宋体" w:eastAsia="宋体" w:hint="default"/>
                <w:sz w:val="18"/>
                <w:szCs w:val="18"/>
              </w:rPr>
              <w:t>经</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营有限责任公司；北</w:t>
            </w: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、第一阶段的具体措施</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pacing w:val="-64"/>
                <w:sz w:val="18"/>
                <w:szCs w:val="18"/>
              </w:rPr>
              <w:t> </w:t>
            </w:r>
            <w:r>
              <w:rPr>
                <w:rFonts w:ascii="宋体" w:hAnsi="宋体" w:cs="宋体" w:eastAsia="宋体" w:hint="default"/>
                <w:sz w:val="18"/>
                <w:szCs w:val="18"/>
              </w:rPr>
              <w:t>数</w:t>
            </w:r>
            <w:r>
              <w:rPr>
                <w:rFonts w:ascii="宋体" w:hAnsi="宋体" w:cs="宋体" w:eastAsia="宋体" w:hint="default"/>
                <w:spacing w:val="-64"/>
                <w:sz w:val="18"/>
                <w:szCs w:val="18"/>
              </w:rPr>
              <w:t> </w:t>
            </w:r>
            <w:r>
              <w:rPr>
                <w:rFonts w:ascii="宋体" w:hAnsi="宋体" w:cs="宋体" w:eastAsia="宋体" w:hint="default"/>
                <w:sz w:val="18"/>
                <w:szCs w:val="18"/>
              </w:rPr>
              <w:t>字</w:t>
            </w:r>
            <w:r>
              <w:rPr>
                <w:rFonts w:ascii="宋体" w:hAnsi="宋体" w:cs="宋体" w:eastAsia="宋体" w:hint="default"/>
                <w:spacing w:val="-67"/>
                <w:sz w:val="18"/>
                <w:szCs w:val="18"/>
              </w:rPr>
              <w:t> </w:t>
            </w:r>
            <w:r>
              <w:rPr>
                <w:rFonts w:ascii="宋体" w:hAnsi="宋体" w:cs="宋体" w:eastAsia="宋体" w:hint="default"/>
                <w:sz w:val="18"/>
                <w:szCs w:val="18"/>
              </w:rPr>
              <w:t>认</w:t>
            </w:r>
            <w:r>
              <w:rPr>
                <w:rFonts w:ascii="宋体" w:hAnsi="宋体" w:cs="宋体" w:eastAsia="宋体" w:hint="default"/>
                <w:spacing w:val="-64"/>
                <w:sz w:val="18"/>
                <w:szCs w:val="18"/>
              </w:rPr>
              <w:t> </w:t>
            </w:r>
            <w:r>
              <w:rPr>
                <w:rFonts w:ascii="宋体" w:hAnsi="宋体" w:cs="宋体" w:eastAsia="宋体" w:hint="default"/>
                <w:sz w:val="18"/>
                <w:szCs w:val="18"/>
              </w:rPr>
              <w:t>证</w:t>
            </w:r>
            <w:r>
              <w:rPr>
                <w:rFonts w:ascii="宋体" w:hAnsi="宋体" w:cs="宋体" w:eastAsia="宋体" w:hint="default"/>
                <w:spacing w:val="-67"/>
                <w:sz w:val="18"/>
                <w:szCs w:val="18"/>
              </w:rPr>
              <w:t> </w:t>
            </w:r>
            <w:r>
              <w:rPr>
                <w:rFonts w:ascii="宋体" w:hAnsi="宋体" w:cs="宋体" w:eastAsia="宋体" w:hint="default"/>
                <w:sz w:val="18"/>
                <w:szCs w:val="18"/>
              </w:rPr>
              <w:t>股</w:t>
            </w:r>
            <w:r>
              <w:rPr>
                <w:rFonts w:ascii="宋体" w:hAnsi="宋体" w:cs="宋体" w:eastAsia="宋体" w:hint="default"/>
                <w:spacing w:val="-64"/>
                <w:sz w:val="18"/>
                <w:szCs w:val="18"/>
              </w:rPr>
              <w:t> </w:t>
            </w:r>
            <w:r>
              <w:rPr>
                <w:rFonts w:ascii="宋体" w:hAnsi="宋体" w:cs="宋体" w:eastAsia="宋体" w:hint="default"/>
                <w:sz w:val="18"/>
                <w:szCs w:val="18"/>
              </w:rPr>
              <w:t>份</w:t>
            </w:r>
            <w:r>
              <w:rPr>
                <w:rFonts w:ascii="宋体" w:hAnsi="宋体" w:cs="宋体" w:eastAsia="宋体" w:hint="default"/>
                <w:spacing w:val="-64"/>
                <w:sz w:val="18"/>
                <w:szCs w:val="18"/>
              </w:rPr>
              <w:t> </w:t>
            </w:r>
            <w:r>
              <w:rPr>
                <w:rFonts w:ascii="宋体" w:hAnsi="宋体" w:cs="宋体" w:eastAsia="宋体" w:hint="default"/>
                <w:sz w:val="18"/>
                <w:szCs w:val="18"/>
              </w:rPr>
              <w:t>有</w:t>
            </w: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）公司回购股票。公司董事会应当于股价触</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316" w:lineRule="auto" w:before="59"/>
              <w:ind w:left="23" w:right="17"/>
              <w:jc w:val="both"/>
              <w:rPr>
                <w:rFonts w:ascii="宋体" w:hAnsi="宋体" w:cs="宋体" w:eastAsia="宋体" w:hint="default"/>
                <w:sz w:val="18"/>
                <w:szCs w:val="18"/>
              </w:rPr>
            </w:pPr>
            <w:r>
              <w:rPr>
                <w:rFonts w:ascii="宋体" w:hAnsi="宋体" w:cs="宋体" w:eastAsia="宋体" w:hint="default"/>
                <w:sz w:val="18"/>
                <w:szCs w:val="18"/>
              </w:rPr>
              <w:t>限公司；詹榜华；林 雪焰；卢磊；蒋峰； 许向燕；雷毅平；张</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07" w:lineRule="auto" w:before="61"/>
              <w:ind w:left="23"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稳定 股价承 诺</w:t>
            </w: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4" w:right="0"/>
              <w:jc w:val="left"/>
              <w:rPr>
                <w:rFonts w:ascii="宋体" w:hAnsi="宋体" w:cs="宋体" w:eastAsia="宋体" w:hint="default"/>
                <w:sz w:val="18"/>
                <w:szCs w:val="18"/>
              </w:rPr>
            </w:pPr>
            <w:r>
              <w:rPr>
                <w:rFonts w:ascii="宋体" w:hAnsi="宋体" w:cs="宋体" w:eastAsia="宋体" w:hint="default"/>
                <w:sz w:val="18"/>
                <w:szCs w:val="18"/>
              </w:rPr>
              <w:t>及启动条件后的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个交易日内制定股票回购预</w:t>
            </w:r>
          </w:p>
          <w:p>
            <w:pPr>
              <w:pStyle w:val="TableParagraph"/>
              <w:spacing w:line="316" w:lineRule="auto" w:before="63"/>
              <w:ind w:left="24" w:right="15"/>
              <w:jc w:val="left"/>
              <w:rPr>
                <w:rFonts w:ascii="宋体" w:hAnsi="宋体" w:cs="宋体" w:eastAsia="宋体" w:hint="default"/>
                <w:sz w:val="18"/>
                <w:szCs w:val="18"/>
              </w:rPr>
            </w:pPr>
            <w:r>
              <w:rPr>
                <w:rFonts w:ascii="宋体" w:hAnsi="宋体" w:cs="宋体" w:eastAsia="宋体" w:hint="default"/>
                <w:spacing w:val="7"/>
                <w:sz w:val="18"/>
                <w:szCs w:val="18"/>
              </w:rPr>
              <w:t>案并公告。公司股票回购预案应当符合《公司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法》、《上市公司回购社会公众股份管理办法（试</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297" w:right="23" w:hanging="272"/>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益谦；侯鹏亮；齐秀</w:t>
            </w: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198"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行</w:t>
            </w:r>
            <w:r>
              <w:rPr>
                <w:rFonts w:ascii="宋体" w:hAnsi="宋体" w:cs="宋体" w:eastAsia="宋体" w:hint="default"/>
                <w:spacing w:val="-87"/>
                <w:sz w:val="18"/>
                <w:szCs w:val="18"/>
              </w:rPr>
              <w:t>）</w:t>
            </w:r>
            <w:r>
              <w:rPr>
                <w:rFonts w:ascii="宋体" w:hAnsi="宋体" w:cs="宋体" w:eastAsia="宋体" w:hint="default"/>
                <w:spacing w:val="2"/>
                <w:sz w:val="18"/>
                <w:szCs w:val="18"/>
              </w:rPr>
              <w:t>》和《关于上市公司以</w:t>
            </w:r>
            <w:r>
              <w:rPr>
                <w:rFonts w:ascii="宋体" w:hAnsi="宋体" w:cs="宋体" w:eastAsia="宋体" w:hint="default"/>
                <w:spacing w:val="4"/>
                <w:sz w:val="18"/>
                <w:szCs w:val="18"/>
              </w:rPr>
              <w:t>集</w:t>
            </w:r>
            <w:r>
              <w:rPr>
                <w:rFonts w:ascii="宋体" w:hAnsi="宋体" w:cs="宋体" w:eastAsia="宋体" w:hint="default"/>
                <w:spacing w:val="2"/>
                <w:sz w:val="18"/>
                <w:szCs w:val="18"/>
              </w:rPr>
              <w:t>中竞价交易方式</w:t>
            </w:r>
            <w:r>
              <w:rPr>
                <w:rFonts w:ascii="宋体" w:hAnsi="宋体" w:cs="宋体" w:eastAsia="宋体" w:hint="default"/>
                <w:sz w:val="18"/>
                <w:szCs w:val="18"/>
              </w:rPr>
              <w:t>回</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11"/>
                <w:sz w:val="18"/>
                <w:szCs w:val="18"/>
              </w:rPr>
              <w:t>彬；吴伟东；程小茁</w:t>
            </w: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198"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购股份的补充规定》等法律法规的要求。股票回</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高青山</w:t>
            </w: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198"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购预案需经公司股东大会审议通过，公司控股股</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264"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198" w:lineRule="exact"/>
              <w:ind w:left="24" w:right="-15"/>
              <w:jc w:val="left"/>
              <w:rPr>
                <w:rFonts w:ascii="宋体" w:hAnsi="宋体" w:cs="宋体" w:eastAsia="宋体" w:hint="default"/>
                <w:sz w:val="18"/>
                <w:szCs w:val="18"/>
              </w:rPr>
            </w:pPr>
            <w:r>
              <w:rPr>
                <w:rFonts w:ascii="宋体" w:hAnsi="宋体" w:cs="宋体" w:eastAsia="宋体" w:hint="default"/>
                <w:sz w:val="18"/>
                <w:szCs w:val="18"/>
              </w:rPr>
              <w:t>东承诺就该等回购事宜在股东大会中投赞成票。</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公司为稳定股价之目的进行股票回购的，除应符</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合相关法律法规之要求外，还应遵守下列各项约</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定：①公司每次用于回购股票的资金不低于最近</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三年实现的年均可分配利润的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之间的孰高者。②在股票上市后三年内用于回购</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880" w:type="dxa"/>
            <w:vMerge/>
            <w:tcBorders>
              <w:left w:val="single" w:sz="4" w:space="0" w:color="000000"/>
              <w:bottom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3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7"/>
                <w:sz w:val="18"/>
                <w:szCs w:val="18"/>
              </w:rPr>
              <w:t>股票的资金总额不超过首次公开发行新股所募</w:t>
            </w:r>
            <w:r>
              <w:rPr>
                <w:rFonts w:ascii="宋体" w:hAnsi="宋体" w:cs="宋体" w:eastAsia="宋体" w:hint="default"/>
                <w:sz w:val="18"/>
                <w:szCs w:val="18"/>
              </w:rPr>
            </w: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0.869995pt;margin-top:72.47998pt;width:111.15pt;height:694.6pt;mso-position-horizontal-relative:page;mso-position-vertical-relative:page;z-index:-883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5"/>
                      <w:szCs w:val="15"/>
                    </w:rPr>
                  </w:pPr>
                </w:p>
                <w:p>
                  <w:pPr>
                    <w:pStyle w:val="BodyText"/>
                    <w:spacing w:line="240" w:lineRule="auto"/>
                    <w:ind w:left="0" w:right="0" w:firstLine="900"/>
                    <w:jc w:val="left"/>
                  </w:pPr>
                  <w:r>
                    <w:rPr/>
                    <w:t>管理》</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pStyle w:val="BodyText"/>
                    <w:spacing w:line="240" w:lineRule="auto"/>
                    <w:ind w:left="0" w:right="0"/>
                    <w:jc w:val="left"/>
                  </w:pPr>
                  <w:r>
                    <w:rPr/>
                    <w:t>个月内不得转让。</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880"/>
        <w:gridCol w:w="1673"/>
        <w:gridCol w:w="737"/>
        <w:gridCol w:w="3800"/>
        <w:gridCol w:w="850"/>
        <w:gridCol w:w="850"/>
        <w:gridCol w:w="780"/>
      </w:tblGrid>
      <w:tr>
        <w:trPr>
          <w:trHeight w:val="317" w:hRule="exact"/>
        </w:trPr>
        <w:tc>
          <w:tcPr>
            <w:tcW w:w="880" w:type="dxa"/>
            <w:vMerge w:val="restart"/>
            <w:tcBorders>
              <w:top w:val="single" w:sz="4" w:space="0" w:color="000000"/>
              <w:left w:val="single" w:sz="4" w:space="0" w:color="000000"/>
              <w:right w:val="single" w:sz="4" w:space="0" w:color="000000"/>
            </w:tcBorders>
            <w:shd w:val="clear" w:color="auto" w:fill="D2D2D2"/>
          </w:tcPr>
          <w:p>
            <w:pPr/>
          </w:p>
        </w:tc>
        <w:tc>
          <w:tcPr>
            <w:tcW w:w="1673"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3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2"/>
                <w:sz w:val="18"/>
                <w:szCs w:val="18"/>
              </w:rPr>
              <w:t>集资金的总额。③公司董事会经综合考虑公司经</w:t>
            </w:r>
          </w:p>
        </w:tc>
        <w:tc>
          <w:tcPr>
            <w:tcW w:w="850" w:type="dxa"/>
            <w:vMerge w:val="restart"/>
            <w:tcBorders>
              <w:top w:val="single" w:sz="4" w:space="0" w:color="000000"/>
              <w:left w:val="single" w:sz="4" w:space="0" w:color="000000"/>
              <w:right w:val="single" w:sz="4" w:space="0" w:color="000000"/>
            </w:tcBorders>
          </w:tcPr>
          <w:p>
            <w:pPr>
              <w:pStyle w:val="TableParagraph"/>
              <w:spacing w:line="1389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7"/>
                <w:sz w:val="20"/>
                <w:szCs w:val="20"/>
              </w:rPr>
              <w:pict>
                <v:group style="width:42.05pt;height:694.6pt;mso-position-horizontal-relative:char;mso-position-vertical-relative:line" coordorigin="0,0" coordsize="841,13892">
                  <v:group style="position:absolute;left:0;top:0;width:841;height:13892" coordorigin="0,0" coordsize="841,13892">
                    <v:shape style="position:absolute;left:0;top:0;width:841;height:13892" coordorigin="0,0" coordsize="841,13892" path="m0,13891l840,13891,840,0,0,0,0,13891xe" filled="true" fillcolor="#ffffff" stroked="false">
                      <v:path arrowok="t"/>
                      <v:fill type="solid"/>
                    </v:shape>
                  </v:group>
                </v:group>
              </w:pict>
            </w:r>
            <w:r>
              <w:rPr>
                <w:rFonts w:ascii="Times New Roman" w:hAnsi="Times New Roman" w:cs="Times New Roman" w:eastAsia="Times New Roman" w:hint="default"/>
                <w:position w:val="-277"/>
                <w:sz w:val="20"/>
                <w:szCs w:val="20"/>
              </w:rPr>
            </w:r>
          </w:p>
        </w:tc>
        <w:tc>
          <w:tcPr>
            <w:tcW w:w="85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营发展实际情况，认为公司不宜或暂无须回购股</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票的，经董事会决议通过并经半数以上独立董事</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7"/>
                <w:sz w:val="18"/>
                <w:szCs w:val="18"/>
              </w:rPr>
              <w:t>同意后，应将不回购股票事宜提交股东大会审</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议，并经出席会议的股东所持表决权的三分之二</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以上通过。</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）控股股东增持。控股股东应当于股价触及</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启动条件后的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个交易日内提出增持方案，同</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7"/>
                <w:sz w:val="18"/>
                <w:szCs w:val="18"/>
              </w:rPr>
              <w:t>时将增持公司股票的具体计划书面通知公司并</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公告。控股股东增持股票方案应当符合《上市公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司收购管理办法</w:t>
            </w:r>
            <w:r>
              <w:rPr>
                <w:rFonts w:ascii="宋体" w:hAnsi="宋体" w:cs="宋体" w:eastAsia="宋体" w:hint="default"/>
                <w:spacing w:val="-92"/>
                <w:sz w:val="18"/>
                <w:szCs w:val="18"/>
              </w:rPr>
              <w:t>》</w:t>
            </w:r>
            <w:r>
              <w:rPr>
                <w:rFonts w:ascii="宋体" w:hAnsi="宋体" w:cs="宋体" w:eastAsia="宋体" w:hint="default"/>
                <w:spacing w:val="-128"/>
                <w:sz w:val="18"/>
                <w:szCs w:val="18"/>
              </w:rPr>
              <w:t>、</w:t>
            </w:r>
            <w:r>
              <w:rPr>
                <w:rFonts w:ascii="宋体" w:hAnsi="宋体" w:cs="宋体" w:eastAsia="宋体" w:hint="default"/>
                <w:sz w:val="18"/>
                <w:szCs w:val="18"/>
              </w:rPr>
              <w:t>《创业板</w:t>
            </w:r>
            <w:r>
              <w:rPr>
                <w:rFonts w:ascii="宋体" w:hAnsi="宋体" w:cs="宋体" w:eastAsia="宋体" w:hint="default"/>
                <w:spacing w:val="2"/>
                <w:sz w:val="18"/>
                <w:szCs w:val="18"/>
              </w:rPr>
              <w:t>信</w:t>
            </w:r>
            <w:r>
              <w:rPr>
                <w:rFonts w:ascii="宋体" w:hAnsi="宋体" w:cs="宋体" w:eastAsia="宋体" w:hint="default"/>
                <w:sz w:val="18"/>
                <w:szCs w:val="18"/>
              </w:rPr>
              <w:t>息披露业务备忘录</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股东及其一致行动人增持股份业务</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等法律法规的规定。为稳定股价之目的进行股票</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增持的，除应符合相关法律法规之要求外，控股</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股东同时承诺：①每次用于增持公司股票的金额</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不低于人民币</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万元；②连续</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个月增持公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司股份数量不超过公司总股本的</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；如上述第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①项与本项冲突的，按照本项执行；③通过增持</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6"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获得的股份，在增持完成后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26"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pacing w:val="-2"/>
                <w:sz w:val="18"/>
                <w:szCs w:val="18"/>
              </w:rPr>
              <w:t>第一阶段稳定股价措施可以单独或合并使用，具</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体由控股股东和公司协商确定。公司回购和控股</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7"/>
                <w:sz w:val="18"/>
                <w:szCs w:val="18"/>
              </w:rPr>
              <w:t>股东增持公司股票措施需在每次触及启动条件</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后的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天内实施完毕，公司回购和控股股东增</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7"/>
                <w:sz w:val="18"/>
                <w:szCs w:val="18"/>
              </w:rPr>
              <w:t>持公司股票不得导致公司股权分布不符合上市</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条件。如果在上述期间内，公司股票收盘价出现</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个交易日均高于最近一期经审计的每股净</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87"/>
                <w:sz w:val="18"/>
                <w:szCs w:val="18"/>
              </w:rPr>
              <w:t>，</w:t>
            </w:r>
            <w:r>
              <w:rPr>
                <w:rFonts w:ascii="宋体" w:hAnsi="宋体" w:cs="宋体" w:eastAsia="宋体" w:hint="default"/>
                <w:sz w:val="18"/>
                <w:szCs w:val="18"/>
              </w:rPr>
              <w:t>公司董事会和控股股东可停止回购</w:t>
            </w:r>
            <w:r>
              <w:rPr>
                <w:rFonts w:ascii="Times New Roman" w:hAnsi="Times New Roman" w:cs="Times New Roman" w:eastAsia="Times New Roman" w:hint="default"/>
                <w:sz w:val="18"/>
                <w:szCs w:val="18"/>
              </w:rPr>
              <w:t>/</w:t>
            </w:r>
            <w:r>
              <w:rPr>
                <w:rFonts w:ascii="宋体" w:hAnsi="宋体" w:cs="宋体" w:eastAsia="宋体" w:hint="default"/>
                <w:sz w:val="18"/>
                <w:szCs w:val="18"/>
              </w:rPr>
              <w:t>增持公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2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司股票，并不受最低资金使用量的约束。</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58"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、第二阶段的具体措施</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pacing w:val="4"/>
                <w:sz w:val="18"/>
                <w:szCs w:val="18"/>
              </w:rPr>
              <w:t>如果在公司和控股股东每次用于回购</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增持的资</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金使用完毕后，公司股票的收盘价仍未连续三个</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交易日超过最近一期经审计的净资产，则由公司</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董事和高级管理人员增持公司股票。董事和高级</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7"/>
                <w:sz w:val="18"/>
                <w:szCs w:val="18"/>
              </w:rPr>
              <w:t>管理人员应当于公司和控股股东第一阶段的资</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金使用完毕后的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个交易日内提出增持计划，同</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7"/>
                <w:sz w:val="18"/>
                <w:szCs w:val="18"/>
              </w:rPr>
              <w:t>时将增持公司股票的具体计划书面通知公司并</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公告。公司董事和高级管理人员每次用于增持公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7"/>
                <w:sz w:val="18"/>
                <w:szCs w:val="18"/>
              </w:rPr>
              <w:t>司股票的金额应不低于上一年度从公司领取薪</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酬的</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。董事、高级管理人员需在增持计划公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告后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日内实施完毕。如果在上述期间内，公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司股票收盘价出现连续</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个交易日均高于最近一</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期经审计的每股净资产，董事和高级管理人员可</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以停止增持公司股票。公司在股票上市后三年内</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880" w:type="dxa"/>
            <w:vMerge/>
            <w:tcBorders>
              <w:left w:val="single" w:sz="4" w:space="0" w:color="000000"/>
              <w:bottom w:val="single" w:sz="4" w:space="0" w:color="000000"/>
              <w:right w:val="single" w:sz="4" w:space="0" w:color="000000"/>
            </w:tcBorders>
            <w:shd w:val="clear" w:color="auto" w:fill="D2D2D2"/>
          </w:tcPr>
          <w:p>
            <w:pPr/>
          </w:p>
        </w:tc>
        <w:tc>
          <w:tcPr>
            <w:tcW w:w="1673"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3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新聘任的董事（不含独立董</w:t>
            </w:r>
            <w:r>
              <w:rPr>
                <w:rFonts w:ascii="宋体" w:hAnsi="宋体" w:cs="宋体" w:eastAsia="宋体" w:hint="default"/>
                <w:spacing w:val="4"/>
                <w:sz w:val="18"/>
                <w:szCs w:val="18"/>
              </w:rPr>
              <w:t>事</w:t>
            </w:r>
            <w:r>
              <w:rPr>
                <w:rFonts w:ascii="宋体" w:hAnsi="宋体" w:cs="宋体" w:eastAsia="宋体" w:hint="default"/>
                <w:spacing w:val="-87"/>
                <w:sz w:val="18"/>
                <w:szCs w:val="18"/>
              </w:rPr>
              <w:t>）</w:t>
            </w:r>
            <w:r>
              <w:rPr>
                <w:rFonts w:ascii="宋体" w:hAnsi="宋体" w:cs="宋体" w:eastAsia="宋体" w:hint="default"/>
                <w:spacing w:val="2"/>
                <w:sz w:val="18"/>
                <w:szCs w:val="18"/>
              </w:rPr>
              <w:t>、高级管理人员</w:t>
            </w:r>
            <w:r>
              <w:rPr>
                <w:rFonts w:ascii="宋体" w:hAnsi="宋体" w:cs="宋体" w:eastAsia="宋体" w:hint="default"/>
                <w:sz w:val="18"/>
                <w:szCs w:val="18"/>
              </w:rPr>
            </w: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880"/>
        <w:gridCol w:w="1673"/>
        <w:gridCol w:w="737"/>
        <w:gridCol w:w="3800"/>
        <w:gridCol w:w="850"/>
        <w:gridCol w:w="850"/>
        <w:gridCol w:w="782"/>
      </w:tblGrid>
      <w:tr>
        <w:trPr>
          <w:trHeight w:val="7660" w:hRule="exact"/>
        </w:trPr>
        <w:tc>
          <w:tcPr>
            <w:tcW w:w="880" w:type="dxa"/>
            <w:vMerge w:val="restart"/>
            <w:tcBorders>
              <w:top w:val="single" w:sz="4" w:space="0" w:color="000000"/>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5"/>
              <w:jc w:val="both"/>
              <w:rPr>
                <w:rFonts w:ascii="宋体" w:hAnsi="宋体" w:cs="宋体" w:eastAsia="宋体" w:hint="default"/>
                <w:sz w:val="18"/>
                <w:szCs w:val="18"/>
              </w:rPr>
            </w:pPr>
            <w:r>
              <w:rPr>
                <w:rFonts w:ascii="宋体" w:hAnsi="宋体" w:cs="宋体" w:eastAsia="宋体" w:hint="default"/>
                <w:spacing w:val="-2"/>
                <w:sz w:val="18"/>
                <w:szCs w:val="18"/>
              </w:rPr>
              <w:t>应当遵守本预案关于公司董事、高级管理人员的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增持义务的规定，公司及公司控股股东、现有董</w:t>
            </w:r>
            <w:r>
              <w:rPr>
                <w:rFonts w:ascii="宋体" w:hAnsi="宋体" w:cs="宋体" w:eastAsia="宋体" w:hint="default"/>
                <w:sz w:val="18"/>
                <w:szCs w:val="18"/>
              </w:rPr>
              <w:t> </w:t>
            </w:r>
            <w:r>
              <w:rPr>
                <w:rFonts w:ascii="宋体" w:hAnsi="宋体" w:cs="宋体" w:eastAsia="宋体" w:hint="default"/>
                <w:spacing w:val="-2"/>
                <w:sz w:val="18"/>
                <w:szCs w:val="18"/>
              </w:rPr>
              <w:t>事、高级管理人员应当促成公司新聘任的该等董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事、高级管理人员遵守稳定股价的预案并签署相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关承诺。如果按照上述规定实施稳定股价措施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后，公司股票收盘价仍未连续三个交易日高于最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近一期经审计的每股净资产，或者上述措施实施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完毕后再次触发稳定股价的启动条件的，则控股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股东、公司、董事和高级管理人员应按照稳定股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价预案的规定启动下一次稳定股价计划。</w:t>
            </w:r>
          </w:p>
          <w:p>
            <w:pPr>
              <w:pStyle w:val="TableParagraph"/>
              <w:spacing w:line="240" w:lineRule="auto" w:before="60"/>
              <w:ind w:left="24" w:right="0"/>
              <w:jc w:val="both"/>
              <w:rPr>
                <w:rFonts w:ascii="宋体" w:hAnsi="宋体" w:cs="宋体" w:eastAsia="宋体" w:hint="default"/>
                <w:sz w:val="18"/>
                <w:szCs w:val="18"/>
              </w:rPr>
            </w:pPr>
            <w:r>
              <w:rPr>
                <w:rFonts w:ascii="宋体" w:hAnsi="宋体" w:cs="宋体" w:eastAsia="宋体" w:hint="default"/>
                <w:sz w:val="18"/>
                <w:szCs w:val="18"/>
              </w:rPr>
              <w:t>（三）约束措施</w:t>
            </w:r>
          </w:p>
          <w:p>
            <w:pPr>
              <w:pStyle w:val="TableParagraph"/>
              <w:spacing w:line="312" w:lineRule="auto" w:before="115"/>
              <w:ind w:left="24" w:right="15"/>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、如果控股股东未按约定实施增持计划的，公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司有权责令控股股东在限期内履行增持股票承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诺，控股股东仍不履行的，公司有权扣减其应向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控股股东支付的分红。</w:t>
            </w:r>
          </w:p>
          <w:p>
            <w:pPr>
              <w:pStyle w:val="TableParagraph"/>
              <w:spacing w:line="316" w:lineRule="auto" w:before="63"/>
              <w:ind w:left="24" w:right="2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、公司董事、高级管理人员未按约定实施增持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计划的，公司有权责令董事、高级管理人员在限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期内履行增持股票义务。公司董事和高级管理人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员仍不履行的，公司有权扣减应向董事、高级管</w:t>
            </w:r>
            <w:r>
              <w:rPr>
                <w:rFonts w:ascii="宋体" w:hAnsi="宋体" w:cs="宋体" w:eastAsia="宋体" w:hint="default"/>
                <w:sz w:val="18"/>
                <w:szCs w:val="18"/>
              </w:rPr>
              <w:t> </w:t>
            </w:r>
            <w:r>
              <w:rPr>
                <w:rFonts w:ascii="宋体" w:hAnsi="宋体" w:cs="宋体" w:eastAsia="宋体" w:hint="default"/>
                <w:spacing w:val="-2"/>
                <w:sz w:val="18"/>
                <w:szCs w:val="18"/>
              </w:rPr>
              <w:t>理人员支付的报酬。公司董事、高级管理人员拒</w:t>
            </w:r>
            <w:r>
              <w:rPr>
                <w:rFonts w:ascii="宋体" w:hAnsi="宋体" w:cs="宋体" w:eastAsia="宋体" w:hint="default"/>
                <w:sz w:val="18"/>
                <w:szCs w:val="18"/>
              </w:rPr>
              <w:t> </w:t>
            </w:r>
            <w:r>
              <w:rPr>
                <w:rFonts w:ascii="宋体" w:hAnsi="宋体" w:cs="宋体" w:eastAsia="宋体" w:hint="default"/>
                <w:spacing w:val="-2"/>
                <w:sz w:val="18"/>
                <w:szCs w:val="18"/>
              </w:rPr>
              <w:t>不履行预案规定的股票增持义务情节严重的，控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股股东或董事会、监事会、半数以上的独立董事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有权提请股东大会同意更换相关董事，公司董事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会有权解聘相关高级管理人员。</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6138" w:hRule="exact"/>
        </w:trPr>
        <w:tc>
          <w:tcPr>
            <w:tcW w:w="880" w:type="dxa"/>
            <w:vMerge/>
            <w:tcBorders>
              <w:left w:val="single" w:sz="4" w:space="0" w:color="000000"/>
              <w:bottom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472" w:right="108" w:hanging="360"/>
              <w:jc w:val="left"/>
              <w:rPr>
                <w:rFonts w:ascii="宋体" w:hAnsi="宋体" w:cs="宋体" w:eastAsia="宋体" w:hint="default"/>
                <w:sz w:val="18"/>
                <w:szCs w:val="18"/>
              </w:rPr>
            </w:pPr>
            <w:r>
              <w:rPr>
                <w:rFonts w:ascii="宋体" w:hAnsi="宋体" w:cs="宋体" w:eastAsia="宋体" w:hint="default"/>
                <w:sz w:val="18"/>
                <w:szCs w:val="18"/>
              </w:rPr>
              <w:t>北京数字认证股份 有限公司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274" w:right="91" w:hanging="180"/>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
              <w:jc w:val="both"/>
              <w:rPr>
                <w:rFonts w:ascii="宋体" w:hAnsi="宋体" w:cs="宋体" w:eastAsia="宋体" w:hint="default"/>
                <w:sz w:val="18"/>
                <w:szCs w:val="18"/>
              </w:rPr>
            </w:pPr>
            <w:r>
              <w:rPr>
                <w:rFonts w:ascii="宋体" w:hAnsi="宋体" w:cs="宋体" w:eastAsia="宋体" w:hint="default"/>
                <w:spacing w:val="-2"/>
                <w:sz w:val="18"/>
                <w:szCs w:val="18"/>
              </w:rPr>
              <w:t>本次公开发行完成后，公司每股收益和净资产收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益率等指标在短期内可能出现一定幅度的下降。 </w:t>
            </w:r>
            <w:r>
              <w:rPr>
                <w:rFonts w:ascii="宋体" w:hAnsi="宋体" w:cs="宋体" w:eastAsia="宋体" w:hint="default"/>
                <w:spacing w:val="-2"/>
                <w:sz w:val="18"/>
                <w:szCs w:val="18"/>
              </w:rPr>
              <w:t>为降低本次公开发行摊薄即期回报的影响，充分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保护中小股东的利益，公司制定了如下措施：</w:t>
            </w:r>
          </w:p>
          <w:p>
            <w:pPr>
              <w:pStyle w:val="TableParagraph"/>
              <w:spacing w:line="338" w:lineRule="auto" w:before="57"/>
              <w:ind w:left="24" w:right="15"/>
              <w:jc w:val="left"/>
              <w:rPr>
                <w:rFonts w:ascii="宋体" w:hAnsi="宋体" w:cs="宋体" w:eastAsia="宋体" w:hint="default"/>
                <w:sz w:val="18"/>
                <w:szCs w:val="18"/>
              </w:rPr>
            </w:pPr>
            <w:r>
              <w:rPr>
                <w:rFonts w:ascii="宋体" w:hAnsi="宋体" w:cs="宋体" w:eastAsia="宋体" w:hint="default"/>
                <w:spacing w:val="-2"/>
                <w:sz w:val="18"/>
                <w:szCs w:val="18"/>
              </w:rPr>
              <w:t>（一）积极推进实施公司发展战略，提升公司核</w:t>
            </w:r>
            <w:r>
              <w:rPr>
                <w:rFonts w:ascii="宋体" w:hAnsi="宋体" w:cs="宋体" w:eastAsia="宋体" w:hint="default"/>
                <w:sz w:val="18"/>
                <w:szCs w:val="18"/>
              </w:rPr>
              <w:t> 心竞争力 </w:t>
            </w:r>
            <w:r>
              <w:rPr>
                <w:rFonts w:ascii="宋体" w:hAnsi="宋体" w:cs="宋体" w:eastAsia="宋体" w:hint="default"/>
                <w:spacing w:val="7"/>
                <w:sz w:val="18"/>
                <w:szCs w:val="18"/>
              </w:rPr>
              <w:t>公司将继续加强电子认证服务和安全服务方面</w:t>
            </w:r>
            <w:r>
              <w:rPr>
                <w:rFonts w:ascii="宋体" w:hAnsi="宋体" w:cs="宋体" w:eastAsia="宋体" w:hint="default"/>
                <w:sz w:val="18"/>
                <w:szCs w:val="18"/>
              </w:rPr>
            </w:r>
          </w:p>
          <w:p>
            <w:pPr>
              <w:pStyle w:val="TableParagraph"/>
              <w:spacing w:line="312" w:lineRule="auto" w:before="3"/>
              <w:ind w:left="24" w:right="21"/>
              <w:jc w:val="both"/>
              <w:rPr>
                <w:rFonts w:ascii="宋体" w:hAnsi="宋体" w:cs="宋体" w:eastAsia="宋体" w:hint="default"/>
                <w:sz w:val="18"/>
                <w:szCs w:val="18"/>
              </w:rPr>
            </w:pPr>
            <w:r>
              <w:rPr>
                <w:rFonts w:ascii="宋体" w:hAnsi="宋体" w:cs="宋体" w:eastAsia="宋体" w:hint="default"/>
                <w:spacing w:val="-2"/>
                <w:sz w:val="18"/>
                <w:szCs w:val="18"/>
              </w:rPr>
              <w:t>的优势；不断完善渠道布局，扩大客户规模；努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力提高</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一体化</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电子认证解决方案的能力，完善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电子认证服务网络和电子认证产品体系。如果本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次公开发行股票并上市获得批准，公司还将借助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资本市场的力量，增强资本实力，扩展公司业务</w:t>
            </w:r>
            <w:r>
              <w:rPr>
                <w:rFonts w:ascii="宋体" w:hAnsi="宋体" w:cs="宋体" w:eastAsia="宋体" w:hint="default"/>
                <w:sz w:val="18"/>
                <w:szCs w:val="18"/>
              </w:rPr>
              <w:t> </w:t>
            </w:r>
            <w:r>
              <w:rPr>
                <w:rFonts w:ascii="宋体" w:hAnsi="宋体" w:cs="宋体" w:eastAsia="宋体" w:hint="default"/>
                <w:spacing w:val="-1"/>
                <w:sz w:val="18"/>
                <w:szCs w:val="18"/>
              </w:rPr>
              <w:t>覆盖区域，提升盈利能力，巩固公司在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一体化</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pacing w:val="-2"/>
                <w:sz w:val="18"/>
                <w:szCs w:val="18"/>
              </w:rPr>
              <w:t>电子认证解决方案领域的优势地位，整合优势资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源，快速实现公司的跨越式发展。</w:t>
            </w:r>
          </w:p>
          <w:p>
            <w:pPr>
              <w:pStyle w:val="TableParagraph"/>
              <w:spacing w:line="338" w:lineRule="auto" w:before="63"/>
              <w:ind w:left="24" w:right="-15"/>
              <w:jc w:val="left"/>
              <w:rPr>
                <w:rFonts w:ascii="宋体" w:hAnsi="宋体" w:cs="宋体" w:eastAsia="宋体" w:hint="default"/>
                <w:sz w:val="18"/>
                <w:szCs w:val="18"/>
              </w:rPr>
            </w:pPr>
            <w:r>
              <w:rPr>
                <w:rFonts w:ascii="宋体" w:hAnsi="宋体" w:cs="宋体" w:eastAsia="宋体" w:hint="default"/>
                <w:sz w:val="18"/>
                <w:szCs w:val="18"/>
              </w:rPr>
              <w:t>（二）加强技术研发，进一步提升技术水平 </w:t>
            </w:r>
            <w:r>
              <w:rPr>
                <w:rFonts w:ascii="宋体" w:hAnsi="宋体" w:cs="宋体" w:eastAsia="宋体" w:hint="default"/>
                <w:spacing w:val="-2"/>
                <w:sz w:val="18"/>
                <w:szCs w:val="18"/>
              </w:rPr>
              <w:t>公司紧跟行业发展趋势和市场需求，不断加大研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发投入，进行技术创新，进一步提升技术水平。</w:t>
            </w:r>
          </w:p>
          <w:p>
            <w:pPr>
              <w:pStyle w:val="TableParagraph"/>
              <w:spacing w:line="240" w:lineRule="auto" w:before="2"/>
              <w:ind w:left="24" w:right="-15"/>
              <w:jc w:val="left"/>
              <w:rPr>
                <w:rFonts w:ascii="宋体" w:hAnsi="宋体" w:cs="宋体" w:eastAsia="宋体" w:hint="default"/>
                <w:sz w:val="18"/>
                <w:szCs w:val="18"/>
              </w:rPr>
            </w:pPr>
            <w:r>
              <w:rPr>
                <w:rFonts w:ascii="宋体" w:hAnsi="宋体" w:cs="宋体" w:eastAsia="宋体" w:hint="default"/>
                <w:sz w:val="18"/>
                <w:szCs w:val="18"/>
              </w:rPr>
              <w:t>公司将以可靠电子签名和可信数字身份为中心，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6" w:right="24"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bl>
    <w:p>
      <w:pPr>
        <w:spacing w:after="0" w:line="316"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0.847015pt;margin-top:72.47998pt;width:111.2pt;height:682.95pt;mso-position-horizontal-relative:page;mso-position-vertical-relative:page;z-index:-883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pStyle w:val="BodyText"/>
                    <w:spacing w:line="240" w:lineRule="auto"/>
                    <w:ind w:left="0" w:right="0"/>
                    <w:jc w:val="left"/>
                  </w:pPr>
                  <w:r>
                    <w:rPr/>
                    <w:t>字身份管理系统、</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6"/>
                      <w:szCs w:val="16"/>
                    </w:rPr>
                  </w:pPr>
                </w:p>
                <w:p>
                  <w:pPr>
                    <w:pStyle w:val="BodyText"/>
                    <w:spacing w:line="240" w:lineRule="auto"/>
                    <w:ind w:left="719" w:right="0"/>
                    <w:jc w:val="left"/>
                  </w:pPr>
                  <w:r>
                    <w:rPr/>
                    <w:t>的要求，</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880"/>
        <w:gridCol w:w="1673"/>
        <w:gridCol w:w="737"/>
        <w:gridCol w:w="3800"/>
        <w:gridCol w:w="850"/>
        <w:gridCol w:w="850"/>
        <w:gridCol w:w="780"/>
      </w:tblGrid>
      <w:tr>
        <w:trPr>
          <w:trHeight w:val="317" w:hRule="exact"/>
        </w:trPr>
        <w:tc>
          <w:tcPr>
            <w:tcW w:w="880" w:type="dxa"/>
            <w:vMerge w:val="restart"/>
            <w:tcBorders>
              <w:top w:val="single" w:sz="4" w:space="0" w:color="000000"/>
              <w:left w:val="single" w:sz="4" w:space="0" w:color="000000"/>
              <w:right w:val="single" w:sz="4" w:space="0" w:color="000000"/>
            </w:tcBorders>
            <w:shd w:val="clear" w:color="auto" w:fill="D2D2D2"/>
          </w:tcPr>
          <w:p>
            <w:pPr/>
          </w:p>
        </w:tc>
        <w:tc>
          <w:tcPr>
            <w:tcW w:w="1673"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3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2"/>
                <w:sz w:val="18"/>
                <w:szCs w:val="18"/>
              </w:rPr>
              <w:t>研发完整应对客户需求的产品和服务；将在技术</w:t>
            </w:r>
          </w:p>
        </w:tc>
        <w:tc>
          <w:tcPr>
            <w:tcW w:w="850" w:type="dxa"/>
            <w:vMerge w:val="restart"/>
            <w:tcBorders>
              <w:top w:val="single" w:sz="4" w:space="0" w:color="000000"/>
              <w:left w:val="single" w:sz="4" w:space="0" w:color="000000"/>
              <w:right w:val="single" w:sz="4" w:space="0" w:color="000000"/>
            </w:tcBorders>
          </w:tcPr>
          <w:p>
            <w:pPr>
              <w:pStyle w:val="TableParagraph"/>
              <w:spacing w:line="1365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2"/>
                <w:sz w:val="20"/>
                <w:szCs w:val="20"/>
              </w:rPr>
              <w:pict>
                <v:group style="width:42.05pt;height:682.95pt;mso-position-horizontal-relative:char;mso-position-vertical-relative:line" coordorigin="0,0" coordsize="841,13659">
                  <v:group style="position:absolute;left:0;top:0;width:841;height:13659" coordorigin="0,0" coordsize="841,13659">
                    <v:shape style="position:absolute;left:0;top:0;width:841;height:13659" coordorigin="0,0" coordsize="841,13659" path="m0,13658l840,13658,840,0,0,0,0,13658xe" filled="true" fillcolor="#ffffff" stroked="false">
                      <v:path arrowok="t"/>
                      <v:fill type="solid"/>
                    </v:shape>
                  </v:group>
                </v:group>
              </w:pict>
            </w:r>
            <w:r>
              <w:rPr>
                <w:rFonts w:ascii="Times New Roman" w:hAnsi="Times New Roman" w:cs="Times New Roman" w:eastAsia="Times New Roman" w:hint="default"/>
                <w:position w:val="-272"/>
                <w:sz w:val="20"/>
                <w:szCs w:val="20"/>
              </w:rPr>
            </w:r>
          </w:p>
        </w:tc>
        <w:tc>
          <w:tcPr>
            <w:tcW w:w="85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创新的基础上，积极推进服务的产品化工作，全</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力打造包括数字身份管理服务、可信数据电文服</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7"/>
                <w:sz w:val="18"/>
                <w:szCs w:val="18"/>
              </w:rPr>
              <w:t>务在内的核心服务；将继续完善公司的产品体</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9"/>
                <w:sz w:val="18"/>
                <w:szCs w:val="18"/>
              </w:rPr>
              <w:t>系，打造数字证书认证系统、数</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可信数据电文系统、安全客户端、移动网络信任</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服务等核心产品；将依托数字身份管理、可信数</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据电文、移动网络信任服务等核心技术，以及五</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大核心产品，提供面向各个行业的网络信任安全</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3"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解决方案，提升公司持续盈利能力。</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3"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pacing w:val="-2"/>
                <w:sz w:val="18"/>
                <w:szCs w:val="18"/>
              </w:rPr>
              <w:t>（三）加强对募投项目监管，保证募集资金合理</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1"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合法使用</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1"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pacing w:val="-2"/>
                <w:sz w:val="18"/>
                <w:szCs w:val="18"/>
              </w:rPr>
              <w:t>为规范公司募集资金的使用与管理，确保募集资</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金的使用规范、安全、高效，公司制定了《募集</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资金管理及使用制度》等制度。公司募集资金实</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施专项存储制度，募集资金存放于董事会决定的</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专项账户集中管理。公司将在募集资金到位后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7"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个月内与保荐机构、存放募集资金的商业银行签</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订三方监管协议。公司将严格按照募集资金使用</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计划确保专款专用，同时严格执行深圳证券交易</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所及中国证监会有关募集资金使用的规定。本次</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发行募集资金到位后，公司将加快推进募投项目</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建设，实现预期效益。同时，公司将根据相关法</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5"/>
                <w:sz w:val="18"/>
                <w:szCs w:val="18"/>
              </w:rPr>
              <w:t>律、法规和《募集资金管理及使用制度》</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严格管理募集资金使用，并积极配合监管机构对</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募集资金使用的检查和监督，防范募集资金使用</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风险。</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pacing w:val="-2"/>
                <w:sz w:val="18"/>
                <w:szCs w:val="18"/>
              </w:rPr>
              <w:t>（四）加快募投项目投资进度，争取早日实现项</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目预期效益</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pacing w:val="-2"/>
                <w:sz w:val="18"/>
                <w:szCs w:val="18"/>
              </w:rPr>
              <w:t>在本次公开发行股票募集资金到位前，为尽快实</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现募投项目预期利益，公司拟根据项目进度的实</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15"/>
              <w:jc w:val="left"/>
              <w:rPr>
                <w:rFonts w:ascii="宋体" w:hAnsi="宋体" w:cs="宋体" w:eastAsia="宋体" w:hint="default"/>
                <w:sz w:val="18"/>
                <w:szCs w:val="18"/>
              </w:rPr>
            </w:pPr>
            <w:r>
              <w:rPr>
                <w:rFonts w:ascii="宋体" w:hAnsi="宋体" w:cs="宋体" w:eastAsia="宋体" w:hint="default"/>
                <w:sz w:val="18"/>
                <w:szCs w:val="18"/>
              </w:rPr>
              <w:t>际情况，通过多种渠道积极筹措资金先行投入，</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争取尽早实现项目预期收益，增强未来年度的股</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东回报，降低本次公开发行导致的即期回报摊薄</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1"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的风险。</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1"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pacing w:val="-2"/>
                <w:sz w:val="18"/>
                <w:szCs w:val="18"/>
              </w:rPr>
              <w:t>（五）加强经营管理和内部控制，提升经营效率</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和盈利能力</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3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公司将努力提高资金的使用效率，完善并强化投</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资决策程序，设计更合理的资金使用方案，合理</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运用各种融资工具和渠道，控制资金成本，提升</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资金使用效率。公司将加强企业内部控制，发挥</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80" w:type="dxa"/>
            <w:vMerge/>
            <w:tcBorders>
              <w:left w:val="single" w:sz="4" w:space="0" w:color="000000"/>
              <w:right w:val="single" w:sz="4" w:space="0" w:color="000000"/>
            </w:tcBorders>
            <w:shd w:val="clear" w:color="auto" w:fill="D2D2D2"/>
          </w:tcPr>
          <w:p>
            <w:pPr/>
          </w:p>
        </w:tc>
        <w:tc>
          <w:tcPr>
            <w:tcW w:w="167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企业管控效能。推进预算规划，优化预算管理流</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880" w:type="dxa"/>
            <w:vMerge/>
            <w:tcBorders>
              <w:left w:val="single" w:sz="4" w:space="0" w:color="000000"/>
              <w:bottom w:val="single" w:sz="4" w:space="0" w:color="000000"/>
              <w:right w:val="single" w:sz="4" w:space="0" w:color="000000"/>
            </w:tcBorders>
            <w:shd w:val="clear" w:color="auto" w:fill="D2D2D2"/>
          </w:tcPr>
          <w:p>
            <w:pPr/>
          </w:p>
        </w:tc>
        <w:tc>
          <w:tcPr>
            <w:tcW w:w="1673"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3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程，加强成本管理，强化预算执行监督，全面有</w:t>
            </w: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1"/>
        <w:ind w:left="3444" w:right="982"/>
        <w:jc w:val="left"/>
      </w:pPr>
      <w:r>
        <w:rPr/>
        <w:pict>
          <v:shape style="position:absolute;margin-left:340.847015pt;margin-top:7.501724pt;width:111.2pt;height:208.85pt;mso-position-horizontal-relative:page;mso-position-vertical-relative:paragraph;z-index:-8836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0" w:right="0"/>
                    <w:jc w:val="left"/>
                  </w:pPr>
                  <w:r>
                    <w:rPr/>
                    <w:t>司利润分配政策，</w:t>
                  </w:r>
                </w:p>
              </w:txbxContent>
            </v:textbox>
            <w10:wrap type="none"/>
          </v:shape>
        </w:pict>
      </w:r>
      <w:r>
        <w:rPr/>
        <w:t>效地控制公司经营和管控风险。</w:t>
      </w:r>
    </w:p>
    <w:p>
      <w:pPr>
        <w:pStyle w:val="BodyText"/>
        <w:spacing w:line="316" w:lineRule="auto" w:before="117"/>
        <w:ind w:left="3444" w:right="3724"/>
        <w:jc w:val="left"/>
      </w:pPr>
      <w:r>
        <w:rPr>
          <w:spacing w:val="-2"/>
        </w:rPr>
        <w:t>（六）进一步完善利润分配制度，强化投资者回</w:t>
      </w:r>
      <w:r>
        <w:rPr/>
        <w:t> 报机制</w:t>
      </w:r>
    </w:p>
    <w:p>
      <w:pPr>
        <w:pStyle w:val="BodyText"/>
        <w:spacing w:line="312" w:lineRule="auto" w:before="57"/>
        <w:ind w:left="3444" w:right="3719"/>
        <w:jc w:val="left"/>
      </w:pPr>
      <w:r>
        <w:rPr/>
        <w:t>根据《上市公司监管指引第 </w:t>
      </w:r>
      <w:r>
        <w:rPr>
          <w:rFonts w:ascii="Times New Roman" w:hAnsi="Times New Roman" w:cs="Times New Roman" w:eastAsia="Times New Roman" w:hint="default"/>
        </w:rPr>
        <w:t>3</w:t>
      </w:r>
      <w:r>
        <w:rPr>
          <w:rFonts w:ascii="Times New Roman" w:hAnsi="Times New Roman" w:cs="Times New Roman" w:eastAsia="Times New Roman" w:hint="default"/>
          <w:spacing w:val="38"/>
        </w:rPr>
        <w:t> </w:t>
      </w:r>
      <w:r>
        <w:rPr/>
        <w:t>号</w:t>
      </w:r>
      <w:r>
        <w:rPr>
          <w:rFonts w:ascii="Times New Roman" w:hAnsi="Times New Roman" w:cs="Times New Roman" w:eastAsia="Times New Roman" w:hint="default"/>
        </w:rPr>
        <w:t>-</w:t>
      </w:r>
      <w:r>
        <w:rPr/>
        <w:t>上市公司现金 </w:t>
      </w:r>
      <w:r>
        <w:rPr>
          <w:spacing w:val="-9"/>
        </w:rPr>
        <w:t>分红》等规定的要求，为完善公</w:t>
      </w:r>
      <w:r>
        <w:rPr/>
        <w:t> </w:t>
      </w:r>
      <w:r>
        <w:rPr>
          <w:spacing w:val="-2"/>
        </w:rPr>
        <w:t>增强利润分配的透明度，保护公众投资者的合法</w:t>
      </w:r>
      <w:r>
        <w:rPr>
          <w:spacing w:val="-84"/>
        </w:rPr>
        <w:t> </w:t>
      </w:r>
      <w:r>
        <w:rPr>
          <w:spacing w:val="-84"/>
        </w:rPr>
      </w:r>
      <w:r>
        <w:rPr>
          <w:spacing w:val="-6"/>
        </w:rPr>
        <w:t>权益，公司于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日召开了第一届董</w:t>
      </w:r>
    </w:p>
    <w:p>
      <w:pPr>
        <w:pStyle w:val="BodyText"/>
        <w:spacing w:line="240" w:lineRule="auto" w:before="3"/>
        <w:ind w:left="3444" w:right="982"/>
        <w:jc w:val="left"/>
      </w:pPr>
      <w:r>
        <w:rPr/>
        <w:t>事会第十四次会议，于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日召开</w:t>
      </w:r>
    </w:p>
    <w:p>
      <w:pPr>
        <w:pStyle w:val="BodyText"/>
        <w:spacing w:line="314" w:lineRule="auto" w:before="63"/>
        <w:ind w:left="3444" w:right="3736"/>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spacing w:val="-14"/>
        </w:rPr>
        <w:t>年第一次临时股东大会，对原《公司章程（草</w:t>
      </w:r>
      <w:r>
        <w:rPr>
          <w:spacing w:val="-88"/>
        </w:rPr>
        <w:t> </w:t>
      </w:r>
      <w:r>
        <w:rPr>
          <w:spacing w:val="-88"/>
        </w:rPr>
      </w:r>
      <w:r>
        <w:rPr>
          <w:spacing w:val="-3"/>
        </w:rPr>
        <w:t>案）》中关于利润分配政策的条款进行了修订。</w:t>
      </w:r>
      <w:r>
        <w:rPr>
          <w:spacing w:val="-72"/>
        </w:rPr>
        <w:t> </w:t>
      </w:r>
      <w:r>
        <w:rPr>
          <w:spacing w:val="-72"/>
        </w:rPr>
      </w:r>
      <w:r>
        <w:rPr>
          <w:spacing w:val="-2"/>
        </w:rPr>
        <w:t>公司将根据中国证监会、深圳证券交易所后续出</w:t>
      </w:r>
      <w:r>
        <w:rPr>
          <w:spacing w:val="-84"/>
        </w:rPr>
        <w:t> </w:t>
      </w:r>
      <w:r>
        <w:rPr>
          <w:spacing w:val="-84"/>
        </w:rPr>
      </w:r>
      <w:r>
        <w:rPr>
          <w:spacing w:val="-2"/>
        </w:rPr>
        <w:t>台的实施细则，持续完善填补被摊薄即期回报的</w:t>
      </w:r>
      <w:r>
        <w:rPr>
          <w:spacing w:val="-84"/>
        </w:rPr>
        <w:t> </w:t>
      </w:r>
      <w:r>
        <w:rPr>
          <w:spacing w:val="-84"/>
        </w:rPr>
      </w:r>
      <w:r>
        <w:rPr/>
        <w:t>各项措施。</w:t>
      </w:r>
    </w:p>
    <w:p>
      <w:pPr>
        <w:spacing w:after="0" w:line="314" w:lineRule="auto"/>
        <w:jc w:val="both"/>
        <w:sectPr>
          <w:pgSz w:w="11910" w:h="16840"/>
          <w:pgMar w:header="748" w:footer="979"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BodyText"/>
        <w:spacing w:line="316" w:lineRule="auto"/>
        <w:ind w:left="1034" w:right="-20"/>
        <w:jc w:val="left"/>
      </w:pPr>
      <w:r>
        <w:rPr>
          <w:spacing w:val="-1"/>
        </w:rPr>
        <w:t>冯晔；金锦萍；林雪</w:t>
      </w:r>
      <w:r>
        <w:rPr>
          <w:spacing w:val="-87"/>
        </w:rPr>
        <w:t> </w:t>
      </w:r>
      <w:r>
        <w:rPr>
          <w:spacing w:val="-87"/>
        </w:rPr>
      </w:r>
      <w:r>
        <w:rPr/>
        <w:t>焰；刘汉莎；卢磊；</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8"/>
          <w:szCs w:val="18"/>
        </w:rPr>
      </w:pPr>
    </w:p>
    <w:p>
      <w:pPr>
        <w:pStyle w:val="BodyText"/>
        <w:spacing w:line="240" w:lineRule="auto"/>
        <w:ind w:left="82" w:right="-19"/>
        <w:jc w:val="left"/>
      </w:pPr>
      <w:r>
        <w:rPr/>
        <w:t>其他承</w:t>
      </w:r>
    </w:p>
    <w:p>
      <w:pPr>
        <w:pStyle w:val="BodyText"/>
        <w:spacing w:line="312" w:lineRule="auto" w:before="112"/>
        <w:ind w:left="87" w:right="509"/>
        <w:jc w:val="left"/>
      </w:pPr>
      <w:r>
        <w:rPr/>
        <w:br w:type="column"/>
      </w:r>
      <w:r>
        <w:rPr/>
        <w:t>根据《国务院关于进一步促进资本市场健康发展 </w:t>
      </w:r>
      <w:r>
        <w:rPr>
          <w:spacing w:val="-5"/>
        </w:rPr>
        <w:t>的若干意见》（国发</w:t>
      </w:r>
      <w:r>
        <w:rPr>
          <w:rFonts w:ascii="Times New Roman" w:hAnsi="Times New Roman" w:cs="Times New Roman" w:eastAsia="Times New Roman" w:hint="default"/>
          <w:spacing w:val="-5"/>
        </w:rPr>
        <w:t>[2014]17</w:t>
      </w:r>
      <w:r>
        <w:rPr>
          <w:rFonts w:ascii="Times New Roman" w:hAnsi="Times New Roman" w:cs="Times New Roman" w:eastAsia="Times New Roman" w:hint="default"/>
          <w:spacing w:val="1"/>
        </w:rPr>
        <w:t> </w:t>
      </w:r>
      <w:r>
        <w:rPr>
          <w:spacing w:val="-19"/>
        </w:rPr>
        <w:t>号）、《国务院办公</w:t>
      </w:r>
      <w:r>
        <w:rPr/>
        <w:t> </w:t>
      </w:r>
      <w:r>
        <w:rPr>
          <w:spacing w:val="7"/>
        </w:rPr>
        <w:t>厅关于进一步加强资本市场中小投资者合法权</w:t>
      </w:r>
      <w:r>
        <w:rPr>
          <w:spacing w:val="-87"/>
        </w:rPr>
        <w:t> </w:t>
      </w:r>
      <w:r>
        <w:rPr>
          <w:spacing w:val="-87"/>
        </w:rPr>
      </w:r>
      <w:r>
        <w:rPr>
          <w:spacing w:val="-8"/>
        </w:rPr>
        <w:t>益保护工作的意见》（国办发</w:t>
      </w:r>
      <w:r>
        <w:rPr>
          <w:rFonts w:ascii="Times New Roman" w:hAnsi="Times New Roman" w:cs="Times New Roman" w:eastAsia="Times New Roman" w:hint="default"/>
          <w:spacing w:val="-8"/>
        </w:rPr>
        <w:t>[2013]110</w:t>
      </w:r>
      <w:r>
        <w:rPr>
          <w:rFonts w:ascii="Times New Roman" w:hAnsi="Times New Roman" w:cs="Times New Roman" w:eastAsia="Times New Roman" w:hint="default"/>
        </w:rPr>
        <w:t> </w:t>
      </w:r>
      <w:r>
        <w:rPr>
          <w:spacing w:val="-26"/>
        </w:rPr>
        <w:t>号）和《关</w:t>
      </w:r>
      <w:r>
        <w:rPr>
          <w:spacing w:val="-81"/>
        </w:rPr>
        <w:t> </w:t>
      </w:r>
      <w:r>
        <w:rPr>
          <w:spacing w:val="-81"/>
        </w:rPr>
      </w:r>
      <w:r>
        <w:rPr/>
        <w:t>于首发及再融资、重大资产重组摊薄即期回报有</w:t>
      </w:r>
      <w:r>
        <w:rPr/>
        <w:t> </w:t>
      </w:r>
      <w:r>
        <w:rPr>
          <w:spacing w:val="-3"/>
        </w:rPr>
        <w:t>关事项的指导意见》（中国证券监督管理委员会</w:t>
      </w:r>
      <w:r>
        <w:rPr>
          <w:spacing w:val="-75"/>
        </w:rPr>
        <w:t> </w:t>
      </w:r>
      <w:r>
        <w:rPr>
          <w:spacing w:val="-75"/>
        </w:rPr>
      </w:r>
      <w:r>
        <w:rPr/>
        <w:t>公告</w:t>
      </w:r>
      <w:r>
        <w:rPr>
          <w:rFonts w:ascii="Times New Roman" w:hAnsi="Times New Roman" w:cs="Times New Roman" w:eastAsia="Times New Roman" w:hint="default"/>
        </w:rPr>
        <w:t>[2015]31 </w:t>
      </w:r>
      <w:r>
        <w:rPr/>
        <w:t>号）要求，公司的董事、高级管理 人员将忠实、勤勉地履行职责，维护公司和全体 股东的合法权益。为贯彻执行上述规定和文件精 </w:t>
      </w:r>
      <w:r>
        <w:rPr>
          <w:spacing w:val="-9"/>
        </w:rPr>
        <w:t>神，公司全体董事、高级管理人</w:t>
      </w:r>
      <w:r>
        <w:rPr/>
        <w:t> </w:t>
      </w:r>
      <w:r>
        <w:rPr>
          <w:rFonts w:ascii="Times New Roman" w:hAnsi="Times New Roman" w:cs="Times New Roman" w:eastAsia="Times New Roman" w:hint="default"/>
        </w:rPr>
        <w:t>“1</w:t>
      </w:r>
      <w:r>
        <w:rPr/>
        <w:t>、本人承诺不无偿或以不公平条件向其他单位</w:t>
      </w:r>
    </w:p>
    <w:p>
      <w:pPr>
        <w:pStyle w:val="BodyText"/>
        <w:spacing w:line="201" w:lineRule="exact" w:before="3"/>
        <w:ind w:left="87" w:right="509"/>
        <w:jc w:val="left"/>
        <w:rPr>
          <w:rFonts w:ascii="Times New Roman" w:hAnsi="Times New Roman" w:cs="Times New Roman" w:eastAsia="Times New Roman" w:hint="default"/>
        </w:rPr>
      </w:pPr>
      <w:r>
        <w:rPr/>
        <w:pict>
          <v:shape style="position:absolute;margin-left:177.146011pt;margin-top:-174.038284pt;width:42.4pt;height:378.55pt;mso-position-horizontal-relative:page;mso-position-vertical-relative:paragraph;z-index:-8836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pStyle w:val="BodyText"/>
                    <w:spacing w:line="240" w:lineRule="auto"/>
                    <w:ind w:left="0" w:right="0"/>
                    <w:jc w:val="left"/>
                  </w:pPr>
                  <w:r>
                    <w:rPr/>
                    <w:t>；</w:t>
                  </w:r>
                </w:p>
              </w:txbxContent>
            </v:textbox>
            <w10:wrap type="none"/>
          </v:shape>
        </w:pict>
      </w:r>
      <w:r>
        <w:rPr/>
        <w:pict>
          <v:shape style="position:absolute;margin-left:340.847015pt;margin-top:-174.038284pt;width:111.2pt;height:378.55pt;mso-position-horizontal-relative:page;mso-position-vertical-relative:paragraph;z-index:-8836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BodyText"/>
                    <w:spacing w:line="240" w:lineRule="auto"/>
                    <w:ind w:left="0" w:right="0"/>
                    <w:jc w:val="left"/>
                  </w:pPr>
                  <w:r>
                    <w:rPr/>
                    <w:t>员作出以下承诺：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BodyText"/>
                    <w:spacing w:line="240" w:lineRule="auto"/>
                    <w:ind w:left="540" w:right="0"/>
                    <w:jc w:val="left"/>
                  </w:pPr>
                  <w:r>
                    <w:rPr/>
                    <w:t>本人承诺，</w:t>
                  </w:r>
                </w:p>
              </w:txbxContent>
            </v:textbox>
            <w10:wrap type="none"/>
          </v:shape>
        </w:pict>
      </w:r>
      <w:r>
        <w:rPr/>
        <w:t>或者个人输送利益，也不采用其他方式损害公司</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8"/>
        </w:rPr>
        <w:t> </w:t>
      </w:r>
      <w:r>
        <w:rPr/>
        <w:t>年</w:t>
      </w:r>
      <w:r>
        <w:rPr>
          <w:spacing w:val="-64"/>
        </w:rPr>
        <w:t> </w:t>
      </w:r>
      <w:r>
        <w:rPr>
          <w:rFonts w:ascii="Times New Roman" w:hAnsi="Times New Roman" w:cs="Times New Roman" w:eastAsia="Times New Roman" w:hint="default"/>
        </w:rPr>
        <w:t>12</w:t>
      </w:r>
    </w:p>
    <w:p>
      <w:pPr>
        <w:pStyle w:val="BodyText"/>
        <w:spacing w:line="166" w:lineRule="exact"/>
        <w:ind w:left="0" w:right="0"/>
        <w:jc w:val="right"/>
      </w:pPr>
      <w:r>
        <w:rPr/>
        <w:t>长期</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BodyText"/>
        <w:spacing w:line="310" w:lineRule="atLeast"/>
        <w:ind w:left="235" w:right="1241" w:firstLine="91"/>
        <w:jc w:val="left"/>
      </w:pPr>
      <w:r>
        <w:rPr/>
        <w:t>正常履 行，不存 在违反该</w:t>
      </w:r>
    </w:p>
    <w:p>
      <w:pPr>
        <w:spacing w:after="0" w:line="310" w:lineRule="atLeast"/>
        <w:jc w:val="left"/>
        <w:sectPr>
          <w:type w:val="continuous"/>
          <w:pgSz w:w="11910" w:h="16840"/>
          <w:pgMar w:top="1060" w:bottom="1160" w:left="980" w:right="0"/>
          <w:cols w:num="4" w:equalWidth="0">
            <w:col w:w="2655" w:space="40"/>
            <w:col w:w="623" w:space="40"/>
            <w:col w:w="5313" w:space="40"/>
            <w:col w:w="2219"/>
          </w:cols>
        </w:sectPr>
      </w:pPr>
    </w:p>
    <w:p>
      <w:pPr>
        <w:pStyle w:val="BodyText"/>
        <w:spacing w:line="156" w:lineRule="exact"/>
        <w:ind w:left="1033" w:right="0"/>
        <w:jc w:val="center"/>
      </w:pPr>
      <w:r>
        <w:rPr>
          <w:spacing w:val="-11"/>
        </w:rPr>
        <w:t>罗炜；徐哲；詹榜华</w:t>
      </w:r>
    </w:p>
    <w:p>
      <w:pPr>
        <w:pStyle w:val="BodyText"/>
        <w:spacing w:line="240" w:lineRule="auto" w:before="76"/>
        <w:ind w:left="1120" w:right="0"/>
        <w:jc w:val="center"/>
      </w:pPr>
      <w:r>
        <w:rPr/>
        <w:t>张益谦；周贤伟</w:t>
      </w:r>
    </w:p>
    <w:p>
      <w:pPr>
        <w:pStyle w:val="BodyText"/>
        <w:tabs>
          <w:tab w:pos="841" w:val="left" w:leader="none"/>
        </w:tabs>
        <w:spacing w:line="170" w:lineRule="exact"/>
        <w:ind w:left="841" w:right="-4" w:hanging="488"/>
        <w:jc w:val="left"/>
      </w:pPr>
      <w:r>
        <w:rPr/>
        <w:br w:type="column"/>
      </w:r>
      <w:r>
        <w:rPr/>
        <w:t>诺</w:t>
        <w:tab/>
      </w:r>
      <w:r>
        <w:rPr>
          <w:spacing w:val="2"/>
        </w:rPr>
        <w:t>利益；</w:t>
      </w:r>
      <w:r>
        <w:rPr>
          <w:rFonts w:ascii="Times New Roman" w:hAnsi="Times New Roman" w:cs="Times New Roman" w:eastAsia="Times New Roman" w:hint="default"/>
          <w:spacing w:val="2"/>
        </w:rPr>
        <w:t>2</w:t>
      </w:r>
      <w:r>
        <w:rPr>
          <w:spacing w:val="2"/>
        </w:rPr>
        <w:t>、本人承诺对本人的职务消费行为进行</w:t>
      </w:r>
      <w:r>
        <w:rPr/>
      </w:r>
    </w:p>
    <w:p>
      <w:pPr>
        <w:pStyle w:val="BodyText"/>
        <w:spacing w:line="312" w:lineRule="auto" w:before="63"/>
        <w:ind w:left="841" w:right="-12"/>
        <w:jc w:val="left"/>
        <w:rPr>
          <w:rFonts w:ascii="Times New Roman" w:hAnsi="Times New Roman" w:cs="Times New Roman" w:eastAsia="Times New Roman" w:hint="default"/>
        </w:rPr>
      </w:pPr>
      <w:r>
        <w:rPr>
          <w:spacing w:val="2"/>
        </w:rPr>
        <w:t>约束；</w:t>
      </w:r>
      <w:r>
        <w:rPr>
          <w:rFonts w:ascii="Times New Roman" w:hAnsi="Times New Roman" w:cs="Times New Roman" w:eastAsia="Times New Roman" w:hint="default"/>
          <w:spacing w:val="2"/>
        </w:rPr>
        <w:t>3</w:t>
      </w:r>
      <w:r>
        <w:rPr>
          <w:spacing w:val="2"/>
        </w:rPr>
        <w:t>、本人承诺不动用公司资产从事与本人</w:t>
      </w:r>
      <w:r>
        <w:rPr>
          <w:spacing w:val="-88"/>
        </w:rPr>
        <w:t> </w:t>
      </w:r>
      <w:r>
        <w:rPr>
          <w:spacing w:val="-88"/>
        </w:rPr>
      </w:r>
      <w:r>
        <w:rPr>
          <w:spacing w:val="2"/>
        </w:rPr>
        <w:t>履行职责无关的投资、消费活动；</w:t>
      </w:r>
      <w:r>
        <w:rPr>
          <w:rFonts w:ascii="Times New Roman" w:hAnsi="Times New Roman" w:cs="Times New Roman" w:eastAsia="Times New Roman" w:hint="default"/>
          <w:spacing w:val="2"/>
        </w:rPr>
        <w:t>4</w:t>
      </w:r>
      <w:r>
        <w:rPr>
          <w:spacing w:val="2"/>
        </w:rPr>
        <w:t>、本人承诺</w:t>
      </w:r>
      <w:r>
        <w:rPr>
          <w:spacing w:val="-87"/>
        </w:rPr>
        <w:t> </w:t>
      </w:r>
      <w:r>
        <w:rPr>
          <w:spacing w:val="7"/>
        </w:rPr>
        <w:t>由董事会或薪酬委员会制定的薪酬制度与公司</w:t>
      </w:r>
      <w:r>
        <w:rPr>
          <w:spacing w:val="-87"/>
        </w:rPr>
        <w:t> </w:t>
      </w:r>
      <w:r>
        <w:rPr>
          <w:spacing w:val="-87"/>
        </w:rPr>
      </w:r>
      <w:r>
        <w:rPr/>
        <w:t>填补回报措施的执行情况相挂钩；</w:t>
      </w:r>
      <w:r>
        <w:rPr>
          <w:rFonts w:ascii="Times New Roman" w:hAnsi="Times New Roman" w:cs="Times New Roman" w:eastAsia="Times New Roman" w:hint="default"/>
        </w:rPr>
        <w:t>5</w:t>
      </w:r>
      <w:r>
        <w:rPr/>
        <w:t>、 </w:t>
      </w:r>
      <w:r>
        <w:rPr>
          <w:spacing w:val="-2"/>
        </w:rPr>
        <w:t>如公司拟进行员工股权激励，则拟公布的公司股</w:t>
      </w:r>
      <w:r>
        <w:rPr>
          <w:spacing w:val="-84"/>
        </w:rPr>
        <w:t> </w:t>
      </w:r>
      <w:r>
        <w:rPr>
          <w:spacing w:val="-84"/>
        </w:rPr>
      </w:r>
      <w:r>
        <w:rPr>
          <w:spacing w:val="7"/>
        </w:rPr>
        <w:t>权激励的行权条件与公司填补回报措施的执行</w:t>
      </w:r>
      <w:r>
        <w:rPr>
          <w:spacing w:val="-87"/>
        </w:rPr>
        <w:t> </w:t>
      </w:r>
      <w:r>
        <w:rPr>
          <w:spacing w:val="-87"/>
        </w:rPr>
      </w:r>
      <w:r>
        <w:rPr>
          <w:spacing w:val="2"/>
        </w:rPr>
        <w:t>情况相挂钩。</w:t>
      </w:r>
      <w:r>
        <w:rPr>
          <w:rFonts w:ascii="Times New Roman" w:hAnsi="Times New Roman" w:cs="Times New Roman" w:eastAsia="Times New Roman" w:hint="default"/>
          <w:spacing w:val="2"/>
        </w:rPr>
        <w:t>6</w:t>
      </w:r>
      <w:r>
        <w:rPr>
          <w:spacing w:val="2"/>
        </w:rPr>
        <w:t>、本人承诺切实履行公司制定的</w:t>
      </w:r>
      <w:r>
        <w:rPr/>
        <w:t> </w:t>
      </w:r>
      <w:r>
        <w:rPr>
          <w:spacing w:val="7"/>
        </w:rPr>
        <w:t>有关填补回报措施以及对此作出的任何有关填</w:t>
      </w:r>
      <w:r>
        <w:rPr>
          <w:spacing w:val="-87"/>
        </w:rPr>
        <w:t> </w:t>
      </w:r>
      <w:r>
        <w:rPr>
          <w:spacing w:val="-87"/>
        </w:rPr>
      </w:r>
      <w:r>
        <w:rPr>
          <w:spacing w:val="-2"/>
        </w:rPr>
        <w:t>补回报措施的承诺，若违反该等承诺并给公司或</w:t>
      </w:r>
      <w:r>
        <w:rPr>
          <w:spacing w:val="-84"/>
        </w:rPr>
        <w:t> </w:t>
      </w:r>
      <w:r>
        <w:rPr>
          <w:spacing w:val="-84"/>
        </w:rPr>
      </w:r>
      <w:r>
        <w:rPr>
          <w:spacing w:val="-2"/>
        </w:rPr>
        <w:t>者投资者造成损失的，本人愿意依法承担对公司</w:t>
      </w:r>
      <w:r>
        <w:rPr>
          <w:spacing w:val="-84"/>
        </w:rPr>
        <w:t> </w:t>
      </w:r>
      <w:r>
        <w:rPr>
          <w:spacing w:val="-84"/>
        </w:rPr>
      </w:r>
      <w:r>
        <w:rPr/>
        <w:t>或者投资者的补偿责任。</w:t>
      </w:r>
      <w:r>
        <w:rPr>
          <w:rFonts w:ascii="Times New Roman" w:hAnsi="Times New Roman" w:cs="Times New Roman" w:eastAsia="Times New Roman" w:hint="default"/>
        </w:rPr>
        <w:t>”</w:t>
      </w:r>
    </w:p>
    <w:p>
      <w:pPr>
        <w:pStyle w:val="BodyText"/>
        <w:spacing w:line="170" w:lineRule="exact"/>
        <w:ind w:left="92" w:right="-17"/>
        <w:jc w:val="left"/>
      </w:pPr>
      <w:r>
        <w:rPr/>
        <w:br w:type="column"/>
      </w:r>
      <w:r>
        <w:rPr/>
        <w:t>月</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w:t>
      </w:r>
    </w:p>
    <w:p>
      <w:pPr>
        <w:pStyle w:val="BodyText"/>
        <w:spacing w:line="316" w:lineRule="auto" w:before="76"/>
        <w:ind w:left="1033" w:right="1347"/>
        <w:jc w:val="center"/>
      </w:pPr>
      <w:r>
        <w:rPr/>
        <w:br w:type="column"/>
      </w:r>
      <w:r>
        <w:rPr/>
        <w:t>承诺情 形。</w:t>
      </w:r>
    </w:p>
    <w:p>
      <w:pPr>
        <w:spacing w:after="0" w:line="316" w:lineRule="auto"/>
        <w:jc w:val="center"/>
        <w:sectPr>
          <w:type w:val="continuous"/>
          <w:pgSz w:w="11910" w:h="16840"/>
          <w:pgMar w:top="1060" w:bottom="1160" w:left="980" w:right="0"/>
          <w:cols w:num="4" w:equalWidth="0">
            <w:col w:w="2563" w:space="40"/>
            <w:col w:w="4590" w:space="40"/>
            <w:col w:w="727" w:space="44"/>
            <w:col w:w="2926"/>
          </w:cols>
        </w:sectPr>
      </w:pPr>
    </w:p>
    <w:p>
      <w:pPr>
        <w:spacing w:line="240" w:lineRule="auto" w:before="0"/>
        <w:rPr>
          <w:rFonts w:ascii="宋体" w:hAnsi="宋体" w:cs="宋体" w:eastAsia="宋体" w:hint="default"/>
          <w:sz w:val="18"/>
          <w:szCs w:val="18"/>
        </w:rPr>
      </w:pPr>
      <w:r>
        <w:rPr/>
        <w:pict>
          <v:group style="position:absolute;margin-left:54.959999pt;margin-top:71.759979pt;width:479.05pt;height:685.45pt;mso-position-horizontal-relative:page;mso-position-vertical-relative:page;z-index:-883600" coordorigin="1099,1435" coordsize="9581,13709">
            <v:group style="position:absolute;left:1111;top:1450;width:870;height:4177" coordorigin="1111,1450" coordsize="870,4177">
              <v:shape style="position:absolute;left:1111;top:1450;width:870;height:4177" coordorigin="1111,1450" coordsize="870,4177" path="m1111,5627l1980,5627,1980,1450,1111,1450,1111,5627xe" filled="true" fillcolor="#d2d2d2" stroked="false">
                <v:path arrowok="t"/>
                <v:fill type="solid"/>
              </v:shape>
            </v:group>
            <v:group style="position:absolute;left:1109;top:1445;width:872;height:2" coordorigin="1109,1445" coordsize="872,2">
              <v:shape style="position:absolute;left:1109;top:1445;width:872;height:2" coordorigin="1109,1445" coordsize="872,0" path="m1109,1445l1980,1445e" filled="false" stroked="true" strokeweight=".48pt" strokecolor="#000000">
                <v:path arrowok="t"/>
              </v:shape>
            </v:group>
            <v:group style="position:absolute;left:1990;top:1445;width:1664;height:2" coordorigin="1990,1445" coordsize="1664,2">
              <v:shape style="position:absolute;left:1990;top:1445;width:1664;height:2" coordorigin="1990,1445" coordsize="1664,0" path="m1990,1445l3653,1445e" filled="false" stroked="true" strokeweight=".48pt" strokecolor="#000000">
                <v:path arrowok="t"/>
              </v:shape>
            </v:group>
            <v:group style="position:absolute;left:3663;top:1445;width:728;height:2" coordorigin="3663,1445" coordsize="728,2">
              <v:shape style="position:absolute;left:3663;top:1445;width:728;height:2" coordorigin="3663,1445" coordsize="728,0" path="m3663,1445l4390,1445e" filled="false" stroked="true" strokeweight=".48pt" strokecolor="#000000">
                <v:path arrowok="t"/>
              </v:shape>
            </v:group>
            <v:group style="position:absolute;left:8200;top:1450;width:841;height:4177" coordorigin="8200,1450" coordsize="841,4177">
              <v:shape style="position:absolute;left:8200;top:1450;width:841;height:4177" coordorigin="8200,1450" coordsize="841,4177" path="m8200,5627l9040,5627,9040,1450,8200,1450,8200,5627xe" filled="true" fillcolor="#ffffff" stroked="false">
                <v:path arrowok="t"/>
                <v:fill type="solid"/>
              </v:shape>
            </v:group>
            <v:group style="position:absolute;left:4400;top:1445;width:3790;height:2" coordorigin="4400,1445" coordsize="3790,2">
              <v:shape style="position:absolute;left:4400;top:1445;width:3790;height:2" coordorigin="4400,1445" coordsize="3790,0" path="m4400,1445l8190,1445e" filled="false" stroked="true" strokeweight=".48pt" strokecolor="#000000">
                <v:path arrowok="t"/>
              </v:shape>
            </v:group>
            <v:group style="position:absolute;left:8200;top:1445;width:841;height:2" coordorigin="8200,1445" coordsize="841,2">
              <v:shape style="position:absolute;left:8200;top:1445;width:841;height:2" coordorigin="8200,1445" coordsize="841,0" path="m8200,1445l9040,1445e" filled="false" stroked="true" strokeweight=".48pt" strokecolor="#000000">
                <v:path arrowok="t"/>
              </v:shape>
            </v:group>
            <v:group style="position:absolute;left:9050;top:1445;width:840;height:2" coordorigin="9050,1445" coordsize="840,2">
              <v:shape style="position:absolute;left:9050;top:1445;width:840;height:2" coordorigin="9050,1445" coordsize="840,0" path="m9050,1445l9890,1445e" filled="false" stroked="true" strokeweight=".48pt" strokecolor="#000000">
                <v:path arrowok="t"/>
              </v:shape>
            </v:group>
            <v:group style="position:absolute;left:9900;top:1445;width:771;height:2" coordorigin="9900,1445" coordsize="771,2">
              <v:shape style="position:absolute;left:9900;top:1445;width:771;height:2" coordorigin="9900,1445" coordsize="771,0" path="m9900,1445l10670,1445e" filled="false" stroked="true" strokeweight=".48pt" strokecolor="#000000">
                <v:path arrowok="t"/>
              </v:shape>
            </v:group>
            <v:group style="position:absolute;left:1111;top:5627;width:870;height:7581" coordorigin="1111,5627" coordsize="870,7581">
              <v:shape style="position:absolute;left:1111;top:5627;width:870;height:7581" coordorigin="1111,5627" coordsize="870,7581" path="m1111,13207l1980,13207,1980,5627,1111,5627,1111,13207xe" filled="true" fillcolor="#d2d2d2" stroked="false">
                <v:path arrowok="t"/>
                <v:fill type="solid"/>
              </v:shape>
            </v:group>
            <v:group style="position:absolute;left:3663;top:5636;width:728;height:7571" coordorigin="3663,5636" coordsize="728,7571">
              <v:shape style="position:absolute;left:3663;top:5636;width:728;height:7571" coordorigin="3663,5636" coordsize="728,7571" path="m3663,13207l4390,13207,4390,5636,3663,5636,3663,13207xe" filled="true" fillcolor="#ffffff" stroked="false">
                <v:path arrowok="t"/>
                <v:fill type="solid"/>
              </v:shape>
            </v:group>
            <v:group style="position:absolute;left:3687;top:9069;width:683;height:353" coordorigin="3687,9069" coordsize="683,353">
              <v:shape style="position:absolute;left:3687;top:9069;width:683;height:353" coordorigin="3687,9069" coordsize="683,353" path="m3687,9421l4369,9421,4369,9069,3687,9069,3687,9421xe" filled="true" fillcolor="#ffffff" stroked="false">
                <v:path arrowok="t"/>
                <v:fill type="solid"/>
              </v:shape>
            </v:group>
            <v:group style="position:absolute;left:3687;top:9421;width:683;height:353" coordorigin="3687,9421" coordsize="683,353">
              <v:shape style="position:absolute;left:3687;top:9421;width:683;height:353" coordorigin="3687,9421" coordsize="683,353" path="m3687,9774l4369,9774,4369,9421,3687,9421,3687,9774xe" filled="true" fillcolor="#ffffff" stroked="false">
                <v:path arrowok="t"/>
                <v:fill type="solid"/>
              </v:shape>
            </v:group>
            <v:group style="position:absolute;left:8200;top:5636;width:841;height:7571" coordorigin="8200,5636" coordsize="841,7571">
              <v:shape style="position:absolute;left:8200;top:5636;width:841;height:7571" coordorigin="8200,5636" coordsize="841,7571" path="m8200,13207l9040,13207,9040,5636,8200,5636,8200,13207xe" filled="true" fillcolor="#ffffff" stroked="false">
                <v:path arrowok="t"/>
                <v:fill type="solid"/>
              </v:shape>
            </v:group>
            <v:group style="position:absolute;left:8224;top:9069;width:795;height:353" coordorigin="8224,9069" coordsize="795,353">
              <v:shape style="position:absolute;left:8224;top:9069;width:795;height:353" coordorigin="8224,9069" coordsize="795,353" path="m8224,9421l9019,9421,9019,9069,8224,9069,8224,9421xe" filled="true" fillcolor="#ffffff" stroked="false">
                <v:path arrowok="t"/>
                <v:fill type="solid"/>
              </v:shape>
            </v:group>
            <v:group style="position:absolute;left:8224;top:9421;width:795;height:353" coordorigin="8224,9421" coordsize="795,353">
              <v:shape style="position:absolute;left:8224;top:9421;width:795;height:353" coordorigin="8224,9421" coordsize="795,353" path="m8224,9774l9019,9774,9019,9421,8224,9421,8224,9774xe" filled="true" fillcolor="#ffffff" stroked="false">
                <v:path arrowok="t"/>
                <v:fill type="solid"/>
              </v:shape>
            </v:group>
            <v:group style="position:absolute;left:1990;top:5631;width:1664;height:2" coordorigin="1990,5631" coordsize="1664,2">
              <v:shape style="position:absolute;left:1990;top:5631;width:1664;height:2" coordorigin="1990,5631" coordsize="1664,0" path="m1990,5631l3653,5631e" filled="false" stroked="true" strokeweight=".48001pt" strokecolor="#000000">
                <v:path arrowok="t"/>
              </v:shape>
            </v:group>
            <v:group style="position:absolute;left:3663;top:5631;width:728;height:2" coordorigin="3663,5631" coordsize="728,2">
              <v:shape style="position:absolute;left:3663;top:5631;width:728;height:2" coordorigin="3663,5631" coordsize="728,0" path="m3663,5631l4390,5631e" filled="false" stroked="true" strokeweight=".48001pt" strokecolor="#000000">
                <v:path arrowok="t"/>
              </v:shape>
            </v:group>
            <v:group style="position:absolute;left:4400;top:5631;width:3790;height:2" coordorigin="4400,5631" coordsize="3790,2">
              <v:shape style="position:absolute;left:4400;top:5631;width:3790;height:2" coordorigin="4400,5631" coordsize="3790,0" path="m4400,5631l8190,5631e" filled="false" stroked="true" strokeweight=".48001pt" strokecolor="#000000">
                <v:path arrowok="t"/>
              </v:shape>
            </v:group>
            <v:group style="position:absolute;left:8200;top:5631;width:841;height:2" coordorigin="8200,5631" coordsize="841,2">
              <v:shape style="position:absolute;left:8200;top:5631;width:841;height:2" coordorigin="8200,5631" coordsize="841,0" path="m8200,5631l9040,5631e" filled="false" stroked="true" strokeweight=".48001pt" strokecolor="#000000">
                <v:path arrowok="t"/>
              </v:shape>
            </v:group>
            <v:group style="position:absolute;left:9050;top:5631;width:840;height:2" coordorigin="9050,5631" coordsize="840,2">
              <v:shape style="position:absolute;left:9050;top:5631;width:840;height:2" coordorigin="9050,5631" coordsize="840,0" path="m9050,5631l9890,5631e" filled="false" stroked="true" strokeweight=".48001pt" strokecolor="#000000">
                <v:path arrowok="t"/>
              </v:shape>
            </v:group>
            <v:group style="position:absolute;left:9900;top:5631;width:771;height:2" coordorigin="9900,5631" coordsize="771,2">
              <v:shape style="position:absolute;left:9900;top:5631;width:771;height:2" coordorigin="9900,5631" coordsize="771,0" path="m9900,5631l10670,5631e" filled="false" stroked="true" strokeweight=".48001pt" strokecolor="#000000">
                <v:path arrowok="t"/>
              </v:shape>
            </v:group>
            <v:group style="position:absolute;left:1111;top:13207;width:870;height:1921" coordorigin="1111,13207" coordsize="870,1921">
              <v:shape style="position:absolute;left:1111;top:13207;width:870;height:1921" coordorigin="1111,13207" coordsize="870,1921" path="m1111,15127l1980,15127,1980,13207,1111,13207,1111,15127xe" filled="true" fillcolor="#d2d2d2" stroked="false">
                <v:path arrowok="t"/>
                <v:fill type="solid"/>
              </v:shape>
            </v:group>
            <v:group style="position:absolute;left:1990;top:13212;width:1664;height:2" coordorigin="1990,13212" coordsize="1664,2">
              <v:shape style="position:absolute;left:1990;top:13212;width:1664;height:2" coordorigin="1990,13212" coordsize="1664,0" path="m1990,13212l3653,13212e" filled="false" stroked="true" strokeweight=".47998pt" strokecolor="#000000">
                <v:path arrowok="t"/>
              </v:shape>
            </v:group>
            <v:group style="position:absolute;left:3663;top:13212;width:728;height:2" coordorigin="3663,13212" coordsize="728,2">
              <v:shape style="position:absolute;left:3663;top:13212;width:728;height:2" coordorigin="3663,13212" coordsize="728,0" path="m3663,13212l4390,13212e" filled="false" stroked="true" strokeweight=".47998pt" strokecolor="#000000">
                <v:path arrowok="t"/>
              </v:shape>
            </v:group>
            <v:group style="position:absolute;left:4400;top:13212;width:3790;height:2" coordorigin="4400,13212" coordsize="3790,2">
              <v:shape style="position:absolute;left:4400;top:13212;width:3790;height:2" coordorigin="4400,13212" coordsize="3790,0" path="m4400,13212l8190,13212e" filled="false" stroked="true" strokeweight=".47998pt" strokecolor="#000000">
                <v:path arrowok="t"/>
              </v:shape>
            </v:group>
            <v:group style="position:absolute;left:8200;top:13212;width:841;height:2" coordorigin="8200,13212" coordsize="841,2">
              <v:shape style="position:absolute;left:8200;top:13212;width:841;height:2" coordorigin="8200,13212" coordsize="841,0" path="m8200,13212l9040,13212e" filled="false" stroked="true" strokeweight=".47998pt" strokecolor="#000000">
                <v:path arrowok="t"/>
              </v:shape>
            </v:group>
            <v:group style="position:absolute;left:9050;top:13212;width:840;height:2" coordorigin="9050,13212" coordsize="840,2">
              <v:shape style="position:absolute;left:9050;top:13212;width:840;height:2" coordorigin="9050,13212" coordsize="840,0" path="m9050,13212l9890,13212e" filled="false" stroked="true" strokeweight=".47998pt" strokecolor="#000000">
                <v:path arrowok="t"/>
              </v:shape>
            </v:group>
            <v:group style="position:absolute;left:9900;top:13212;width:771;height:2" coordorigin="9900,13212" coordsize="771,2">
              <v:shape style="position:absolute;left:9900;top:13212;width:771;height:2" coordorigin="9900,13212" coordsize="771,0" path="m9900,13212l10670,13212e" filled="false" stroked="true" strokeweight=".47998pt" strokecolor="#000000">
                <v:path arrowok="t"/>
              </v:shape>
            </v:group>
            <v:group style="position:absolute;left:1104;top:1440;width:2;height:13700" coordorigin="1104,1440" coordsize="2,13700">
              <v:shape style="position:absolute;left:1104;top:1440;width:2;height:13700" coordorigin="1104,1440" coordsize="0,13700" path="m1104,1440l1104,15139e" filled="false" stroked="true" strokeweight=".48pt" strokecolor="#000000">
                <v:path arrowok="t"/>
              </v:shape>
            </v:group>
            <v:group style="position:absolute;left:1109;top:15134;width:872;height:2" coordorigin="1109,15134" coordsize="872,2">
              <v:shape style="position:absolute;left:1109;top:15134;width:872;height:2" coordorigin="1109,15134" coordsize="872,0" path="m1109,15134l1980,15134e" filled="false" stroked="true" strokeweight=".48004pt" strokecolor="#000000">
                <v:path arrowok="t"/>
              </v:shape>
            </v:group>
            <v:group style="position:absolute;left:1985;top:1440;width:2;height:13700" coordorigin="1985,1440" coordsize="2,13700">
              <v:shape style="position:absolute;left:1985;top:1440;width:2;height:13700" coordorigin="1985,1440" coordsize="0,13700" path="m1985,1440l1985,15139e" filled="false" stroked="true" strokeweight=".48pt" strokecolor="#000000">
                <v:path arrowok="t"/>
              </v:shape>
            </v:group>
            <v:group style="position:absolute;left:1990;top:15134;width:1664;height:2" coordorigin="1990,15134" coordsize="1664,2">
              <v:shape style="position:absolute;left:1990;top:15134;width:1664;height:2" coordorigin="1990,15134" coordsize="1664,0" path="m1990,15134l3653,15134e" filled="false" stroked="true" strokeweight=".48004pt" strokecolor="#000000">
                <v:path arrowok="t"/>
              </v:shape>
            </v:group>
            <v:group style="position:absolute;left:3658;top:1440;width:2;height:13700" coordorigin="3658,1440" coordsize="2,13700">
              <v:shape style="position:absolute;left:3658;top:1440;width:2;height:13700" coordorigin="3658,1440" coordsize="0,13700" path="m3658,1440l3658,15139e" filled="false" stroked="true" strokeweight=".48pt" strokecolor="#000000">
                <v:path arrowok="t"/>
              </v:shape>
            </v:group>
            <v:group style="position:absolute;left:3663;top:15134;width:728;height:2" coordorigin="3663,15134" coordsize="728,2">
              <v:shape style="position:absolute;left:3663;top:15134;width:728;height:2" coordorigin="3663,15134" coordsize="728,0" path="m3663,15134l4390,15134e" filled="false" stroked="true" strokeweight=".48004pt" strokecolor="#000000">
                <v:path arrowok="t"/>
              </v:shape>
            </v:group>
            <v:group style="position:absolute;left:4395;top:1440;width:2;height:13700" coordorigin="4395,1440" coordsize="2,13700">
              <v:shape style="position:absolute;left:4395;top:1440;width:2;height:13700" coordorigin="4395,1440" coordsize="0,13700" path="m4395,1440l4395,15139e" filled="false" stroked="true" strokeweight=".48pt" strokecolor="#000000">
                <v:path arrowok="t"/>
              </v:shape>
            </v:group>
            <v:group style="position:absolute;left:4400;top:15134;width:3790;height:2" coordorigin="4400,15134" coordsize="3790,2">
              <v:shape style="position:absolute;left:4400;top:15134;width:3790;height:2" coordorigin="4400,15134" coordsize="3790,0" path="m4400,15134l8190,15134e" filled="false" stroked="true" strokeweight=".48004pt" strokecolor="#000000">
                <v:path arrowok="t"/>
              </v:shape>
            </v:group>
            <v:group style="position:absolute;left:8195;top:1440;width:2;height:13700" coordorigin="8195,1440" coordsize="2,13700">
              <v:shape style="position:absolute;left:8195;top:1440;width:2;height:13700" coordorigin="8195,1440" coordsize="0,13700" path="m8195,1440l8195,15139e" filled="false" stroked="true" strokeweight=".48001pt" strokecolor="#000000">
                <v:path arrowok="t"/>
              </v:shape>
            </v:group>
            <v:group style="position:absolute;left:8200;top:15134;width:841;height:2" coordorigin="8200,15134" coordsize="841,2">
              <v:shape style="position:absolute;left:8200;top:15134;width:841;height:2" coordorigin="8200,15134" coordsize="841,0" path="m8200,15134l9040,15134e" filled="false" stroked="true" strokeweight=".48004pt" strokecolor="#000000">
                <v:path arrowok="t"/>
              </v:shape>
            </v:group>
            <v:group style="position:absolute;left:9045;top:1440;width:2;height:13700" coordorigin="9045,1440" coordsize="2,13700">
              <v:shape style="position:absolute;left:9045;top:1440;width:2;height:13700" coordorigin="9045,1440" coordsize="0,13700" path="m9045,1440l9045,15139e" filled="false" stroked="true" strokeweight=".48001pt" strokecolor="#000000">
                <v:path arrowok="t"/>
              </v:shape>
            </v:group>
            <v:group style="position:absolute;left:9050;top:15134;width:840;height:2" coordorigin="9050,15134" coordsize="840,2">
              <v:shape style="position:absolute;left:9050;top:15134;width:840;height:2" coordorigin="9050,15134" coordsize="840,0" path="m9050,15134l9890,15134e" filled="false" stroked="true" strokeweight=".48004pt" strokecolor="#000000">
                <v:path arrowok="t"/>
              </v:shape>
            </v:group>
            <v:group style="position:absolute;left:9895;top:1440;width:2;height:13700" coordorigin="9895,1440" coordsize="2,13700">
              <v:shape style="position:absolute;left:9895;top:1440;width:2;height:13700" coordorigin="9895,1440" coordsize="0,13700" path="m9895,1440l9895,15139e" filled="false" stroked="true" strokeweight=".48001pt" strokecolor="#000000">
                <v:path arrowok="t"/>
              </v:shape>
            </v:group>
            <v:group style="position:absolute;left:9900;top:15134;width:771;height:2" coordorigin="9900,15134" coordsize="771,2">
              <v:shape style="position:absolute;left:9900;top:15134;width:771;height:2" coordorigin="9900,15134" coordsize="771,0" path="m9900,15134l10670,15134e" filled="false" stroked="true" strokeweight=".48004pt" strokecolor="#000000">
                <v:path arrowok="t"/>
              </v:shape>
            </v:group>
            <v:group style="position:absolute;left:10675;top:1440;width:2;height:13700" coordorigin="10675,1440" coordsize="2,13700">
              <v:shape style="position:absolute;left:10675;top:1440;width:2;height:13700" coordorigin="10675,1440" coordsize="0,13700" path="m10675,1440l10675,15139e" filled="false" stroked="true" strokeweight=".47998pt" strokecolor="#000000">
                <v:path arrowok="t"/>
              </v:shape>
            </v:group>
            <w10:wrap type="none"/>
          </v:group>
        </w:pic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BodyText"/>
        <w:spacing w:line="316" w:lineRule="auto"/>
        <w:ind w:left="1302" w:right="-15" w:hanging="269"/>
        <w:jc w:val="left"/>
      </w:pPr>
      <w:r>
        <w:rPr>
          <w:spacing w:val="-1"/>
        </w:rPr>
        <w:t>林雪焰；刘汉莎；詹</w:t>
      </w:r>
      <w:r>
        <w:rPr>
          <w:spacing w:val="-87"/>
        </w:rPr>
        <w:t> </w:t>
      </w:r>
      <w:r>
        <w:rPr>
          <w:spacing w:val="-87"/>
        </w:rPr>
      </w:r>
      <w:r>
        <w:rPr/>
        <w:t>榜华；张益谦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BodyText"/>
        <w:spacing w:line="316" w:lineRule="auto"/>
        <w:ind w:left="267" w:right="-20" w:hanging="180"/>
        <w:jc w:val="left"/>
      </w:pPr>
      <w:r>
        <w:rPr/>
        <w:t>其他承 诺</w:t>
      </w:r>
    </w:p>
    <w:p>
      <w:pPr>
        <w:pStyle w:val="BodyText"/>
        <w:spacing w:line="316" w:lineRule="auto" w:before="94"/>
        <w:ind w:left="87" w:right="0"/>
        <w:jc w:val="both"/>
      </w:pPr>
      <w:r>
        <w:rPr>
          <w:spacing w:val="-2"/>
        </w:rPr>
        <w:br w:type="column"/>
      </w:r>
      <w:r>
        <w:rPr>
          <w:spacing w:val="-2"/>
        </w:rPr>
        <w:t>公司首次公开发行并上市后，所持股票在锁定期</w:t>
      </w:r>
      <w:r>
        <w:rPr>
          <w:spacing w:val="-84"/>
        </w:rPr>
        <w:t> </w:t>
      </w:r>
      <w:r>
        <w:rPr>
          <w:spacing w:val="-84"/>
        </w:rPr>
      </w:r>
      <w:r>
        <w:rPr>
          <w:spacing w:val="-2"/>
        </w:rPr>
        <w:t>满后两年内减持的，减持价格不低于发行价；公</w:t>
      </w:r>
      <w:r>
        <w:rPr/>
        <w:t> 司上市后</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个月内如股票连续</w:t>
      </w:r>
      <w:r>
        <w:rPr>
          <w:spacing w:val="-47"/>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个交易日的收</w:t>
      </w:r>
    </w:p>
    <w:p>
      <w:pPr>
        <w:pStyle w:val="BodyText"/>
        <w:spacing w:line="309" w:lineRule="auto"/>
        <w:ind w:left="87" w:right="0"/>
        <w:jc w:val="both"/>
      </w:pPr>
      <w:r>
        <w:rPr>
          <w:spacing w:val="-3"/>
        </w:rPr>
        <w:t>盘价均低于发行价，或者上市后</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个月期末收盘 </w:t>
      </w:r>
      <w:r>
        <w:rPr>
          <w:spacing w:val="-2"/>
        </w:rPr>
        <w:t>价低于发行价，持有公司股票的锁定期限将自动</w:t>
      </w:r>
      <w:r>
        <w:rPr>
          <w:spacing w:val="-84"/>
        </w:rPr>
        <w:t> </w:t>
      </w:r>
      <w:r>
        <w:rPr>
          <w:spacing w:val="-84"/>
        </w:rPr>
      </w:r>
      <w:r>
        <w:rPr/>
        <w:t>延长</w:t>
      </w:r>
      <w:r>
        <w:rPr>
          <w:spacing w:val="-39"/>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spacing w:val="-3"/>
        </w:rPr>
        <w:t>个月。公司董事、高级管理人员不会因职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BodyText"/>
        <w:spacing w:line="201" w:lineRule="exact"/>
        <w:ind w:left="12" w:right="0"/>
        <w:jc w:val="left"/>
        <w:rPr>
          <w:rFonts w:ascii="Times New Roman" w:hAnsi="Times New Roman" w:cs="Times New Roman" w:eastAsia="Times New Roman" w:hint="default"/>
        </w:rPr>
      </w:pP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12</w:t>
      </w:r>
    </w:p>
    <w:p>
      <w:pPr>
        <w:pStyle w:val="BodyText"/>
        <w:spacing w:line="156" w:lineRule="exact"/>
        <w:ind w:left="0" w:right="0"/>
        <w:jc w:val="right"/>
      </w:pP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p>
    <w:p>
      <w:pPr>
        <w:pStyle w:val="BodyText"/>
        <w:spacing w:line="204" w:lineRule="exact"/>
        <w:ind w:left="94" w:right="0"/>
        <w:jc w:val="left"/>
      </w:pPr>
      <w:r>
        <w:rPr/>
        <w:t>月</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BodyText"/>
        <w:spacing w:line="316" w:lineRule="auto"/>
        <w:ind w:left="526" w:right="1241" w:hanging="272"/>
        <w:jc w:val="left"/>
      </w:pPr>
      <w:r>
        <w:rPr/>
        <w:t>已履行完 毕</w:t>
      </w:r>
    </w:p>
    <w:p>
      <w:pPr>
        <w:spacing w:after="0" w:line="316" w:lineRule="auto"/>
        <w:jc w:val="left"/>
        <w:sectPr>
          <w:type w:val="continuous"/>
          <w:pgSz w:w="11910" w:h="16840"/>
          <w:pgMar w:top="1060" w:bottom="1160" w:left="980" w:right="0"/>
          <w:cols w:num="5" w:equalWidth="0">
            <w:col w:w="2650" w:space="40"/>
            <w:col w:w="628" w:space="40"/>
            <w:col w:w="3835" w:space="40"/>
            <w:col w:w="1420" w:space="40"/>
            <w:col w:w="2237"/>
          </w:cols>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880"/>
        <w:gridCol w:w="1673"/>
        <w:gridCol w:w="737"/>
        <w:gridCol w:w="3800"/>
        <w:gridCol w:w="850"/>
        <w:gridCol w:w="850"/>
        <w:gridCol w:w="782"/>
      </w:tblGrid>
      <w:tr>
        <w:trPr>
          <w:trHeight w:val="363" w:hRule="exact"/>
        </w:trPr>
        <w:tc>
          <w:tcPr>
            <w:tcW w:w="880" w:type="dxa"/>
            <w:vMerge w:val="restart"/>
            <w:tcBorders>
              <w:top w:val="single" w:sz="4" w:space="0" w:color="000000"/>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务变更、离职等原因，而放弃履行该承诺。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6017" w:hRule="exact"/>
        </w:trPr>
        <w:tc>
          <w:tcPr>
            <w:tcW w:w="880" w:type="dxa"/>
            <w:vMerge/>
            <w:tcBorders>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9" w:lineRule="auto"/>
              <w:ind w:left="472" w:right="108" w:hanging="360"/>
              <w:jc w:val="left"/>
              <w:rPr>
                <w:rFonts w:ascii="宋体" w:hAnsi="宋体" w:cs="宋体" w:eastAsia="宋体" w:hint="default"/>
                <w:sz w:val="18"/>
                <w:szCs w:val="18"/>
              </w:rPr>
            </w:pPr>
            <w:r>
              <w:rPr>
                <w:rFonts w:ascii="宋体" w:hAnsi="宋体" w:cs="宋体" w:eastAsia="宋体" w:hint="default"/>
                <w:sz w:val="18"/>
                <w:szCs w:val="18"/>
              </w:rPr>
              <w:t>北京数字认证股份 有限公司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9" w:lineRule="auto"/>
              <w:ind w:left="274" w:right="91" w:hanging="180"/>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
              <w:jc w:val="both"/>
              <w:rPr>
                <w:rFonts w:ascii="宋体" w:hAnsi="宋体" w:cs="宋体" w:eastAsia="宋体" w:hint="default"/>
                <w:sz w:val="18"/>
                <w:szCs w:val="18"/>
              </w:rPr>
            </w:pPr>
            <w:r>
              <w:rPr>
                <w:rFonts w:ascii="宋体" w:hAnsi="宋体" w:cs="宋体" w:eastAsia="宋体" w:hint="default"/>
                <w:spacing w:val="7"/>
                <w:sz w:val="18"/>
                <w:szCs w:val="18"/>
              </w:rPr>
              <w:t>如果公司首次公开发行并上市的招股说明书有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虚假记载、误导性陈述或者重大遗漏，对判断公</w:t>
            </w:r>
            <w:r>
              <w:rPr>
                <w:rFonts w:ascii="宋体" w:hAnsi="宋体" w:cs="宋体" w:eastAsia="宋体" w:hint="default"/>
                <w:sz w:val="18"/>
                <w:szCs w:val="18"/>
              </w:rPr>
              <w:t> </w:t>
            </w:r>
            <w:r>
              <w:rPr>
                <w:rFonts w:ascii="宋体" w:hAnsi="宋体" w:cs="宋体" w:eastAsia="宋体" w:hint="default"/>
                <w:spacing w:val="-2"/>
                <w:sz w:val="18"/>
                <w:szCs w:val="18"/>
              </w:rPr>
              <w:t>司是否符合法律规定的发行条件构成重大、实质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影响的，公司将依法回购首次公开发行的全部新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股（如公司发生送股、资本公积转增等除权除息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事宜，回购数量应相应调整），回购价格以发行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价格（若发行人股票在此期间发生派息、送股、</w:t>
            </w:r>
            <w:r>
              <w:rPr>
                <w:rFonts w:ascii="宋体" w:hAnsi="宋体" w:cs="宋体" w:eastAsia="宋体" w:hint="default"/>
                <w:sz w:val="18"/>
                <w:szCs w:val="18"/>
              </w:rPr>
              <w:t> </w:t>
            </w:r>
            <w:r>
              <w:rPr>
                <w:rFonts w:ascii="宋体" w:hAnsi="宋体" w:cs="宋体" w:eastAsia="宋体" w:hint="default"/>
                <w:spacing w:val="-2"/>
                <w:sz w:val="18"/>
                <w:szCs w:val="18"/>
              </w:rPr>
              <w:t>资本公积转增股本等除权除息事项的，发行价格</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应相应调整）加计同期存款基准利率所对应的利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息确定，具体程序按中国证监会和证券交易所的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相应规定办理。在实施上述股份回购时，如相关</w:t>
            </w:r>
            <w:r>
              <w:rPr>
                <w:rFonts w:ascii="宋体" w:hAnsi="宋体" w:cs="宋体" w:eastAsia="宋体" w:hint="default"/>
                <w:sz w:val="18"/>
                <w:szCs w:val="18"/>
              </w:rPr>
              <w:t> </w:t>
            </w:r>
            <w:r>
              <w:rPr>
                <w:rFonts w:ascii="宋体" w:hAnsi="宋体" w:cs="宋体" w:eastAsia="宋体" w:hint="default"/>
                <w:spacing w:val="-2"/>
                <w:sz w:val="18"/>
                <w:szCs w:val="18"/>
              </w:rPr>
              <w:t>法律法规、规范性文件和公司章程等另有规定的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从其规定。如果公司首次公开发行并上市的招股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说明书有虚假记载、误导性陈述或者重大遗漏， </w:t>
            </w:r>
            <w:r>
              <w:rPr>
                <w:rFonts w:ascii="宋体" w:hAnsi="宋体" w:cs="宋体" w:eastAsia="宋体" w:hint="default"/>
                <w:spacing w:val="-2"/>
                <w:sz w:val="18"/>
                <w:szCs w:val="18"/>
              </w:rPr>
              <w:t>致使投资者在证券发行和交易中遭受损失的，公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司将依法赔偿投资者损失。公司将冻结与发行新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股所募集资金等额的自有资金，为公司需根据法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律法规和监管要求赔偿的投资者的损失提供保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6" w:right="24"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6020" w:hRule="exact"/>
        </w:trPr>
        <w:tc>
          <w:tcPr>
            <w:tcW w:w="880" w:type="dxa"/>
            <w:vMerge/>
            <w:tcBorders>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01" w:right="108" w:hanging="89"/>
              <w:jc w:val="left"/>
              <w:rPr>
                <w:rFonts w:ascii="宋体" w:hAnsi="宋体" w:cs="宋体" w:eastAsia="宋体" w:hint="default"/>
                <w:sz w:val="18"/>
                <w:szCs w:val="18"/>
              </w:rPr>
            </w:pPr>
            <w:r>
              <w:rPr>
                <w:rFonts w:ascii="宋体" w:hAnsi="宋体" w:cs="宋体" w:eastAsia="宋体" w:hint="default"/>
                <w:sz w:val="18"/>
                <w:szCs w:val="18"/>
              </w:rPr>
              <w:t>北京市国有资产经 营有限责任公司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74" w:right="91" w:hanging="180"/>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
              <w:jc w:val="both"/>
              <w:rPr>
                <w:rFonts w:ascii="宋体" w:hAnsi="宋体" w:cs="宋体" w:eastAsia="宋体" w:hint="default"/>
                <w:sz w:val="18"/>
                <w:szCs w:val="18"/>
              </w:rPr>
            </w:pPr>
            <w:r>
              <w:rPr>
                <w:rFonts w:ascii="宋体" w:hAnsi="宋体" w:cs="宋体" w:eastAsia="宋体" w:hint="default"/>
                <w:spacing w:val="7"/>
                <w:sz w:val="18"/>
                <w:szCs w:val="18"/>
              </w:rPr>
              <w:t>如果公司首次公开发行并上市的招股说明书有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虚假记载、误导性陈述或者重大遗漏，对判断公</w:t>
            </w:r>
            <w:r>
              <w:rPr>
                <w:rFonts w:ascii="宋体" w:hAnsi="宋体" w:cs="宋体" w:eastAsia="宋体" w:hint="default"/>
                <w:sz w:val="18"/>
                <w:szCs w:val="18"/>
              </w:rPr>
              <w:t> </w:t>
            </w:r>
            <w:r>
              <w:rPr>
                <w:rFonts w:ascii="宋体" w:hAnsi="宋体" w:cs="宋体" w:eastAsia="宋体" w:hint="default"/>
                <w:spacing w:val="-2"/>
                <w:sz w:val="18"/>
                <w:szCs w:val="18"/>
              </w:rPr>
              <w:t>司是否符合法律规定的发行条件构成重大、实质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影响的，北京国资公司将依法回购首次公开发行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的全部新股（若公司发生送股、资本公积转增股</w:t>
            </w:r>
            <w:r>
              <w:rPr>
                <w:rFonts w:ascii="宋体" w:hAnsi="宋体" w:cs="宋体" w:eastAsia="宋体" w:hint="default"/>
                <w:sz w:val="18"/>
                <w:szCs w:val="18"/>
              </w:rPr>
              <w:t> </w:t>
            </w:r>
            <w:r>
              <w:rPr>
                <w:rFonts w:ascii="宋体" w:hAnsi="宋体" w:cs="宋体" w:eastAsia="宋体" w:hint="default"/>
                <w:spacing w:val="-3"/>
                <w:sz w:val="18"/>
                <w:szCs w:val="18"/>
              </w:rPr>
              <w:t>本等除权除息事项的，回购数量应相应调整），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回购价格以发行价格（若公司股票在此期间发生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派息、送股、资本公积转增股本等除权除息事项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的，发行价格应相应调整）加计同期存款基准利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率所对应的利息确定，具体程序按中国证监会和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证券交易所的相应规定办理。在实施上述股份回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购时，如法律法规、公司章程等另有规定的从其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规定。如果公司首次公开发行并上市的招股说明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书有虚假记载、误导性陈述或者重大遗漏，致使</w:t>
            </w:r>
            <w:r>
              <w:rPr>
                <w:rFonts w:ascii="宋体" w:hAnsi="宋体" w:cs="宋体" w:eastAsia="宋体" w:hint="default"/>
                <w:sz w:val="18"/>
                <w:szCs w:val="18"/>
              </w:rPr>
              <w:t> </w:t>
            </w:r>
            <w:r>
              <w:rPr>
                <w:rFonts w:ascii="宋体" w:hAnsi="宋体" w:cs="宋体" w:eastAsia="宋体" w:hint="default"/>
                <w:spacing w:val="-2"/>
                <w:sz w:val="18"/>
                <w:szCs w:val="18"/>
              </w:rPr>
              <w:t>投资者在证券发行和交易中遭受损失的，北京国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资公司将依法赔偿投资者损失。北京国资公司将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冻结与发售股份所取得的资金等额的自有资金， </w:t>
            </w:r>
            <w:r>
              <w:rPr>
                <w:rFonts w:ascii="宋体" w:hAnsi="宋体" w:cs="宋体" w:eastAsia="宋体" w:hint="default"/>
                <w:spacing w:val="7"/>
                <w:sz w:val="18"/>
                <w:szCs w:val="18"/>
              </w:rPr>
              <w:t>为北京国资公司需根据法律法规和监管要求赔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偿的投资者的损失提供保障。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6" w:right="24"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1299" w:hRule="exact"/>
        </w:trPr>
        <w:tc>
          <w:tcPr>
            <w:tcW w:w="880" w:type="dxa"/>
            <w:vMerge/>
            <w:tcBorders>
              <w:left w:val="single" w:sz="4" w:space="0" w:color="000000"/>
              <w:bottom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472" w:right="108" w:hanging="360"/>
              <w:jc w:val="left"/>
              <w:rPr>
                <w:rFonts w:ascii="宋体" w:hAnsi="宋体" w:cs="宋体" w:eastAsia="宋体" w:hint="default"/>
                <w:sz w:val="18"/>
                <w:szCs w:val="18"/>
              </w:rPr>
            </w:pPr>
            <w:r>
              <w:rPr>
                <w:rFonts w:ascii="宋体" w:hAnsi="宋体" w:cs="宋体" w:eastAsia="宋体" w:hint="default"/>
                <w:sz w:val="18"/>
                <w:szCs w:val="18"/>
              </w:rPr>
              <w:t>首都信息发展股份 有限公司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74" w:right="91" w:hanging="180"/>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如果公司首次公开发行并上市的招股说明书有 </w:t>
            </w:r>
            <w:r>
              <w:rPr>
                <w:rFonts w:ascii="宋体" w:hAnsi="宋体" w:cs="宋体" w:eastAsia="宋体" w:hint="default"/>
                <w:spacing w:val="-2"/>
                <w:sz w:val="18"/>
                <w:szCs w:val="18"/>
              </w:rPr>
              <w:t>虚假记载、误导性陈述或者重大遗漏，对判断公</w:t>
            </w:r>
            <w:r>
              <w:rPr>
                <w:rFonts w:ascii="宋体" w:hAnsi="宋体" w:cs="宋体" w:eastAsia="宋体" w:hint="default"/>
                <w:sz w:val="18"/>
                <w:szCs w:val="18"/>
              </w:rPr>
              <w:t> </w:t>
            </w:r>
            <w:r>
              <w:rPr>
                <w:rFonts w:ascii="宋体" w:hAnsi="宋体" w:cs="宋体" w:eastAsia="宋体" w:hint="default"/>
                <w:spacing w:val="-2"/>
                <w:sz w:val="18"/>
                <w:szCs w:val="18"/>
              </w:rPr>
              <w:t>司是否符合法律规定的发行条件构成重大、实质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影响的，首信股份将依法回购首次公开发行的全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24"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w:t>
            </w:r>
          </w:p>
        </w:tc>
      </w:tr>
    </w:tbl>
    <w:p>
      <w:pPr>
        <w:spacing w:after="0" w:line="319"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7.146011pt;margin-top:262.249969pt;width:42.4pt;height:82pt;mso-position-horizontal-relative:page;mso-position-vertical-relative:page;z-index:-88357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w:t>
                  </w:r>
                </w:p>
                <w:p>
                  <w:pPr>
                    <w:pStyle w:val="BodyText"/>
                    <w:spacing w:line="240" w:lineRule="auto" w:before="76"/>
                    <w:ind w:left="0" w:right="0"/>
                    <w:jc w:val="left"/>
                  </w:pPr>
                  <w:r>
                    <w:rPr/>
                    <w:t>；</w:t>
                  </w:r>
                </w:p>
              </w:txbxContent>
            </v:textbox>
            <w10:wrap type="none"/>
          </v:shape>
        </w:pict>
      </w:r>
      <w:r>
        <w:rPr/>
        <w:pict>
          <v:group style="position:absolute;margin-left:183.139999pt;margin-top:262.249969pt;width:36.4pt;height:82pt;mso-position-horizontal-relative:page;mso-position-vertical-relative:page;z-index:-883552" coordorigin="3663,5245" coordsize="728,1640">
            <v:group style="position:absolute;left:3663;top:5245;width:728;height:1640" coordorigin="3663,5245" coordsize="728,1640">
              <v:shape style="position:absolute;left:3663;top:5245;width:728;height:1640" coordorigin="3663,5245" coordsize="728,1640" path="m3663,6884l4390,6884,4390,5245,3663,5245,3663,6884xe" filled="true" fillcolor="#ffffff" stroked="false">
                <v:path arrowok="t"/>
                <v:fill type="solid"/>
              </v:shape>
            </v:group>
            <v:group style="position:absolute;left:3687;top:5713;width:683;height:353" coordorigin="3687,5713" coordsize="683,353">
              <v:shape style="position:absolute;left:3687;top:5713;width:683;height:353" coordorigin="3687,5713" coordsize="683,353" path="m3687,6066l4369,6066,4369,5713,3687,5713,3687,6066xe" filled="true" fillcolor="#ffffff" stroked="false">
                <v:path arrowok="t"/>
                <v:fill type="solid"/>
              </v:shape>
            </v:group>
            <v:group style="position:absolute;left:3687;top:6066;width:683;height:351" coordorigin="3687,6066" coordsize="683,351">
              <v:shape style="position:absolute;left:3687;top:6066;width:683;height:351" coordorigin="3687,6066" coordsize="683,351" path="m3687,6416l4369,6416,4369,6066,3687,6066,3687,6416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880"/>
        <w:gridCol w:w="1673"/>
        <w:gridCol w:w="82"/>
        <w:gridCol w:w="655"/>
        <w:gridCol w:w="3800"/>
        <w:gridCol w:w="850"/>
        <w:gridCol w:w="850"/>
        <w:gridCol w:w="780"/>
      </w:tblGrid>
      <w:tr>
        <w:trPr>
          <w:trHeight w:val="3795" w:hRule="exact"/>
        </w:trPr>
        <w:tc>
          <w:tcPr>
            <w:tcW w:w="880" w:type="dxa"/>
            <w:vMerge w:val="restart"/>
            <w:tcBorders>
              <w:top w:val="single" w:sz="4" w:space="0" w:color="000000"/>
              <w:left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737" w:type="dxa"/>
            <w:gridSpan w:val="2"/>
            <w:tcBorders>
              <w:top w:val="single" w:sz="4" w:space="0" w:color="000000"/>
              <w:left w:val="single" w:sz="4" w:space="0" w:color="000000"/>
              <w:bottom w:val="single" w:sz="4" w:space="0" w:color="000000"/>
              <w:right w:val="single" w:sz="4" w:space="0" w:color="000000"/>
            </w:tcBorders>
          </w:tcPr>
          <w:p>
            <w:pP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21"/>
              <w:jc w:val="both"/>
              <w:rPr>
                <w:rFonts w:ascii="宋体" w:hAnsi="宋体" w:cs="宋体" w:eastAsia="宋体" w:hint="default"/>
                <w:sz w:val="18"/>
                <w:szCs w:val="18"/>
              </w:rPr>
            </w:pPr>
            <w:r>
              <w:rPr>
                <w:rFonts w:ascii="宋体" w:hAnsi="宋体" w:cs="宋体" w:eastAsia="宋体" w:hint="default"/>
                <w:spacing w:val="-2"/>
                <w:sz w:val="18"/>
                <w:szCs w:val="18"/>
              </w:rPr>
              <w:t>部新股（若发行人发生送股、资本公积转增股本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等除权除息事项的，回购数量应相应调整），回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购价格以发行价格（若发行人股票在此期间发生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派息、送股、资本公积转增股本等除权除息事项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的，发行价格应相应调整）加计同期存款基准利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率所对应的利息确定，具体程序按中国证监会和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证券交易所的相应规定办理。在实施上述股份回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购时，如法律法规、公司章程等另有规定的从其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规定。如果首次公开发行并上市的招股说明书有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虚假记载、误导性陈述或者重大遗漏，致使投资</w:t>
            </w:r>
            <w:r>
              <w:rPr>
                <w:rFonts w:ascii="宋体" w:hAnsi="宋体" w:cs="宋体" w:eastAsia="宋体" w:hint="default"/>
                <w:sz w:val="18"/>
                <w:szCs w:val="18"/>
              </w:rPr>
              <w:t> </w:t>
            </w:r>
            <w:r>
              <w:rPr>
                <w:rFonts w:ascii="宋体" w:hAnsi="宋体" w:cs="宋体" w:eastAsia="宋体" w:hint="default"/>
                <w:spacing w:val="-2"/>
                <w:sz w:val="18"/>
                <w:szCs w:val="18"/>
              </w:rPr>
              <w:t>者在证券发行和交易中遭受损失，首信股份将依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法赔偿投资者损失。</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6" w:right="0"/>
              <w:jc w:val="left"/>
              <w:rPr>
                <w:rFonts w:ascii="宋体" w:hAnsi="宋体" w:cs="宋体" w:eastAsia="宋体" w:hint="default"/>
                <w:sz w:val="18"/>
                <w:szCs w:val="18"/>
              </w:rPr>
            </w:pPr>
            <w:r>
              <w:rPr>
                <w:rFonts w:ascii="宋体" w:hAnsi="宋体" w:cs="宋体" w:eastAsia="宋体" w:hint="default"/>
                <w:sz w:val="18"/>
                <w:szCs w:val="18"/>
              </w:rPr>
              <w:t>形。</w:t>
            </w:r>
          </w:p>
        </w:tc>
      </w:tr>
      <w:tr>
        <w:trPr>
          <w:trHeight w:val="1649" w:hRule="exact"/>
        </w:trPr>
        <w:tc>
          <w:tcPr>
            <w:tcW w:w="880" w:type="dxa"/>
            <w:vMerge/>
            <w:tcBorders>
              <w:left w:val="single" w:sz="4" w:space="0" w:color="000000"/>
              <w:bottom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冯晔；金锦萍；林雪 </w:t>
            </w:r>
            <w:r>
              <w:rPr>
                <w:rFonts w:ascii="宋体" w:hAnsi="宋体" w:cs="宋体" w:eastAsia="宋体" w:hint="default"/>
                <w:spacing w:val="-11"/>
                <w:sz w:val="18"/>
                <w:szCs w:val="18"/>
              </w:rPr>
              <w:t>焰；刘汉莎；刘明哲</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卢贺会；卢磊；罗炜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吴舜皋；徐哲；詹榜</w:t>
            </w:r>
            <w:r>
              <w:rPr>
                <w:rFonts w:ascii="宋体" w:hAnsi="宋体" w:cs="宋体" w:eastAsia="宋体" w:hint="default"/>
                <w:sz w:val="18"/>
                <w:szCs w:val="18"/>
              </w:rPr>
              <w:t> 华；张益谦；周贤伟</w:t>
            </w:r>
          </w:p>
        </w:tc>
        <w:tc>
          <w:tcPr>
            <w:tcW w:w="82" w:type="dxa"/>
            <w:tcBorders>
              <w:top w:val="single" w:sz="4" w:space="0" w:color="000000"/>
              <w:left w:val="single" w:sz="4" w:space="0" w:color="000000"/>
              <w:bottom w:val="single" w:sz="4" w:space="0" w:color="000000"/>
              <w:right w:val="nil" w:sz="6" w:space="0" w:color="auto"/>
            </w:tcBorders>
          </w:tcPr>
          <w:p>
            <w:pPr/>
          </w:p>
        </w:tc>
        <w:tc>
          <w:tcPr>
            <w:tcW w:w="65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97" w:right="91" w:hanging="180"/>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5"/>
              <w:jc w:val="both"/>
              <w:rPr>
                <w:rFonts w:ascii="宋体" w:hAnsi="宋体" w:cs="宋体" w:eastAsia="宋体" w:hint="default"/>
                <w:sz w:val="18"/>
                <w:szCs w:val="18"/>
              </w:rPr>
            </w:pPr>
            <w:r>
              <w:rPr>
                <w:rFonts w:ascii="宋体" w:hAnsi="宋体" w:cs="宋体" w:eastAsia="宋体" w:hint="default"/>
                <w:spacing w:val="7"/>
                <w:sz w:val="18"/>
                <w:szCs w:val="18"/>
              </w:rPr>
              <w:t>如果公司首次公开发行并上市的招股说明书有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虚假记载、误导性陈述或者重大遗漏，致使投资</w:t>
            </w:r>
            <w:r>
              <w:rPr>
                <w:rFonts w:ascii="宋体" w:hAnsi="宋体" w:cs="宋体" w:eastAsia="宋体" w:hint="default"/>
                <w:sz w:val="18"/>
                <w:szCs w:val="18"/>
              </w:rPr>
              <w:t> 者在证券发行和交易中遭受损失的，公司董事、 监事和高级管理人员将依法赔偿投资者损失。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23" w:firstLine="2"/>
              <w:jc w:val="center"/>
              <w:rPr>
                <w:rFonts w:ascii="宋体" w:hAnsi="宋体" w:cs="宋体" w:eastAsia="宋体" w:hint="default"/>
                <w:sz w:val="18"/>
                <w:szCs w:val="18"/>
              </w:rPr>
            </w:pPr>
            <w:r>
              <w:rPr>
                <w:rFonts w:ascii="宋体" w:hAnsi="宋体" w:cs="宋体" w:eastAsia="宋体" w:hint="default"/>
                <w:sz w:val="18"/>
                <w:szCs w:val="18"/>
              </w:rPr>
              <w:t>正常履 行，不存 在违反该 承诺情 形。</w:t>
            </w:r>
          </w:p>
        </w:tc>
      </w:tr>
      <w:tr>
        <w:trPr>
          <w:trHeight w:val="715" w:hRule="exact"/>
        </w:trPr>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股权激励 承诺</w:t>
            </w:r>
          </w:p>
        </w:tc>
        <w:tc>
          <w:tcPr>
            <w:tcW w:w="1673" w:type="dxa"/>
            <w:tcBorders>
              <w:top w:val="single" w:sz="4" w:space="0" w:color="000000"/>
              <w:left w:val="single" w:sz="4" w:space="0" w:color="000000"/>
              <w:bottom w:val="single" w:sz="4" w:space="0" w:color="000000"/>
              <w:right w:val="single" w:sz="4" w:space="0" w:color="000000"/>
            </w:tcBorders>
          </w:tcPr>
          <w:p>
            <w:pPr/>
          </w:p>
        </w:tc>
        <w:tc>
          <w:tcPr>
            <w:tcW w:w="737" w:type="dxa"/>
            <w:gridSpan w:val="2"/>
            <w:tcBorders>
              <w:top w:val="single" w:sz="4" w:space="0" w:color="000000"/>
              <w:left w:val="single" w:sz="4" w:space="0" w:color="000000"/>
              <w:bottom w:val="single" w:sz="4" w:space="0" w:color="000000"/>
              <w:right w:val="single" w:sz="4" w:space="0" w:color="000000"/>
            </w:tcBorders>
          </w:tcPr>
          <w:p>
            <w:pPr/>
          </w:p>
        </w:tc>
        <w:tc>
          <w:tcPr>
            <w:tcW w:w="38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5"/>
              <w:jc w:val="both"/>
              <w:rPr>
                <w:rFonts w:ascii="宋体" w:hAnsi="宋体" w:cs="宋体" w:eastAsia="宋体" w:hint="default"/>
                <w:sz w:val="18"/>
                <w:szCs w:val="18"/>
              </w:rPr>
            </w:pPr>
            <w:r>
              <w:rPr>
                <w:rFonts w:ascii="宋体" w:hAnsi="宋体" w:cs="宋体" w:eastAsia="宋体" w:hint="default"/>
                <w:sz w:val="18"/>
                <w:szCs w:val="18"/>
              </w:rPr>
              <w:t>其他对公 司中小股 东所作承 诺</w:t>
            </w:r>
          </w:p>
        </w:tc>
        <w:tc>
          <w:tcPr>
            <w:tcW w:w="1673" w:type="dxa"/>
            <w:tcBorders>
              <w:top w:val="single" w:sz="4" w:space="0" w:color="000000"/>
              <w:left w:val="single" w:sz="4" w:space="0" w:color="000000"/>
              <w:bottom w:val="single" w:sz="4" w:space="0" w:color="000000"/>
              <w:right w:val="single" w:sz="4" w:space="0" w:color="000000"/>
            </w:tcBorders>
          </w:tcPr>
          <w:p>
            <w:pPr/>
          </w:p>
        </w:tc>
        <w:tc>
          <w:tcPr>
            <w:tcW w:w="737" w:type="dxa"/>
            <w:gridSpan w:val="2"/>
            <w:tcBorders>
              <w:top w:val="single" w:sz="4" w:space="0" w:color="000000"/>
              <w:left w:val="single" w:sz="4" w:space="0" w:color="000000"/>
              <w:bottom w:val="single" w:sz="4" w:space="0" w:color="000000"/>
              <w:right w:val="single" w:sz="4" w:space="0" w:color="000000"/>
            </w:tcBorders>
          </w:tcPr>
          <w:p>
            <w:pPr/>
          </w:p>
        </w:tc>
        <w:tc>
          <w:tcPr>
            <w:tcW w:w="38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
        <w:rPr>
          <w:rFonts w:ascii="Times New Roman" w:hAnsi="Times New Roman" w:cs="Times New Roman" w:eastAsia="Times New Roman" w:hint="default"/>
          <w:sz w:val="22"/>
          <w:szCs w:val="22"/>
        </w:rPr>
      </w:pPr>
    </w:p>
    <w:p>
      <w:pPr>
        <w:pStyle w:val="Heading3"/>
        <w:spacing w:line="259" w:lineRule="auto" w:before="36"/>
        <w:ind w:right="982"/>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982"/>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4"/>
        <w:spacing w:line="357" w:lineRule="auto" w:before="159"/>
        <w:ind w:left="573" w:right="7874"/>
        <w:jc w:val="left"/>
      </w:pPr>
      <w:r>
        <w:rPr>
          <w:rFonts w:ascii="Times New Roman" w:hAnsi="Times New Roman" w:cs="Times New Roman" w:eastAsia="Times New Roman" w:hint="default"/>
          <w:spacing w:val="-2"/>
        </w:rPr>
        <w:t>1</w:t>
      </w:r>
      <w:r>
        <w:rPr>
          <w:spacing w:val="-2"/>
        </w:rPr>
        <w:t>、会计政策变更的说明：</w:t>
      </w:r>
      <w:r>
        <w:rPr>
          <w:spacing w:val="-83"/>
        </w:rPr>
        <w:t> </w:t>
      </w:r>
      <w:r>
        <w:rPr>
          <w:spacing w:val="-83"/>
        </w:rPr>
      </w: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新金融工具准则</w:t>
      </w:r>
    </w:p>
    <w:p>
      <w:pPr>
        <w:pStyle w:val="Heading4"/>
        <w:spacing w:line="259" w:lineRule="auto" w:before="27"/>
        <w:ind w:right="1126" w:firstLine="420"/>
        <w:jc w:val="both"/>
      </w:pPr>
      <w:r>
        <w:rPr>
          <w:spacing w:val="-2"/>
        </w:rPr>
        <w:t>财政部于</w:t>
      </w:r>
      <w:r>
        <w:rPr>
          <w:rFonts w:ascii="Times New Roman" w:hAnsi="Times New Roman" w:cs="Times New Roman" w:eastAsia="Times New Roman" w:hint="default"/>
          <w:spacing w:val="-2"/>
        </w:rPr>
        <w:t>2017</w:t>
      </w:r>
      <w:r>
        <w:rPr>
          <w:spacing w:val="-2"/>
        </w:rPr>
        <w:t>年颁布了《企业会计准则第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金融工具确认和计量（修订）》、《企业会计准则</w:t>
      </w:r>
      <w:r>
        <w:rPr>
          <w:w w:val="100"/>
        </w:rPr>
        <w:t> </w:t>
      </w:r>
      <w:r>
        <w:rPr>
          <w:spacing w:val="-2"/>
        </w:rPr>
        <w:t>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金融资产转移（修订）》、《企业会计准则第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套期会计（修订）》及《企业会计准则</w:t>
      </w:r>
      <w:r>
        <w:rPr>
          <w:spacing w:val="-37"/>
        </w:rPr>
        <w:t> </w:t>
      </w:r>
      <w:r>
        <w:rPr>
          <w:spacing w:val="-37"/>
        </w:rPr>
      </w:r>
      <w:r>
        <w:rPr>
          <w:spacing w:val="-4"/>
        </w:rPr>
        <w:t>第</w:t>
      </w:r>
      <w:r>
        <w:rPr>
          <w:rFonts w:ascii="Times New Roman" w:hAnsi="Times New Roman" w:cs="Times New Roman" w:eastAsia="Times New Roman" w:hint="default"/>
          <w:spacing w:val="-4"/>
        </w:rPr>
        <w:t>37</w:t>
      </w:r>
      <w:r>
        <w:rPr>
          <w:spacing w:val="-4"/>
        </w:rPr>
        <w:t>号</w:t>
      </w:r>
      <w:r>
        <w:rPr>
          <w:rFonts w:ascii="Times New Roman" w:hAnsi="Times New Roman" w:cs="Times New Roman" w:eastAsia="Times New Roman" w:hint="default"/>
          <w:spacing w:val="-4"/>
        </w:rPr>
        <w:t>——</w:t>
      </w:r>
      <w:r>
        <w:rPr>
          <w:spacing w:val="-4"/>
        </w:rPr>
        <w:t>金融工具列报（修订）》（统称</w:t>
      </w:r>
      <w:r>
        <w:rPr>
          <w:rFonts w:ascii="Times New Roman" w:hAnsi="Times New Roman" w:cs="Times New Roman" w:eastAsia="Times New Roman" w:hint="default"/>
          <w:spacing w:val="-4"/>
        </w:rPr>
        <w:t>“</w:t>
      </w:r>
      <w:r>
        <w:rPr>
          <w:spacing w:val="-4"/>
        </w:rPr>
        <w:t>新金融工具准则</w:t>
      </w:r>
      <w:r>
        <w:rPr>
          <w:rFonts w:ascii="Times New Roman" w:hAnsi="Times New Roman" w:cs="Times New Roman" w:eastAsia="Times New Roman" w:hint="default"/>
          <w:spacing w:val="-4"/>
        </w:rPr>
        <w:t>”</w:t>
      </w:r>
      <w:r>
        <w:rPr>
          <w:spacing w:val="-4"/>
        </w:rPr>
        <w:t>），本公司于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21</w:t>
      </w:r>
      <w:r>
        <w:rPr>
          <w:spacing w:val="-4"/>
        </w:rPr>
        <w:t>日召开的第三届董</w:t>
      </w:r>
      <w:r>
        <w:rPr>
          <w:spacing w:val="-14"/>
        </w:rPr>
        <w:t> </w:t>
      </w:r>
      <w:r>
        <w:rPr>
          <w:spacing w:val="-14"/>
        </w:rPr>
      </w:r>
      <w:r>
        <w:rPr/>
        <w:t>事会第十五会议批准，批准自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日起执行新金融工具准则，对会计政策相关内容进行了调整。</w:t>
      </w:r>
    </w:p>
    <w:p>
      <w:pPr>
        <w:pStyle w:val="Heading4"/>
        <w:spacing w:line="266" w:lineRule="auto" w:before="121"/>
        <w:ind w:right="982" w:firstLine="420"/>
        <w:jc w:val="left"/>
      </w:pPr>
      <w:r>
        <w:rPr>
          <w:spacing w:val="-5"/>
        </w:rPr>
        <w:t>按照新金融工具准则的规定，除某些特定情形外，对金融工具的分类和计量（含减值）进行追溯调整，</w:t>
      </w:r>
      <w:r>
        <w:rPr>
          <w:w w:val="100"/>
        </w:rPr>
        <w:t> </w:t>
      </w:r>
      <w:r>
        <w:rPr>
          <w:spacing w:val="-2"/>
        </w:rPr>
        <w:t>将金融工具原账面价值和在新金融工具准则施行日（即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日）的新账面价值之间的差额计入</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年年初留存收益或其他综合收益。同时，本集团未对比较财务报表数据进行调整。</w:t>
      </w:r>
    </w:p>
    <w:p>
      <w:pPr>
        <w:pStyle w:val="Heading4"/>
        <w:spacing w:line="259" w:lineRule="auto" w:before="131"/>
        <w:ind w:right="982" w:firstLine="420"/>
        <w:jc w:val="left"/>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日，金融资产按照原金融工具准则和新金融工具准则的规定进行分类和计量的结果对比</w:t>
      </w:r>
      <w:r>
        <w:rPr>
          <w:w w:val="100"/>
        </w:rPr>
        <w:t> </w:t>
      </w:r>
      <w:r>
        <w:rPr/>
        <w:t>如下：</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136"/>
        <w:gridCol w:w="991"/>
        <w:gridCol w:w="1277"/>
        <w:gridCol w:w="1274"/>
        <w:gridCol w:w="3546"/>
        <w:gridCol w:w="1416"/>
      </w:tblGrid>
      <w:tr>
        <w:trPr>
          <w:trHeight w:val="422"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68" w:right="0"/>
              <w:jc w:val="left"/>
              <w:rPr>
                <w:rFonts w:ascii="宋体" w:hAnsi="宋体" w:cs="宋体" w:eastAsia="宋体" w:hint="default"/>
                <w:sz w:val="18"/>
                <w:szCs w:val="18"/>
              </w:rPr>
            </w:pPr>
            <w:r>
              <w:rPr>
                <w:rFonts w:ascii="宋体" w:hAnsi="宋体" w:cs="宋体" w:eastAsia="宋体" w:hint="default"/>
                <w:sz w:val="18"/>
                <w:szCs w:val="18"/>
              </w:rPr>
              <w:t>原金融工具准则</w:t>
            </w:r>
          </w:p>
        </w:tc>
        <w:tc>
          <w:tcPr>
            <w:tcW w:w="62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4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48"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8"/>
                <w:sz w:val="18"/>
                <w:szCs w:val="18"/>
              </w:rPr>
              <w:t> </w:t>
            </w:r>
            <w:r>
              <w:rPr>
                <w:rFonts w:ascii="宋体" w:hAnsi="宋体" w:cs="宋体" w:eastAsia="宋体" w:hint="default"/>
                <w:sz w:val="18"/>
                <w:szCs w:val="18"/>
              </w:rPr>
              <w:t>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09"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1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8"/>
                <w:sz w:val="18"/>
                <w:szCs w:val="18"/>
              </w:rPr>
              <w:t> </w:t>
            </w:r>
            <w:r>
              <w:rPr>
                <w:rFonts w:ascii="宋体" w:hAnsi="宋体" w:cs="宋体" w:eastAsia="宋体" w:hint="default"/>
                <w:sz w:val="18"/>
                <w:szCs w:val="18"/>
              </w:rPr>
              <w:t>目</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4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22"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368,303.38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368,303.38</w:t>
            </w:r>
          </w:p>
        </w:tc>
      </w:tr>
      <w:tr>
        <w:trPr>
          <w:trHeight w:val="423" w:hRule="exact"/>
        </w:trPr>
        <w:tc>
          <w:tcPr>
            <w:tcW w:w="1136"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以公允价值计量且其变动计入其他综合收益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0"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178,589,035.30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178,589,035.30</w:t>
            </w:r>
          </w:p>
        </w:tc>
      </w:tr>
      <w:tr>
        <w:trPr>
          <w:trHeight w:val="422" w:hRule="exact"/>
        </w:trPr>
        <w:tc>
          <w:tcPr>
            <w:tcW w:w="1136"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以公允价值计量且其变动计入其他综合收益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2"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22,880,774.49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2" w:hRule="exact"/>
        </w:trPr>
        <w:tc>
          <w:tcPr>
            <w:tcW w:w="1136"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22,880,774.49</w:t>
            </w:r>
          </w:p>
        </w:tc>
      </w:tr>
    </w:tbl>
    <w:p>
      <w:pPr>
        <w:spacing w:line="240" w:lineRule="auto" w:before="8"/>
        <w:rPr>
          <w:rFonts w:ascii="宋体" w:hAnsi="宋体" w:cs="宋体" w:eastAsia="宋体" w:hint="default"/>
          <w:sz w:val="5"/>
          <w:szCs w:val="5"/>
        </w:rPr>
      </w:pPr>
    </w:p>
    <w:p>
      <w:pPr>
        <w:pStyle w:val="Heading4"/>
        <w:spacing w:line="240" w:lineRule="auto" w:before="36"/>
        <w:ind w:left="573" w:right="982"/>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日，执行新金融工具准则时金融工具分类和账面价值调节表如下：</w:t>
      </w:r>
    </w:p>
    <w:p>
      <w:pPr>
        <w:spacing w:line="240" w:lineRule="auto" w:before="7"/>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127"/>
        <w:gridCol w:w="1880"/>
        <w:gridCol w:w="1877"/>
        <w:gridCol w:w="1880"/>
        <w:gridCol w:w="1877"/>
      </w:tblGrid>
      <w:tr>
        <w:trPr>
          <w:trHeight w:val="77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9"/>
                <w:sz w:val="18"/>
                <w:szCs w:val="18"/>
              </w:rPr>
              <w:t> </w:t>
            </w:r>
            <w:r>
              <w:rPr>
                <w:rFonts w:ascii="宋体" w:hAnsi="宋体" w:cs="宋体" w:eastAsia="宋体" w:hint="default"/>
                <w:sz w:val="18"/>
                <w:szCs w:val="18"/>
              </w:rPr>
              <w:t>目</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调整前账面金额</w:t>
            </w:r>
          </w:p>
          <w:p>
            <w:pPr>
              <w:pStyle w:val="TableParagraph"/>
              <w:spacing w:line="240" w:lineRule="auto" w:before="117"/>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重分类</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76"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02" w:right="0"/>
              <w:jc w:val="left"/>
              <w:rPr>
                <w:rFonts w:ascii="宋体" w:hAnsi="宋体" w:cs="宋体" w:eastAsia="宋体" w:hint="default"/>
                <w:sz w:val="18"/>
                <w:szCs w:val="18"/>
              </w:rPr>
            </w:pPr>
            <w:r>
              <w:rPr>
                <w:rFonts w:ascii="宋体" w:hAnsi="宋体" w:cs="宋体" w:eastAsia="宋体" w:hint="default"/>
                <w:sz w:val="18"/>
                <w:szCs w:val="18"/>
              </w:rPr>
              <w:t>调整后账面金额</w:t>
            </w:r>
          </w:p>
          <w:p>
            <w:pPr>
              <w:pStyle w:val="TableParagraph"/>
              <w:spacing w:line="240" w:lineRule="auto" w:before="117"/>
              <w:ind w:left="21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42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178,589,035.30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-7,426,410.37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171,162,624.93</w:t>
            </w:r>
          </w:p>
        </w:tc>
      </w:tr>
      <w:tr>
        <w:trPr>
          <w:trHeight w:val="4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22,880,774.49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-489,975.21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22,390,799.28</w:t>
            </w:r>
          </w:p>
        </w:tc>
      </w:tr>
    </w:tbl>
    <w:p>
      <w:pPr>
        <w:spacing w:line="240" w:lineRule="auto" w:before="8"/>
        <w:rPr>
          <w:rFonts w:ascii="宋体" w:hAnsi="宋体" w:cs="宋体" w:eastAsia="宋体" w:hint="default"/>
          <w:sz w:val="5"/>
          <w:szCs w:val="5"/>
        </w:rPr>
      </w:pPr>
    </w:p>
    <w:p>
      <w:pPr>
        <w:pStyle w:val="Heading4"/>
        <w:spacing w:line="256" w:lineRule="auto" w:before="36"/>
        <w:ind w:right="982" w:firstLine="420"/>
        <w:jc w:val="left"/>
      </w:pPr>
      <w:r>
        <w:rPr>
          <w:spacing w:val="2"/>
        </w:rPr>
        <w:t>本集团将根据原金融工具准则计量的</w:t>
      </w:r>
      <w:r>
        <w:rPr>
          <w:rFonts w:ascii="Times New Roman" w:hAnsi="Times New Roman" w:cs="Times New Roman" w:eastAsia="Times New Roman" w:hint="default"/>
          <w:spacing w:val="2"/>
        </w:rPr>
        <w:t>2018</w:t>
      </w:r>
      <w:r>
        <w:rPr>
          <w:spacing w:val="2"/>
        </w:rPr>
        <w:t>年年末损失准备与根据新金融工具准则确定的</w:t>
      </w:r>
      <w:r>
        <w:rPr>
          <w:rFonts w:ascii="Times New Roman" w:hAnsi="Times New Roman" w:cs="Times New Roman" w:eastAsia="Times New Roman" w:hint="default"/>
          <w:spacing w:val="2"/>
        </w:rPr>
        <w:t>2019</w:t>
      </w:r>
      <w:r>
        <w:rPr>
          <w:spacing w:val="2"/>
        </w:rPr>
        <w:t>年年初</w:t>
      </w:r>
      <w:r>
        <w:rPr>
          <w:w w:val="100"/>
        </w:rPr>
        <w:t> </w:t>
      </w:r>
      <w:r>
        <w:rPr/>
        <w:t>损失准备之间的调节表列示如下：</w:t>
      </w:r>
    </w:p>
    <w:p>
      <w:pPr>
        <w:spacing w:line="240" w:lineRule="auto" w:before="8"/>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85"/>
        <w:gridCol w:w="1913"/>
        <w:gridCol w:w="1916"/>
        <w:gridCol w:w="1913"/>
        <w:gridCol w:w="1913"/>
      </w:tblGrid>
      <w:tr>
        <w:trPr>
          <w:trHeight w:val="77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调整前账面金额</w:t>
            </w:r>
          </w:p>
          <w:p>
            <w:pPr>
              <w:pStyle w:val="TableParagraph"/>
              <w:spacing w:line="240" w:lineRule="auto" w:before="117"/>
              <w:ind w:left="7"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重分类</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z w:val="18"/>
                <w:szCs w:val="18"/>
              </w:rPr>
              <w:t>调整后账面金额</w:t>
            </w:r>
          </w:p>
          <w:p>
            <w:pPr>
              <w:pStyle w:val="TableParagraph"/>
              <w:spacing w:line="240" w:lineRule="auto" w:before="117"/>
              <w:ind w:left="23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4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54,067,477.91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7,426,410.37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61,493,888.28</w:t>
            </w:r>
          </w:p>
        </w:tc>
      </w:tr>
      <w:tr>
        <w:trPr>
          <w:trHeight w:val="4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8,707,313.05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Times New Roman" w:hAnsi="Times New Roman" w:cs="Times New Roman" w:eastAsia="Times New Roman" w:hint="default"/>
                <w:sz w:val="18"/>
                <w:szCs w:val="18"/>
              </w:rPr>
            </w:pPr>
            <w:r>
              <w:rPr>
                <w:rFonts w:ascii="Times New Roman"/>
                <w:spacing w:val="-1"/>
                <w:sz w:val="18"/>
              </w:rPr>
              <w:t>489,975.21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9,197,288.26</w:t>
            </w:r>
          </w:p>
        </w:tc>
      </w:tr>
    </w:tbl>
    <w:p>
      <w:pPr>
        <w:spacing w:line="240" w:lineRule="auto" w:before="8"/>
        <w:rPr>
          <w:rFonts w:ascii="宋体" w:hAnsi="宋体" w:cs="宋体" w:eastAsia="宋体" w:hint="default"/>
          <w:sz w:val="5"/>
          <w:szCs w:val="5"/>
        </w:rPr>
      </w:pPr>
    </w:p>
    <w:p>
      <w:pPr>
        <w:pStyle w:val="Heading4"/>
        <w:spacing w:line="240" w:lineRule="auto" w:before="36"/>
        <w:ind w:left="573" w:right="982"/>
        <w:jc w:val="left"/>
      </w:pPr>
      <w:r>
        <w:rPr/>
        <w:t>上述会计政策的累积影响数如下：</w:t>
      </w:r>
    </w:p>
    <w:p>
      <w:pPr>
        <w:spacing w:after="0" w:line="240" w:lineRule="auto"/>
        <w:jc w:val="lef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15"/>
        <w:gridCol w:w="3214"/>
        <w:gridCol w:w="3212"/>
      </w:tblGrid>
      <w:tr>
        <w:trPr>
          <w:trHeight w:val="42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63" w:right="0"/>
              <w:jc w:val="left"/>
              <w:rPr>
                <w:rFonts w:ascii="宋体" w:hAnsi="宋体" w:cs="宋体" w:eastAsia="宋体" w:hint="default"/>
                <w:sz w:val="18"/>
                <w:szCs w:val="18"/>
              </w:rPr>
            </w:pPr>
            <w:r>
              <w:rPr>
                <w:rFonts w:ascii="宋体" w:hAnsi="宋体" w:cs="宋体" w:eastAsia="宋体" w:hint="default"/>
                <w:sz w:val="18"/>
                <w:szCs w:val="18"/>
              </w:rPr>
              <w:t>受影响的项目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2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期初净资产</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-7,916,385.58</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20"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51" w:right="0"/>
              <w:jc w:val="left"/>
              <w:rPr>
                <w:rFonts w:ascii="宋体" w:hAnsi="宋体" w:cs="宋体" w:eastAsia="宋体" w:hint="default"/>
                <w:sz w:val="18"/>
                <w:szCs w:val="18"/>
              </w:rPr>
            </w:pPr>
            <w:r>
              <w:rPr>
                <w:rFonts w:ascii="宋体" w:hAnsi="宋体" w:cs="宋体" w:eastAsia="宋体" w:hint="default"/>
                <w:sz w:val="18"/>
                <w:szCs w:val="18"/>
              </w:rPr>
              <w:t>其中：留存收益</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-7,916,385.58</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2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2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51" w:right="0"/>
              <w:jc w:val="left"/>
              <w:rPr>
                <w:rFonts w:ascii="宋体" w:hAnsi="宋体" w:cs="宋体" w:eastAsia="宋体" w:hint="default"/>
                <w:sz w:val="18"/>
                <w:szCs w:val="18"/>
              </w:rPr>
            </w:pPr>
            <w:r>
              <w:rPr>
                <w:rFonts w:ascii="宋体" w:hAnsi="宋体" w:cs="宋体" w:eastAsia="宋体" w:hint="default"/>
                <w:sz w:val="18"/>
                <w:szCs w:val="18"/>
              </w:rPr>
              <w:t>其中：留存收益</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8"/>
        <w:rPr>
          <w:rFonts w:ascii="宋体" w:hAnsi="宋体" w:cs="宋体" w:eastAsia="宋体" w:hint="default"/>
          <w:sz w:val="5"/>
          <w:szCs w:val="5"/>
        </w:rPr>
      </w:pPr>
    </w:p>
    <w:p>
      <w:pPr>
        <w:pStyle w:val="Heading4"/>
        <w:spacing w:line="240" w:lineRule="auto" w:before="36"/>
        <w:ind w:left="573"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财务报表格式</w:t>
      </w:r>
    </w:p>
    <w:p>
      <w:pPr>
        <w:pStyle w:val="Heading4"/>
        <w:spacing w:line="259" w:lineRule="auto" w:before="139"/>
        <w:ind w:right="982" w:firstLine="420"/>
        <w:jc w:val="left"/>
      </w:pPr>
      <w:r>
        <w:rPr>
          <w:spacing w:val="-7"/>
          <w:w w:val="100"/>
        </w:rPr>
        <w:t>财政部于</w:t>
      </w:r>
      <w:r>
        <w:rPr>
          <w:rFonts w:ascii="Times New Roman" w:hAnsi="Times New Roman" w:cs="Times New Roman" w:eastAsia="Times New Roman" w:hint="default"/>
          <w:spacing w:val="-7"/>
          <w:w w:val="100"/>
        </w:rPr>
        <w:t>2019</w:t>
      </w:r>
      <w:r>
        <w:rPr>
          <w:spacing w:val="-7"/>
          <w:w w:val="100"/>
        </w:rPr>
        <w:t>年</w:t>
      </w:r>
      <w:r>
        <w:rPr>
          <w:rFonts w:ascii="Times New Roman" w:hAnsi="Times New Roman" w:cs="Times New Roman" w:eastAsia="Times New Roman" w:hint="default"/>
          <w:spacing w:val="-7"/>
          <w:w w:val="100"/>
        </w:rPr>
        <w:t>4</w:t>
      </w:r>
      <w:r>
        <w:rPr>
          <w:spacing w:val="-7"/>
          <w:w w:val="100"/>
        </w:rPr>
        <w:t>月颁布了《关于修订印发</w:t>
      </w:r>
      <w:r>
        <w:rPr>
          <w:rFonts w:ascii="Times New Roman" w:hAnsi="Times New Roman" w:cs="Times New Roman" w:eastAsia="Times New Roman" w:hint="default"/>
          <w:spacing w:val="-7"/>
          <w:w w:val="100"/>
        </w:rPr>
        <w:t>2019</w:t>
      </w:r>
      <w:r>
        <w:rPr>
          <w:spacing w:val="-7"/>
          <w:w w:val="100"/>
        </w:rPr>
        <w:t>年度一般企业财务报表格式的通知》（财会</w:t>
      </w:r>
      <w:r>
        <w:rPr>
          <w:rFonts w:ascii="Times New Roman" w:hAnsi="Times New Roman" w:cs="Times New Roman" w:eastAsia="Times New Roman" w:hint="default"/>
          <w:spacing w:val="-7"/>
          <w:w w:val="100"/>
        </w:rPr>
        <w:t>[2019]6</w:t>
      </w:r>
      <w:r>
        <w:rPr>
          <w:spacing w:val="-7"/>
          <w:w w:val="100"/>
        </w:rPr>
        <w:t>号），</w:t>
      </w:r>
      <w:r>
        <w:rPr>
          <w:w w:val="100"/>
        </w:rPr>
        <w:t> </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月颁布了《关于修订印发合并财务报表格式（</w:t>
      </w:r>
      <w:r>
        <w:rPr>
          <w:rFonts w:ascii="Times New Roman" w:hAnsi="Times New Roman" w:cs="Times New Roman" w:eastAsia="Times New Roman" w:hint="default"/>
          <w:spacing w:val="-3"/>
        </w:rPr>
        <w:t>2019</w:t>
      </w:r>
      <w:r>
        <w:rPr>
          <w:spacing w:val="-3"/>
        </w:rPr>
        <w:t>版）的通知》（财会</w:t>
      </w:r>
      <w:r>
        <w:rPr>
          <w:rFonts w:ascii="Times New Roman" w:hAnsi="Times New Roman" w:cs="Times New Roman" w:eastAsia="Times New Roman" w:hint="default"/>
          <w:spacing w:val="-3"/>
        </w:rPr>
        <w:t>[2019]16</w:t>
      </w:r>
      <w:r>
        <w:rPr>
          <w:spacing w:val="-3"/>
        </w:rPr>
        <w:t>号），根据上述通</w:t>
      </w:r>
      <w:r>
        <w:rPr>
          <w:spacing w:val="-12"/>
        </w:rPr>
        <w:t> </w:t>
      </w:r>
      <w:r>
        <w:rPr>
          <w:spacing w:val="-12"/>
        </w:rPr>
      </w:r>
      <w:r>
        <w:rPr/>
        <w:t>知，本集团对财务报表格式进行了以下修订：</w:t>
      </w:r>
    </w:p>
    <w:p>
      <w:pPr>
        <w:pStyle w:val="Heading4"/>
        <w:spacing w:line="259" w:lineRule="auto" w:before="138"/>
        <w:ind w:right="982" w:firstLine="420"/>
        <w:jc w:val="left"/>
      </w:pPr>
      <w:r>
        <w:rPr>
          <w:spacing w:val="-7"/>
        </w:rPr>
        <w:t>资产负债表，将</w:t>
      </w:r>
      <w:r>
        <w:rPr>
          <w:rFonts w:ascii="Times New Roman" w:hAnsi="Times New Roman" w:cs="Times New Roman" w:eastAsia="Times New Roman" w:hint="default"/>
          <w:spacing w:val="-7"/>
        </w:rPr>
        <w:t>“</w:t>
      </w:r>
      <w:r>
        <w:rPr>
          <w:spacing w:val="-7"/>
        </w:rPr>
        <w:t>应收票据及应收账款</w:t>
      </w:r>
      <w:r>
        <w:rPr>
          <w:rFonts w:ascii="Times New Roman" w:hAnsi="Times New Roman" w:cs="Times New Roman" w:eastAsia="Times New Roman" w:hint="default"/>
          <w:spacing w:val="-7"/>
        </w:rPr>
        <w:t>”</w:t>
      </w:r>
      <w:r>
        <w:rPr>
          <w:spacing w:val="-7"/>
        </w:rPr>
        <w:t>行项目拆分为</w:t>
      </w:r>
      <w:r>
        <w:rPr>
          <w:rFonts w:ascii="Times New Roman" w:hAnsi="Times New Roman" w:cs="Times New Roman" w:eastAsia="Times New Roman" w:hint="default"/>
          <w:spacing w:val="-7"/>
        </w:rPr>
        <w:t>“</w:t>
      </w:r>
      <w:r>
        <w:rPr>
          <w:spacing w:val="-7"/>
        </w:rPr>
        <w:t>应收票据</w:t>
      </w:r>
      <w:r>
        <w:rPr>
          <w:rFonts w:ascii="Times New Roman" w:hAnsi="Times New Roman" w:cs="Times New Roman" w:eastAsia="Times New Roman" w:hint="default"/>
          <w:spacing w:val="-7"/>
        </w:rPr>
        <w:t>”</w:t>
      </w:r>
      <w:r>
        <w:rPr>
          <w:spacing w:val="-7"/>
        </w:rPr>
        <w:t>、</w:t>
      </w:r>
      <w:r>
        <w:rPr>
          <w:rFonts w:ascii="Times New Roman" w:hAnsi="Times New Roman" w:cs="Times New Roman" w:eastAsia="Times New Roman" w:hint="default"/>
          <w:spacing w:val="-7"/>
        </w:rPr>
        <w:t>“</w:t>
      </w:r>
      <w:r>
        <w:rPr>
          <w:spacing w:val="-7"/>
        </w:rPr>
        <w:t>应收账款</w:t>
      </w:r>
      <w:r>
        <w:rPr>
          <w:rFonts w:ascii="Times New Roman" w:hAnsi="Times New Roman" w:cs="Times New Roman" w:eastAsia="Times New Roman" w:hint="default"/>
          <w:spacing w:val="-7"/>
        </w:rPr>
        <w:t>”</w:t>
      </w:r>
      <w:r>
        <w:rPr>
          <w:spacing w:val="-7"/>
        </w:rPr>
        <w:t>、</w:t>
      </w:r>
      <w:r>
        <w:rPr>
          <w:rFonts w:ascii="Times New Roman" w:hAnsi="Times New Roman" w:cs="Times New Roman" w:eastAsia="Times New Roman" w:hint="default"/>
          <w:spacing w:val="-7"/>
        </w:rPr>
        <w:t>“</w:t>
      </w:r>
      <w:r>
        <w:rPr>
          <w:spacing w:val="-7"/>
        </w:rPr>
        <w:t>应收款项融资</w:t>
      </w:r>
      <w:r>
        <w:rPr>
          <w:rFonts w:ascii="Times New Roman" w:hAnsi="Times New Roman" w:cs="Times New Roman" w:eastAsia="Times New Roman" w:hint="default"/>
          <w:spacing w:val="-7"/>
        </w:rPr>
        <w:t>”</w:t>
      </w:r>
      <w:r>
        <w:rPr>
          <w:spacing w:val="-7"/>
        </w:rPr>
        <w:t>；将</w:t>
      </w:r>
      <w:r>
        <w:rPr>
          <w:rFonts w:ascii="Times New Roman" w:hAnsi="Times New Roman" w:cs="Times New Roman" w:eastAsia="Times New Roman" w:hint="default"/>
          <w:spacing w:val="-7"/>
        </w:rPr>
        <w:t>“</w:t>
      </w:r>
      <w:r>
        <w:rPr>
          <w:spacing w:val="-7"/>
        </w:rPr>
        <w:t>应</w:t>
      </w:r>
      <w:r>
        <w:rPr>
          <w:w w:val="100"/>
        </w:rPr>
        <w:t> </w:t>
      </w:r>
      <w:r>
        <w:rPr/>
        <w:t>付票据及应付账款</w:t>
      </w:r>
      <w:r>
        <w:rPr>
          <w:rFonts w:ascii="Times New Roman" w:hAnsi="Times New Roman" w:cs="Times New Roman" w:eastAsia="Times New Roman" w:hint="default"/>
        </w:rPr>
        <w:t>”</w:t>
      </w:r>
      <w:r>
        <w:rPr/>
        <w:t>行项目拆分为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w:t>
      </w:r>
    </w:p>
    <w:p>
      <w:pPr>
        <w:pStyle w:val="Heading4"/>
        <w:spacing w:line="357" w:lineRule="auto" w:before="120"/>
        <w:ind w:left="573" w:right="982"/>
        <w:jc w:val="left"/>
      </w:pPr>
      <w:r>
        <w:rPr>
          <w:spacing w:val="-2"/>
        </w:rPr>
        <w:t>本集团对可比期间的比较数据按照财会</w:t>
      </w:r>
      <w:r>
        <w:rPr>
          <w:rFonts w:ascii="Times New Roman" w:hAnsi="Times New Roman" w:cs="Times New Roman" w:eastAsia="Times New Roman" w:hint="default"/>
          <w:spacing w:val="-2"/>
        </w:rPr>
        <w:t>[2019]6</w:t>
      </w:r>
      <w:r>
        <w:rPr>
          <w:spacing w:val="-2"/>
        </w:rPr>
        <w:t>号和财会</w:t>
      </w:r>
      <w:r>
        <w:rPr>
          <w:rFonts w:ascii="Times New Roman" w:hAnsi="Times New Roman" w:cs="Times New Roman" w:eastAsia="Times New Roman" w:hint="default"/>
          <w:spacing w:val="-2"/>
        </w:rPr>
        <w:t>[2019]16</w:t>
      </w:r>
      <w:r>
        <w:rPr>
          <w:spacing w:val="-2"/>
        </w:rPr>
        <w:t>号文进行调整。</w:t>
      </w:r>
      <w:r>
        <w:rPr>
          <w:spacing w:val="-27"/>
        </w:rPr>
        <w:t> </w:t>
      </w:r>
      <w:r>
        <w:rPr>
          <w:spacing w:val="-27"/>
        </w:rPr>
      </w:r>
      <w:r>
        <w:rPr/>
        <w:t>财务报表格式的修订对本公司财务状况和经营成果无重大影响。</w:t>
      </w:r>
    </w:p>
    <w:p>
      <w:pPr>
        <w:pStyle w:val="Heading4"/>
        <w:spacing w:line="240" w:lineRule="auto" w:before="54"/>
        <w:ind w:left="573" w:right="98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新非货币性交换准则</w:t>
      </w:r>
    </w:p>
    <w:p>
      <w:pPr>
        <w:pStyle w:val="Heading4"/>
        <w:spacing w:line="259" w:lineRule="auto" w:before="141"/>
        <w:ind w:right="982" w:firstLine="420"/>
        <w:jc w:val="left"/>
      </w:pPr>
      <w:r>
        <w:rPr>
          <w:spacing w:val="-3"/>
        </w:rPr>
        <w:t>财政部于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月颁布了《企业会计准则第</w:t>
      </w:r>
      <w:r>
        <w:rPr>
          <w:rFonts w:ascii="Times New Roman" w:hAnsi="Times New Roman" w:cs="Times New Roman" w:eastAsia="Times New Roman" w:hint="default"/>
          <w:spacing w:val="-3"/>
        </w:rPr>
        <w:t>7</w:t>
      </w:r>
      <w:r>
        <w:rPr>
          <w:spacing w:val="-3"/>
        </w:rPr>
        <w:t>号</w:t>
      </w:r>
      <w:r>
        <w:rPr>
          <w:rFonts w:ascii="Times New Roman" w:hAnsi="Times New Roman" w:cs="Times New Roman" w:eastAsia="Times New Roman" w:hint="default"/>
          <w:spacing w:val="-3"/>
        </w:rPr>
        <w:t>——</w:t>
      </w:r>
      <w:r>
        <w:rPr>
          <w:spacing w:val="-3"/>
        </w:rPr>
        <w:t>非货币性资产交换》（财会</w:t>
      </w:r>
      <w:r>
        <w:rPr>
          <w:rFonts w:ascii="Times New Roman" w:hAnsi="Times New Roman" w:cs="Times New Roman" w:eastAsia="Times New Roman" w:hint="default"/>
          <w:spacing w:val="-3"/>
        </w:rPr>
        <w:t>[2019]8</w:t>
      </w:r>
      <w:r>
        <w:rPr>
          <w:spacing w:val="-3"/>
        </w:rPr>
        <w:t>号）（以下简</w:t>
      </w:r>
      <w:r>
        <w:rPr>
          <w:w w:val="100"/>
        </w:rPr>
        <w:t> </w:t>
      </w:r>
      <w:r>
        <w:rPr/>
        <w:t>称</w:t>
      </w:r>
      <w:r>
        <w:rPr>
          <w:rFonts w:ascii="Times New Roman" w:hAnsi="Times New Roman" w:cs="Times New Roman" w:eastAsia="Times New Roman" w:hint="default"/>
        </w:rPr>
        <w:t>“</w:t>
      </w:r>
      <w:r>
        <w:rPr/>
        <w:t>新非货币性交换准则</w:t>
      </w:r>
      <w:r>
        <w:rPr>
          <w:rFonts w:ascii="Times New Roman" w:hAnsi="Times New Roman" w:cs="Times New Roman" w:eastAsia="Times New Roman" w:hint="default"/>
        </w:rPr>
        <w:t>”</w:t>
      </w:r>
      <w:r>
        <w:rPr/>
        <w:t>），本公司对会计政策相关内容进行了变更。</w:t>
      </w:r>
    </w:p>
    <w:p>
      <w:pPr>
        <w:pStyle w:val="Heading4"/>
        <w:spacing w:line="273" w:lineRule="auto" w:before="120"/>
        <w:ind w:right="1126" w:firstLine="420"/>
        <w:jc w:val="both"/>
      </w:pPr>
      <w:r>
        <w:rPr>
          <w:spacing w:val="-2"/>
        </w:rPr>
        <w:t>新非货币性交换准则明确了货币性资产和非货币性资产的概念和准则的适用范围，明确了非货币性资</w:t>
      </w:r>
      <w:r>
        <w:rPr>
          <w:w w:val="100"/>
        </w:rPr>
        <w:t> </w:t>
      </w:r>
      <w:r>
        <w:rPr>
          <w:spacing w:val="-2"/>
        </w:rPr>
        <w:t>产交换的确认时点，明确了不同条件下非货币性资产交换的价值计量基础和核算方法，同时完善了相关信</w:t>
      </w:r>
      <w:r>
        <w:rPr>
          <w:spacing w:val="-43"/>
        </w:rPr>
        <w:t> </w:t>
      </w:r>
      <w:r>
        <w:rPr>
          <w:spacing w:val="-43"/>
        </w:rPr>
      </w:r>
      <w:r>
        <w:rPr/>
        <w:t>息披露要求等。</w:t>
      </w:r>
    </w:p>
    <w:p>
      <w:pPr>
        <w:pStyle w:val="Heading4"/>
        <w:spacing w:line="259" w:lineRule="auto" w:before="125"/>
        <w:ind w:right="982" w:firstLine="420"/>
        <w:jc w:val="left"/>
      </w:pPr>
      <w:r>
        <w:rPr>
          <w:spacing w:val="-2"/>
        </w:rPr>
        <w:t>本集团对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日以后新发生的非货币性资产交换交易采用未来适用法处理，对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日以</w:t>
      </w:r>
      <w:r>
        <w:rPr>
          <w:spacing w:val="-3"/>
          <w:w w:val="100"/>
        </w:rPr>
        <w:t> </w:t>
      </w:r>
      <w:r>
        <w:rPr/>
        <w:t>前发生的非货币性资产交换交易不进行追溯调整。</w:t>
      </w:r>
    </w:p>
    <w:p>
      <w:pPr>
        <w:pStyle w:val="Heading4"/>
        <w:spacing w:line="240" w:lineRule="auto" w:before="138"/>
        <w:ind w:left="573" w:right="982"/>
        <w:jc w:val="left"/>
      </w:pPr>
      <w:r>
        <w:rPr/>
        <w:t>新非货币性交换准则的执行对本集团财务状况和经营成果无重大影响。</w:t>
      </w:r>
    </w:p>
    <w:p>
      <w:pPr>
        <w:pStyle w:val="Heading4"/>
        <w:spacing w:line="430" w:lineRule="atLeast" w:before="18"/>
        <w:ind w:left="573" w:right="98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新债务重组准则</w:t>
      </w:r>
      <w:r>
        <w:rPr>
          <w:spacing w:val="-103"/>
        </w:rPr>
        <w:t> </w:t>
      </w:r>
      <w:r>
        <w:rPr>
          <w:spacing w:val="-103"/>
        </w:rPr>
      </w:r>
      <w:r>
        <w:rPr>
          <w:spacing w:val="-3"/>
        </w:rPr>
        <w:t>财政部于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月颁发布了《企业会计准则第</w:t>
      </w:r>
      <w:r>
        <w:rPr>
          <w:rFonts w:ascii="Times New Roman" w:hAnsi="Times New Roman" w:cs="Times New Roman" w:eastAsia="Times New Roman" w:hint="default"/>
          <w:spacing w:val="-3"/>
        </w:rPr>
        <w:t>12</w:t>
      </w:r>
      <w:r>
        <w:rPr>
          <w:spacing w:val="-3"/>
        </w:rPr>
        <w:t>号</w:t>
      </w:r>
      <w:r>
        <w:rPr>
          <w:rFonts w:ascii="Times New Roman" w:hAnsi="Times New Roman" w:cs="Times New Roman" w:eastAsia="Times New Roman" w:hint="default"/>
          <w:spacing w:val="-3"/>
        </w:rPr>
        <w:t>——</w:t>
      </w:r>
      <w:r>
        <w:rPr>
          <w:spacing w:val="-3"/>
        </w:rPr>
        <w:t>债务重组》（财会</w:t>
      </w:r>
      <w:r>
        <w:rPr>
          <w:rFonts w:ascii="Times New Roman" w:hAnsi="Times New Roman" w:cs="Times New Roman" w:eastAsia="Times New Roman" w:hint="default"/>
          <w:spacing w:val="-3"/>
        </w:rPr>
        <w:t>[2019]9</w:t>
      </w:r>
      <w:r>
        <w:rPr>
          <w:spacing w:val="-3"/>
        </w:rPr>
        <w:t>号）（以下简称</w:t>
      </w:r>
      <w:r>
        <w:rPr>
          <w:rFonts w:ascii="Times New Roman" w:hAnsi="Times New Roman" w:cs="Times New Roman" w:eastAsia="Times New Roman" w:hint="default"/>
          <w:spacing w:val="-3"/>
        </w:rPr>
        <w:t>“</w:t>
      </w:r>
      <w:r>
        <w:rPr>
          <w:spacing w:val="-3"/>
        </w:rPr>
        <w:t>新</w:t>
      </w:r>
    </w:p>
    <w:p>
      <w:pPr>
        <w:pStyle w:val="Heading4"/>
        <w:spacing w:line="240" w:lineRule="auto" w:before="23"/>
        <w:ind w:right="982"/>
        <w:jc w:val="left"/>
      </w:pPr>
      <w:r>
        <w:rPr/>
        <w:t>债务重组准则</w:t>
      </w:r>
      <w:r>
        <w:rPr>
          <w:rFonts w:ascii="Times New Roman" w:hAnsi="Times New Roman" w:cs="Times New Roman" w:eastAsia="Times New Roman" w:hint="default"/>
        </w:rPr>
        <w:t>”)</w:t>
      </w:r>
      <w:r>
        <w:rPr/>
        <w:t>，本公司对会计政策相关内容进行了变更。</w:t>
      </w:r>
    </w:p>
    <w:p>
      <w:pPr>
        <w:pStyle w:val="Heading4"/>
        <w:spacing w:line="259" w:lineRule="auto" w:before="139"/>
        <w:ind w:right="1126" w:firstLine="420"/>
        <w:jc w:val="both"/>
      </w:pPr>
      <w:r>
        <w:rPr>
          <w:spacing w:val="-4"/>
        </w:rPr>
        <w:t>新债务重组准则修改了债务重组的定义，明确了债务重组中涉及金融工具的适用《企业会计准则第</w:t>
      </w:r>
      <w:r>
        <w:rPr>
          <w:spacing w:val="23"/>
        </w:rPr>
        <w:t> </w:t>
      </w:r>
      <w:r>
        <w:rPr>
          <w:rFonts w:ascii="Times New Roman" w:hAnsi="Times New Roman" w:cs="Times New Roman" w:eastAsia="Times New Roman" w:hint="default"/>
          <w:spacing w:val="-3"/>
        </w:rPr>
        <w:t>22</w:t>
      </w:r>
      <w:r>
        <w:rPr>
          <w:rFonts w:ascii="Times New Roman" w:hAnsi="Times New Roman" w:cs="Times New Roman" w:eastAsia="Times New Roman" w:hint="default"/>
          <w:spacing w:val="-3"/>
          <w:w w:val="100"/>
        </w:rPr>
        <w:t> </w:t>
      </w:r>
      <w:r>
        <w:rPr>
          <w:spacing w:val="-2"/>
        </w:rPr>
        <w:t>号</w:t>
      </w:r>
      <w:r>
        <w:rPr>
          <w:rFonts w:ascii="Times New Roman" w:hAnsi="Times New Roman" w:cs="Times New Roman" w:eastAsia="Times New Roman" w:hint="default"/>
          <w:spacing w:val="-2"/>
        </w:rPr>
        <w:t>——</w:t>
      </w:r>
      <w:r>
        <w:rPr>
          <w:spacing w:val="-2"/>
        </w:rPr>
        <w:t>金融工具确认和计量》等准则，明确了债权人受让金融资产以外的资产初始按成本计量，明确债务</w:t>
      </w:r>
      <w:r>
        <w:rPr>
          <w:spacing w:val="-42"/>
        </w:rPr>
        <w:t> </w:t>
      </w:r>
      <w:r>
        <w:rPr>
          <w:spacing w:val="-42"/>
        </w:rPr>
      </w:r>
      <w:r>
        <w:rPr/>
        <w:t>人以资产清偿债务时不再区分资产处置损益与债务重组损益等。</w:t>
      </w:r>
    </w:p>
    <w:p>
      <w:pPr>
        <w:pStyle w:val="Heading4"/>
        <w:spacing w:line="259" w:lineRule="auto" w:before="138"/>
        <w:ind w:right="982" w:firstLine="420"/>
        <w:jc w:val="left"/>
      </w:pPr>
      <w:r>
        <w:rPr>
          <w:spacing w:val="-2"/>
        </w:rPr>
        <w:t>根据财会</w:t>
      </w:r>
      <w:r>
        <w:rPr>
          <w:rFonts w:ascii="Times New Roman" w:hAnsi="Times New Roman" w:cs="Times New Roman" w:eastAsia="Times New Roman" w:hint="default"/>
          <w:spacing w:val="-2"/>
        </w:rPr>
        <w:t>[2019]6</w:t>
      </w:r>
      <w:r>
        <w:rPr>
          <w:spacing w:val="-2"/>
        </w:rPr>
        <w:t>号文件的规定，</w:t>
      </w:r>
      <w:r>
        <w:rPr>
          <w:rFonts w:ascii="Times New Roman" w:hAnsi="Times New Roman" w:cs="Times New Roman" w:eastAsia="Times New Roman" w:hint="default"/>
          <w:spacing w:val="-2"/>
        </w:rPr>
        <w:t>“</w:t>
      </w:r>
      <w:r>
        <w:rPr>
          <w:spacing w:val="-2"/>
        </w:rPr>
        <w:t>营业外收入</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营业外支出</w:t>
      </w:r>
      <w:r>
        <w:rPr>
          <w:rFonts w:ascii="Times New Roman" w:hAnsi="Times New Roman" w:cs="Times New Roman" w:eastAsia="Times New Roman" w:hint="default"/>
          <w:spacing w:val="-2"/>
        </w:rPr>
        <w:t>”</w:t>
      </w:r>
      <w:r>
        <w:rPr>
          <w:spacing w:val="-2"/>
        </w:rPr>
        <w:t>项目不再包含债务重组中因处置非流动</w:t>
      </w:r>
      <w:r>
        <w:rPr>
          <w:w w:val="100"/>
        </w:rPr>
        <w:t> </w:t>
      </w:r>
      <w:r>
        <w:rPr/>
        <w:t>资产产生的利得或损失。</w:t>
      </w:r>
    </w:p>
    <w:p>
      <w:pPr>
        <w:pStyle w:val="Heading4"/>
        <w:spacing w:line="240" w:lineRule="auto" w:before="138"/>
        <w:ind w:left="573" w:right="982"/>
        <w:jc w:val="left"/>
      </w:pPr>
      <w:r>
        <w:rPr/>
        <w:t>本集团对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日新发生的债务重组采用未来适用法处理，对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日以前发生的债务重组</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76" w:lineRule="auto" w:before="36"/>
        <w:ind w:left="573" w:right="4274" w:hanging="421"/>
        <w:jc w:val="left"/>
      </w:pPr>
      <w:r>
        <w:rPr/>
        <w:t>不进行追溯调整。</w:t>
      </w:r>
      <w:r>
        <w:rPr>
          <w:w w:val="100"/>
        </w:rPr>
        <w:t> </w:t>
      </w:r>
      <w:r>
        <w:rPr>
          <w:spacing w:val="-2"/>
        </w:rPr>
        <w:t>新债务重组准则的执行对本集团财务状况和经营成果无重大影响。</w:t>
      </w:r>
      <w:r>
        <w:rPr>
          <w:w w:val="100"/>
        </w:rPr>
        <w:t> </w:t>
      </w:r>
      <w:r>
        <w:rPr>
          <w:rFonts w:ascii="Times New Roman" w:hAnsi="Times New Roman" w:cs="Times New Roman" w:eastAsia="Times New Roman" w:hint="default"/>
        </w:rPr>
        <w:t>2</w:t>
      </w:r>
      <w:r>
        <w:rPr/>
        <w:t>、会计估计变更的说明</w:t>
      </w:r>
    </w:p>
    <w:p>
      <w:pPr>
        <w:pStyle w:val="Heading4"/>
        <w:spacing w:line="367" w:lineRule="auto" w:before="8"/>
        <w:ind w:left="573" w:right="4634"/>
        <w:jc w:val="left"/>
      </w:pPr>
      <w:r>
        <w:rPr/>
        <w:t>本报告期内没有发生会计估计变更。</w:t>
      </w:r>
      <w:r>
        <w:rPr>
          <w:w w:val="100"/>
        </w:rPr>
        <w:t> </w:t>
      </w:r>
      <w:r>
        <w:rPr>
          <w:rFonts w:ascii="Times New Roman" w:hAnsi="Times New Roman" w:cs="Times New Roman" w:eastAsia="Times New Roman" w:hint="default"/>
        </w:rPr>
        <w:t>3</w:t>
      </w:r>
      <w:r>
        <w:rPr/>
        <w:t>、重大会计差错更正的说明</w:t>
      </w:r>
      <w:r>
        <w:rPr>
          <w:w w:val="100"/>
        </w:rPr>
        <w:t> </w:t>
      </w:r>
      <w:r>
        <w:rPr>
          <w:spacing w:val="-2"/>
        </w:rPr>
        <w:t>本报告期内没有发生重大会计差错更正。</w:t>
      </w:r>
    </w:p>
    <w:p>
      <w:pPr>
        <w:spacing w:line="240" w:lineRule="auto" w:before="4"/>
        <w:rPr>
          <w:rFonts w:ascii="宋体" w:hAnsi="宋体" w:cs="宋体" w:eastAsia="宋体" w:hint="default"/>
          <w:sz w:val="15"/>
          <w:szCs w:val="15"/>
        </w:rPr>
      </w:pPr>
    </w:p>
    <w:p>
      <w:pPr>
        <w:pStyle w:val="Heading2"/>
        <w:spacing w:line="240" w:lineRule="auto"/>
        <w:ind w:right="982"/>
        <w:jc w:val="left"/>
        <w:rPr>
          <w:b w:val="0"/>
          <w:bCs w:val="0"/>
        </w:rPr>
      </w:pP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公司报告期无合并报表范围发生变化的情况。</w:t>
      </w:r>
    </w:p>
    <w:p>
      <w:pPr>
        <w:spacing w:line="240" w:lineRule="auto" w:before="8"/>
        <w:rPr>
          <w:rFonts w:ascii="宋体" w:hAnsi="宋体" w:cs="宋体" w:eastAsia="宋体" w:hint="default"/>
          <w:sz w:val="19"/>
          <w:szCs w:val="19"/>
        </w:rPr>
      </w:pPr>
    </w:p>
    <w:p>
      <w:pPr>
        <w:pStyle w:val="Heading2"/>
        <w:spacing w:line="240" w:lineRule="auto"/>
        <w:ind w:right="982"/>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郑建彪、王娟</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郑建彪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年、王娟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right="982"/>
        <w:jc w:val="left"/>
      </w:pPr>
      <w:r>
        <w:rPr/>
        <w:t>是否改聘会计师事务所</w:t>
      </w:r>
    </w:p>
    <w:p>
      <w:pPr>
        <w:pStyle w:val="BodyText"/>
        <w:spacing w:line="340" w:lineRule="auto" w:before="117"/>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982"/>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after="0" w:line="340"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982"/>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1"/>
        </w:rPr>
        <w:t>公司报告期无上市公司股权激励计划、员工持股计划及其实施情况；公司子公司安信天行根据财资【</w:t>
      </w:r>
      <w:r>
        <w:rPr>
          <w:rFonts w:ascii="Times New Roman" w:hAnsi="Times New Roman" w:cs="Times New Roman" w:eastAsia="Times New Roman" w:hint="default"/>
          <w:spacing w:val="-1"/>
        </w:rPr>
        <w:t>2016</w:t>
      </w:r>
      <w:r>
        <w:rPr>
          <w:spacing w:val="-1"/>
        </w:rPr>
        <w:t>】</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16"/>
        </w:rPr>
        <w:t> </w:t>
      </w:r>
      <w:r>
        <w:rPr>
          <w:spacing w:val="-2"/>
        </w:rPr>
        <w:t>号文《国有科</w:t>
      </w:r>
      <w:r>
        <w:rPr>
          <w:spacing w:val="-86"/>
        </w:rPr>
        <w:t> </w:t>
      </w:r>
      <w:r>
        <w:rPr>
          <w:spacing w:val="-86"/>
        </w:rPr>
      </w:r>
      <w:r>
        <w:rPr/>
        <w:t>技型企业股权和分红激励暂行办法》实施了股权出售激励计划。</w:t>
      </w:r>
    </w:p>
    <w:p>
      <w:pPr>
        <w:spacing w:line="240" w:lineRule="auto" w:before="9"/>
        <w:rPr>
          <w:rFonts w:ascii="宋体" w:hAnsi="宋体" w:cs="宋体" w:eastAsia="宋体" w:hint="default"/>
          <w:sz w:val="20"/>
          <w:szCs w:val="20"/>
        </w:rPr>
      </w:pPr>
    </w:p>
    <w:p>
      <w:pPr>
        <w:pStyle w:val="Heading2"/>
        <w:spacing w:line="240" w:lineRule="auto"/>
        <w:ind w:right="982"/>
        <w:jc w:val="left"/>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公司报告期未发生与日常经营相关的重大关联交易。</w:t>
      </w:r>
    </w:p>
    <w:p>
      <w:pPr>
        <w:spacing w:line="240" w:lineRule="auto" w:before="3"/>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6"/>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after="0" w:line="340"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338" w:lineRule="auto" w:before="39"/>
        <w:ind w:right="3284"/>
        <w:jc w:val="left"/>
      </w:pPr>
      <w:r>
        <w:rPr/>
        <w:t>至资产负债表日止，本集团对外签订的不可撤销的经营租赁的最低租赁付款额为</w:t>
      </w:r>
      <w:r>
        <w:rPr>
          <w:rFonts w:ascii="Times New Roman" w:hAnsi="Times New Roman" w:cs="Times New Roman" w:eastAsia="Times New Roman" w:hint="default"/>
        </w:rPr>
        <w:t>1,431.72</w:t>
      </w:r>
      <w:r>
        <w:rPr/>
        <w:t>万元。 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2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982"/>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3"/>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9" w:top="106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部分闲置募集资金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暂时闲置自有资金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49"/>
        <w:ind w:right="-20"/>
        <w:jc w:val="left"/>
      </w:pPr>
      <w:r>
        <w:rPr/>
        <w:t>单项金额重大或安全性较低、流动性较差、不保本的高风险委托理财具体情况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6273" w:space="2467"/>
            <w:col w:w="2190"/>
          </w:cols>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946"/>
        <w:gridCol w:w="588"/>
        <w:gridCol w:w="607"/>
        <w:gridCol w:w="576"/>
        <w:gridCol w:w="560"/>
        <w:gridCol w:w="794"/>
        <w:gridCol w:w="710"/>
        <w:gridCol w:w="566"/>
        <w:gridCol w:w="425"/>
        <w:gridCol w:w="566"/>
        <w:gridCol w:w="427"/>
        <w:gridCol w:w="566"/>
        <w:gridCol w:w="708"/>
        <w:gridCol w:w="567"/>
        <w:gridCol w:w="427"/>
        <w:gridCol w:w="566"/>
        <w:gridCol w:w="991"/>
      </w:tblGrid>
      <w:tr>
        <w:trPr>
          <w:trHeight w:val="1961"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87" w:right="106" w:hanging="180"/>
              <w:jc w:val="left"/>
              <w:rPr>
                <w:rFonts w:ascii="宋体" w:hAnsi="宋体" w:cs="宋体" w:eastAsia="宋体" w:hint="default"/>
                <w:sz w:val="18"/>
                <w:szCs w:val="18"/>
              </w:rPr>
            </w:pPr>
            <w:r>
              <w:rPr>
                <w:rFonts w:ascii="宋体" w:hAnsi="宋体" w:cs="宋体" w:eastAsia="宋体" w:hint="default"/>
                <w:sz w:val="18"/>
                <w:szCs w:val="18"/>
              </w:rPr>
              <w:t>受托机构 名称</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10" w:right="105"/>
              <w:jc w:val="both"/>
              <w:rPr>
                <w:rFonts w:ascii="宋体" w:hAnsi="宋体" w:cs="宋体" w:eastAsia="宋体" w:hint="default"/>
                <w:sz w:val="18"/>
                <w:szCs w:val="18"/>
              </w:rPr>
            </w:pPr>
            <w:r>
              <w:rPr>
                <w:rFonts w:ascii="宋体" w:hAnsi="宋体" w:cs="宋体" w:eastAsia="宋体" w:hint="default"/>
                <w:sz w:val="18"/>
                <w:szCs w:val="18"/>
              </w:rPr>
              <w:t>受托 机构 类型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11" w:right="24"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95" w:right="92"/>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59" w:right="79" w:hanging="180"/>
              <w:jc w:val="left"/>
              <w:rPr>
                <w:rFonts w:ascii="宋体" w:hAnsi="宋体" w:cs="宋体" w:eastAsia="宋体" w:hint="default"/>
                <w:sz w:val="18"/>
                <w:szCs w:val="18"/>
              </w:rPr>
            </w:pPr>
            <w:r>
              <w:rPr>
                <w:rFonts w:ascii="宋体" w:hAnsi="宋体" w:cs="宋体" w:eastAsia="宋体" w:hint="default"/>
                <w:sz w:val="18"/>
                <w:szCs w:val="18"/>
              </w:rPr>
              <w:t>终止日 期</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8" w:right="24"/>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98" w:right="96"/>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8" w:right="26"/>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19"/>
              <w:ind w:left="28" w:right="26"/>
              <w:jc w:val="left"/>
              <w:rPr>
                <w:rFonts w:ascii="宋体" w:hAnsi="宋体" w:cs="宋体" w:eastAsia="宋体" w:hint="default"/>
                <w:sz w:val="18"/>
                <w:szCs w:val="18"/>
              </w:rPr>
            </w:pPr>
            <w:r>
              <w:rPr>
                <w:rFonts w:ascii="宋体" w:hAnsi="宋体" w:cs="宋体" w:eastAsia="宋体" w:hint="default"/>
                <w:sz w:val="18"/>
                <w:szCs w:val="18"/>
              </w:rPr>
              <w:t>（如 有）</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79" w:right="77"/>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96"/>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99" w:right="96"/>
              <w:jc w:val="both"/>
              <w:rPr>
                <w:rFonts w:ascii="宋体" w:hAnsi="宋体" w:cs="宋体" w:eastAsia="宋体" w:hint="default"/>
                <w:sz w:val="18"/>
                <w:szCs w:val="18"/>
              </w:rPr>
            </w:pPr>
            <w:r>
              <w:rPr>
                <w:rFonts w:ascii="宋体" w:hAnsi="宋体" w:cs="宋体" w:eastAsia="宋体" w:hint="default"/>
                <w:sz w:val="18"/>
                <w:szCs w:val="18"/>
              </w:rPr>
              <w:t>（如 有）</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8" w:right="2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40" w:right="38"/>
              <w:jc w:val="both"/>
              <w:rPr>
                <w:rFonts w:ascii="宋体" w:hAnsi="宋体" w:cs="宋体" w:eastAsia="宋体" w:hint="default"/>
                <w:sz w:val="18"/>
                <w:szCs w:val="18"/>
              </w:rPr>
            </w:pPr>
            <w:r>
              <w:rPr>
                <w:rFonts w:ascii="宋体" w:hAnsi="宋体" w:cs="宋体" w:eastAsia="宋体" w:hint="default"/>
                <w:sz w:val="18"/>
                <w:szCs w:val="18"/>
              </w:rPr>
              <w:t>事项概述及 相关查询索 引（如有）</w:t>
            </w:r>
          </w:p>
        </w:tc>
      </w:tr>
      <w:tr>
        <w:trPr>
          <w:trHeight w:val="71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242" w:right="89" w:hanging="152"/>
              <w:jc w:val="left"/>
              <w:rPr>
                <w:rFonts w:ascii="宋体" w:hAnsi="宋体" w:cs="宋体" w:eastAsia="宋体" w:hint="default"/>
                <w:sz w:val="15"/>
                <w:szCs w:val="15"/>
              </w:rPr>
            </w:pPr>
            <w:r>
              <w:rPr>
                <w:rFonts w:ascii="宋体" w:hAnsi="宋体" w:cs="宋体" w:eastAsia="宋体" w:hint="default"/>
                <w:sz w:val="15"/>
                <w:szCs w:val="15"/>
              </w:rPr>
              <w:t>北京银行燕</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园支行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76" w:right="65"/>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right="0"/>
              <w:jc w:val="center"/>
              <w:rPr>
                <w:rFonts w:ascii="Times New Roman" w:hAnsi="Times New Roman" w:cs="Times New Roman" w:eastAsia="Times New Roman" w:hint="default"/>
                <w:sz w:val="15"/>
                <w:szCs w:val="15"/>
              </w:rPr>
            </w:pPr>
            <w:r>
              <w:rPr>
                <w:rFonts w:ascii="Times New Roman"/>
                <w:sz w:val="15"/>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50" w:right="44"/>
              <w:jc w:val="left"/>
              <w:rPr>
                <w:rFonts w:ascii="宋体" w:hAnsi="宋体" w:cs="宋体" w:eastAsia="宋体" w:hint="default"/>
                <w:sz w:val="15"/>
                <w:szCs w:val="15"/>
              </w:rPr>
            </w:pPr>
            <w:r>
              <w:rPr>
                <w:rFonts w:ascii="宋体" w:hAnsi="宋体" w:cs="宋体" w:eastAsia="宋体" w:hint="default"/>
                <w:sz w:val="15"/>
                <w:szCs w:val="15"/>
              </w:rPr>
              <w:t>闲置自</w:t>
            </w:r>
            <w:r>
              <w:rPr>
                <w:rFonts w:ascii="宋体" w:hAnsi="宋体" w:cs="宋体" w:eastAsia="宋体" w:hint="default"/>
                <w:spacing w:val="-72"/>
                <w:sz w:val="15"/>
                <w:szCs w:val="15"/>
              </w:rPr>
              <w:t> </w:t>
            </w:r>
            <w:r>
              <w:rPr>
                <w:rFonts w:ascii="宋体" w:hAnsi="宋体" w:cs="宋体" w:eastAsia="宋体" w:hint="default"/>
                <w:sz w:val="15"/>
                <w:szCs w:val="15"/>
              </w:rPr>
              <w:t>有资金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01</w:t>
            </w:r>
          </w:p>
          <w:p>
            <w:pPr>
              <w:pStyle w:val="TableParagraph"/>
              <w:spacing w:line="240" w:lineRule="auto" w:before="102"/>
              <w:ind w:left="12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09</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04</w:t>
            </w:r>
          </w:p>
          <w:p>
            <w:pPr>
              <w:pStyle w:val="TableParagraph"/>
              <w:spacing w:line="240" w:lineRule="auto" w:before="102"/>
              <w:ind w:left="86"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09</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5" w:right="0"/>
              <w:jc w:val="center"/>
              <w:rPr>
                <w:rFonts w:ascii="Times New Roman" w:hAnsi="Times New Roman" w:cs="Times New Roman" w:eastAsia="Times New Roman" w:hint="default"/>
                <w:sz w:val="15"/>
                <w:szCs w:val="15"/>
              </w:rPr>
            </w:pPr>
            <w:r>
              <w:rPr>
                <w:rFonts w:ascii="Times New Roman"/>
                <w:sz w:val="15"/>
              </w:rPr>
              <w:t>4.00%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110" w:right="0"/>
              <w:jc w:val="left"/>
              <w:rPr>
                <w:rFonts w:ascii="Times New Roman" w:hAnsi="Times New Roman" w:cs="Times New Roman" w:eastAsia="Times New Roman" w:hint="default"/>
                <w:sz w:val="15"/>
                <w:szCs w:val="15"/>
              </w:rPr>
            </w:pPr>
            <w:r>
              <w:rPr>
                <w:rFonts w:ascii="Times New Roman"/>
                <w:sz w:val="15"/>
              </w:rPr>
              <w:t>98.63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99"/>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3"/>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2019-002</w:t>
            </w:r>
            <w:r>
              <w:rPr>
                <w:rFonts w:ascii="宋体" w:hAnsi="宋体" w:cs="宋体" w:eastAsia="宋体" w:hint="default"/>
                <w:sz w:val="15"/>
                <w:szCs w:val="15"/>
              </w:rPr>
              <w:t>）</w:t>
            </w:r>
          </w:p>
        </w:tc>
      </w:tr>
      <w:tr>
        <w:trPr>
          <w:trHeight w:val="102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91" w:right="89"/>
              <w:jc w:val="both"/>
              <w:rPr>
                <w:rFonts w:ascii="宋体" w:hAnsi="宋体" w:cs="宋体" w:eastAsia="宋体" w:hint="default"/>
                <w:sz w:val="15"/>
                <w:szCs w:val="15"/>
              </w:rPr>
            </w:pPr>
            <w:r>
              <w:rPr>
                <w:rFonts w:ascii="宋体" w:hAnsi="宋体" w:cs="宋体" w:eastAsia="宋体" w:hint="default"/>
                <w:sz w:val="15"/>
                <w:szCs w:val="15"/>
              </w:rPr>
              <w:t>上海浦东发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展银行北京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通州支行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381" w:lineRule="auto"/>
              <w:ind w:left="76" w:right="65"/>
              <w:jc w:val="left"/>
              <w:rPr>
                <w:rFonts w:ascii="宋体" w:hAnsi="宋体" w:cs="宋体" w:eastAsia="宋体" w:hint="default"/>
                <w:sz w:val="15"/>
                <w:szCs w:val="15"/>
              </w:rPr>
            </w:pPr>
            <w:r>
              <w:rPr>
                <w:rFonts w:ascii="宋体" w:hAnsi="宋体" w:cs="宋体" w:eastAsia="宋体" w:hint="default"/>
                <w:sz w:val="15"/>
                <w:szCs w:val="15"/>
              </w:rPr>
              <w:t>保本固</w:t>
            </w:r>
            <w:r>
              <w:rPr>
                <w:rFonts w:ascii="宋体" w:hAnsi="宋体" w:cs="宋体" w:eastAsia="宋体" w:hint="default"/>
                <w:spacing w:val="-72"/>
                <w:sz w:val="15"/>
                <w:szCs w:val="15"/>
              </w:rPr>
              <w:t> </w:t>
            </w:r>
            <w:r>
              <w:rPr>
                <w:rFonts w:ascii="宋体" w:hAnsi="宋体" w:cs="宋体" w:eastAsia="宋体" w:hint="default"/>
                <w:sz w:val="15"/>
                <w:szCs w:val="15"/>
              </w:rPr>
              <w:t>定收益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
              <w:jc w:val="center"/>
              <w:rPr>
                <w:rFonts w:ascii="Times New Roman" w:hAnsi="Times New Roman" w:cs="Times New Roman" w:eastAsia="Times New Roman" w:hint="default"/>
                <w:sz w:val="15"/>
                <w:szCs w:val="15"/>
              </w:rPr>
            </w:pPr>
            <w:r>
              <w:rPr>
                <w:rFonts w:ascii="Times New Roman"/>
                <w:sz w:val="15"/>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381" w:lineRule="auto"/>
              <w:ind w:left="50" w:right="44"/>
              <w:jc w:val="left"/>
              <w:rPr>
                <w:rFonts w:ascii="宋体" w:hAnsi="宋体" w:cs="宋体" w:eastAsia="宋体" w:hint="default"/>
                <w:sz w:val="15"/>
                <w:szCs w:val="15"/>
              </w:rPr>
            </w:pPr>
            <w:r>
              <w:rPr>
                <w:rFonts w:ascii="宋体" w:hAnsi="宋体" w:cs="宋体" w:eastAsia="宋体" w:hint="default"/>
                <w:sz w:val="15"/>
                <w:szCs w:val="15"/>
              </w:rPr>
              <w:t>闲置自</w:t>
            </w:r>
            <w:r>
              <w:rPr>
                <w:rFonts w:ascii="宋体" w:hAnsi="宋体" w:cs="宋体" w:eastAsia="宋体" w:hint="default"/>
                <w:spacing w:val="-72"/>
                <w:sz w:val="15"/>
                <w:szCs w:val="15"/>
              </w:rPr>
              <w:t> </w:t>
            </w:r>
            <w:r>
              <w:rPr>
                <w:rFonts w:ascii="宋体" w:hAnsi="宋体" w:cs="宋体" w:eastAsia="宋体" w:hint="default"/>
                <w:sz w:val="15"/>
                <w:szCs w:val="15"/>
              </w:rPr>
              <w:t>有资金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01</w:t>
            </w:r>
          </w:p>
          <w:p>
            <w:pPr>
              <w:pStyle w:val="TableParagraph"/>
              <w:spacing w:line="240" w:lineRule="auto" w:before="105"/>
              <w:ind w:left="13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pacing w:val="-3"/>
                <w:sz w:val="15"/>
                <w:szCs w:val="15"/>
              </w:rPr>
              <w:t>11</w:t>
            </w:r>
            <w:r>
              <w:rPr>
                <w:rFonts w:ascii="Times New Roman" w:hAnsi="Times New Roman" w:cs="Times New Roman" w:eastAsia="Times New Roman" w:hint="default"/>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04</w:t>
            </w:r>
          </w:p>
          <w:p>
            <w:pPr>
              <w:pStyle w:val="TableParagraph"/>
              <w:spacing w:line="240" w:lineRule="auto" w:before="105"/>
              <w:ind w:left="9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pacing w:val="-3"/>
                <w:sz w:val="15"/>
                <w:szCs w:val="15"/>
              </w:rPr>
              <w:t>11</w:t>
            </w:r>
            <w:r>
              <w:rPr>
                <w:rFonts w:ascii="Times New Roman" w:hAnsi="Times New Roman" w:cs="Times New Roman" w:eastAsia="Times New Roman" w:hint="default"/>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381" w:lineRule="auto"/>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381" w:lineRule="auto"/>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5" w:right="0"/>
              <w:jc w:val="center"/>
              <w:rPr>
                <w:rFonts w:ascii="Times New Roman" w:hAnsi="Times New Roman" w:cs="Times New Roman" w:eastAsia="Times New Roman" w:hint="default"/>
                <w:sz w:val="15"/>
                <w:szCs w:val="15"/>
              </w:rPr>
            </w:pPr>
            <w:r>
              <w:rPr>
                <w:rFonts w:ascii="Times New Roman"/>
                <w:sz w:val="15"/>
              </w:rPr>
              <w:t>4.00%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110" w:right="0"/>
              <w:jc w:val="left"/>
              <w:rPr>
                <w:rFonts w:ascii="Times New Roman" w:hAnsi="Times New Roman" w:cs="Times New Roman" w:eastAsia="Times New Roman" w:hint="default"/>
                <w:sz w:val="15"/>
                <w:szCs w:val="15"/>
              </w:rPr>
            </w:pPr>
            <w:r>
              <w:rPr>
                <w:rFonts w:ascii="Times New Roman"/>
                <w:sz w:val="15"/>
              </w:rPr>
              <w:t>40.00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99"/>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6"/>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2019-002</w:t>
            </w:r>
            <w:r>
              <w:rPr>
                <w:rFonts w:ascii="宋体" w:hAnsi="宋体" w:cs="宋体" w:eastAsia="宋体" w:hint="default"/>
                <w:sz w:val="15"/>
                <w:szCs w:val="15"/>
              </w:rPr>
              <w:t>）</w:t>
            </w:r>
          </w:p>
        </w:tc>
      </w:tr>
      <w:tr>
        <w:trPr>
          <w:trHeight w:val="71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91" w:right="89"/>
              <w:jc w:val="left"/>
              <w:rPr>
                <w:rFonts w:ascii="宋体" w:hAnsi="宋体" w:cs="宋体" w:eastAsia="宋体" w:hint="default"/>
                <w:sz w:val="15"/>
                <w:szCs w:val="15"/>
              </w:rPr>
            </w:pPr>
            <w:r>
              <w:rPr>
                <w:rFonts w:ascii="宋体" w:hAnsi="宋体" w:cs="宋体" w:eastAsia="宋体" w:hint="default"/>
                <w:sz w:val="15"/>
                <w:szCs w:val="15"/>
              </w:rPr>
              <w:t>招商银行北</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京方庄支行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76" w:right="65"/>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right="1"/>
              <w:jc w:val="center"/>
              <w:rPr>
                <w:rFonts w:ascii="Times New Roman" w:hAnsi="Times New Roman" w:cs="Times New Roman" w:eastAsia="Times New Roman" w:hint="default"/>
                <w:sz w:val="15"/>
                <w:szCs w:val="15"/>
              </w:rPr>
            </w:pPr>
            <w:r>
              <w:rPr>
                <w:rFonts w:ascii="Times New Roman"/>
                <w:sz w:val="15"/>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50" w:right="44"/>
              <w:jc w:val="left"/>
              <w:rPr>
                <w:rFonts w:ascii="宋体" w:hAnsi="宋体" w:cs="宋体" w:eastAsia="宋体" w:hint="default"/>
                <w:sz w:val="15"/>
                <w:szCs w:val="15"/>
              </w:rPr>
            </w:pPr>
            <w:r>
              <w:rPr>
                <w:rFonts w:ascii="宋体" w:hAnsi="宋体" w:cs="宋体" w:eastAsia="宋体" w:hint="default"/>
                <w:sz w:val="15"/>
                <w:szCs w:val="15"/>
              </w:rPr>
              <w:t>闲置自</w:t>
            </w:r>
            <w:r>
              <w:rPr>
                <w:rFonts w:ascii="宋体" w:hAnsi="宋体" w:cs="宋体" w:eastAsia="宋体" w:hint="default"/>
                <w:spacing w:val="-72"/>
                <w:sz w:val="15"/>
                <w:szCs w:val="15"/>
              </w:rPr>
              <w:t> </w:t>
            </w:r>
            <w:r>
              <w:rPr>
                <w:rFonts w:ascii="宋体" w:hAnsi="宋体" w:cs="宋体" w:eastAsia="宋体" w:hint="default"/>
                <w:sz w:val="15"/>
                <w:szCs w:val="15"/>
              </w:rPr>
              <w:t>有资金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01</w:t>
            </w:r>
          </w:p>
          <w:p>
            <w:pPr>
              <w:pStyle w:val="TableParagraph"/>
              <w:spacing w:line="240" w:lineRule="auto" w:before="102"/>
              <w:ind w:left="12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04</w:t>
            </w:r>
          </w:p>
          <w:p>
            <w:pPr>
              <w:pStyle w:val="TableParagraph"/>
              <w:spacing w:line="240" w:lineRule="auto" w:before="102"/>
              <w:ind w:left="86"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5" w:right="0"/>
              <w:jc w:val="center"/>
              <w:rPr>
                <w:rFonts w:ascii="Times New Roman" w:hAnsi="Times New Roman" w:cs="Times New Roman" w:eastAsia="Times New Roman" w:hint="default"/>
                <w:sz w:val="15"/>
                <w:szCs w:val="15"/>
              </w:rPr>
            </w:pPr>
            <w:r>
              <w:rPr>
                <w:rFonts w:ascii="Times New Roman"/>
                <w:sz w:val="15"/>
              </w:rPr>
              <w:t>3.82%</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110" w:right="0"/>
              <w:jc w:val="left"/>
              <w:rPr>
                <w:rFonts w:ascii="Times New Roman" w:hAnsi="Times New Roman" w:cs="Times New Roman" w:eastAsia="Times New Roman" w:hint="default"/>
                <w:sz w:val="15"/>
                <w:szCs w:val="15"/>
              </w:rPr>
            </w:pPr>
            <w:r>
              <w:rPr>
                <w:rFonts w:ascii="Times New Roman"/>
                <w:sz w:val="15"/>
              </w:rPr>
              <w:t>28.26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99"/>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3"/>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2019-002</w:t>
            </w:r>
            <w:r>
              <w:rPr>
                <w:rFonts w:ascii="宋体" w:hAnsi="宋体" w:cs="宋体" w:eastAsia="宋体" w:hint="default"/>
                <w:sz w:val="15"/>
                <w:szCs w:val="15"/>
              </w:rPr>
              <w:t>）</w:t>
            </w:r>
          </w:p>
        </w:tc>
      </w:tr>
      <w:tr>
        <w:trPr>
          <w:trHeight w:val="71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242" w:right="89" w:hanging="152"/>
              <w:jc w:val="left"/>
              <w:rPr>
                <w:rFonts w:ascii="宋体" w:hAnsi="宋体" w:cs="宋体" w:eastAsia="宋体" w:hint="default"/>
                <w:sz w:val="15"/>
                <w:szCs w:val="15"/>
              </w:rPr>
            </w:pPr>
            <w:r>
              <w:rPr>
                <w:rFonts w:ascii="宋体" w:hAnsi="宋体" w:cs="宋体" w:eastAsia="宋体" w:hint="default"/>
                <w:sz w:val="15"/>
                <w:szCs w:val="15"/>
              </w:rPr>
              <w:t>北京银行燕</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园支行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76" w:right="65"/>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
              <w:jc w:val="center"/>
              <w:rPr>
                <w:rFonts w:ascii="Times New Roman" w:hAnsi="Times New Roman" w:cs="Times New Roman" w:eastAsia="Times New Roman" w:hint="default"/>
                <w:sz w:val="15"/>
                <w:szCs w:val="15"/>
              </w:rPr>
            </w:pPr>
            <w:r>
              <w:rPr>
                <w:rFonts w:ascii="Times New Roman"/>
                <w:sz w:val="15"/>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0" w:right="44"/>
              <w:jc w:val="left"/>
              <w:rPr>
                <w:rFonts w:ascii="宋体" w:hAnsi="宋体" w:cs="宋体" w:eastAsia="宋体" w:hint="default"/>
                <w:sz w:val="15"/>
                <w:szCs w:val="15"/>
              </w:rPr>
            </w:pPr>
            <w:r>
              <w:rPr>
                <w:rFonts w:ascii="宋体" w:hAnsi="宋体" w:cs="宋体" w:eastAsia="宋体" w:hint="default"/>
                <w:sz w:val="15"/>
                <w:szCs w:val="15"/>
              </w:rPr>
              <w:t>闲置自</w:t>
            </w:r>
            <w:r>
              <w:rPr>
                <w:rFonts w:ascii="宋体" w:hAnsi="宋体" w:cs="宋体" w:eastAsia="宋体" w:hint="default"/>
                <w:spacing w:val="-72"/>
                <w:sz w:val="15"/>
                <w:szCs w:val="15"/>
              </w:rPr>
              <w:t> </w:t>
            </w:r>
            <w:r>
              <w:rPr>
                <w:rFonts w:ascii="宋体" w:hAnsi="宋体" w:cs="宋体" w:eastAsia="宋体" w:hint="default"/>
                <w:sz w:val="15"/>
                <w:szCs w:val="15"/>
              </w:rPr>
              <w:t>有资金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01</w:t>
            </w:r>
          </w:p>
          <w:p>
            <w:pPr>
              <w:pStyle w:val="TableParagraph"/>
              <w:spacing w:line="240" w:lineRule="auto" w:before="104"/>
              <w:ind w:left="12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09</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04</w:t>
            </w:r>
          </w:p>
          <w:p>
            <w:pPr>
              <w:pStyle w:val="TableParagraph"/>
              <w:spacing w:line="240" w:lineRule="auto" w:before="104"/>
              <w:ind w:left="86"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09</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5" w:right="0"/>
              <w:jc w:val="center"/>
              <w:rPr>
                <w:rFonts w:ascii="Times New Roman" w:hAnsi="Times New Roman" w:cs="Times New Roman" w:eastAsia="Times New Roman" w:hint="default"/>
                <w:sz w:val="15"/>
                <w:szCs w:val="15"/>
              </w:rPr>
            </w:pPr>
            <w:r>
              <w:rPr>
                <w:rFonts w:ascii="Times New Roman"/>
                <w:sz w:val="15"/>
              </w:rPr>
              <w:t>3.65%</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110" w:right="0"/>
              <w:jc w:val="left"/>
              <w:rPr>
                <w:rFonts w:ascii="Times New Roman" w:hAnsi="Times New Roman" w:cs="Times New Roman" w:eastAsia="Times New Roman" w:hint="default"/>
                <w:sz w:val="15"/>
                <w:szCs w:val="15"/>
              </w:rPr>
            </w:pPr>
            <w:r>
              <w:rPr>
                <w:rFonts w:ascii="Times New Roman"/>
                <w:sz w:val="15"/>
              </w:rPr>
              <w:t>27.00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9"/>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5"/>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2019-002</w:t>
            </w:r>
            <w:r>
              <w:rPr>
                <w:rFonts w:ascii="宋体" w:hAnsi="宋体" w:cs="宋体" w:eastAsia="宋体" w:hint="default"/>
                <w:sz w:val="15"/>
                <w:szCs w:val="15"/>
              </w:rPr>
              <w:t>）</w:t>
            </w:r>
          </w:p>
        </w:tc>
      </w:tr>
      <w:tr>
        <w:trPr>
          <w:trHeight w:val="71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242" w:right="89" w:hanging="152"/>
              <w:jc w:val="left"/>
              <w:rPr>
                <w:rFonts w:ascii="宋体" w:hAnsi="宋体" w:cs="宋体" w:eastAsia="宋体" w:hint="default"/>
                <w:sz w:val="15"/>
                <w:szCs w:val="15"/>
              </w:rPr>
            </w:pPr>
            <w:r>
              <w:rPr>
                <w:rFonts w:ascii="宋体" w:hAnsi="宋体" w:cs="宋体" w:eastAsia="宋体" w:hint="default"/>
                <w:sz w:val="15"/>
                <w:szCs w:val="15"/>
              </w:rPr>
              <w:t>北京银行燕</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园支行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76" w:right="65"/>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right="0"/>
              <w:jc w:val="center"/>
              <w:rPr>
                <w:rFonts w:ascii="Times New Roman" w:hAnsi="Times New Roman" w:cs="Times New Roman" w:eastAsia="Times New Roman" w:hint="default"/>
                <w:sz w:val="15"/>
                <w:szCs w:val="15"/>
              </w:rPr>
            </w:pPr>
            <w:r>
              <w:rPr>
                <w:rFonts w:ascii="Times New Roman"/>
                <w:sz w:val="15"/>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50" w:right="44"/>
              <w:jc w:val="left"/>
              <w:rPr>
                <w:rFonts w:ascii="宋体" w:hAnsi="宋体" w:cs="宋体" w:eastAsia="宋体" w:hint="default"/>
                <w:sz w:val="15"/>
                <w:szCs w:val="15"/>
              </w:rPr>
            </w:pPr>
            <w:r>
              <w:rPr>
                <w:rFonts w:ascii="宋体" w:hAnsi="宋体" w:cs="宋体" w:eastAsia="宋体" w:hint="default"/>
                <w:sz w:val="15"/>
                <w:szCs w:val="15"/>
              </w:rPr>
              <w:t>闲置自</w:t>
            </w:r>
            <w:r>
              <w:rPr>
                <w:rFonts w:ascii="宋体" w:hAnsi="宋体" w:cs="宋体" w:eastAsia="宋体" w:hint="default"/>
                <w:spacing w:val="-72"/>
                <w:sz w:val="15"/>
                <w:szCs w:val="15"/>
              </w:rPr>
              <w:t> </w:t>
            </w:r>
            <w:r>
              <w:rPr>
                <w:rFonts w:ascii="宋体" w:hAnsi="宋体" w:cs="宋体" w:eastAsia="宋体" w:hint="default"/>
                <w:sz w:val="15"/>
                <w:szCs w:val="15"/>
              </w:rPr>
              <w:t>有资金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04</w:t>
            </w:r>
          </w:p>
          <w:p>
            <w:pPr>
              <w:pStyle w:val="TableParagraph"/>
              <w:spacing w:line="240" w:lineRule="auto" w:before="102"/>
              <w:ind w:left="12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07</w:t>
            </w:r>
          </w:p>
          <w:p>
            <w:pPr>
              <w:pStyle w:val="TableParagraph"/>
              <w:spacing w:line="240" w:lineRule="auto" w:before="102"/>
              <w:ind w:left="86"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5" w:right="0"/>
              <w:jc w:val="center"/>
              <w:rPr>
                <w:rFonts w:ascii="Times New Roman" w:hAnsi="Times New Roman" w:cs="Times New Roman" w:eastAsia="Times New Roman" w:hint="default"/>
                <w:sz w:val="15"/>
                <w:szCs w:val="15"/>
              </w:rPr>
            </w:pPr>
            <w:r>
              <w:rPr>
                <w:rFonts w:ascii="Times New Roman"/>
                <w:sz w:val="15"/>
              </w:rPr>
              <w:t>4.00%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110" w:right="0"/>
              <w:jc w:val="left"/>
              <w:rPr>
                <w:rFonts w:ascii="Times New Roman" w:hAnsi="Times New Roman" w:cs="Times New Roman" w:eastAsia="Times New Roman" w:hint="default"/>
                <w:sz w:val="15"/>
                <w:szCs w:val="15"/>
              </w:rPr>
            </w:pPr>
            <w:r>
              <w:rPr>
                <w:rFonts w:ascii="Times New Roman"/>
                <w:sz w:val="15"/>
              </w:rPr>
              <w:t>99.73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99"/>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3"/>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2019-034</w:t>
            </w:r>
            <w:r>
              <w:rPr>
                <w:rFonts w:ascii="宋体" w:hAnsi="宋体" w:cs="宋体" w:eastAsia="宋体" w:hint="default"/>
                <w:sz w:val="15"/>
                <w:szCs w:val="15"/>
              </w:rPr>
              <w:t>）</w:t>
            </w:r>
          </w:p>
        </w:tc>
      </w:tr>
      <w:tr>
        <w:trPr>
          <w:trHeight w:val="71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242" w:right="89" w:hanging="152"/>
              <w:jc w:val="left"/>
              <w:rPr>
                <w:rFonts w:ascii="宋体" w:hAnsi="宋体" w:cs="宋体" w:eastAsia="宋体" w:hint="default"/>
                <w:sz w:val="15"/>
                <w:szCs w:val="15"/>
              </w:rPr>
            </w:pPr>
            <w:r>
              <w:rPr>
                <w:rFonts w:ascii="宋体" w:hAnsi="宋体" w:cs="宋体" w:eastAsia="宋体" w:hint="default"/>
                <w:sz w:val="15"/>
                <w:szCs w:val="15"/>
              </w:rPr>
              <w:t>北京银行燕</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园支行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76" w:right="65"/>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
              <w:jc w:val="center"/>
              <w:rPr>
                <w:rFonts w:ascii="Times New Roman" w:hAnsi="Times New Roman" w:cs="Times New Roman" w:eastAsia="Times New Roman" w:hint="default"/>
                <w:sz w:val="15"/>
                <w:szCs w:val="15"/>
              </w:rPr>
            </w:pPr>
            <w:r>
              <w:rPr>
                <w:rFonts w:ascii="Times New Roman"/>
                <w:sz w:val="15"/>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0" w:right="44"/>
              <w:jc w:val="left"/>
              <w:rPr>
                <w:rFonts w:ascii="宋体" w:hAnsi="宋体" w:cs="宋体" w:eastAsia="宋体" w:hint="default"/>
                <w:sz w:val="15"/>
                <w:szCs w:val="15"/>
              </w:rPr>
            </w:pPr>
            <w:r>
              <w:rPr>
                <w:rFonts w:ascii="宋体" w:hAnsi="宋体" w:cs="宋体" w:eastAsia="宋体" w:hint="default"/>
                <w:sz w:val="15"/>
                <w:szCs w:val="15"/>
              </w:rPr>
              <w:t>闲置自</w:t>
            </w:r>
            <w:r>
              <w:rPr>
                <w:rFonts w:ascii="宋体" w:hAnsi="宋体" w:cs="宋体" w:eastAsia="宋体" w:hint="default"/>
                <w:spacing w:val="-72"/>
                <w:sz w:val="15"/>
                <w:szCs w:val="15"/>
              </w:rPr>
              <w:t> </w:t>
            </w:r>
            <w:r>
              <w:rPr>
                <w:rFonts w:ascii="宋体" w:hAnsi="宋体" w:cs="宋体" w:eastAsia="宋体" w:hint="default"/>
                <w:sz w:val="15"/>
                <w:szCs w:val="15"/>
              </w:rPr>
              <w:t>有资金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04</w:t>
            </w:r>
          </w:p>
          <w:p>
            <w:pPr>
              <w:pStyle w:val="TableParagraph"/>
              <w:spacing w:line="240" w:lineRule="auto" w:before="104"/>
              <w:ind w:left="12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07</w:t>
            </w:r>
          </w:p>
          <w:p>
            <w:pPr>
              <w:pStyle w:val="TableParagraph"/>
              <w:spacing w:line="240" w:lineRule="auto" w:before="104"/>
              <w:ind w:left="86"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5" w:right="0"/>
              <w:jc w:val="center"/>
              <w:rPr>
                <w:rFonts w:ascii="Times New Roman" w:hAnsi="Times New Roman" w:cs="Times New Roman" w:eastAsia="Times New Roman" w:hint="default"/>
                <w:sz w:val="15"/>
                <w:szCs w:val="15"/>
              </w:rPr>
            </w:pPr>
            <w:r>
              <w:rPr>
                <w:rFonts w:ascii="Times New Roman"/>
                <w:sz w:val="15"/>
              </w:rPr>
              <w:t>4.00%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110" w:right="0"/>
              <w:jc w:val="left"/>
              <w:rPr>
                <w:rFonts w:ascii="Times New Roman" w:hAnsi="Times New Roman" w:cs="Times New Roman" w:eastAsia="Times New Roman" w:hint="default"/>
                <w:sz w:val="15"/>
                <w:szCs w:val="15"/>
              </w:rPr>
            </w:pPr>
            <w:r>
              <w:rPr>
                <w:rFonts w:ascii="Times New Roman"/>
                <w:sz w:val="15"/>
              </w:rPr>
              <w:t>29.92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9"/>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5"/>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2019-034</w:t>
            </w:r>
            <w:r>
              <w:rPr>
                <w:rFonts w:ascii="宋体" w:hAnsi="宋体" w:cs="宋体" w:eastAsia="宋体" w:hint="default"/>
                <w:sz w:val="15"/>
                <w:szCs w:val="15"/>
              </w:rPr>
              <w:t>）</w:t>
            </w:r>
          </w:p>
        </w:tc>
      </w:tr>
      <w:tr>
        <w:trPr>
          <w:trHeight w:val="102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91" w:right="89"/>
              <w:jc w:val="both"/>
              <w:rPr>
                <w:rFonts w:ascii="宋体" w:hAnsi="宋体" w:cs="宋体" w:eastAsia="宋体" w:hint="default"/>
                <w:sz w:val="15"/>
                <w:szCs w:val="15"/>
              </w:rPr>
            </w:pPr>
            <w:r>
              <w:rPr>
                <w:rFonts w:ascii="宋体" w:hAnsi="宋体" w:cs="宋体" w:eastAsia="宋体" w:hint="default"/>
                <w:sz w:val="15"/>
                <w:szCs w:val="15"/>
              </w:rPr>
              <w:t>上海浦东发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展银行北京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通州支行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79" w:lineRule="auto"/>
              <w:ind w:left="76" w:right="65"/>
              <w:jc w:val="left"/>
              <w:rPr>
                <w:rFonts w:ascii="宋体" w:hAnsi="宋体" w:cs="宋体" w:eastAsia="宋体" w:hint="default"/>
                <w:sz w:val="15"/>
                <w:szCs w:val="15"/>
              </w:rPr>
            </w:pPr>
            <w:r>
              <w:rPr>
                <w:rFonts w:ascii="宋体" w:hAnsi="宋体" w:cs="宋体" w:eastAsia="宋体" w:hint="default"/>
                <w:sz w:val="15"/>
                <w:szCs w:val="15"/>
              </w:rPr>
              <w:t>保本固</w:t>
            </w:r>
            <w:r>
              <w:rPr>
                <w:rFonts w:ascii="宋体" w:hAnsi="宋体" w:cs="宋体" w:eastAsia="宋体" w:hint="default"/>
                <w:spacing w:val="-72"/>
                <w:sz w:val="15"/>
                <w:szCs w:val="15"/>
              </w:rPr>
              <w:t> </w:t>
            </w:r>
            <w:r>
              <w:rPr>
                <w:rFonts w:ascii="宋体" w:hAnsi="宋体" w:cs="宋体" w:eastAsia="宋体" w:hint="default"/>
                <w:sz w:val="15"/>
                <w:szCs w:val="15"/>
              </w:rPr>
              <w:t>定收益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
              <w:jc w:val="center"/>
              <w:rPr>
                <w:rFonts w:ascii="Times New Roman" w:hAnsi="Times New Roman" w:cs="Times New Roman" w:eastAsia="Times New Roman" w:hint="default"/>
                <w:sz w:val="15"/>
                <w:szCs w:val="15"/>
              </w:rPr>
            </w:pPr>
            <w:r>
              <w:rPr>
                <w:rFonts w:ascii="Times New Roman"/>
                <w:sz w:val="15"/>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79" w:lineRule="auto"/>
              <w:ind w:left="50" w:right="44"/>
              <w:jc w:val="left"/>
              <w:rPr>
                <w:rFonts w:ascii="宋体" w:hAnsi="宋体" w:cs="宋体" w:eastAsia="宋体" w:hint="default"/>
                <w:sz w:val="15"/>
                <w:szCs w:val="15"/>
              </w:rPr>
            </w:pPr>
            <w:r>
              <w:rPr>
                <w:rFonts w:ascii="宋体" w:hAnsi="宋体" w:cs="宋体" w:eastAsia="宋体" w:hint="default"/>
                <w:sz w:val="15"/>
                <w:szCs w:val="15"/>
              </w:rPr>
              <w:t>闲置自</w:t>
            </w:r>
            <w:r>
              <w:rPr>
                <w:rFonts w:ascii="宋体" w:hAnsi="宋体" w:cs="宋体" w:eastAsia="宋体" w:hint="default"/>
                <w:spacing w:val="-72"/>
                <w:sz w:val="15"/>
                <w:szCs w:val="15"/>
              </w:rPr>
              <w:t> </w:t>
            </w:r>
            <w:r>
              <w:rPr>
                <w:rFonts w:ascii="宋体" w:hAnsi="宋体" w:cs="宋体" w:eastAsia="宋体" w:hint="default"/>
                <w:sz w:val="15"/>
                <w:szCs w:val="15"/>
              </w:rPr>
              <w:t>有资金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04</w:t>
            </w:r>
          </w:p>
          <w:p>
            <w:pPr>
              <w:pStyle w:val="TableParagraph"/>
              <w:spacing w:line="240" w:lineRule="auto" w:before="102"/>
              <w:ind w:left="12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05</w:t>
            </w:r>
          </w:p>
          <w:p>
            <w:pPr>
              <w:pStyle w:val="TableParagraph"/>
              <w:spacing w:line="240" w:lineRule="auto" w:before="102"/>
              <w:ind w:left="86"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79" w:lineRule="auto"/>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79" w:lineRule="auto"/>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5" w:right="0"/>
              <w:jc w:val="center"/>
              <w:rPr>
                <w:rFonts w:ascii="Times New Roman" w:hAnsi="Times New Roman" w:cs="Times New Roman" w:eastAsia="Times New Roman" w:hint="default"/>
                <w:sz w:val="15"/>
                <w:szCs w:val="15"/>
              </w:rPr>
            </w:pPr>
            <w:r>
              <w:rPr>
                <w:rFonts w:ascii="Times New Roman"/>
                <w:sz w:val="15"/>
              </w:rPr>
              <w:t>3.45%</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110" w:right="0"/>
              <w:jc w:val="left"/>
              <w:rPr>
                <w:rFonts w:ascii="Times New Roman" w:hAnsi="Times New Roman" w:cs="Times New Roman" w:eastAsia="Times New Roman" w:hint="default"/>
                <w:sz w:val="15"/>
                <w:szCs w:val="15"/>
              </w:rPr>
            </w:pPr>
            <w:r>
              <w:rPr>
                <w:rFonts w:ascii="Times New Roman"/>
                <w:sz w:val="15"/>
              </w:rPr>
              <w:t>13.42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99"/>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3"/>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2019-034</w:t>
            </w:r>
            <w:r>
              <w:rPr>
                <w:rFonts w:ascii="宋体" w:hAnsi="宋体" w:cs="宋体" w:eastAsia="宋体" w:hint="default"/>
                <w:sz w:val="15"/>
                <w:szCs w:val="15"/>
              </w:rPr>
              <w:t>）</w:t>
            </w:r>
          </w:p>
        </w:tc>
      </w:tr>
      <w:tr>
        <w:trPr>
          <w:trHeight w:val="71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91" w:right="89"/>
              <w:jc w:val="left"/>
              <w:rPr>
                <w:rFonts w:ascii="宋体" w:hAnsi="宋体" w:cs="宋体" w:eastAsia="宋体" w:hint="default"/>
                <w:sz w:val="15"/>
                <w:szCs w:val="15"/>
              </w:rPr>
            </w:pPr>
            <w:r>
              <w:rPr>
                <w:rFonts w:ascii="宋体" w:hAnsi="宋体" w:cs="宋体" w:eastAsia="宋体" w:hint="default"/>
                <w:sz w:val="15"/>
                <w:szCs w:val="15"/>
              </w:rPr>
              <w:t>招商银行北</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京方庄支行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76" w:right="65"/>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
              <w:jc w:val="center"/>
              <w:rPr>
                <w:rFonts w:ascii="Times New Roman" w:hAnsi="Times New Roman" w:cs="Times New Roman" w:eastAsia="Times New Roman" w:hint="default"/>
                <w:sz w:val="15"/>
                <w:szCs w:val="15"/>
              </w:rPr>
            </w:pPr>
            <w:r>
              <w:rPr>
                <w:rFonts w:ascii="Times New Roman"/>
                <w:sz w:val="15"/>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0" w:right="44"/>
              <w:jc w:val="left"/>
              <w:rPr>
                <w:rFonts w:ascii="宋体" w:hAnsi="宋体" w:cs="宋体" w:eastAsia="宋体" w:hint="default"/>
                <w:sz w:val="15"/>
                <w:szCs w:val="15"/>
              </w:rPr>
            </w:pPr>
            <w:r>
              <w:rPr>
                <w:rFonts w:ascii="宋体" w:hAnsi="宋体" w:cs="宋体" w:eastAsia="宋体" w:hint="default"/>
                <w:sz w:val="15"/>
                <w:szCs w:val="15"/>
              </w:rPr>
              <w:t>闲置自</w:t>
            </w:r>
            <w:r>
              <w:rPr>
                <w:rFonts w:ascii="宋体" w:hAnsi="宋体" w:cs="宋体" w:eastAsia="宋体" w:hint="default"/>
                <w:spacing w:val="-72"/>
                <w:sz w:val="15"/>
                <w:szCs w:val="15"/>
              </w:rPr>
              <w:t> </w:t>
            </w:r>
            <w:r>
              <w:rPr>
                <w:rFonts w:ascii="宋体" w:hAnsi="宋体" w:cs="宋体" w:eastAsia="宋体" w:hint="default"/>
                <w:sz w:val="15"/>
                <w:szCs w:val="15"/>
              </w:rPr>
              <w:t>有资金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04</w:t>
            </w:r>
          </w:p>
          <w:p>
            <w:pPr>
              <w:pStyle w:val="TableParagraph"/>
              <w:spacing w:line="240" w:lineRule="auto" w:before="104"/>
              <w:ind w:left="12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06</w:t>
            </w:r>
          </w:p>
          <w:p>
            <w:pPr>
              <w:pStyle w:val="TableParagraph"/>
              <w:spacing w:line="240" w:lineRule="auto" w:before="104"/>
              <w:ind w:left="86"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5" w:right="0"/>
              <w:jc w:val="center"/>
              <w:rPr>
                <w:rFonts w:ascii="Times New Roman" w:hAnsi="Times New Roman" w:cs="Times New Roman" w:eastAsia="Times New Roman" w:hint="default"/>
                <w:sz w:val="15"/>
                <w:szCs w:val="15"/>
              </w:rPr>
            </w:pPr>
            <w:r>
              <w:rPr>
                <w:rFonts w:ascii="Times New Roman"/>
                <w:sz w:val="15"/>
              </w:rPr>
              <w:t>3.59%</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110" w:right="0"/>
              <w:jc w:val="left"/>
              <w:rPr>
                <w:rFonts w:ascii="Times New Roman" w:hAnsi="Times New Roman" w:cs="Times New Roman" w:eastAsia="Times New Roman" w:hint="default"/>
                <w:sz w:val="15"/>
                <w:szCs w:val="15"/>
              </w:rPr>
            </w:pPr>
            <w:r>
              <w:rPr>
                <w:rFonts w:ascii="Times New Roman"/>
                <w:sz w:val="15"/>
              </w:rPr>
              <w:t>18.00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9"/>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5"/>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2019-034</w:t>
            </w:r>
            <w:r>
              <w:rPr>
                <w:rFonts w:ascii="宋体" w:hAnsi="宋体" w:cs="宋体" w:eastAsia="宋体" w:hint="default"/>
                <w:sz w:val="15"/>
                <w:szCs w:val="15"/>
              </w:rPr>
              <w:t>）</w:t>
            </w:r>
          </w:p>
        </w:tc>
      </w:tr>
      <w:tr>
        <w:trPr>
          <w:trHeight w:val="102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91" w:right="89"/>
              <w:jc w:val="center"/>
              <w:rPr>
                <w:rFonts w:ascii="宋体" w:hAnsi="宋体" w:cs="宋体" w:eastAsia="宋体" w:hint="default"/>
                <w:sz w:val="15"/>
                <w:szCs w:val="15"/>
              </w:rPr>
            </w:pPr>
            <w:r>
              <w:rPr>
                <w:rFonts w:ascii="宋体" w:hAnsi="宋体" w:cs="宋体" w:eastAsia="宋体" w:hint="default"/>
                <w:sz w:val="15"/>
                <w:szCs w:val="15"/>
              </w:rPr>
              <w:t>上海浦东发</w:t>
            </w:r>
            <w:r>
              <w:rPr>
                <w:rFonts w:ascii="宋体" w:hAnsi="宋体" w:cs="宋体" w:eastAsia="宋体" w:hint="default"/>
                <w:w w:val="100"/>
                <w:sz w:val="15"/>
                <w:szCs w:val="15"/>
              </w:rPr>
              <w:t> </w:t>
            </w:r>
            <w:r>
              <w:rPr>
                <w:rFonts w:ascii="宋体" w:hAnsi="宋体" w:cs="宋体" w:eastAsia="宋体" w:hint="default"/>
                <w:sz w:val="15"/>
                <w:szCs w:val="15"/>
              </w:rPr>
              <w:t>展银行北京</w:t>
            </w:r>
            <w:r>
              <w:rPr>
                <w:rFonts w:ascii="宋体" w:hAnsi="宋体" w:cs="宋体" w:eastAsia="宋体" w:hint="default"/>
                <w:w w:val="100"/>
                <w:sz w:val="15"/>
                <w:szCs w:val="15"/>
              </w:rPr>
              <w:t> </w:t>
            </w:r>
            <w:r>
              <w:rPr>
                <w:rFonts w:ascii="宋体" w:hAnsi="宋体" w:cs="宋体" w:eastAsia="宋体" w:hint="default"/>
                <w:sz w:val="15"/>
                <w:szCs w:val="15"/>
              </w:rPr>
              <w:t>分行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379" w:lineRule="auto"/>
              <w:ind w:left="76" w:right="65"/>
              <w:jc w:val="left"/>
              <w:rPr>
                <w:rFonts w:ascii="宋体" w:hAnsi="宋体" w:cs="宋体" w:eastAsia="宋体" w:hint="default"/>
                <w:sz w:val="15"/>
                <w:szCs w:val="15"/>
              </w:rPr>
            </w:pPr>
            <w:r>
              <w:rPr>
                <w:rFonts w:ascii="宋体" w:hAnsi="宋体" w:cs="宋体" w:eastAsia="宋体" w:hint="default"/>
                <w:sz w:val="15"/>
                <w:szCs w:val="15"/>
              </w:rPr>
              <w:t>保本固</w:t>
            </w:r>
            <w:r>
              <w:rPr>
                <w:rFonts w:ascii="宋体" w:hAnsi="宋体" w:cs="宋体" w:eastAsia="宋体" w:hint="default"/>
                <w:spacing w:val="-72"/>
                <w:sz w:val="15"/>
                <w:szCs w:val="15"/>
              </w:rPr>
              <w:t> </w:t>
            </w:r>
            <w:r>
              <w:rPr>
                <w:rFonts w:ascii="宋体" w:hAnsi="宋体" w:cs="宋体" w:eastAsia="宋体" w:hint="default"/>
                <w:sz w:val="15"/>
                <w:szCs w:val="15"/>
              </w:rPr>
              <w:t>定收益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
              <w:jc w:val="center"/>
              <w:rPr>
                <w:rFonts w:ascii="Times New Roman" w:hAnsi="Times New Roman" w:cs="Times New Roman" w:eastAsia="Times New Roman" w:hint="default"/>
                <w:sz w:val="15"/>
                <w:szCs w:val="15"/>
              </w:rPr>
            </w:pPr>
            <w:r>
              <w:rPr>
                <w:rFonts w:ascii="Times New Roman"/>
                <w:sz w:val="15"/>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379" w:lineRule="auto"/>
              <w:ind w:left="50" w:right="44"/>
              <w:jc w:val="left"/>
              <w:rPr>
                <w:rFonts w:ascii="宋体" w:hAnsi="宋体" w:cs="宋体" w:eastAsia="宋体" w:hint="default"/>
                <w:sz w:val="15"/>
                <w:szCs w:val="15"/>
              </w:rPr>
            </w:pPr>
            <w:r>
              <w:rPr>
                <w:rFonts w:ascii="宋体" w:hAnsi="宋体" w:cs="宋体" w:eastAsia="宋体" w:hint="default"/>
                <w:sz w:val="15"/>
                <w:szCs w:val="15"/>
              </w:rPr>
              <w:t>闲置自</w:t>
            </w:r>
            <w:r>
              <w:rPr>
                <w:rFonts w:ascii="宋体" w:hAnsi="宋体" w:cs="宋体" w:eastAsia="宋体" w:hint="default"/>
                <w:spacing w:val="-72"/>
                <w:sz w:val="15"/>
                <w:szCs w:val="15"/>
              </w:rPr>
              <w:t> </w:t>
            </w:r>
            <w:r>
              <w:rPr>
                <w:rFonts w:ascii="宋体" w:hAnsi="宋体" w:cs="宋体" w:eastAsia="宋体" w:hint="default"/>
                <w:sz w:val="15"/>
                <w:szCs w:val="15"/>
              </w:rPr>
              <w:t>有资金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05</w:t>
            </w:r>
          </w:p>
          <w:p>
            <w:pPr>
              <w:pStyle w:val="TableParagraph"/>
              <w:spacing w:line="240" w:lineRule="auto" w:before="102"/>
              <w:ind w:left="12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08</w:t>
            </w:r>
          </w:p>
          <w:p>
            <w:pPr>
              <w:pStyle w:val="TableParagraph"/>
              <w:spacing w:line="240" w:lineRule="auto" w:before="102"/>
              <w:ind w:left="86"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379" w:lineRule="auto"/>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379" w:lineRule="auto"/>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5" w:right="0"/>
              <w:jc w:val="center"/>
              <w:rPr>
                <w:rFonts w:ascii="Times New Roman" w:hAnsi="Times New Roman" w:cs="Times New Roman" w:eastAsia="Times New Roman" w:hint="default"/>
                <w:sz w:val="15"/>
                <w:szCs w:val="15"/>
              </w:rPr>
            </w:pPr>
            <w:r>
              <w:rPr>
                <w:rFonts w:ascii="Times New Roman"/>
                <w:sz w:val="15"/>
              </w:rPr>
              <w:t>3.70%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110" w:right="0"/>
              <w:jc w:val="left"/>
              <w:rPr>
                <w:rFonts w:ascii="Times New Roman" w:hAnsi="Times New Roman" w:cs="Times New Roman" w:eastAsia="Times New Roman" w:hint="default"/>
                <w:sz w:val="15"/>
                <w:szCs w:val="15"/>
              </w:rPr>
            </w:pPr>
            <w:r>
              <w:rPr>
                <w:rFonts w:ascii="Times New Roman"/>
                <w:sz w:val="15"/>
              </w:rPr>
              <w:t>36.59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9"/>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3"/>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2019-043</w:t>
            </w:r>
            <w:r>
              <w:rPr>
                <w:rFonts w:ascii="宋体" w:hAnsi="宋体" w:cs="宋体" w:eastAsia="宋体" w:hint="default"/>
                <w:sz w:val="15"/>
                <w:szCs w:val="15"/>
              </w:rPr>
              <w:t>）</w:t>
            </w:r>
          </w:p>
        </w:tc>
      </w:tr>
      <w:tr>
        <w:trPr>
          <w:trHeight w:val="71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91" w:right="89"/>
              <w:jc w:val="left"/>
              <w:rPr>
                <w:rFonts w:ascii="宋体" w:hAnsi="宋体" w:cs="宋体" w:eastAsia="宋体" w:hint="default"/>
                <w:sz w:val="15"/>
                <w:szCs w:val="15"/>
              </w:rPr>
            </w:pPr>
            <w:r>
              <w:rPr>
                <w:rFonts w:ascii="宋体" w:hAnsi="宋体" w:cs="宋体" w:eastAsia="宋体" w:hint="default"/>
                <w:sz w:val="15"/>
                <w:szCs w:val="15"/>
              </w:rPr>
              <w:t>招商银行北</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京方庄支行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76" w:right="65"/>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
              <w:jc w:val="center"/>
              <w:rPr>
                <w:rFonts w:ascii="Times New Roman" w:hAnsi="Times New Roman" w:cs="Times New Roman" w:eastAsia="Times New Roman" w:hint="default"/>
                <w:sz w:val="15"/>
                <w:szCs w:val="15"/>
              </w:rPr>
            </w:pPr>
            <w:r>
              <w:rPr>
                <w:rFonts w:ascii="Times New Roman"/>
                <w:sz w:val="15"/>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0" w:right="44"/>
              <w:jc w:val="left"/>
              <w:rPr>
                <w:rFonts w:ascii="宋体" w:hAnsi="宋体" w:cs="宋体" w:eastAsia="宋体" w:hint="default"/>
                <w:sz w:val="15"/>
                <w:szCs w:val="15"/>
              </w:rPr>
            </w:pPr>
            <w:r>
              <w:rPr>
                <w:rFonts w:ascii="宋体" w:hAnsi="宋体" w:cs="宋体" w:eastAsia="宋体" w:hint="default"/>
                <w:sz w:val="15"/>
                <w:szCs w:val="15"/>
              </w:rPr>
              <w:t>闲置自</w:t>
            </w:r>
            <w:r>
              <w:rPr>
                <w:rFonts w:ascii="宋体" w:hAnsi="宋体" w:cs="宋体" w:eastAsia="宋体" w:hint="default"/>
                <w:spacing w:val="-72"/>
                <w:sz w:val="15"/>
                <w:szCs w:val="15"/>
              </w:rPr>
              <w:t> </w:t>
            </w:r>
            <w:r>
              <w:rPr>
                <w:rFonts w:ascii="宋体" w:hAnsi="宋体" w:cs="宋体" w:eastAsia="宋体" w:hint="default"/>
                <w:sz w:val="15"/>
                <w:szCs w:val="15"/>
              </w:rPr>
              <w:t>有资金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06</w:t>
            </w:r>
          </w:p>
          <w:p>
            <w:pPr>
              <w:pStyle w:val="TableParagraph"/>
              <w:spacing w:line="240" w:lineRule="auto" w:before="105"/>
              <w:ind w:left="12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08</w:t>
            </w:r>
          </w:p>
          <w:p>
            <w:pPr>
              <w:pStyle w:val="TableParagraph"/>
              <w:spacing w:line="240" w:lineRule="auto" w:before="105"/>
              <w:ind w:left="86"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5" w:right="0"/>
              <w:jc w:val="center"/>
              <w:rPr>
                <w:rFonts w:ascii="Times New Roman" w:hAnsi="Times New Roman" w:cs="Times New Roman" w:eastAsia="Times New Roman" w:hint="default"/>
                <w:sz w:val="15"/>
                <w:szCs w:val="15"/>
              </w:rPr>
            </w:pPr>
            <w:r>
              <w:rPr>
                <w:rFonts w:ascii="Times New Roman"/>
                <w:sz w:val="15"/>
              </w:rPr>
              <w:t>3.70%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110" w:right="0"/>
              <w:jc w:val="left"/>
              <w:rPr>
                <w:rFonts w:ascii="Times New Roman" w:hAnsi="Times New Roman" w:cs="Times New Roman" w:eastAsia="Times New Roman" w:hint="default"/>
                <w:sz w:val="15"/>
                <w:szCs w:val="15"/>
              </w:rPr>
            </w:pPr>
            <w:r>
              <w:rPr>
                <w:rFonts w:ascii="Times New Roman"/>
                <w:sz w:val="15"/>
              </w:rPr>
              <w:t>18.55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9"/>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6"/>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2019-048</w:t>
            </w:r>
            <w:r>
              <w:rPr>
                <w:rFonts w:ascii="宋体" w:hAnsi="宋体" w:cs="宋体" w:eastAsia="宋体" w:hint="default"/>
                <w:sz w:val="15"/>
                <w:szCs w:val="15"/>
              </w:rPr>
              <w:t>）</w:t>
            </w:r>
          </w:p>
        </w:tc>
      </w:tr>
      <w:tr>
        <w:trPr>
          <w:trHeight w:val="71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242" w:right="89" w:hanging="152"/>
              <w:jc w:val="left"/>
              <w:rPr>
                <w:rFonts w:ascii="宋体" w:hAnsi="宋体" w:cs="宋体" w:eastAsia="宋体" w:hint="default"/>
                <w:sz w:val="15"/>
                <w:szCs w:val="15"/>
              </w:rPr>
            </w:pPr>
            <w:r>
              <w:rPr>
                <w:rFonts w:ascii="宋体" w:hAnsi="宋体" w:cs="宋体" w:eastAsia="宋体" w:hint="default"/>
                <w:sz w:val="15"/>
                <w:szCs w:val="15"/>
              </w:rPr>
              <w:t>北京银行燕</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园支行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76" w:right="65"/>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right="0"/>
              <w:jc w:val="center"/>
              <w:rPr>
                <w:rFonts w:ascii="Times New Roman" w:hAnsi="Times New Roman" w:cs="Times New Roman" w:eastAsia="Times New Roman" w:hint="default"/>
                <w:sz w:val="15"/>
                <w:szCs w:val="15"/>
              </w:rPr>
            </w:pPr>
            <w:r>
              <w:rPr>
                <w:rFonts w:ascii="Times New Roman"/>
                <w:sz w:val="15"/>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50" w:right="44"/>
              <w:jc w:val="left"/>
              <w:rPr>
                <w:rFonts w:ascii="宋体" w:hAnsi="宋体" w:cs="宋体" w:eastAsia="宋体" w:hint="default"/>
                <w:sz w:val="15"/>
                <w:szCs w:val="15"/>
              </w:rPr>
            </w:pPr>
            <w:r>
              <w:rPr>
                <w:rFonts w:ascii="宋体" w:hAnsi="宋体" w:cs="宋体" w:eastAsia="宋体" w:hint="default"/>
                <w:sz w:val="15"/>
                <w:szCs w:val="15"/>
              </w:rPr>
              <w:t>闲置自</w:t>
            </w:r>
            <w:r>
              <w:rPr>
                <w:rFonts w:ascii="宋体" w:hAnsi="宋体" w:cs="宋体" w:eastAsia="宋体" w:hint="default"/>
                <w:spacing w:val="-72"/>
                <w:sz w:val="15"/>
                <w:szCs w:val="15"/>
              </w:rPr>
              <w:t> </w:t>
            </w:r>
            <w:r>
              <w:rPr>
                <w:rFonts w:ascii="宋体" w:hAnsi="宋体" w:cs="宋体" w:eastAsia="宋体" w:hint="default"/>
                <w:sz w:val="15"/>
                <w:szCs w:val="15"/>
              </w:rPr>
              <w:t>有资金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07</w:t>
            </w:r>
          </w:p>
          <w:p>
            <w:pPr>
              <w:pStyle w:val="TableParagraph"/>
              <w:spacing w:line="240" w:lineRule="auto" w:before="102"/>
              <w:ind w:left="12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08</w:t>
            </w:r>
          </w:p>
          <w:p>
            <w:pPr>
              <w:pStyle w:val="TableParagraph"/>
              <w:spacing w:line="240" w:lineRule="auto" w:before="102"/>
              <w:ind w:left="86"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5" w:right="0"/>
              <w:jc w:val="center"/>
              <w:rPr>
                <w:rFonts w:ascii="Times New Roman" w:hAnsi="Times New Roman" w:cs="Times New Roman" w:eastAsia="Times New Roman" w:hint="default"/>
                <w:sz w:val="15"/>
                <w:szCs w:val="15"/>
              </w:rPr>
            </w:pPr>
            <w:r>
              <w:rPr>
                <w:rFonts w:ascii="Times New Roman"/>
                <w:sz w:val="15"/>
              </w:rPr>
              <w:t>3.50%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110" w:right="0"/>
              <w:jc w:val="left"/>
              <w:rPr>
                <w:rFonts w:ascii="Times New Roman" w:hAnsi="Times New Roman" w:cs="Times New Roman" w:eastAsia="Times New Roman" w:hint="default"/>
                <w:sz w:val="15"/>
                <w:szCs w:val="15"/>
              </w:rPr>
            </w:pPr>
            <w:r>
              <w:rPr>
                <w:rFonts w:ascii="Times New Roman"/>
                <w:sz w:val="15"/>
              </w:rPr>
              <w:t>33.56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99"/>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3"/>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2019-056</w:t>
            </w:r>
            <w:r>
              <w:rPr>
                <w:rFonts w:ascii="宋体" w:hAnsi="宋体" w:cs="宋体" w:eastAsia="宋体" w:hint="default"/>
                <w:sz w:val="15"/>
                <w:szCs w:val="15"/>
              </w:rPr>
              <w:t>）</w:t>
            </w:r>
          </w:p>
        </w:tc>
      </w:tr>
      <w:tr>
        <w:trPr>
          <w:trHeight w:val="71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242" w:right="89" w:hanging="152"/>
              <w:jc w:val="left"/>
              <w:rPr>
                <w:rFonts w:ascii="宋体" w:hAnsi="宋体" w:cs="宋体" w:eastAsia="宋体" w:hint="default"/>
                <w:sz w:val="15"/>
                <w:szCs w:val="15"/>
              </w:rPr>
            </w:pPr>
            <w:r>
              <w:rPr>
                <w:rFonts w:ascii="宋体" w:hAnsi="宋体" w:cs="宋体" w:eastAsia="宋体" w:hint="default"/>
                <w:sz w:val="15"/>
                <w:szCs w:val="15"/>
              </w:rPr>
              <w:t>北京银行燕</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园支行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76" w:right="65"/>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
              <w:jc w:val="center"/>
              <w:rPr>
                <w:rFonts w:ascii="Times New Roman" w:hAnsi="Times New Roman" w:cs="Times New Roman" w:eastAsia="Times New Roman" w:hint="default"/>
                <w:sz w:val="15"/>
                <w:szCs w:val="15"/>
              </w:rPr>
            </w:pPr>
            <w:r>
              <w:rPr>
                <w:rFonts w:ascii="Times New Roman"/>
                <w:sz w:val="15"/>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0" w:right="44"/>
              <w:jc w:val="left"/>
              <w:rPr>
                <w:rFonts w:ascii="宋体" w:hAnsi="宋体" w:cs="宋体" w:eastAsia="宋体" w:hint="default"/>
                <w:sz w:val="15"/>
                <w:szCs w:val="15"/>
              </w:rPr>
            </w:pPr>
            <w:r>
              <w:rPr>
                <w:rFonts w:ascii="宋体" w:hAnsi="宋体" w:cs="宋体" w:eastAsia="宋体" w:hint="default"/>
                <w:sz w:val="15"/>
                <w:szCs w:val="15"/>
              </w:rPr>
              <w:t>闲置自</w:t>
            </w:r>
            <w:r>
              <w:rPr>
                <w:rFonts w:ascii="宋体" w:hAnsi="宋体" w:cs="宋体" w:eastAsia="宋体" w:hint="default"/>
                <w:spacing w:val="-72"/>
                <w:sz w:val="15"/>
                <w:szCs w:val="15"/>
              </w:rPr>
              <w:t> </w:t>
            </w:r>
            <w:r>
              <w:rPr>
                <w:rFonts w:ascii="宋体" w:hAnsi="宋体" w:cs="宋体" w:eastAsia="宋体" w:hint="default"/>
                <w:sz w:val="15"/>
                <w:szCs w:val="15"/>
              </w:rPr>
              <w:t>有资金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07</w:t>
            </w:r>
          </w:p>
          <w:p>
            <w:pPr>
              <w:pStyle w:val="TableParagraph"/>
              <w:spacing w:line="240" w:lineRule="auto" w:before="104"/>
              <w:ind w:left="12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08</w:t>
            </w:r>
          </w:p>
          <w:p>
            <w:pPr>
              <w:pStyle w:val="TableParagraph"/>
              <w:spacing w:line="240" w:lineRule="auto" w:before="104"/>
              <w:ind w:left="86"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5" w:right="0"/>
              <w:jc w:val="center"/>
              <w:rPr>
                <w:rFonts w:ascii="Times New Roman" w:hAnsi="Times New Roman" w:cs="Times New Roman" w:eastAsia="Times New Roman" w:hint="default"/>
                <w:sz w:val="15"/>
                <w:szCs w:val="15"/>
              </w:rPr>
            </w:pPr>
            <w:r>
              <w:rPr>
                <w:rFonts w:ascii="Times New Roman"/>
                <w:sz w:val="15"/>
              </w:rPr>
              <w:t>3.50%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110" w:right="0"/>
              <w:jc w:val="left"/>
              <w:rPr>
                <w:rFonts w:ascii="Times New Roman" w:hAnsi="Times New Roman" w:cs="Times New Roman" w:eastAsia="Times New Roman" w:hint="default"/>
                <w:sz w:val="15"/>
                <w:szCs w:val="15"/>
              </w:rPr>
            </w:pPr>
            <w:r>
              <w:rPr>
                <w:rFonts w:ascii="Times New Roman"/>
                <w:sz w:val="15"/>
              </w:rPr>
              <w:t>10.07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9"/>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5"/>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2019-056</w:t>
            </w:r>
            <w:r>
              <w:rPr>
                <w:rFonts w:ascii="宋体" w:hAnsi="宋体" w:cs="宋体" w:eastAsia="宋体" w:hint="default"/>
                <w:sz w:val="15"/>
                <w:szCs w:val="15"/>
              </w:rPr>
              <w:t>）</w:t>
            </w:r>
          </w:p>
        </w:tc>
      </w:tr>
      <w:tr>
        <w:trPr>
          <w:trHeight w:val="71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242" w:right="89" w:hanging="152"/>
              <w:jc w:val="left"/>
              <w:rPr>
                <w:rFonts w:ascii="宋体" w:hAnsi="宋体" w:cs="宋体" w:eastAsia="宋体" w:hint="default"/>
                <w:sz w:val="15"/>
                <w:szCs w:val="15"/>
              </w:rPr>
            </w:pPr>
            <w:r>
              <w:rPr>
                <w:rFonts w:ascii="宋体" w:hAnsi="宋体" w:cs="宋体" w:eastAsia="宋体" w:hint="default"/>
                <w:sz w:val="15"/>
                <w:szCs w:val="15"/>
              </w:rPr>
              <w:t>北京银行燕</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园支行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76" w:right="65"/>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right="0"/>
              <w:jc w:val="center"/>
              <w:rPr>
                <w:rFonts w:ascii="Times New Roman" w:hAnsi="Times New Roman" w:cs="Times New Roman" w:eastAsia="Times New Roman" w:hint="default"/>
                <w:sz w:val="15"/>
                <w:szCs w:val="15"/>
              </w:rPr>
            </w:pPr>
            <w:r>
              <w:rPr>
                <w:rFonts w:ascii="Times New Roman"/>
                <w:sz w:val="15"/>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50" w:right="44"/>
              <w:jc w:val="left"/>
              <w:rPr>
                <w:rFonts w:ascii="宋体" w:hAnsi="宋体" w:cs="宋体" w:eastAsia="宋体" w:hint="default"/>
                <w:sz w:val="15"/>
                <w:szCs w:val="15"/>
              </w:rPr>
            </w:pPr>
            <w:r>
              <w:rPr>
                <w:rFonts w:ascii="宋体" w:hAnsi="宋体" w:cs="宋体" w:eastAsia="宋体" w:hint="default"/>
                <w:sz w:val="15"/>
                <w:szCs w:val="15"/>
              </w:rPr>
              <w:t>闲置自</w:t>
            </w:r>
            <w:r>
              <w:rPr>
                <w:rFonts w:ascii="宋体" w:hAnsi="宋体" w:cs="宋体" w:eastAsia="宋体" w:hint="default"/>
                <w:spacing w:val="-72"/>
                <w:sz w:val="15"/>
                <w:szCs w:val="15"/>
              </w:rPr>
              <w:t> </w:t>
            </w:r>
            <w:r>
              <w:rPr>
                <w:rFonts w:ascii="宋体" w:hAnsi="宋体" w:cs="宋体" w:eastAsia="宋体" w:hint="default"/>
                <w:sz w:val="15"/>
                <w:szCs w:val="15"/>
              </w:rPr>
              <w:t>有资金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09</w:t>
            </w:r>
          </w:p>
          <w:p>
            <w:pPr>
              <w:pStyle w:val="TableParagraph"/>
              <w:spacing w:line="240" w:lineRule="auto" w:before="102"/>
              <w:ind w:left="12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12</w:t>
            </w:r>
          </w:p>
          <w:p>
            <w:pPr>
              <w:pStyle w:val="TableParagraph"/>
              <w:spacing w:line="240" w:lineRule="auto" w:before="102"/>
              <w:ind w:left="86"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5" w:right="0"/>
              <w:jc w:val="center"/>
              <w:rPr>
                <w:rFonts w:ascii="Times New Roman" w:hAnsi="Times New Roman" w:cs="Times New Roman" w:eastAsia="Times New Roman" w:hint="default"/>
                <w:sz w:val="15"/>
                <w:szCs w:val="15"/>
              </w:rPr>
            </w:pPr>
            <w:r>
              <w:rPr>
                <w:rFonts w:ascii="Times New Roman"/>
                <w:sz w:val="15"/>
              </w:rPr>
              <w:t>3.90%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72" w:right="0"/>
              <w:jc w:val="left"/>
              <w:rPr>
                <w:rFonts w:ascii="Times New Roman" w:hAnsi="Times New Roman" w:cs="Times New Roman" w:eastAsia="Times New Roman" w:hint="default"/>
                <w:sz w:val="15"/>
                <w:szCs w:val="15"/>
              </w:rPr>
            </w:pPr>
            <w:r>
              <w:rPr>
                <w:rFonts w:ascii="Times New Roman"/>
                <w:sz w:val="15"/>
              </w:rPr>
              <w:t>122.88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99"/>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3"/>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2019-066</w:t>
            </w:r>
            <w:r>
              <w:rPr>
                <w:rFonts w:ascii="宋体" w:hAnsi="宋体" w:cs="宋体" w:eastAsia="宋体" w:hint="default"/>
                <w:sz w:val="15"/>
                <w:szCs w:val="15"/>
              </w:rPr>
              <w:t>）</w:t>
            </w:r>
          </w:p>
        </w:tc>
      </w:tr>
      <w:tr>
        <w:trPr>
          <w:trHeight w:val="71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242" w:right="89" w:hanging="152"/>
              <w:jc w:val="left"/>
              <w:rPr>
                <w:rFonts w:ascii="宋体" w:hAnsi="宋体" w:cs="宋体" w:eastAsia="宋体" w:hint="default"/>
                <w:sz w:val="15"/>
                <w:szCs w:val="15"/>
              </w:rPr>
            </w:pPr>
            <w:r>
              <w:rPr>
                <w:rFonts w:ascii="宋体" w:hAnsi="宋体" w:cs="宋体" w:eastAsia="宋体" w:hint="default"/>
                <w:sz w:val="15"/>
                <w:szCs w:val="15"/>
              </w:rPr>
              <w:t>北京银行燕</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园支行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76" w:right="65"/>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
              <w:jc w:val="center"/>
              <w:rPr>
                <w:rFonts w:ascii="Times New Roman" w:hAnsi="Times New Roman" w:cs="Times New Roman" w:eastAsia="Times New Roman" w:hint="default"/>
                <w:sz w:val="15"/>
                <w:szCs w:val="15"/>
              </w:rPr>
            </w:pPr>
            <w:r>
              <w:rPr>
                <w:rFonts w:ascii="Times New Roman"/>
                <w:sz w:val="15"/>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0" w:right="44"/>
              <w:jc w:val="left"/>
              <w:rPr>
                <w:rFonts w:ascii="宋体" w:hAnsi="宋体" w:cs="宋体" w:eastAsia="宋体" w:hint="default"/>
                <w:sz w:val="15"/>
                <w:szCs w:val="15"/>
              </w:rPr>
            </w:pPr>
            <w:r>
              <w:rPr>
                <w:rFonts w:ascii="宋体" w:hAnsi="宋体" w:cs="宋体" w:eastAsia="宋体" w:hint="default"/>
                <w:sz w:val="15"/>
                <w:szCs w:val="15"/>
              </w:rPr>
              <w:t>闲置自</w:t>
            </w:r>
            <w:r>
              <w:rPr>
                <w:rFonts w:ascii="宋体" w:hAnsi="宋体" w:cs="宋体" w:eastAsia="宋体" w:hint="default"/>
                <w:spacing w:val="-72"/>
                <w:sz w:val="15"/>
                <w:szCs w:val="15"/>
              </w:rPr>
              <w:t> </w:t>
            </w:r>
            <w:r>
              <w:rPr>
                <w:rFonts w:ascii="宋体" w:hAnsi="宋体" w:cs="宋体" w:eastAsia="宋体" w:hint="default"/>
                <w:sz w:val="15"/>
                <w:szCs w:val="15"/>
              </w:rPr>
              <w:t>有资金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09</w:t>
            </w:r>
          </w:p>
          <w:p>
            <w:pPr>
              <w:pStyle w:val="TableParagraph"/>
              <w:spacing w:line="240" w:lineRule="auto" w:before="104"/>
              <w:ind w:left="12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12</w:t>
            </w:r>
          </w:p>
          <w:p>
            <w:pPr>
              <w:pStyle w:val="TableParagraph"/>
              <w:spacing w:line="240" w:lineRule="auto" w:before="104"/>
              <w:ind w:left="86"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5" w:right="0"/>
              <w:jc w:val="center"/>
              <w:rPr>
                <w:rFonts w:ascii="Times New Roman" w:hAnsi="Times New Roman" w:cs="Times New Roman" w:eastAsia="Times New Roman" w:hint="default"/>
                <w:sz w:val="15"/>
                <w:szCs w:val="15"/>
              </w:rPr>
            </w:pPr>
            <w:r>
              <w:rPr>
                <w:rFonts w:ascii="Times New Roman"/>
                <w:sz w:val="15"/>
              </w:rPr>
              <w:t>3.90%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110" w:right="0"/>
              <w:jc w:val="left"/>
              <w:rPr>
                <w:rFonts w:ascii="Times New Roman" w:hAnsi="Times New Roman" w:cs="Times New Roman" w:eastAsia="Times New Roman" w:hint="default"/>
                <w:sz w:val="15"/>
                <w:szCs w:val="15"/>
              </w:rPr>
            </w:pPr>
            <w:r>
              <w:rPr>
                <w:rFonts w:ascii="Times New Roman"/>
                <w:sz w:val="15"/>
              </w:rPr>
              <w:t>61.44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9"/>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5"/>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2019-066</w:t>
            </w:r>
            <w:r>
              <w:rPr>
                <w:rFonts w:ascii="宋体" w:hAnsi="宋体" w:cs="宋体" w:eastAsia="宋体" w:hint="default"/>
                <w:sz w:val="15"/>
                <w:szCs w:val="15"/>
              </w:rPr>
              <w:t>）</w:t>
            </w:r>
          </w:p>
        </w:tc>
      </w:tr>
      <w:tr>
        <w:trPr>
          <w:trHeight w:val="102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91" w:right="89"/>
              <w:jc w:val="both"/>
              <w:rPr>
                <w:rFonts w:ascii="宋体" w:hAnsi="宋体" w:cs="宋体" w:eastAsia="宋体" w:hint="default"/>
                <w:sz w:val="15"/>
                <w:szCs w:val="15"/>
              </w:rPr>
            </w:pPr>
            <w:r>
              <w:rPr>
                <w:rFonts w:ascii="宋体" w:hAnsi="宋体" w:cs="宋体" w:eastAsia="宋体" w:hint="default"/>
                <w:sz w:val="15"/>
                <w:szCs w:val="15"/>
              </w:rPr>
              <w:t>上海浦东发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展银行北京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通州支行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79" w:lineRule="auto"/>
              <w:ind w:left="76" w:right="65"/>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
              <w:jc w:val="center"/>
              <w:rPr>
                <w:rFonts w:ascii="Times New Roman" w:hAnsi="Times New Roman" w:cs="Times New Roman" w:eastAsia="Times New Roman" w:hint="default"/>
                <w:sz w:val="15"/>
                <w:szCs w:val="15"/>
              </w:rPr>
            </w:pPr>
            <w:r>
              <w:rPr>
                <w:rFonts w:ascii="Times New Roman"/>
                <w:sz w:val="15"/>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79" w:lineRule="auto"/>
              <w:ind w:left="50" w:right="44"/>
              <w:jc w:val="left"/>
              <w:rPr>
                <w:rFonts w:ascii="宋体" w:hAnsi="宋体" w:cs="宋体" w:eastAsia="宋体" w:hint="default"/>
                <w:sz w:val="15"/>
                <w:szCs w:val="15"/>
              </w:rPr>
            </w:pPr>
            <w:r>
              <w:rPr>
                <w:rFonts w:ascii="宋体" w:hAnsi="宋体" w:cs="宋体" w:eastAsia="宋体" w:hint="default"/>
                <w:sz w:val="15"/>
                <w:szCs w:val="15"/>
              </w:rPr>
              <w:t>闲置自</w:t>
            </w:r>
            <w:r>
              <w:rPr>
                <w:rFonts w:ascii="宋体" w:hAnsi="宋体" w:cs="宋体" w:eastAsia="宋体" w:hint="default"/>
                <w:spacing w:val="-72"/>
                <w:sz w:val="15"/>
                <w:szCs w:val="15"/>
              </w:rPr>
              <w:t> </w:t>
            </w:r>
            <w:r>
              <w:rPr>
                <w:rFonts w:ascii="宋体" w:hAnsi="宋体" w:cs="宋体" w:eastAsia="宋体" w:hint="default"/>
                <w:sz w:val="15"/>
                <w:szCs w:val="15"/>
              </w:rPr>
              <w:t>有资金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09</w:t>
            </w:r>
          </w:p>
          <w:p>
            <w:pPr>
              <w:pStyle w:val="TableParagraph"/>
              <w:spacing w:line="240" w:lineRule="auto" w:before="102"/>
              <w:ind w:left="12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16</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12</w:t>
            </w:r>
          </w:p>
          <w:p>
            <w:pPr>
              <w:pStyle w:val="TableParagraph"/>
              <w:spacing w:line="240" w:lineRule="auto" w:before="102"/>
              <w:ind w:left="86"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16</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79" w:lineRule="auto"/>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79" w:lineRule="auto"/>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5" w:right="0"/>
              <w:jc w:val="center"/>
              <w:rPr>
                <w:rFonts w:ascii="Times New Roman" w:hAnsi="Times New Roman" w:cs="Times New Roman" w:eastAsia="Times New Roman" w:hint="default"/>
                <w:sz w:val="15"/>
                <w:szCs w:val="15"/>
              </w:rPr>
            </w:pPr>
            <w:r>
              <w:rPr>
                <w:rFonts w:ascii="Times New Roman"/>
                <w:sz w:val="15"/>
              </w:rPr>
              <w:t>3.50%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110" w:right="0"/>
              <w:jc w:val="left"/>
              <w:rPr>
                <w:rFonts w:ascii="Times New Roman" w:hAnsi="Times New Roman" w:cs="Times New Roman" w:eastAsia="Times New Roman" w:hint="default"/>
                <w:sz w:val="15"/>
                <w:szCs w:val="15"/>
              </w:rPr>
            </w:pPr>
            <w:r>
              <w:rPr>
                <w:rFonts w:ascii="Times New Roman"/>
                <w:sz w:val="15"/>
              </w:rPr>
              <w:t>17.50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99"/>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3"/>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2019-067</w:t>
            </w:r>
            <w:r>
              <w:rPr>
                <w:rFonts w:ascii="宋体" w:hAnsi="宋体" w:cs="宋体" w:eastAsia="宋体" w:hint="default"/>
                <w:sz w:val="15"/>
                <w:szCs w:val="15"/>
              </w:rPr>
              <w:t>）</w:t>
            </w:r>
          </w:p>
        </w:tc>
      </w:tr>
    </w:tbl>
    <w:p>
      <w:pPr>
        <w:spacing w:after="0" w:line="240" w:lineRule="auto"/>
        <w:jc w:val="left"/>
        <w:rPr>
          <w:rFonts w:ascii="宋体" w:hAnsi="宋体" w:cs="宋体" w:eastAsia="宋体" w:hint="default"/>
          <w:sz w:val="15"/>
          <w:szCs w:val="15"/>
        </w:rPr>
        <w:sectPr>
          <w:pgSz w:w="11910" w:h="16840"/>
          <w:pgMar w:header="748" w:footer="979" w:top="1060" w:bottom="1160" w:left="54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946"/>
        <w:gridCol w:w="588"/>
        <w:gridCol w:w="607"/>
        <w:gridCol w:w="576"/>
        <w:gridCol w:w="560"/>
        <w:gridCol w:w="794"/>
        <w:gridCol w:w="710"/>
        <w:gridCol w:w="566"/>
        <w:gridCol w:w="425"/>
        <w:gridCol w:w="566"/>
        <w:gridCol w:w="427"/>
        <w:gridCol w:w="566"/>
        <w:gridCol w:w="708"/>
        <w:gridCol w:w="567"/>
        <w:gridCol w:w="427"/>
        <w:gridCol w:w="566"/>
        <w:gridCol w:w="991"/>
      </w:tblGrid>
      <w:tr>
        <w:trPr>
          <w:trHeight w:val="71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91" w:right="89"/>
              <w:jc w:val="left"/>
              <w:rPr>
                <w:rFonts w:ascii="宋体" w:hAnsi="宋体" w:cs="宋体" w:eastAsia="宋体" w:hint="default"/>
                <w:sz w:val="15"/>
                <w:szCs w:val="15"/>
              </w:rPr>
            </w:pPr>
            <w:r>
              <w:rPr>
                <w:rFonts w:ascii="宋体" w:hAnsi="宋体" w:cs="宋体" w:eastAsia="宋体" w:hint="default"/>
                <w:sz w:val="15"/>
                <w:szCs w:val="15"/>
              </w:rPr>
              <w:t>招商银行北</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京方庄支行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76" w:right="65"/>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left="112" w:right="0"/>
              <w:jc w:val="left"/>
              <w:rPr>
                <w:rFonts w:ascii="Times New Roman" w:hAnsi="Times New Roman" w:cs="Times New Roman" w:eastAsia="Times New Roman" w:hint="default"/>
                <w:sz w:val="15"/>
                <w:szCs w:val="15"/>
              </w:rPr>
            </w:pPr>
            <w:r>
              <w:rPr>
                <w:rFonts w:ascii="Times New Roman"/>
                <w:sz w:val="15"/>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0" w:right="44"/>
              <w:jc w:val="left"/>
              <w:rPr>
                <w:rFonts w:ascii="宋体" w:hAnsi="宋体" w:cs="宋体" w:eastAsia="宋体" w:hint="default"/>
                <w:sz w:val="15"/>
                <w:szCs w:val="15"/>
              </w:rPr>
            </w:pPr>
            <w:r>
              <w:rPr>
                <w:rFonts w:ascii="宋体" w:hAnsi="宋体" w:cs="宋体" w:eastAsia="宋体" w:hint="default"/>
                <w:sz w:val="15"/>
                <w:szCs w:val="15"/>
              </w:rPr>
              <w:t>闲置自</w:t>
            </w:r>
            <w:r>
              <w:rPr>
                <w:rFonts w:ascii="宋体" w:hAnsi="宋体" w:cs="宋体" w:eastAsia="宋体" w:hint="default"/>
                <w:spacing w:val="-72"/>
                <w:sz w:val="15"/>
                <w:szCs w:val="15"/>
              </w:rPr>
              <w:t> </w:t>
            </w:r>
            <w:r>
              <w:rPr>
                <w:rFonts w:ascii="宋体" w:hAnsi="宋体" w:cs="宋体" w:eastAsia="宋体" w:hint="default"/>
                <w:sz w:val="15"/>
                <w:szCs w:val="15"/>
              </w:rPr>
              <w:t>有资金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09</w:t>
            </w:r>
          </w:p>
          <w:p>
            <w:pPr>
              <w:pStyle w:val="TableParagraph"/>
              <w:spacing w:line="240" w:lineRule="auto" w:before="104"/>
              <w:ind w:left="12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16</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12</w:t>
            </w:r>
          </w:p>
          <w:p>
            <w:pPr>
              <w:pStyle w:val="TableParagraph"/>
              <w:spacing w:line="240" w:lineRule="auto" w:before="104"/>
              <w:ind w:left="86"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left="5" w:right="0"/>
              <w:jc w:val="center"/>
              <w:rPr>
                <w:rFonts w:ascii="Times New Roman" w:hAnsi="Times New Roman" w:cs="Times New Roman" w:eastAsia="Times New Roman" w:hint="default"/>
                <w:sz w:val="15"/>
                <w:szCs w:val="15"/>
              </w:rPr>
            </w:pPr>
            <w:r>
              <w:rPr>
                <w:rFonts w:ascii="Times New Roman"/>
                <w:sz w:val="15"/>
              </w:rPr>
              <w:t>3.44%</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left="110" w:right="0"/>
              <w:jc w:val="left"/>
              <w:rPr>
                <w:rFonts w:ascii="Times New Roman" w:hAnsi="Times New Roman" w:cs="Times New Roman" w:eastAsia="Times New Roman" w:hint="default"/>
                <w:sz w:val="15"/>
                <w:szCs w:val="15"/>
              </w:rPr>
            </w:pPr>
            <w:r>
              <w:rPr>
                <w:rFonts w:ascii="Times New Roman"/>
                <w:sz w:val="15"/>
              </w:rPr>
              <w:t>29.69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5"/>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2019-068</w:t>
            </w:r>
            <w:r>
              <w:rPr>
                <w:rFonts w:ascii="宋体" w:hAnsi="宋体" w:cs="宋体" w:eastAsia="宋体" w:hint="default"/>
                <w:sz w:val="15"/>
                <w:szCs w:val="15"/>
              </w:rPr>
              <w:t>）</w:t>
            </w:r>
          </w:p>
        </w:tc>
      </w:tr>
      <w:tr>
        <w:trPr>
          <w:trHeight w:val="71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167" w:right="89" w:hanging="77"/>
              <w:jc w:val="left"/>
              <w:rPr>
                <w:rFonts w:ascii="宋体" w:hAnsi="宋体" w:cs="宋体" w:eastAsia="宋体" w:hint="default"/>
                <w:sz w:val="15"/>
                <w:szCs w:val="15"/>
              </w:rPr>
            </w:pPr>
            <w:r>
              <w:rPr>
                <w:rFonts w:ascii="宋体" w:hAnsi="宋体" w:cs="宋体" w:eastAsia="宋体" w:hint="default"/>
                <w:sz w:val="15"/>
                <w:szCs w:val="15"/>
              </w:rPr>
              <w:t>北京银行清</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华园支行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76" w:right="65"/>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112" w:right="0"/>
              <w:jc w:val="left"/>
              <w:rPr>
                <w:rFonts w:ascii="Times New Roman" w:hAnsi="Times New Roman" w:cs="Times New Roman" w:eastAsia="Times New Roman" w:hint="default"/>
                <w:sz w:val="15"/>
                <w:szCs w:val="15"/>
              </w:rPr>
            </w:pPr>
            <w:r>
              <w:rPr>
                <w:rFonts w:ascii="Times New Roman"/>
                <w:sz w:val="15"/>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50" w:right="44"/>
              <w:jc w:val="left"/>
              <w:rPr>
                <w:rFonts w:ascii="宋体" w:hAnsi="宋体" w:cs="宋体" w:eastAsia="宋体" w:hint="default"/>
                <w:sz w:val="15"/>
                <w:szCs w:val="15"/>
              </w:rPr>
            </w:pPr>
            <w:r>
              <w:rPr>
                <w:rFonts w:ascii="宋体" w:hAnsi="宋体" w:cs="宋体" w:eastAsia="宋体" w:hint="default"/>
                <w:sz w:val="15"/>
                <w:szCs w:val="15"/>
              </w:rPr>
              <w:t>闲置募</w:t>
            </w:r>
            <w:r>
              <w:rPr>
                <w:rFonts w:ascii="宋体" w:hAnsi="宋体" w:cs="宋体" w:eastAsia="宋体" w:hint="default"/>
                <w:spacing w:val="-72"/>
                <w:sz w:val="15"/>
                <w:szCs w:val="15"/>
              </w:rPr>
              <w:t> </w:t>
            </w:r>
            <w:r>
              <w:rPr>
                <w:rFonts w:ascii="宋体" w:hAnsi="宋体" w:cs="宋体" w:eastAsia="宋体" w:hint="default"/>
                <w:sz w:val="15"/>
                <w:szCs w:val="15"/>
              </w:rPr>
              <w:t>集资金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01</w:t>
            </w:r>
          </w:p>
          <w:p>
            <w:pPr>
              <w:pStyle w:val="TableParagraph"/>
              <w:spacing w:line="240" w:lineRule="auto" w:before="102"/>
              <w:ind w:left="12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03</w:t>
            </w:r>
          </w:p>
          <w:p>
            <w:pPr>
              <w:pStyle w:val="TableParagraph"/>
              <w:spacing w:line="240" w:lineRule="auto" w:before="102"/>
              <w:ind w:left="86"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5" w:right="0"/>
              <w:jc w:val="center"/>
              <w:rPr>
                <w:rFonts w:ascii="Times New Roman" w:hAnsi="Times New Roman" w:cs="Times New Roman" w:eastAsia="Times New Roman" w:hint="default"/>
                <w:sz w:val="15"/>
                <w:szCs w:val="15"/>
              </w:rPr>
            </w:pPr>
            <w:r>
              <w:rPr>
                <w:rFonts w:ascii="Times New Roman"/>
                <w:sz w:val="15"/>
              </w:rPr>
              <w:t>3.50%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112" w:right="0"/>
              <w:jc w:val="left"/>
              <w:rPr>
                <w:rFonts w:ascii="Times New Roman" w:hAnsi="Times New Roman" w:cs="Times New Roman" w:eastAsia="Times New Roman" w:hint="default"/>
                <w:sz w:val="15"/>
                <w:szCs w:val="15"/>
              </w:rPr>
            </w:pPr>
            <w:r>
              <w:rPr>
                <w:rFonts w:ascii="Times New Roman"/>
                <w:sz w:val="15"/>
              </w:rPr>
              <w:t>11.32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3"/>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2019-008</w:t>
            </w:r>
            <w:r>
              <w:rPr>
                <w:rFonts w:ascii="宋体" w:hAnsi="宋体" w:cs="宋体" w:eastAsia="宋体" w:hint="default"/>
                <w:sz w:val="15"/>
                <w:szCs w:val="15"/>
              </w:rPr>
              <w:t>）</w:t>
            </w:r>
          </w:p>
        </w:tc>
      </w:tr>
      <w:tr>
        <w:trPr>
          <w:trHeight w:val="71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167" w:right="89" w:hanging="77"/>
              <w:jc w:val="left"/>
              <w:rPr>
                <w:rFonts w:ascii="宋体" w:hAnsi="宋体" w:cs="宋体" w:eastAsia="宋体" w:hint="default"/>
                <w:sz w:val="15"/>
                <w:szCs w:val="15"/>
              </w:rPr>
            </w:pPr>
            <w:r>
              <w:rPr>
                <w:rFonts w:ascii="宋体" w:hAnsi="宋体" w:cs="宋体" w:eastAsia="宋体" w:hint="default"/>
                <w:sz w:val="15"/>
                <w:szCs w:val="15"/>
              </w:rPr>
              <w:t>北京银行清</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华园支行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76" w:right="65"/>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112" w:right="0"/>
              <w:jc w:val="left"/>
              <w:rPr>
                <w:rFonts w:ascii="Times New Roman" w:hAnsi="Times New Roman" w:cs="Times New Roman" w:eastAsia="Times New Roman" w:hint="default"/>
                <w:sz w:val="15"/>
                <w:szCs w:val="15"/>
              </w:rPr>
            </w:pPr>
            <w:r>
              <w:rPr>
                <w:rFonts w:ascii="Times New Roman"/>
                <w:sz w:val="15"/>
              </w:rPr>
              <w:t>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0" w:right="44"/>
              <w:jc w:val="left"/>
              <w:rPr>
                <w:rFonts w:ascii="宋体" w:hAnsi="宋体" w:cs="宋体" w:eastAsia="宋体" w:hint="default"/>
                <w:sz w:val="15"/>
                <w:szCs w:val="15"/>
              </w:rPr>
            </w:pPr>
            <w:r>
              <w:rPr>
                <w:rFonts w:ascii="宋体" w:hAnsi="宋体" w:cs="宋体" w:eastAsia="宋体" w:hint="default"/>
                <w:sz w:val="15"/>
                <w:szCs w:val="15"/>
              </w:rPr>
              <w:t>闲置募</w:t>
            </w:r>
            <w:r>
              <w:rPr>
                <w:rFonts w:ascii="宋体" w:hAnsi="宋体" w:cs="宋体" w:eastAsia="宋体" w:hint="default"/>
                <w:spacing w:val="-72"/>
                <w:sz w:val="15"/>
                <w:szCs w:val="15"/>
              </w:rPr>
              <w:t> </w:t>
            </w:r>
            <w:r>
              <w:rPr>
                <w:rFonts w:ascii="宋体" w:hAnsi="宋体" w:cs="宋体" w:eastAsia="宋体" w:hint="default"/>
                <w:sz w:val="15"/>
                <w:szCs w:val="15"/>
              </w:rPr>
              <w:t>集资金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01</w:t>
            </w:r>
          </w:p>
          <w:p>
            <w:pPr>
              <w:pStyle w:val="TableParagraph"/>
              <w:spacing w:line="240" w:lineRule="auto" w:before="104"/>
              <w:ind w:left="12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04</w:t>
            </w:r>
          </w:p>
          <w:p>
            <w:pPr>
              <w:pStyle w:val="TableParagraph"/>
              <w:spacing w:line="240" w:lineRule="auto" w:before="104"/>
              <w:ind w:left="86"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5" w:right="0"/>
              <w:jc w:val="center"/>
              <w:rPr>
                <w:rFonts w:ascii="Times New Roman" w:hAnsi="Times New Roman" w:cs="Times New Roman" w:eastAsia="Times New Roman" w:hint="default"/>
                <w:sz w:val="15"/>
                <w:szCs w:val="15"/>
              </w:rPr>
            </w:pPr>
            <w:r>
              <w:rPr>
                <w:rFonts w:ascii="Times New Roman"/>
                <w:sz w:val="15"/>
              </w:rPr>
              <w:t>4.00%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110" w:right="0"/>
              <w:jc w:val="left"/>
              <w:rPr>
                <w:rFonts w:ascii="Times New Roman" w:hAnsi="Times New Roman" w:cs="Times New Roman" w:eastAsia="Times New Roman" w:hint="default"/>
                <w:sz w:val="15"/>
                <w:szCs w:val="15"/>
              </w:rPr>
            </w:pPr>
            <w:r>
              <w:rPr>
                <w:rFonts w:ascii="Times New Roman"/>
                <w:sz w:val="15"/>
              </w:rPr>
              <w:t>59.18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5"/>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2019-008</w:t>
            </w:r>
            <w:r>
              <w:rPr>
                <w:rFonts w:ascii="宋体" w:hAnsi="宋体" w:cs="宋体" w:eastAsia="宋体" w:hint="default"/>
                <w:sz w:val="15"/>
                <w:szCs w:val="15"/>
              </w:rPr>
              <w:t>）</w:t>
            </w:r>
          </w:p>
        </w:tc>
      </w:tr>
      <w:tr>
        <w:trPr>
          <w:trHeight w:val="71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167" w:right="89" w:hanging="77"/>
              <w:jc w:val="left"/>
              <w:rPr>
                <w:rFonts w:ascii="宋体" w:hAnsi="宋体" w:cs="宋体" w:eastAsia="宋体" w:hint="default"/>
                <w:sz w:val="15"/>
                <w:szCs w:val="15"/>
              </w:rPr>
            </w:pPr>
            <w:r>
              <w:rPr>
                <w:rFonts w:ascii="宋体" w:hAnsi="宋体" w:cs="宋体" w:eastAsia="宋体" w:hint="default"/>
                <w:sz w:val="15"/>
                <w:szCs w:val="15"/>
              </w:rPr>
              <w:t>北京银行清</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华园支行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76" w:right="65"/>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112" w:right="0"/>
              <w:jc w:val="left"/>
              <w:rPr>
                <w:rFonts w:ascii="Times New Roman" w:hAnsi="Times New Roman" w:cs="Times New Roman" w:eastAsia="Times New Roman" w:hint="default"/>
                <w:sz w:val="15"/>
                <w:szCs w:val="15"/>
              </w:rPr>
            </w:pPr>
            <w:r>
              <w:rPr>
                <w:rFonts w:ascii="Times New Roman"/>
                <w:sz w:val="15"/>
              </w:rPr>
              <w:t>7,000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50" w:right="44"/>
              <w:jc w:val="left"/>
              <w:rPr>
                <w:rFonts w:ascii="宋体" w:hAnsi="宋体" w:cs="宋体" w:eastAsia="宋体" w:hint="default"/>
                <w:sz w:val="15"/>
                <w:szCs w:val="15"/>
              </w:rPr>
            </w:pPr>
            <w:r>
              <w:rPr>
                <w:rFonts w:ascii="宋体" w:hAnsi="宋体" w:cs="宋体" w:eastAsia="宋体" w:hint="default"/>
                <w:sz w:val="15"/>
                <w:szCs w:val="15"/>
              </w:rPr>
              <w:t>闲置募</w:t>
            </w:r>
            <w:r>
              <w:rPr>
                <w:rFonts w:ascii="宋体" w:hAnsi="宋体" w:cs="宋体" w:eastAsia="宋体" w:hint="default"/>
                <w:spacing w:val="-72"/>
                <w:sz w:val="15"/>
                <w:szCs w:val="15"/>
              </w:rPr>
              <w:t> </w:t>
            </w:r>
            <w:r>
              <w:rPr>
                <w:rFonts w:ascii="宋体" w:hAnsi="宋体" w:cs="宋体" w:eastAsia="宋体" w:hint="default"/>
                <w:sz w:val="15"/>
                <w:szCs w:val="15"/>
              </w:rPr>
              <w:t>集资金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04</w:t>
            </w:r>
          </w:p>
          <w:p>
            <w:pPr>
              <w:pStyle w:val="TableParagraph"/>
              <w:spacing w:line="240" w:lineRule="auto" w:before="102"/>
              <w:ind w:left="12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05</w:t>
            </w:r>
          </w:p>
          <w:p>
            <w:pPr>
              <w:pStyle w:val="TableParagraph"/>
              <w:spacing w:line="240" w:lineRule="auto" w:before="102"/>
              <w:ind w:left="86"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29</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5" w:right="0"/>
              <w:jc w:val="center"/>
              <w:rPr>
                <w:rFonts w:ascii="Times New Roman" w:hAnsi="Times New Roman" w:cs="Times New Roman" w:eastAsia="Times New Roman" w:hint="default"/>
                <w:sz w:val="15"/>
                <w:szCs w:val="15"/>
              </w:rPr>
            </w:pPr>
            <w:r>
              <w:rPr>
                <w:rFonts w:ascii="Times New Roman"/>
                <w:sz w:val="15"/>
              </w:rPr>
              <w:t>3.10%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110" w:right="0"/>
              <w:jc w:val="left"/>
              <w:rPr>
                <w:rFonts w:ascii="Times New Roman" w:hAnsi="Times New Roman" w:cs="Times New Roman" w:eastAsia="Times New Roman" w:hint="default"/>
                <w:sz w:val="15"/>
                <w:szCs w:val="15"/>
              </w:rPr>
            </w:pPr>
            <w:r>
              <w:rPr>
                <w:rFonts w:ascii="Times New Roman"/>
                <w:sz w:val="15"/>
              </w:rPr>
              <w:t>20.81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3"/>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2019-039</w:t>
            </w:r>
            <w:r>
              <w:rPr>
                <w:rFonts w:ascii="宋体" w:hAnsi="宋体" w:cs="宋体" w:eastAsia="宋体" w:hint="default"/>
                <w:sz w:val="15"/>
                <w:szCs w:val="15"/>
              </w:rPr>
              <w:t>）</w:t>
            </w:r>
          </w:p>
        </w:tc>
      </w:tr>
      <w:tr>
        <w:trPr>
          <w:trHeight w:val="71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167" w:right="89" w:hanging="77"/>
              <w:jc w:val="left"/>
              <w:rPr>
                <w:rFonts w:ascii="宋体" w:hAnsi="宋体" w:cs="宋体" w:eastAsia="宋体" w:hint="default"/>
                <w:sz w:val="15"/>
                <w:szCs w:val="15"/>
              </w:rPr>
            </w:pPr>
            <w:r>
              <w:rPr>
                <w:rFonts w:ascii="宋体" w:hAnsi="宋体" w:cs="宋体" w:eastAsia="宋体" w:hint="default"/>
                <w:sz w:val="15"/>
                <w:szCs w:val="15"/>
              </w:rPr>
              <w:t>北京银行清</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华园支行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76" w:right="65"/>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112" w:right="0"/>
              <w:jc w:val="left"/>
              <w:rPr>
                <w:rFonts w:ascii="Times New Roman" w:hAnsi="Times New Roman" w:cs="Times New Roman" w:eastAsia="Times New Roman" w:hint="default"/>
                <w:sz w:val="15"/>
                <w:szCs w:val="15"/>
              </w:rPr>
            </w:pPr>
            <w:r>
              <w:rPr>
                <w:rFonts w:ascii="Times New Roman"/>
                <w:sz w:val="15"/>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0" w:right="44"/>
              <w:jc w:val="left"/>
              <w:rPr>
                <w:rFonts w:ascii="宋体" w:hAnsi="宋体" w:cs="宋体" w:eastAsia="宋体" w:hint="default"/>
                <w:sz w:val="15"/>
                <w:szCs w:val="15"/>
              </w:rPr>
            </w:pPr>
            <w:r>
              <w:rPr>
                <w:rFonts w:ascii="宋体" w:hAnsi="宋体" w:cs="宋体" w:eastAsia="宋体" w:hint="default"/>
                <w:sz w:val="15"/>
                <w:szCs w:val="15"/>
              </w:rPr>
              <w:t>闲置募</w:t>
            </w:r>
            <w:r>
              <w:rPr>
                <w:rFonts w:ascii="宋体" w:hAnsi="宋体" w:cs="宋体" w:eastAsia="宋体" w:hint="default"/>
                <w:spacing w:val="-72"/>
                <w:sz w:val="15"/>
                <w:szCs w:val="15"/>
              </w:rPr>
              <w:t> </w:t>
            </w:r>
            <w:r>
              <w:rPr>
                <w:rFonts w:ascii="宋体" w:hAnsi="宋体" w:cs="宋体" w:eastAsia="宋体" w:hint="default"/>
                <w:sz w:val="15"/>
                <w:szCs w:val="15"/>
              </w:rPr>
              <w:t>集资金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06</w:t>
            </w:r>
          </w:p>
          <w:p>
            <w:pPr>
              <w:pStyle w:val="TableParagraph"/>
              <w:spacing w:line="240" w:lineRule="auto" w:before="105"/>
              <w:ind w:left="12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07</w:t>
            </w:r>
          </w:p>
          <w:p>
            <w:pPr>
              <w:pStyle w:val="TableParagraph"/>
              <w:spacing w:line="240" w:lineRule="auto" w:before="105"/>
              <w:ind w:left="86"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5" w:right="0"/>
              <w:jc w:val="center"/>
              <w:rPr>
                <w:rFonts w:ascii="Times New Roman" w:hAnsi="Times New Roman" w:cs="Times New Roman" w:eastAsia="Times New Roman" w:hint="default"/>
                <w:sz w:val="15"/>
                <w:szCs w:val="15"/>
              </w:rPr>
            </w:pPr>
            <w:r>
              <w:rPr>
                <w:rFonts w:ascii="Times New Roman"/>
                <w:sz w:val="15"/>
              </w:rPr>
              <w:t>3.00%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148" w:right="0"/>
              <w:jc w:val="left"/>
              <w:rPr>
                <w:rFonts w:ascii="Times New Roman" w:hAnsi="Times New Roman" w:cs="Times New Roman" w:eastAsia="Times New Roman" w:hint="default"/>
                <w:sz w:val="15"/>
                <w:szCs w:val="15"/>
              </w:rPr>
            </w:pPr>
            <w:r>
              <w:rPr>
                <w:rFonts w:ascii="Times New Roman"/>
                <w:sz w:val="15"/>
              </w:rPr>
              <w:t>2.88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6"/>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2019-047</w:t>
            </w:r>
            <w:r>
              <w:rPr>
                <w:rFonts w:ascii="宋体" w:hAnsi="宋体" w:cs="宋体" w:eastAsia="宋体" w:hint="default"/>
                <w:sz w:val="15"/>
                <w:szCs w:val="15"/>
              </w:rPr>
              <w:t>）</w:t>
            </w:r>
          </w:p>
        </w:tc>
      </w:tr>
      <w:tr>
        <w:trPr>
          <w:trHeight w:val="71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167" w:right="89" w:hanging="77"/>
              <w:jc w:val="left"/>
              <w:rPr>
                <w:rFonts w:ascii="宋体" w:hAnsi="宋体" w:cs="宋体" w:eastAsia="宋体" w:hint="default"/>
                <w:sz w:val="15"/>
                <w:szCs w:val="15"/>
              </w:rPr>
            </w:pPr>
            <w:r>
              <w:rPr>
                <w:rFonts w:ascii="宋体" w:hAnsi="宋体" w:cs="宋体" w:eastAsia="宋体" w:hint="default"/>
                <w:sz w:val="15"/>
                <w:szCs w:val="15"/>
              </w:rPr>
              <w:t>北京银行清</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华园支行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76" w:right="65"/>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112" w:right="0"/>
              <w:jc w:val="left"/>
              <w:rPr>
                <w:rFonts w:ascii="Times New Roman" w:hAnsi="Times New Roman" w:cs="Times New Roman" w:eastAsia="Times New Roman" w:hint="default"/>
                <w:sz w:val="15"/>
                <w:szCs w:val="15"/>
              </w:rPr>
            </w:pPr>
            <w:r>
              <w:rPr>
                <w:rFonts w:ascii="Times New Roman"/>
                <w:sz w:val="15"/>
              </w:rPr>
              <w:t>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50" w:right="44"/>
              <w:jc w:val="left"/>
              <w:rPr>
                <w:rFonts w:ascii="宋体" w:hAnsi="宋体" w:cs="宋体" w:eastAsia="宋体" w:hint="default"/>
                <w:sz w:val="15"/>
                <w:szCs w:val="15"/>
              </w:rPr>
            </w:pPr>
            <w:r>
              <w:rPr>
                <w:rFonts w:ascii="宋体" w:hAnsi="宋体" w:cs="宋体" w:eastAsia="宋体" w:hint="default"/>
                <w:sz w:val="15"/>
                <w:szCs w:val="15"/>
              </w:rPr>
              <w:t>闲置募</w:t>
            </w:r>
            <w:r>
              <w:rPr>
                <w:rFonts w:ascii="宋体" w:hAnsi="宋体" w:cs="宋体" w:eastAsia="宋体" w:hint="default"/>
                <w:spacing w:val="-72"/>
                <w:sz w:val="15"/>
                <w:szCs w:val="15"/>
              </w:rPr>
              <w:t> </w:t>
            </w:r>
            <w:r>
              <w:rPr>
                <w:rFonts w:ascii="宋体" w:hAnsi="宋体" w:cs="宋体" w:eastAsia="宋体" w:hint="default"/>
                <w:sz w:val="15"/>
                <w:szCs w:val="15"/>
              </w:rPr>
              <w:t>集资金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06</w:t>
            </w:r>
          </w:p>
          <w:p>
            <w:pPr>
              <w:pStyle w:val="TableParagraph"/>
              <w:spacing w:line="240" w:lineRule="auto" w:before="102"/>
              <w:ind w:left="12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09</w:t>
            </w:r>
          </w:p>
          <w:p>
            <w:pPr>
              <w:pStyle w:val="TableParagraph"/>
              <w:spacing w:line="240" w:lineRule="auto" w:before="102"/>
              <w:ind w:left="86"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5" w:right="0"/>
              <w:jc w:val="center"/>
              <w:rPr>
                <w:rFonts w:ascii="Times New Roman" w:hAnsi="Times New Roman" w:cs="Times New Roman" w:eastAsia="Times New Roman" w:hint="default"/>
                <w:sz w:val="15"/>
                <w:szCs w:val="15"/>
              </w:rPr>
            </w:pPr>
            <w:r>
              <w:rPr>
                <w:rFonts w:ascii="Times New Roman"/>
                <w:sz w:val="15"/>
              </w:rPr>
              <w:t>3.80%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110" w:right="0"/>
              <w:jc w:val="left"/>
              <w:rPr>
                <w:rFonts w:ascii="Times New Roman" w:hAnsi="Times New Roman" w:cs="Times New Roman" w:eastAsia="Times New Roman" w:hint="default"/>
                <w:sz w:val="15"/>
                <w:szCs w:val="15"/>
              </w:rPr>
            </w:pPr>
            <w:r>
              <w:rPr>
                <w:rFonts w:ascii="Times New Roman"/>
                <w:sz w:val="15"/>
              </w:rPr>
              <w:t>57.47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3"/>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2019-047</w:t>
            </w:r>
            <w:r>
              <w:rPr>
                <w:rFonts w:ascii="宋体" w:hAnsi="宋体" w:cs="宋体" w:eastAsia="宋体" w:hint="default"/>
                <w:sz w:val="15"/>
                <w:szCs w:val="15"/>
              </w:rPr>
              <w:t>）</w:t>
            </w:r>
          </w:p>
        </w:tc>
      </w:tr>
      <w:tr>
        <w:trPr>
          <w:trHeight w:val="71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167" w:right="89" w:hanging="77"/>
              <w:jc w:val="left"/>
              <w:rPr>
                <w:rFonts w:ascii="宋体" w:hAnsi="宋体" w:cs="宋体" w:eastAsia="宋体" w:hint="default"/>
                <w:sz w:val="15"/>
                <w:szCs w:val="15"/>
              </w:rPr>
            </w:pPr>
            <w:r>
              <w:rPr>
                <w:rFonts w:ascii="宋体" w:hAnsi="宋体" w:cs="宋体" w:eastAsia="宋体" w:hint="default"/>
                <w:sz w:val="15"/>
                <w:szCs w:val="15"/>
              </w:rPr>
              <w:t>北京银行清</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华园支行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76" w:right="65"/>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112" w:right="0"/>
              <w:jc w:val="left"/>
              <w:rPr>
                <w:rFonts w:ascii="Times New Roman" w:hAnsi="Times New Roman" w:cs="Times New Roman" w:eastAsia="Times New Roman" w:hint="default"/>
                <w:sz w:val="15"/>
                <w:szCs w:val="15"/>
              </w:rPr>
            </w:pPr>
            <w:r>
              <w:rPr>
                <w:rFonts w:ascii="Times New Roman"/>
                <w:sz w:val="15"/>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0" w:right="44"/>
              <w:jc w:val="left"/>
              <w:rPr>
                <w:rFonts w:ascii="宋体" w:hAnsi="宋体" w:cs="宋体" w:eastAsia="宋体" w:hint="default"/>
                <w:sz w:val="15"/>
                <w:szCs w:val="15"/>
              </w:rPr>
            </w:pPr>
            <w:r>
              <w:rPr>
                <w:rFonts w:ascii="宋体" w:hAnsi="宋体" w:cs="宋体" w:eastAsia="宋体" w:hint="default"/>
                <w:sz w:val="15"/>
                <w:szCs w:val="15"/>
              </w:rPr>
              <w:t>闲置募</w:t>
            </w:r>
            <w:r>
              <w:rPr>
                <w:rFonts w:ascii="宋体" w:hAnsi="宋体" w:cs="宋体" w:eastAsia="宋体" w:hint="default"/>
                <w:spacing w:val="-72"/>
                <w:sz w:val="15"/>
                <w:szCs w:val="15"/>
              </w:rPr>
              <w:t> </w:t>
            </w:r>
            <w:r>
              <w:rPr>
                <w:rFonts w:ascii="宋体" w:hAnsi="宋体" w:cs="宋体" w:eastAsia="宋体" w:hint="default"/>
                <w:sz w:val="15"/>
                <w:szCs w:val="15"/>
              </w:rPr>
              <w:t>集资金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09</w:t>
            </w:r>
          </w:p>
          <w:p>
            <w:pPr>
              <w:pStyle w:val="TableParagraph"/>
              <w:spacing w:line="240" w:lineRule="auto" w:before="104"/>
              <w:ind w:left="12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12</w:t>
            </w:r>
          </w:p>
          <w:p>
            <w:pPr>
              <w:pStyle w:val="TableParagraph"/>
              <w:spacing w:line="240" w:lineRule="auto" w:before="104"/>
              <w:ind w:left="86"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5" w:right="0"/>
              <w:jc w:val="center"/>
              <w:rPr>
                <w:rFonts w:ascii="Times New Roman" w:hAnsi="Times New Roman" w:cs="Times New Roman" w:eastAsia="Times New Roman" w:hint="default"/>
                <w:sz w:val="15"/>
                <w:szCs w:val="15"/>
              </w:rPr>
            </w:pPr>
            <w:r>
              <w:rPr>
                <w:rFonts w:ascii="Times New Roman"/>
                <w:sz w:val="15"/>
              </w:rPr>
              <w:t>3.25%</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110" w:right="0"/>
              <w:jc w:val="left"/>
              <w:rPr>
                <w:rFonts w:ascii="Times New Roman" w:hAnsi="Times New Roman" w:cs="Times New Roman" w:eastAsia="Times New Roman" w:hint="default"/>
                <w:sz w:val="15"/>
                <w:szCs w:val="15"/>
              </w:rPr>
            </w:pPr>
            <w:r>
              <w:rPr>
                <w:rFonts w:ascii="Times New Roman"/>
                <w:sz w:val="15"/>
              </w:rPr>
              <w:t>24.04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5"/>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2019-068</w:t>
            </w:r>
            <w:r>
              <w:rPr>
                <w:rFonts w:ascii="宋体" w:hAnsi="宋体" w:cs="宋体" w:eastAsia="宋体" w:hint="default"/>
                <w:sz w:val="15"/>
                <w:szCs w:val="15"/>
              </w:rPr>
              <w:t>）</w:t>
            </w:r>
          </w:p>
        </w:tc>
      </w:tr>
      <w:tr>
        <w:trPr>
          <w:trHeight w:val="71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167" w:right="89" w:hanging="77"/>
              <w:jc w:val="left"/>
              <w:rPr>
                <w:rFonts w:ascii="宋体" w:hAnsi="宋体" w:cs="宋体" w:eastAsia="宋体" w:hint="default"/>
                <w:sz w:val="15"/>
                <w:szCs w:val="15"/>
              </w:rPr>
            </w:pPr>
            <w:r>
              <w:rPr>
                <w:rFonts w:ascii="宋体" w:hAnsi="宋体" w:cs="宋体" w:eastAsia="宋体" w:hint="default"/>
                <w:sz w:val="15"/>
                <w:szCs w:val="15"/>
              </w:rPr>
              <w:t>北京银行清</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华园支行</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76" w:right="65"/>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spacing w:val="-72"/>
                <w:sz w:val="15"/>
                <w:szCs w:val="15"/>
              </w:rPr>
              <w:t> </w:t>
            </w:r>
            <w:r>
              <w:rPr>
                <w:rFonts w:ascii="宋体" w:hAnsi="宋体" w:cs="宋体" w:eastAsia="宋体" w:hint="default"/>
                <w:sz w:val="15"/>
                <w:szCs w:val="15"/>
              </w:rPr>
              <w:t>动收益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112" w:right="0"/>
              <w:jc w:val="left"/>
              <w:rPr>
                <w:rFonts w:ascii="Times New Roman" w:hAnsi="Times New Roman" w:cs="Times New Roman" w:eastAsia="Times New Roman" w:hint="default"/>
                <w:sz w:val="15"/>
                <w:szCs w:val="15"/>
              </w:rPr>
            </w:pPr>
            <w:r>
              <w:rPr>
                <w:rFonts w:ascii="Times New Roman"/>
                <w:sz w:val="15"/>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50" w:right="44"/>
              <w:jc w:val="left"/>
              <w:rPr>
                <w:rFonts w:ascii="宋体" w:hAnsi="宋体" w:cs="宋体" w:eastAsia="宋体" w:hint="default"/>
                <w:sz w:val="15"/>
                <w:szCs w:val="15"/>
              </w:rPr>
            </w:pPr>
            <w:r>
              <w:rPr>
                <w:rFonts w:ascii="宋体" w:hAnsi="宋体" w:cs="宋体" w:eastAsia="宋体" w:hint="default"/>
                <w:sz w:val="15"/>
                <w:szCs w:val="15"/>
              </w:rPr>
              <w:t>闲置募</w:t>
            </w:r>
            <w:r>
              <w:rPr>
                <w:rFonts w:ascii="宋体" w:hAnsi="宋体" w:cs="宋体" w:eastAsia="宋体" w:hint="default"/>
                <w:spacing w:val="-72"/>
                <w:sz w:val="15"/>
                <w:szCs w:val="15"/>
              </w:rPr>
              <w:t> </w:t>
            </w:r>
            <w:r>
              <w:rPr>
                <w:rFonts w:ascii="宋体" w:hAnsi="宋体" w:cs="宋体" w:eastAsia="宋体" w:hint="default"/>
                <w:sz w:val="15"/>
                <w:szCs w:val="15"/>
              </w:rPr>
              <w:t>集资金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09</w:t>
            </w:r>
          </w:p>
          <w:p>
            <w:pPr>
              <w:pStyle w:val="TableParagraph"/>
              <w:spacing w:line="240" w:lineRule="auto" w:before="102"/>
              <w:ind w:left="12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10</w:t>
            </w:r>
          </w:p>
          <w:p>
            <w:pPr>
              <w:pStyle w:val="TableParagraph"/>
              <w:spacing w:line="240" w:lineRule="auto" w:before="102"/>
              <w:ind w:left="86"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129" w:right="48" w:hanging="77"/>
              <w:jc w:val="left"/>
              <w:rPr>
                <w:rFonts w:ascii="宋体" w:hAnsi="宋体" w:cs="宋体" w:eastAsia="宋体" w:hint="default"/>
                <w:sz w:val="15"/>
                <w:szCs w:val="15"/>
              </w:rPr>
            </w:pPr>
            <w:r>
              <w:rPr>
                <w:rFonts w:ascii="宋体" w:hAnsi="宋体" w:cs="宋体" w:eastAsia="宋体" w:hint="default"/>
                <w:sz w:val="15"/>
                <w:szCs w:val="15"/>
              </w:rPr>
              <w:t>按委托</w:t>
            </w:r>
            <w:r>
              <w:rPr>
                <w:rFonts w:ascii="宋体" w:hAnsi="宋体" w:cs="宋体" w:eastAsia="宋体" w:hint="default"/>
                <w:spacing w:val="-72"/>
                <w:sz w:val="15"/>
                <w:szCs w:val="15"/>
              </w:rPr>
              <w:t> </w:t>
            </w:r>
            <w:r>
              <w:rPr>
                <w:rFonts w:ascii="宋体" w:hAnsi="宋体" w:cs="宋体" w:eastAsia="宋体" w:hint="default"/>
                <w:sz w:val="15"/>
                <w:szCs w:val="15"/>
              </w:rPr>
              <w:t>约定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57" w:right="53"/>
              <w:jc w:val="left"/>
              <w:rPr>
                <w:rFonts w:ascii="宋体" w:hAnsi="宋体" w:cs="宋体" w:eastAsia="宋体" w:hint="default"/>
                <w:sz w:val="15"/>
                <w:szCs w:val="15"/>
              </w:rPr>
            </w:pPr>
            <w:r>
              <w:rPr>
                <w:rFonts w:ascii="宋体" w:hAnsi="宋体" w:cs="宋体" w:eastAsia="宋体" w:hint="default"/>
                <w:sz w:val="15"/>
                <w:szCs w:val="15"/>
              </w:rPr>
              <w:t>协议</w:t>
            </w:r>
            <w:r>
              <w:rPr>
                <w:rFonts w:ascii="宋体" w:hAnsi="宋体" w:cs="宋体" w:eastAsia="宋体" w:hint="default"/>
                <w:spacing w:val="-73"/>
                <w:sz w:val="15"/>
                <w:szCs w:val="15"/>
              </w:rPr>
              <w:t> </w:t>
            </w:r>
            <w:r>
              <w:rPr>
                <w:rFonts w:ascii="宋体" w:hAnsi="宋体" w:cs="宋体" w:eastAsia="宋体" w:hint="default"/>
                <w:sz w:val="15"/>
                <w:szCs w:val="15"/>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5" w:right="0"/>
              <w:jc w:val="center"/>
              <w:rPr>
                <w:rFonts w:ascii="Times New Roman" w:hAnsi="Times New Roman" w:cs="Times New Roman" w:eastAsia="Times New Roman" w:hint="default"/>
                <w:sz w:val="15"/>
                <w:szCs w:val="15"/>
              </w:rPr>
            </w:pPr>
            <w:r>
              <w:rPr>
                <w:rFonts w:ascii="Times New Roman"/>
                <w:sz w:val="15"/>
              </w:rPr>
              <w:t>2.95%</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148" w:right="0"/>
              <w:jc w:val="left"/>
              <w:rPr>
                <w:rFonts w:ascii="Times New Roman" w:hAnsi="Times New Roman" w:cs="Times New Roman" w:eastAsia="Times New Roman" w:hint="default"/>
                <w:sz w:val="15"/>
                <w:szCs w:val="15"/>
              </w:rPr>
            </w:pPr>
            <w:r>
              <w:rPr>
                <w:rFonts w:ascii="Times New Roman"/>
                <w:sz w:val="15"/>
              </w:rPr>
              <w:t>2.83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15" w:right="0"/>
              <w:jc w:val="left"/>
              <w:rPr>
                <w:rFonts w:ascii="宋体" w:hAnsi="宋体" w:cs="宋体" w:eastAsia="宋体" w:hint="default"/>
                <w:sz w:val="15"/>
                <w:szCs w:val="15"/>
              </w:rPr>
            </w:pPr>
            <w:r>
              <w:rPr>
                <w:rFonts w:ascii="宋体" w:hAnsi="宋体" w:cs="宋体" w:eastAsia="宋体" w:hint="default"/>
                <w:sz w:val="15"/>
                <w:szCs w:val="15"/>
              </w:rPr>
              <w:t>巨潮资讯网</w:t>
            </w:r>
          </w:p>
          <w:p>
            <w:pPr>
              <w:pStyle w:val="TableParagraph"/>
              <w:spacing w:line="240" w:lineRule="auto" w:before="113"/>
              <w:ind w:left="5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2019-068</w:t>
            </w:r>
            <w:r>
              <w:rPr>
                <w:rFonts w:ascii="宋体" w:hAnsi="宋体" w:cs="宋体" w:eastAsia="宋体" w:hint="default"/>
                <w:sz w:val="15"/>
                <w:szCs w:val="15"/>
              </w:rPr>
              <w:t>）</w:t>
            </w:r>
          </w:p>
        </w:tc>
      </w:tr>
      <w:tr>
        <w:trPr>
          <w:trHeight w:val="403" w:hRule="exact"/>
        </w:trPr>
        <w:tc>
          <w:tcPr>
            <w:tcW w:w="214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5" w:right="0"/>
              <w:jc w:val="left"/>
              <w:rPr>
                <w:rFonts w:ascii="Times New Roman" w:hAnsi="Times New Roman" w:cs="Times New Roman" w:eastAsia="Times New Roman" w:hint="default"/>
                <w:sz w:val="15"/>
                <w:szCs w:val="15"/>
              </w:rPr>
            </w:pPr>
            <w:r>
              <w:rPr>
                <w:rFonts w:ascii="Times New Roman"/>
                <w:sz w:val="15"/>
              </w:rPr>
              <w:t>106,000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1" w:right="0"/>
              <w:jc w:val="center"/>
              <w:rPr>
                <w:rFonts w:ascii="Times New Roman" w:hAnsi="Times New Roman" w:cs="Times New Roman" w:eastAsia="Times New Roman" w:hint="default"/>
                <w:sz w:val="15"/>
                <w:szCs w:val="15"/>
              </w:rPr>
            </w:pPr>
            <w:r>
              <w:rPr>
                <w:rFonts w:ascii="Times New Roman"/>
                <w:sz w:val="15"/>
              </w:rPr>
              <w:t>--</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2" w:right="0"/>
              <w:jc w:val="center"/>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22" w:right="0"/>
              <w:jc w:val="left"/>
              <w:rPr>
                <w:rFonts w:ascii="Times New Roman" w:hAnsi="Times New Roman" w:cs="Times New Roman" w:eastAsia="Times New Roman" w:hint="default"/>
                <w:sz w:val="15"/>
                <w:szCs w:val="15"/>
              </w:rPr>
            </w:pPr>
            <w:r>
              <w:rPr>
                <w:rFonts w:ascii="Times New Roman"/>
                <w:sz w:val="15"/>
              </w:rPr>
              <w:t>863.77</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2" w:right="0"/>
              <w:jc w:val="center"/>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 w:right="0"/>
              <w:jc w:val="center"/>
              <w:rPr>
                <w:rFonts w:ascii="Times New Roman" w:hAnsi="Times New Roman" w:cs="Times New Roman" w:eastAsia="Times New Roman" w:hint="default"/>
                <w:sz w:val="15"/>
                <w:szCs w:val="15"/>
              </w:rPr>
            </w:pPr>
            <w:r>
              <w:rPr>
                <w:rFonts w:ascii="Times New Roman"/>
                <w:w w:val="100"/>
                <w:sz w:val="15"/>
              </w:rPr>
              <w:t>0</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2" w:right="0"/>
              <w:jc w:val="center"/>
              <w:rPr>
                <w:rFonts w:ascii="Times New Roman" w:hAnsi="Times New Roman" w:cs="Times New Roman" w:eastAsia="Times New Roman" w:hint="default"/>
                <w:sz w:val="15"/>
                <w:szCs w:val="15"/>
              </w:rPr>
            </w:pPr>
            <w:r>
              <w:rPr>
                <w:rFonts w:ascii="Times New Roman"/>
                <w:sz w:val="15"/>
              </w:rPr>
              <w:t>--</w:t>
            </w:r>
          </w:p>
        </w:tc>
      </w:tr>
    </w:tbl>
    <w:p>
      <w:pPr>
        <w:pStyle w:val="BodyText"/>
        <w:spacing w:line="240" w:lineRule="auto" w:before="49"/>
        <w:ind w:left="592" w:right="0"/>
        <w:jc w:val="left"/>
      </w:pPr>
      <w:r>
        <w:rPr/>
        <w:t>委托理财出现预期无法收回本金或存在其他可能导致减值的情形</w:t>
      </w:r>
    </w:p>
    <w:p>
      <w:pPr>
        <w:pStyle w:val="BodyText"/>
        <w:spacing w:line="240" w:lineRule="auto" w:before="117"/>
        <w:ind w:left="5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592"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92"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left="592"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9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9"/>
        <w:rPr>
          <w:rFonts w:ascii="宋体" w:hAnsi="宋体" w:cs="宋体" w:eastAsia="宋体" w:hint="default"/>
          <w:sz w:val="19"/>
          <w:szCs w:val="19"/>
        </w:rPr>
      </w:pPr>
    </w:p>
    <w:p>
      <w:pPr>
        <w:pStyle w:val="Heading2"/>
        <w:spacing w:line="240" w:lineRule="auto"/>
        <w:ind w:left="592" w:right="0"/>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592"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left="592" w:right="0"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履行国有企业责任。公司始终坚持以习近平新时代中国特色社会主义思想为根本遵循，全力支持</w:t>
      </w:r>
      <w:r>
        <w:rPr>
          <w:w w:val="100"/>
        </w:rPr>
        <w:t> </w:t>
      </w:r>
      <w:r>
        <w:rPr>
          <w:spacing w:val="-4"/>
        </w:rPr>
        <w:t>国家网络强国战略和首都发展大局，积极服务保障世园会、</w:t>
      </w:r>
      <w:r>
        <w:rPr>
          <w:rFonts w:ascii="Times New Roman" w:hAnsi="Times New Roman" w:cs="Times New Roman" w:eastAsia="Times New Roman" w:hint="default"/>
          <w:spacing w:val="-4"/>
        </w:rPr>
        <w:t>“</w:t>
      </w:r>
      <w:r>
        <w:rPr>
          <w:spacing w:val="-4"/>
        </w:rPr>
        <w:t>一带一路</w:t>
      </w:r>
      <w:r>
        <w:rPr>
          <w:rFonts w:ascii="Times New Roman" w:hAnsi="Times New Roman" w:cs="Times New Roman" w:eastAsia="Times New Roman" w:hint="default"/>
          <w:spacing w:val="-4"/>
        </w:rPr>
        <w:t>”</w:t>
      </w:r>
      <w:r>
        <w:rPr>
          <w:spacing w:val="-4"/>
        </w:rPr>
        <w:t>国际合作高峰论坛、亚洲文明对话、</w:t>
      </w:r>
      <w:r>
        <w:rPr>
          <w:spacing w:val="-29"/>
        </w:rPr>
        <w:t> </w:t>
      </w:r>
      <w:r>
        <w:rPr>
          <w:spacing w:val="-29"/>
        </w:rPr>
      </w:r>
      <w:r>
        <w:rPr>
          <w:rFonts w:ascii="Times New Roman" w:hAnsi="Times New Roman" w:cs="Times New Roman" w:eastAsia="Times New Roman" w:hint="default"/>
        </w:rPr>
        <w:t>“</w:t>
      </w:r>
      <w:r>
        <w:rPr/>
        <w:t>新中国成立</w:t>
      </w:r>
      <w:r>
        <w:rPr>
          <w:rFonts w:ascii="Times New Roman" w:hAnsi="Times New Roman" w:cs="Times New Roman" w:eastAsia="Times New Roman" w:hint="default"/>
        </w:rPr>
        <w:t>70</w:t>
      </w:r>
      <w:r>
        <w:rPr/>
        <w:t>周年</w:t>
      </w:r>
      <w:r>
        <w:rPr>
          <w:rFonts w:ascii="Times New Roman" w:hAnsi="Times New Roman" w:cs="Times New Roman" w:eastAsia="Times New Roman" w:hint="default"/>
        </w:rPr>
        <w:t>”</w:t>
      </w:r>
      <w:r>
        <w:rPr/>
        <w:t>庆祝活动、城市副中心的网络安全建设工作，充分展现了公司作为国有企业，努力为</w:t>
      </w:r>
      <w:r>
        <w:rPr>
          <w:w w:val="100"/>
        </w:rPr>
        <w:t> </w:t>
      </w:r>
      <w:r>
        <w:rPr/>
        <w:t>广大人民构建安全可信的数字世界的使命和担当。</w:t>
      </w:r>
    </w:p>
    <w:p>
      <w:pPr>
        <w:pStyle w:val="Heading4"/>
        <w:spacing w:line="266" w:lineRule="auto" w:before="142"/>
        <w:ind w:left="592"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spacing w:val="-3"/>
        </w:rPr>
        <w:t>践行绿色发展理念。作为国内领先的网络安全解决方案提供商，公司深入贯彻落实绿色发展理念，</w:t>
      </w:r>
      <w:r>
        <w:rPr>
          <w:w w:val="100"/>
        </w:rPr>
        <w:t> </w:t>
      </w:r>
      <w:r>
        <w:rPr/>
        <w:t>重点投入资金开展技术创新和技术升级，面向全国提供电子认证服务、安全集成、安全咨询与运维服务，</w:t>
      </w:r>
      <w:r>
        <w:rPr>
          <w:w w:val="100"/>
        </w:rPr>
        <w:t> </w:t>
      </w:r>
      <w:r>
        <w:rPr>
          <w:spacing w:val="-2"/>
        </w:rPr>
        <w:t>开发身份管理技术、云安全、医疗文档电子化等产品，向公司客户推广电子化数字化办公理念，帮助客户</w:t>
      </w:r>
    </w:p>
    <w:p>
      <w:pPr>
        <w:spacing w:after="0" w:line="266" w:lineRule="auto"/>
        <w:jc w:val="left"/>
        <w:sectPr>
          <w:pgSz w:w="11910" w:h="16840"/>
          <w:pgMar w:header="748" w:footer="979" w:top="1060" w:bottom="1160" w:left="540" w:right="0"/>
        </w:sectPr>
      </w:pPr>
    </w:p>
    <w:p>
      <w:pPr>
        <w:spacing w:line="240" w:lineRule="auto" w:before="10"/>
        <w:rPr>
          <w:rFonts w:ascii="宋体" w:hAnsi="宋体" w:cs="宋体" w:eastAsia="宋体" w:hint="default"/>
          <w:sz w:val="24"/>
          <w:szCs w:val="24"/>
        </w:rPr>
      </w:pPr>
    </w:p>
    <w:p>
      <w:pPr>
        <w:pStyle w:val="Heading4"/>
        <w:spacing w:line="240" w:lineRule="auto" w:before="36"/>
        <w:ind w:right="982"/>
        <w:jc w:val="left"/>
      </w:pPr>
      <w:r>
        <w:rPr/>
        <w:t>提高工作效率，降低企业成本，节约能源，低碳环保，助力建设美丽中国。</w:t>
      </w:r>
    </w:p>
    <w:p>
      <w:pPr>
        <w:pStyle w:val="Heading4"/>
        <w:spacing w:line="261" w:lineRule="auto" w:before="157"/>
        <w:ind w:right="1126" w:firstLine="504"/>
        <w:jc w:val="both"/>
      </w:pPr>
      <w:r>
        <w:rPr>
          <w:rFonts w:ascii="Times New Roman" w:hAnsi="Times New Roman" w:cs="Times New Roman" w:eastAsia="Times New Roman" w:hint="default"/>
          <w:spacing w:val="-1"/>
        </w:rPr>
        <w:t>(3)</w:t>
      </w:r>
      <w:r>
        <w:rPr>
          <w:rFonts w:ascii="Times New Roman" w:hAnsi="Times New Roman" w:cs="Times New Roman" w:eastAsia="Times New Roman" w:hint="default"/>
          <w:spacing w:val="28"/>
        </w:rPr>
        <w:t> </w:t>
      </w:r>
      <w:r>
        <w:rPr>
          <w:spacing w:val="-2"/>
        </w:rPr>
        <w:t>积极参与社会公益事业。作为国有控股上市公司，坚持关心公益事业，积极履行社会责任。报告</w:t>
      </w:r>
      <w:r>
        <w:rPr>
          <w:w w:val="100"/>
        </w:rPr>
        <w:t> </w:t>
      </w:r>
      <w:r>
        <w:rPr>
          <w:spacing w:val="-2"/>
        </w:rPr>
        <w:t>期内，公司积极参加河北蔚县脱贫攻坚消费扶贫定点购销项目，组织员工办理中国建设银行消费扶贫爱心</w:t>
      </w:r>
      <w:r>
        <w:rPr>
          <w:spacing w:val="-43"/>
        </w:rPr>
        <w:t> </w:t>
      </w:r>
      <w:r>
        <w:rPr>
          <w:spacing w:val="-43"/>
        </w:rPr>
      </w:r>
      <w:r>
        <w:rPr/>
        <w:t>信用卡，全力支持国家扶贫工作。</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月，为纪念中国共产党成立</w:t>
      </w:r>
      <w:r>
        <w:rPr>
          <w:rFonts w:ascii="Times New Roman" w:hAnsi="Times New Roman" w:cs="Times New Roman" w:eastAsia="Times New Roman" w:hint="default"/>
        </w:rPr>
        <w:t>98</w:t>
      </w:r>
      <w:r>
        <w:rPr/>
        <w:t>周年，弘扬中华民族传统美德，</w:t>
      </w:r>
      <w:r>
        <w:rPr>
          <w:spacing w:val="-26"/>
        </w:rPr>
        <w:t> </w:t>
      </w:r>
      <w:r>
        <w:rPr>
          <w:spacing w:val="-26"/>
        </w:rPr>
      </w:r>
      <w:r>
        <w:rPr>
          <w:spacing w:val="-2"/>
        </w:rPr>
        <w:t>帮助困难群众解决实际问题，公司组织开展</w:t>
      </w:r>
      <w:r>
        <w:rPr>
          <w:rFonts w:ascii="Times New Roman" w:hAnsi="Times New Roman" w:cs="Times New Roman" w:eastAsia="Times New Roman" w:hint="default"/>
          <w:spacing w:val="-2"/>
        </w:rPr>
        <w:t>“</w:t>
      </w:r>
      <w:r>
        <w:rPr>
          <w:spacing w:val="-2"/>
        </w:rPr>
        <w:t>共产党员献爱心</w:t>
      </w:r>
      <w:r>
        <w:rPr>
          <w:rFonts w:ascii="Times New Roman" w:hAnsi="Times New Roman" w:cs="Times New Roman" w:eastAsia="Times New Roman" w:hint="default"/>
          <w:spacing w:val="-2"/>
        </w:rPr>
        <w:t>”</w:t>
      </w:r>
      <w:r>
        <w:rPr>
          <w:spacing w:val="-2"/>
        </w:rPr>
        <w:t>活动，公司全体党员踊跃捐款，募捐款项全</w:t>
      </w:r>
      <w:r>
        <w:rPr>
          <w:spacing w:val="-19"/>
        </w:rPr>
        <w:t> </w:t>
      </w:r>
      <w:r>
        <w:rPr>
          <w:spacing w:val="-19"/>
        </w:rPr>
      </w:r>
      <w:r>
        <w:rPr>
          <w:spacing w:val="-2"/>
        </w:rPr>
        <w:t>部交由北京市慈善基金会开展救助项目。</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月，公司积极响应北京市团委</w:t>
      </w:r>
      <w:r>
        <w:rPr>
          <w:rFonts w:ascii="Times New Roman" w:hAnsi="Times New Roman" w:cs="Times New Roman" w:eastAsia="Times New Roman" w:hint="default"/>
          <w:spacing w:val="-2"/>
        </w:rPr>
        <w:t>“</w:t>
      </w:r>
      <w:r>
        <w:rPr>
          <w:spacing w:val="-2"/>
        </w:rPr>
        <w:t>温暖衣冬</w:t>
      </w:r>
      <w:r>
        <w:rPr>
          <w:rFonts w:ascii="Times New Roman" w:hAnsi="Times New Roman" w:cs="Times New Roman" w:eastAsia="Times New Roman" w:hint="default"/>
          <w:spacing w:val="-2"/>
        </w:rPr>
        <w:t>”</w:t>
      </w:r>
      <w:r>
        <w:rPr>
          <w:spacing w:val="-2"/>
        </w:rPr>
        <w:t>大型公益活动</w:t>
      </w:r>
      <w:r>
        <w:rPr>
          <w:spacing w:val="-9"/>
        </w:rPr>
        <w:t> </w:t>
      </w:r>
      <w:r>
        <w:rPr>
          <w:spacing w:val="-9"/>
        </w:rPr>
      </w:r>
      <w:r>
        <w:rPr>
          <w:spacing w:val="-2"/>
        </w:rPr>
        <w:t>号召，组织开展冬衣捐赠活动，募集到的爱心暖冬衣物分别送到对外经济贸易大学、北京语言大学和首都</w:t>
      </w:r>
      <w:r>
        <w:rPr>
          <w:spacing w:val="-44"/>
        </w:rPr>
        <w:t> </w:t>
      </w:r>
      <w:r>
        <w:rPr>
          <w:spacing w:val="-44"/>
        </w:rPr>
      </w:r>
      <w:r>
        <w:rPr/>
        <w:t>师范大学，由在校大学生利用假期返乡转赠给贫困地区人民。</w:t>
      </w:r>
    </w:p>
    <w:p>
      <w:pPr>
        <w:pStyle w:val="Heading4"/>
        <w:spacing w:line="268" w:lineRule="auto" w:before="138"/>
        <w:ind w:right="1105"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6"/>
        </w:rPr>
        <w:t> </w:t>
      </w:r>
      <w:r>
        <w:rPr/>
        <w:t>职工权益保护。公司注重职工权益保护，严格贯彻执行《劳动合同法》等各项法律法规，切实保</w:t>
      </w:r>
      <w:r>
        <w:rPr>
          <w:w w:val="100"/>
        </w:rPr>
        <w:t> </w:t>
      </w:r>
      <w:r>
        <w:rPr>
          <w:spacing w:val="-2"/>
        </w:rPr>
        <w:t>障员工合法权益；公司注重人才队伍建设，加强培养梯队人才，组织开展领导力、专业力等多层次培训，</w:t>
      </w:r>
      <w:r>
        <w:rPr>
          <w:spacing w:val="-21"/>
        </w:rPr>
        <w:t> </w:t>
      </w:r>
      <w:r>
        <w:rPr>
          <w:spacing w:val="-21"/>
        </w:rPr>
      </w:r>
      <w:r>
        <w:rPr>
          <w:spacing w:val="-2"/>
        </w:rPr>
        <w:t>促使员工综合素质和业务能力全面提升，同时为员工提供成长平台与通道，实现员工与公司共同发展；公</w:t>
      </w:r>
      <w:r>
        <w:rPr>
          <w:spacing w:val="-43"/>
        </w:rPr>
        <w:t> </w:t>
      </w:r>
      <w:r>
        <w:rPr>
          <w:spacing w:val="-43"/>
        </w:rPr>
      </w:r>
      <w:r>
        <w:rPr>
          <w:spacing w:val="-2"/>
        </w:rPr>
        <w:t>司始终坚持以人为本，尊重员工人格，为员工创造良好的工作环境，举办丰富多彩的文体活动，加强对员</w:t>
      </w:r>
      <w:r>
        <w:rPr>
          <w:spacing w:val="-50"/>
        </w:rPr>
        <w:t> </w:t>
      </w:r>
      <w:r>
        <w:rPr>
          <w:spacing w:val="-50"/>
        </w:rPr>
      </w:r>
      <w:r>
        <w:rPr/>
        <w:t>工的人文关怀，增强员工的归属感与认同感。</w:t>
      </w:r>
    </w:p>
    <w:p>
      <w:pPr>
        <w:pStyle w:val="Heading4"/>
        <w:spacing w:line="268" w:lineRule="auto" w:before="132"/>
        <w:ind w:right="982" w:firstLine="504"/>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1"/>
        </w:rPr>
        <w:t> </w:t>
      </w:r>
      <w:r>
        <w:rPr/>
        <w:t>股东权益保护。</w:t>
      </w:r>
      <w:r>
        <w:rPr>
          <w:rFonts w:ascii="Times New Roman" w:hAnsi="Times New Roman" w:cs="Times New Roman" w:eastAsia="Times New Roman" w:hint="default"/>
        </w:rPr>
        <w:t>2019</w:t>
      </w:r>
      <w:r>
        <w:rPr/>
        <w:t>年，公司严格按照《公司法》、《证券法》、《上市公司治理准则》等法律</w:t>
      </w:r>
      <w:r>
        <w:rPr>
          <w:w w:val="100"/>
        </w:rPr>
        <w:t> </w:t>
      </w:r>
      <w:r>
        <w:rPr>
          <w:spacing w:val="-5"/>
        </w:rPr>
        <w:t>法规及规范性文件的要求，不断健全和完善法人治理结构，切实维护所有股东特别是中小股东的合法权益， </w:t>
      </w:r>
      <w:r>
        <w:rPr>
          <w:spacing w:val="-5"/>
        </w:rPr>
      </w:r>
      <w:r>
        <w:rPr>
          <w:spacing w:val="-2"/>
        </w:rPr>
        <w:t>确保股东充分享有法律法规规定的各项合法权益。报告期内，公司严格按照《公司章程》确定的现金分红</w:t>
      </w:r>
      <w:r>
        <w:rPr>
          <w:spacing w:val="-47"/>
        </w:rPr>
        <w:t> </w:t>
      </w:r>
      <w:r>
        <w:rPr>
          <w:spacing w:val="-47"/>
        </w:rPr>
      </w:r>
      <w:r>
        <w:rPr>
          <w:spacing w:val="-2"/>
        </w:rPr>
        <w:t>政策和股东大会审议批准的现金分红具体方案，积极回报股东；重视投资者关系管理，不断提升信息披露</w:t>
      </w:r>
      <w:r>
        <w:rPr>
          <w:spacing w:val="-44"/>
        </w:rPr>
        <w:t> </w:t>
      </w:r>
      <w:r>
        <w:rPr>
          <w:spacing w:val="-44"/>
        </w:rPr>
      </w:r>
      <w:r>
        <w:rPr>
          <w:spacing w:val="-2"/>
        </w:rPr>
        <w:t>水平，通过投资者咨询电话、电子邮箱和投资者关系互动平台、举行投资者关系活动、网上业绩说明会等</w:t>
      </w:r>
      <w:r>
        <w:rPr>
          <w:spacing w:val="-50"/>
        </w:rPr>
        <w:t> </w:t>
      </w:r>
      <w:r>
        <w:rPr>
          <w:spacing w:val="-50"/>
        </w:rPr>
      </w:r>
      <w:r>
        <w:rPr/>
        <w:t>多种方式与投资者进行沟通交流，形成良性互动，保证所有投资者的知情权、参与权。</w:t>
      </w:r>
    </w:p>
    <w:p>
      <w:pPr>
        <w:spacing w:line="600" w:lineRule="atLeast" w:before="3"/>
        <w:ind w:left="573" w:right="98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公司报告年度积极参加由北京证监局统一部署，北京上市公司协会组织的河北蔚县脱贫攻坚工作，通</w:t>
      </w:r>
    </w:p>
    <w:p>
      <w:pPr>
        <w:pStyle w:val="Heading4"/>
        <w:spacing w:line="240" w:lineRule="auto" w:before="37"/>
        <w:ind w:right="982"/>
        <w:jc w:val="left"/>
      </w:pPr>
      <w:r>
        <w:rPr/>
        <w:t>过参与消费扶贫定点购销项目，促进消费扶贫。公司暂无后续精准扶贫计划。</w:t>
      </w:r>
    </w:p>
    <w:p>
      <w:pPr>
        <w:spacing w:line="240" w:lineRule="auto" w:before="10"/>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否</w:t>
      </w:r>
    </w:p>
    <w:p>
      <w:pPr>
        <w:pStyle w:val="Heading4"/>
        <w:spacing w:line="240" w:lineRule="auto" w:before="83"/>
        <w:ind w:left="573" w:right="982"/>
        <w:jc w:val="left"/>
      </w:pPr>
      <w:r>
        <w:rPr/>
        <w:t>公司及子公司不属于环境保护部门公布的重点排污单位。</w:t>
      </w:r>
    </w:p>
    <w:p>
      <w:pPr>
        <w:spacing w:line="240" w:lineRule="auto" w:before="1"/>
        <w:rPr>
          <w:rFonts w:ascii="宋体" w:hAnsi="宋体" w:cs="宋体" w:eastAsia="宋体" w:hint="default"/>
          <w:sz w:val="24"/>
          <w:szCs w:val="24"/>
        </w:rPr>
      </w:pPr>
    </w:p>
    <w:p>
      <w:pPr>
        <w:pStyle w:val="Heading2"/>
        <w:spacing w:line="240" w:lineRule="auto"/>
        <w:ind w:right="982"/>
        <w:jc w:val="left"/>
        <w:rPr>
          <w:b w:val="0"/>
          <w:bCs w:val="0"/>
        </w:rPr>
      </w:pPr>
      <w:r>
        <w:rPr/>
        <w:t>十八、其他重大事项的说明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982"/>
        <w:jc w:val="left"/>
        <w:rPr>
          <w:b w:val="0"/>
          <w:bCs w:val="0"/>
        </w:rPr>
      </w:pPr>
      <w:r>
        <w:rPr/>
        <w:t>十九、公司子公司重大事项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5"/>
        <w:rPr>
          <w:rFonts w:ascii="宋体" w:hAnsi="宋体" w:cs="宋体" w:eastAsia="宋体" w:hint="default"/>
          <w:sz w:val="12"/>
          <w:szCs w:val="12"/>
        </w:rPr>
      </w:pPr>
    </w:p>
    <w:p>
      <w:pPr>
        <w:pStyle w:val="Heading4"/>
        <w:spacing w:line="266" w:lineRule="auto"/>
        <w:ind w:right="1126" w:firstLine="420"/>
        <w:jc w:val="both"/>
        <w:rPr>
          <w:rFonts w:ascii="Times New Roman" w:hAnsi="Times New Roman" w:cs="Times New Roman" w:eastAsia="Times New Roman" w:hint="default"/>
        </w:rPr>
      </w:pPr>
      <w:r>
        <w:rPr>
          <w:spacing w:val="-2"/>
        </w:rPr>
        <w:t>根据公司第三届董事会第二十次会议决议和北京市国资委《关于北京安信天行科技有限公司实施股权</w:t>
      </w:r>
      <w:r>
        <w:rPr>
          <w:w w:val="100"/>
        </w:rPr>
        <w:t> </w:t>
      </w:r>
      <w:r>
        <w:rPr>
          <w:spacing w:val="-2"/>
        </w:rPr>
        <w:t>出售激励计划的批复》，公司子公司安信天行于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月实施了股权出售激励计划。安信天行</w:t>
      </w:r>
      <w:r>
        <w:rPr>
          <w:rFonts w:ascii="Times New Roman" w:hAnsi="Times New Roman" w:cs="Times New Roman" w:eastAsia="Times New Roman" w:hint="default"/>
          <w:spacing w:val="-2"/>
        </w:rPr>
        <w:t>46</w:t>
      </w:r>
      <w:r>
        <w:rPr>
          <w:spacing w:val="-2"/>
        </w:rPr>
        <w:t>名激励</w:t>
      </w:r>
      <w:r>
        <w:rPr>
          <w:spacing w:val="-41"/>
        </w:rPr>
        <w:t> </w:t>
      </w:r>
      <w:r>
        <w:rPr>
          <w:spacing w:val="-41"/>
        </w:rPr>
      </w:r>
      <w:r>
        <w:rPr>
          <w:spacing w:val="-1"/>
        </w:rPr>
        <w:t>对象共同出资成立的北京安信立拓科技中心（有限合伙）作为持股平台出资</w:t>
      </w:r>
      <w:r>
        <w:rPr>
          <w:rFonts w:ascii="Times New Roman" w:hAnsi="Times New Roman" w:cs="Times New Roman" w:eastAsia="Times New Roman" w:hint="default"/>
          <w:spacing w:val="-1"/>
        </w:rPr>
        <w:t>705.6</w:t>
      </w:r>
      <w:r>
        <w:rPr>
          <w:spacing w:val="-1"/>
        </w:rPr>
        <w:t>万元认购了安信天行</w:t>
      </w:r>
      <w:r>
        <w:rPr>
          <w:rFonts w:ascii="Times New Roman" w:hAnsi="Times New Roman" w:cs="Times New Roman" w:eastAsia="Times New Roman" w:hint="default"/>
          <w:spacing w:val="-1"/>
        </w:rPr>
        <w:t>147</w:t>
      </w:r>
    </w:p>
    <w:p>
      <w:pPr>
        <w:spacing w:after="0" w:line="266" w:lineRule="auto"/>
        <w:jc w:val="both"/>
        <w:rPr>
          <w:rFonts w:ascii="Times New Roman" w:hAnsi="Times New Roman" w:cs="Times New Roman" w:eastAsia="Times New Roman" w:hint="default"/>
        </w:rPr>
        <w:sectPr>
          <w:pgSz w:w="11910" w:h="16840"/>
          <w:pgMar w:header="748"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Heading4"/>
        <w:spacing w:line="256" w:lineRule="auto" w:before="36"/>
        <w:ind w:right="1128"/>
        <w:jc w:val="both"/>
      </w:pPr>
      <w:r>
        <w:rPr>
          <w:spacing w:val="-1"/>
        </w:rPr>
        <w:t>万元注册资本，持有安信天行</w:t>
      </w:r>
      <w:r>
        <w:rPr>
          <w:rFonts w:ascii="Times New Roman" w:hAnsi="Times New Roman" w:cs="Times New Roman" w:eastAsia="Times New Roman" w:hint="default"/>
          <w:spacing w:val="-1"/>
        </w:rPr>
        <w:t>4.67%</w:t>
      </w:r>
      <w:r>
        <w:rPr>
          <w:spacing w:val="-1"/>
        </w:rPr>
        <w:t>股权。本次增资后，安信天行注册资本变更为</w:t>
      </w:r>
      <w:r>
        <w:rPr>
          <w:rFonts w:ascii="Times New Roman" w:hAnsi="Times New Roman" w:cs="Times New Roman" w:eastAsia="Times New Roman" w:hint="default"/>
          <w:spacing w:val="-1"/>
        </w:rPr>
        <w:t>3,147</w:t>
      </w:r>
      <w:r>
        <w:rPr>
          <w:spacing w:val="-1"/>
        </w:rPr>
        <w:t>万元，公司持有安</w:t>
      </w:r>
      <w:r>
        <w:rPr>
          <w:spacing w:val="-49"/>
        </w:rPr>
        <w:t> </w:t>
      </w:r>
      <w:r>
        <w:rPr>
          <w:spacing w:val="-49"/>
        </w:rPr>
      </w:r>
      <w:r>
        <w:rPr>
          <w:spacing w:val="-3"/>
        </w:rPr>
        <w:t>信天行股权比例变更为</w:t>
      </w:r>
      <w:r>
        <w:rPr>
          <w:rFonts w:ascii="Times New Roman" w:hAnsi="Times New Roman" w:cs="Times New Roman" w:eastAsia="Times New Roman" w:hint="default"/>
          <w:spacing w:val="-3"/>
        </w:rPr>
        <w:t>95.33%</w:t>
      </w:r>
      <w:r>
        <w:rPr>
          <w:spacing w:val="-3"/>
        </w:rPr>
        <w:t>。截至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日，根据激励计划和考核结果，达到解锁条件的股权比</w:t>
      </w:r>
      <w:r>
        <w:rPr>
          <w:spacing w:val="-2"/>
        </w:rPr>
        <w:t> </w:t>
      </w:r>
      <w:r>
        <w:rPr>
          <w:spacing w:val="-2"/>
        </w:rPr>
      </w:r>
      <w:r>
        <w:rPr/>
        <w:t>例为</w:t>
      </w:r>
      <w:r>
        <w:rPr>
          <w:rFonts w:ascii="Times New Roman" w:hAnsi="Times New Roman" w:cs="Times New Roman" w:eastAsia="Times New Roman" w:hint="default"/>
        </w:rPr>
        <w:t>1.87</w:t>
      </w:r>
      <w:r>
        <w:rPr>
          <w:rFonts w:ascii="宋体" w:hAnsi="宋体" w:cs="宋体" w:eastAsia="宋体" w:hint="default"/>
        </w:rPr>
        <w:t>%</w:t>
      </w:r>
      <w:r>
        <w:rPr/>
        <w:t>。</w:t>
      </w:r>
    </w:p>
    <w:p>
      <w:pPr>
        <w:spacing w:after="0" w:line="256" w:lineRule="auto"/>
        <w:jc w:val="both"/>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spacing w:line="240" w:lineRule="auto"/>
        <w:ind w:left="3004" w:right="1169"/>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192" w:right="1169"/>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92" w:right="1169"/>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985"/>
        <w:gridCol w:w="992"/>
        <w:gridCol w:w="710"/>
        <w:gridCol w:w="566"/>
        <w:gridCol w:w="566"/>
        <w:gridCol w:w="994"/>
        <w:gridCol w:w="1133"/>
        <w:gridCol w:w="1040"/>
        <w:gridCol w:w="1087"/>
        <w:gridCol w:w="708"/>
      </w:tblGrid>
      <w:tr>
        <w:trPr>
          <w:trHeight w:val="403"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9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98"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76,190,676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63.49%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37,975,888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-108,200,022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-70,224,134</w:t>
            </w:r>
            <w:r>
              <w:rPr>
                <w:rFonts w:ascii="Times New Roman"/>
                <w:sz w:val="18"/>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5,966,542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、国有法人持股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64,474,083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53.73%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32,237,041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-96,711,124</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-64,474,083</w:t>
            </w:r>
            <w:r>
              <w:rPr>
                <w:rFonts w:ascii="Times New Roman"/>
                <w:sz w:val="18"/>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、其他内资持股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11,716,593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5,738,847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-11,488,898</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-5,750,051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5,966,542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-11,250,000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-7,500,000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4,216,593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1,988,847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-238,898</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1,749,949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5,966,542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43,809,324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36.51%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22,024,112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108,200,022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130,224,134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174,033,458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96.69%</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43,809,324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36.51%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22,024,112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108,200,022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130,224,134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174,033,458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96.69%</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left="192" w:right="1169"/>
        <w:jc w:val="left"/>
      </w:pPr>
      <w:r>
        <w:rPr/>
        <w:t>股份变动的原因</w:t>
      </w:r>
    </w:p>
    <w:p>
      <w:pPr>
        <w:pStyle w:val="BodyText"/>
        <w:spacing w:line="319" w:lineRule="auto" w:before="117"/>
        <w:ind w:left="192" w:right="11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报告期内，公司实施</w:t>
      </w:r>
      <w:r>
        <w:rPr>
          <w:rFonts w:ascii="Times New Roman" w:hAnsi="Times New Roman" w:cs="Times New Roman" w:eastAsia="Times New Roman" w:hint="default"/>
        </w:rPr>
        <w:t>2018</w:t>
      </w:r>
      <w:r>
        <w:rPr/>
        <w:t>年年度权益分派，以公司股本总数</w:t>
      </w:r>
      <w:r>
        <w:rPr>
          <w:rFonts w:ascii="Times New Roman" w:hAnsi="Times New Roman" w:cs="Times New Roman" w:eastAsia="Times New Roman" w:hint="default"/>
        </w:rPr>
        <w:t>12,000</w:t>
      </w:r>
      <w:r>
        <w:rPr/>
        <w:t>万股为基数，向全体股东每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股，公司总股本由 </w:t>
      </w:r>
      <w:r>
        <w:rPr>
          <w:rFonts w:ascii="Times New Roman" w:hAnsi="Times New Roman" w:cs="Times New Roman" w:eastAsia="Times New Roman" w:hint="default"/>
        </w:rPr>
        <w:t>12,000</w:t>
      </w:r>
      <w:r>
        <w:rPr/>
        <w:t>万股变更至</w:t>
      </w:r>
      <w:r>
        <w:rPr>
          <w:rFonts w:ascii="Times New Roman" w:hAnsi="Times New Roman" w:cs="Times New Roman" w:eastAsia="Times New Roman" w:hint="default"/>
        </w:rPr>
        <w:t>18,000</w:t>
      </w:r>
      <w:r>
        <w:rPr/>
        <w:t>万股。</w:t>
      </w:r>
    </w:p>
    <w:p>
      <w:pPr>
        <w:pStyle w:val="BodyText"/>
        <w:spacing w:line="240" w:lineRule="auto" w:before="38"/>
        <w:ind w:left="192" w:right="1169"/>
        <w:jc w:val="left"/>
      </w:pPr>
      <w:r>
        <w:rPr/>
        <w:t>股份变动的批准情况</w:t>
      </w:r>
    </w:p>
    <w:p>
      <w:pPr>
        <w:pStyle w:val="BodyText"/>
        <w:spacing w:line="321" w:lineRule="auto" w:before="115"/>
        <w:ind w:left="1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经公司</w:t>
      </w:r>
      <w:r>
        <w:rPr>
          <w:rFonts w:ascii="Times New Roman" w:hAnsi="Times New Roman" w:cs="Times New Roman" w:eastAsia="Times New Roman" w:hint="default"/>
          <w:spacing w:val="-1"/>
        </w:rPr>
        <w:t>2018</w:t>
      </w:r>
      <w:r>
        <w:rPr>
          <w:spacing w:val="-1"/>
        </w:rPr>
        <w:t>年年度股东大会审议通过，公司实施</w:t>
      </w:r>
      <w:r>
        <w:rPr>
          <w:rFonts w:ascii="Times New Roman" w:hAnsi="Times New Roman" w:cs="Times New Roman" w:eastAsia="Times New Roman" w:hint="default"/>
          <w:spacing w:val="-1"/>
        </w:rPr>
        <w:t>2018</w:t>
      </w:r>
      <w:r>
        <w:rPr>
          <w:spacing w:val="-1"/>
        </w:rPr>
        <w:t>年年度权益分派方案以公司股本总数</w:t>
      </w:r>
      <w:r>
        <w:rPr>
          <w:rFonts w:ascii="Times New Roman" w:hAnsi="Times New Roman" w:cs="Times New Roman" w:eastAsia="Times New Roman" w:hint="default"/>
          <w:spacing w:val="-1"/>
        </w:rPr>
        <w:t>12,000</w:t>
      </w:r>
      <w:r>
        <w:rPr>
          <w:spacing w:val="-1"/>
        </w:rPr>
        <w:t>万股为基数，向全体股东每</w:t>
      </w:r>
      <w:r>
        <w:rPr>
          <w:spacing w:val="-74"/>
        </w:rPr>
        <w:t> </w:t>
      </w:r>
      <w:r>
        <w:rPr>
          <w:spacing w:val="-74"/>
        </w:rPr>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股，公司总股本由</w:t>
      </w:r>
      <w:r>
        <w:rPr>
          <w:rFonts w:ascii="Times New Roman" w:hAnsi="Times New Roman" w:cs="Times New Roman" w:eastAsia="Times New Roman" w:hint="default"/>
        </w:rPr>
        <w:t>12,000</w:t>
      </w:r>
      <w:r>
        <w:rPr/>
        <w:t>万股变更至</w:t>
      </w:r>
      <w:r>
        <w:rPr>
          <w:rFonts w:ascii="Times New Roman" w:hAnsi="Times New Roman" w:cs="Times New Roman" w:eastAsia="Times New Roman" w:hint="default"/>
        </w:rPr>
        <w:t>18,000</w:t>
      </w:r>
      <w:r>
        <w:rPr/>
        <w:t>万股。</w:t>
      </w:r>
    </w:p>
    <w:p>
      <w:pPr>
        <w:pStyle w:val="BodyText"/>
        <w:spacing w:line="240" w:lineRule="auto" w:before="36"/>
        <w:ind w:left="192" w:right="1169"/>
        <w:jc w:val="left"/>
      </w:pPr>
      <w:r>
        <w:rPr/>
        <w:t>股份变动的过户情况</w:t>
      </w:r>
    </w:p>
    <w:p>
      <w:pPr>
        <w:pStyle w:val="BodyText"/>
        <w:spacing w:line="350" w:lineRule="auto" w:before="115"/>
        <w:ind w:left="192" w:right="33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公司以资本公积转增的股份已在中国证券登记结算有限责任公司深圳分公司办理了登记手续。 股份回购的实施进展情况</w:t>
      </w:r>
    </w:p>
    <w:p>
      <w:pPr>
        <w:pStyle w:val="BodyText"/>
        <w:spacing w:line="340" w:lineRule="auto" w:before="32"/>
        <w:ind w:left="192"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38" w:lineRule="auto" w:before="41"/>
        <w:ind w:left="192"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38" w:lineRule="auto" w:before="43"/>
        <w:ind w:left="192" w:right="13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股份变动影响最近一年和最近一期基本每股收益和稀释每股收益、归属于公司普通股股东的每股净资产均减少</w:t>
      </w:r>
      <w:r>
        <w:rPr>
          <w:rFonts w:ascii="Times New Roman" w:hAnsi="Times New Roman" w:cs="Times New Roman" w:eastAsia="Times New Roman" w:hint="default"/>
        </w:rPr>
        <w:t>33.33%</w:t>
      </w:r>
      <w:r>
        <w:rPr/>
        <w:t>。 公司认为必要或证券监管机构要求披露的其他内容</w:t>
      </w:r>
    </w:p>
    <w:p>
      <w:pPr>
        <w:spacing w:after="0" w:line="338" w:lineRule="auto"/>
        <w:jc w:val="left"/>
        <w:sectPr>
          <w:pgSz w:w="11910" w:h="16840"/>
          <w:pgMar w:header="748" w:footer="979" w:top="1060" w:bottom="1160" w:left="940" w:right="0"/>
        </w:sectPr>
      </w:pPr>
    </w:p>
    <w:p>
      <w:pPr>
        <w:spacing w:line="240" w:lineRule="auto" w:before="10"/>
        <w:rPr>
          <w:rFonts w:ascii="宋体" w:hAnsi="宋体" w:cs="宋体" w:eastAsia="宋体" w:hint="default"/>
          <w:sz w:val="25"/>
          <w:szCs w:val="25"/>
        </w:rPr>
      </w:pPr>
    </w:p>
    <w:p>
      <w:pPr>
        <w:pStyle w:val="BodyText"/>
        <w:spacing w:line="240" w:lineRule="auto" w:before="44"/>
        <w:ind w:left="432"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432" w:right="1124"/>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432"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pict>
          <v:shape style="position:absolute;margin-left:131.643005pt;margin-top:98.631737pt;width:114.4pt;height:19.6pt;mso-position-horizontal-relative:page;mso-position-vertical-relative:paragraph;z-index:-883528" type="#_x0000_t202" filled="false" stroked="false">
            <v:textbox inset="0,0,0,0">
              <w:txbxContent>
                <w:p>
                  <w:pPr>
                    <w:pStyle w:val="BodyText"/>
                    <w:spacing w:line="240" w:lineRule="auto" w:before="49"/>
                    <w:ind w:left="0" w:right="0"/>
                    <w:jc w:val="left"/>
                  </w:pPr>
                  <w:r>
                    <w:rPr/>
                    <w:t>（有限合伙）</w:t>
                  </w:r>
                </w:p>
              </w:txbxContent>
            </v:textbox>
            <w10:wrap type="none"/>
          </v:shape>
        </w:pict>
      </w:r>
      <w:r>
        <w:rPr/>
        <w:t>单位：股</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837"/>
        <w:gridCol w:w="1275"/>
        <w:gridCol w:w="994"/>
        <w:gridCol w:w="992"/>
        <w:gridCol w:w="1277"/>
        <w:gridCol w:w="1275"/>
        <w:gridCol w:w="1627"/>
      </w:tblGrid>
      <w:tr>
        <w:trPr>
          <w:trHeight w:val="71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0" w:right="39"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北京市国有资产经营有限责任公司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31,491,462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15,745,731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47,237,193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31,482,621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15,741,310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47,223,931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2837"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北京科桥创业投资中心</w:t>
            </w:r>
          </w:p>
        </w:tc>
        <w:tc>
          <w:tcPr>
            <w:tcW w:w="1275" w:type="dxa"/>
            <w:tcBorders>
              <w:top w:val="single" w:sz="4" w:space="0" w:color="000000"/>
              <w:left w:val="single" w:sz="10" w:space="0" w:color="FFFFFF"/>
              <w:bottom w:val="single" w:sz="4" w:space="0" w:color="000000"/>
              <w:right w:val="single" w:sz="13" w:space="0" w:color="FFFFFF"/>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7,500,000</w:t>
            </w:r>
          </w:p>
        </w:tc>
        <w:tc>
          <w:tcPr>
            <w:tcW w:w="9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全国社会保障基金理事会转持一户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詹榜华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2,477,484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1,238,742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3,716,226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627" w:type="dxa"/>
            <w:vMerge w:val="restart"/>
            <w:tcBorders>
              <w:top w:val="single" w:sz="4" w:space="0" w:color="000000"/>
              <w:left w:val="single" w:sz="4" w:space="0" w:color="000000"/>
              <w:right w:val="single" w:sz="4" w:space="0" w:color="000000"/>
            </w:tcBorders>
          </w:tcPr>
          <w:p>
            <w:pPr>
              <w:pStyle w:val="TableParagraph"/>
              <w:spacing w:line="316" w:lineRule="auto" w:before="77"/>
              <w:ind w:left="23" w:right="-1"/>
              <w:jc w:val="both"/>
              <w:rPr>
                <w:rFonts w:ascii="Times New Roman" w:hAnsi="Times New Roman" w:cs="Times New Roman" w:eastAsia="Times New Roman" w:hint="default"/>
                <w:sz w:val="18"/>
                <w:szCs w:val="18"/>
              </w:rPr>
            </w:pPr>
            <w:r>
              <w:rPr>
                <w:rFonts w:ascii="宋体" w:hAnsi="宋体" w:cs="宋体" w:eastAsia="宋体" w:hint="default"/>
                <w:spacing w:val="-6"/>
                <w:sz w:val="18"/>
                <w:szCs w:val="18"/>
              </w:rPr>
              <w:t>担任董事、监事或高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级管理人员期间，每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6"/>
                <w:sz w:val="18"/>
                <w:szCs w:val="18"/>
              </w:rPr>
              <w:t>年转让直接或间接</w:t>
            </w:r>
            <w:r>
              <w:rPr>
                <w:rFonts w:ascii="宋体" w:hAnsi="宋体" w:cs="宋体" w:eastAsia="宋体" w:hint="default"/>
                <w:spacing w:val="-86"/>
                <w:sz w:val="18"/>
                <w:szCs w:val="18"/>
              </w:rPr>
              <w:t> </w:t>
            </w:r>
            <w:r>
              <w:rPr>
                <w:rFonts w:ascii="宋体" w:hAnsi="宋体" w:cs="宋体" w:eastAsia="宋体" w:hint="default"/>
                <w:spacing w:val="16"/>
                <w:sz w:val="18"/>
                <w:szCs w:val="18"/>
              </w:rPr>
              <w:t>持有公司的股份不</w:t>
            </w:r>
            <w:r>
              <w:rPr>
                <w:rFonts w:ascii="宋体" w:hAnsi="宋体" w:cs="宋体" w:eastAsia="宋体" w:hint="default"/>
                <w:spacing w:val="-86"/>
                <w:sz w:val="18"/>
                <w:szCs w:val="18"/>
              </w:rPr>
              <w:t> </w:t>
            </w:r>
            <w:r>
              <w:rPr>
                <w:rFonts w:ascii="宋体" w:hAnsi="宋体" w:cs="宋体" w:eastAsia="宋体" w:hint="default"/>
                <w:spacing w:val="16"/>
                <w:sz w:val="18"/>
                <w:szCs w:val="18"/>
              </w:rPr>
              <w:t>超过直接或间接持</w:t>
            </w:r>
            <w:r>
              <w:rPr>
                <w:rFonts w:ascii="宋体" w:hAnsi="宋体" w:cs="宋体" w:eastAsia="宋体" w:hint="default"/>
                <w:spacing w:val="-86"/>
                <w:sz w:val="18"/>
                <w:szCs w:val="18"/>
              </w:rPr>
              <w:t> </w:t>
            </w:r>
            <w:r>
              <w:rPr>
                <w:rFonts w:ascii="宋体" w:hAnsi="宋体" w:cs="宋体" w:eastAsia="宋体" w:hint="default"/>
                <w:sz w:val="18"/>
                <w:szCs w:val="18"/>
              </w:rPr>
              <w:t>有股份总数的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林雪焰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619,467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309,735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929,202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627" w:type="dxa"/>
            <w:vMerge/>
            <w:tcBorders>
              <w:left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吴舜皋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557,404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209,065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139,275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627,194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627" w:type="dxa"/>
            <w:vMerge/>
            <w:tcBorders>
              <w:left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张益谦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434,053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99,624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501,643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627" w:type="dxa"/>
            <w:vMerge/>
            <w:tcBorders>
              <w:left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程小茁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128,185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64,092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192,277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627" w:type="dxa"/>
            <w:vMerge/>
            <w:tcBorders>
              <w:left w:val="single" w:sz="4" w:space="0" w:color="000000"/>
              <w:bottom w:val="single" w:sz="4" w:space="0" w:color="000000"/>
              <w:right w:val="single" w:sz="4" w:space="0" w:color="000000"/>
            </w:tcBorders>
          </w:tcPr>
          <w:p>
            <w:pPr/>
          </w:p>
        </w:tc>
      </w:tr>
      <w:tr>
        <w:trPr>
          <w:trHeight w:val="404"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76,190,676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37,975,889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108,200,023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5,966,542</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9"/>
          <w:szCs w:val="9"/>
        </w:rPr>
      </w:pPr>
    </w:p>
    <w:p>
      <w:pPr>
        <w:pStyle w:val="BodyText"/>
        <w:spacing w:line="300" w:lineRule="auto" w:before="44"/>
        <w:ind w:left="432" w:right="1131"/>
        <w:jc w:val="both"/>
      </w:pPr>
      <w:r>
        <w:rPr/>
        <w:t>注</w:t>
      </w:r>
      <w:r>
        <w:rPr>
          <w:rFonts w:ascii="Times New Roman" w:hAnsi="Times New Roman" w:cs="Times New Roman" w:eastAsia="Times New Roman" w:hint="default"/>
        </w:rPr>
        <w:t>1</w:t>
      </w:r>
      <w:r>
        <w:rPr/>
        <w:t>：公司股东国资公司、首信股份、科桥投资所持公司首次公开发行前股份于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日解除限售，根据其在公司首 </w:t>
      </w:r>
      <w:r>
        <w:rPr>
          <w:spacing w:val="-2"/>
        </w:rPr>
        <w:t>次公开发行时所作承诺，截至本报告期末前述股东实际可上市流通的股份数量分别为</w:t>
      </w:r>
      <w:r>
        <w:rPr>
          <w:rFonts w:ascii="Times New Roman" w:hAnsi="Times New Roman" w:cs="Times New Roman" w:eastAsia="Times New Roman" w:hint="default"/>
          <w:spacing w:val="-2"/>
        </w:rPr>
        <w:t>0</w:t>
      </w:r>
      <w:r>
        <w:rPr>
          <w:spacing w:val="-2"/>
        </w:rPr>
        <w:t>股、</w:t>
      </w:r>
      <w:r>
        <w:rPr>
          <w:rFonts w:ascii="Times New Roman" w:hAnsi="Times New Roman" w:cs="Times New Roman" w:eastAsia="Times New Roman" w:hint="default"/>
          <w:spacing w:val="-2"/>
        </w:rPr>
        <w:t>11,805,982</w:t>
      </w:r>
      <w:r>
        <w:rPr>
          <w:spacing w:val="-2"/>
        </w:rPr>
        <w:t>股、</w:t>
      </w:r>
      <w:r>
        <w:rPr>
          <w:rFonts w:ascii="Times New Roman" w:hAnsi="Times New Roman" w:cs="Times New Roman" w:eastAsia="Times New Roman" w:hint="default"/>
          <w:spacing w:val="-2"/>
        </w:rPr>
        <w:t>5,625,000</w:t>
      </w:r>
      <w:r>
        <w:rPr>
          <w:spacing w:val="-2"/>
        </w:rPr>
        <w:t>股，详见</w:t>
      </w:r>
      <w:r>
        <w:rPr>
          <w:spacing w:val="-48"/>
        </w:rPr>
        <w:t> </w:t>
      </w:r>
      <w:r>
        <w:rPr>
          <w:spacing w:val="-48"/>
        </w:rPr>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日在巨潮资讯网披露的《首次公开发行前已发行股份上市流通提示性公告》。</w:t>
      </w:r>
    </w:p>
    <w:p>
      <w:pPr>
        <w:pStyle w:val="BodyText"/>
        <w:spacing w:line="297" w:lineRule="auto" w:before="53"/>
        <w:ind w:left="432" w:right="1124"/>
        <w:jc w:val="left"/>
      </w:pPr>
      <w:r>
        <w:rPr/>
        <w:t>注</w:t>
      </w:r>
      <w:r>
        <w:rPr>
          <w:rFonts w:ascii="Times New Roman" w:hAnsi="Times New Roman" w:cs="Times New Roman" w:eastAsia="Times New Roman" w:hint="default"/>
        </w:rPr>
        <w:t>2</w:t>
      </w:r>
      <w:r>
        <w:rPr/>
        <w:t>：本报告期内增加限售股份主要为公司实施</w:t>
      </w:r>
      <w:r>
        <w:rPr>
          <w:rFonts w:ascii="Times New Roman" w:hAnsi="Times New Roman" w:cs="Times New Roman" w:eastAsia="Times New Roman" w:hint="default"/>
        </w:rPr>
        <w:t>2018</w:t>
      </w:r>
      <w:r>
        <w:rPr/>
        <w:t>年年度权益分派以资本公积转增的股份；报告期内公司监事会主席吴舜</w:t>
      </w:r>
      <w:r>
        <w:rPr>
          <w:spacing w:val="-85"/>
        </w:rPr>
        <w:t> </w:t>
      </w:r>
      <w:r>
        <w:rPr>
          <w:spacing w:val="-85"/>
        </w:rPr>
      </w:r>
      <w:r>
        <w:rPr/>
        <w:t>皋、副总经理张益谦依据深交所相关规定解除部分锁定股份。</w:t>
      </w:r>
    </w:p>
    <w:p>
      <w:pPr>
        <w:spacing w:line="240" w:lineRule="auto" w:before="12"/>
        <w:rPr>
          <w:rFonts w:ascii="宋体" w:hAnsi="宋体" w:cs="宋体" w:eastAsia="宋体" w:hint="default"/>
          <w:sz w:val="21"/>
          <w:szCs w:val="21"/>
        </w:rPr>
      </w:pPr>
    </w:p>
    <w:p>
      <w:pPr>
        <w:pStyle w:val="Heading2"/>
        <w:spacing w:line="240" w:lineRule="auto"/>
        <w:ind w:left="432" w:right="0"/>
        <w:jc w:val="both"/>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432" w:right="0"/>
        <w:jc w:val="both"/>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3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432"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3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4"/>
          <w:szCs w:val="14"/>
        </w:rPr>
      </w:pPr>
    </w:p>
    <w:p>
      <w:pPr>
        <w:pStyle w:val="Heading4"/>
        <w:spacing w:line="259" w:lineRule="auto"/>
        <w:ind w:left="432" w:right="0" w:firstLine="420"/>
        <w:jc w:val="left"/>
      </w:pPr>
      <w:r>
        <w:rPr/>
        <w:t>报告期内，公司实施</w:t>
      </w:r>
      <w:r>
        <w:rPr>
          <w:rFonts w:ascii="Times New Roman" w:hAnsi="Times New Roman" w:cs="Times New Roman" w:eastAsia="Times New Roman" w:hint="default"/>
        </w:rPr>
        <w:t>2018</w:t>
      </w:r>
      <w:r>
        <w:rPr/>
        <w:t>年年度权益分派，以公司股本总数</w:t>
      </w:r>
      <w:r>
        <w:rPr>
          <w:rFonts w:ascii="Times New Roman" w:hAnsi="Times New Roman" w:cs="Times New Roman" w:eastAsia="Times New Roman" w:hint="default"/>
        </w:rPr>
        <w:t>12,000</w:t>
      </w:r>
      <w:r>
        <w:rPr/>
        <w:t>万股为基数，向全体股东每</w:t>
      </w:r>
      <w:r>
        <w:rPr>
          <w:rFonts w:ascii="Times New Roman" w:hAnsi="Times New Roman" w:cs="Times New Roman" w:eastAsia="Times New Roman" w:hint="default"/>
        </w:rPr>
        <w:t>10</w:t>
      </w:r>
      <w:r>
        <w:rPr/>
        <w:t>股转</w:t>
      </w:r>
      <w:r>
        <w:rPr>
          <w:w w:val="100"/>
        </w:rPr>
        <w:t> </w:t>
      </w:r>
      <w:r>
        <w:rPr>
          <w:spacing w:val="-4"/>
        </w:rPr>
        <w:t>增</w:t>
      </w:r>
      <w:r>
        <w:rPr>
          <w:rFonts w:ascii="Times New Roman" w:hAnsi="Times New Roman" w:cs="Times New Roman" w:eastAsia="Times New Roman" w:hint="default"/>
          <w:spacing w:val="-4"/>
        </w:rPr>
        <w:t>5</w:t>
      </w:r>
      <w:r>
        <w:rPr>
          <w:spacing w:val="-4"/>
        </w:rPr>
        <w:t>股，公司总股本由</w:t>
      </w:r>
      <w:r>
        <w:rPr>
          <w:rFonts w:ascii="Times New Roman" w:hAnsi="Times New Roman" w:cs="Times New Roman" w:eastAsia="Times New Roman" w:hint="default"/>
          <w:spacing w:val="-4"/>
        </w:rPr>
        <w:t>12,000</w:t>
      </w:r>
      <w:r>
        <w:rPr>
          <w:spacing w:val="-4"/>
        </w:rPr>
        <w:t>万股变更至</w:t>
      </w:r>
      <w:r>
        <w:rPr>
          <w:rFonts w:ascii="Times New Roman" w:hAnsi="Times New Roman" w:cs="Times New Roman" w:eastAsia="Times New Roman" w:hint="default"/>
          <w:spacing w:val="-4"/>
        </w:rPr>
        <w:t>18,000</w:t>
      </w:r>
      <w:r>
        <w:rPr>
          <w:spacing w:val="-4"/>
        </w:rPr>
        <w:t>万股。公司实施资本公积转增股本未影响公司股东结构变动、</w:t>
      </w:r>
      <w:r>
        <w:rPr>
          <w:spacing w:val="-25"/>
        </w:rPr>
        <w:t> </w:t>
      </w:r>
      <w:r>
        <w:rPr>
          <w:spacing w:val="-25"/>
        </w:rPr>
      </w:r>
      <w:r>
        <w:rPr/>
        <w:t>公司资产和负债结构变动。</w:t>
      </w:r>
    </w:p>
    <w:p>
      <w:pPr>
        <w:spacing w:line="240" w:lineRule="auto" w:before="6"/>
        <w:rPr>
          <w:rFonts w:ascii="宋体" w:hAnsi="宋体" w:cs="宋体" w:eastAsia="宋体" w:hint="default"/>
          <w:sz w:val="24"/>
          <w:szCs w:val="24"/>
        </w:rPr>
      </w:pPr>
    </w:p>
    <w:p>
      <w:pPr>
        <w:pStyle w:val="Heading3"/>
        <w:spacing w:line="240" w:lineRule="auto"/>
        <w:ind w:left="432" w:right="0"/>
        <w:jc w:val="both"/>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3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8" w:footer="979" w:top="1060" w:bottom="1160" w:left="70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spacing w:line="240" w:lineRule="auto" w:before="44"/>
        <w:ind w:left="0" w:right="1024"/>
        <w:jc w:val="right"/>
      </w:pPr>
      <w:r>
        <w:rPr/>
        <w:pict>
          <v:shape style="position:absolute;margin-left:54.119999pt;margin-top:-536.008301pt;width:487.2pt;height:593.3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6"/>
                    <w:gridCol w:w="566"/>
                    <w:gridCol w:w="284"/>
                    <w:gridCol w:w="736"/>
                    <w:gridCol w:w="682"/>
                    <w:gridCol w:w="142"/>
                    <w:gridCol w:w="709"/>
                    <w:gridCol w:w="424"/>
                    <w:gridCol w:w="1136"/>
                    <w:gridCol w:w="851"/>
                    <w:gridCol w:w="140"/>
                    <w:gridCol w:w="994"/>
                    <w:gridCol w:w="850"/>
                    <w:gridCol w:w="780"/>
                  </w:tblGrid>
                  <w:tr>
                    <w:trPr>
                      <w:trHeight w:val="1030"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41"/>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21,604</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
                          <w:jc w:val="both"/>
                          <w:rPr>
                            <w:rFonts w:ascii="宋体" w:hAnsi="宋体" w:cs="宋体" w:eastAsia="宋体" w:hint="default"/>
                            <w:sz w:val="18"/>
                            <w:szCs w:val="18"/>
                          </w:rPr>
                        </w:pPr>
                        <w:r>
                          <w:rPr>
                            <w:rFonts w:ascii="宋体" w:hAnsi="宋体" w:cs="宋体" w:eastAsia="宋体" w:hint="default"/>
                            <w:spacing w:val="13"/>
                            <w:sz w:val="18"/>
                            <w:szCs w:val="18"/>
                          </w:rPr>
                          <w:t>年度报告披露日</w:t>
                        </w:r>
                        <w:r>
                          <w:rPr>
                            <w:rFonts w:ascii="宋体" w:hAnsi="宋体" w:cs="宋体" w:eastAsia="宋体" w:hint="default"/>
                            <w:spacing w:val="-86"/>
                            <w:sz w:val="18"/>
                            <w:szCs w:val="18"/>
                          </w:rPr>
                          <w:t> </w:t>
                        </w:r>
                        <w:r>
                          <w:rPr>
                            <w:rFonts w:ascii="宋体" w:hAnsi="宋体" w:cs="宋体" w:eastAsia="宋体" w:hint="default"/>
                            <w:spacing w:val="13"/>
                            <w:sz w:val="18"/>
                            <w:szCs w:val="18"/>
                          </w:rPr>
                          <w:t>前上一月末普通</w:t>
                        </w:r>
                        <w:r>
                          <w:rPr>
                            <w:rFonts w:ascii="宋体" w:hAnsi="宋体" w:cs="宋体" w:eastAsia="宋体" w:hint="default"/>
                            <w:spacing w:val="-86"/>
                            <w:sz w:val="18"/>
                            <w:szCs w:val="18"/>
                          </w:rPr>
                          <w:t> </w:t>
                        </w:r>
                        <w:r>
                          <w:rPr>
                            <w:rFonts w:ascii="宋体" w:hAnsi="宋体" w:cs="宋体" w:eastAsia="宋体" w:hint="default"/>
                            <w:sz w:val="18"/>
                            <w:szCs w:val="18"/>
                          </w:rPr>
                          <w:t>股股东总数</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19,729</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报告期末表决权恢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复的优先股股东总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数（如有）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9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
                          <w:jc w:val="both"/>
                          <w:rPr>
                            <w:rFonts w:ascii="宋体" w:hAnsi="宋体" w:cs="宋体" w:eastAsia="宋体" w:hint="default"/>
                            <w:sz w:val="18"/>
                            <w:szCs w:val="18"/>
                          </w:rPr>
                        </w:pPr>
                        <w:r>
                          <w:rPr>
                            <w:rFonts w:ascii="宋体" w:hAnsi="宋体" w:cs="宋体" w:eastAsia="宋体" w:hint="default"/>
                            <w:spacing w:val="14"/>
                            <w:sz w:val="18"/>
                            <w:szCs w:val="18"/>
                          </w:rPr>
                          <w:t>年度报告披露日前上一 月末表决权恢复的优先 </w:t>
                        </w:r>
                        <w:r>
                          <w:rPr>
                            <w:rFonts w:ascii="宋体" w:hAnsi="宋体" w:cs="宋体" w:eastAsia="宋体" w:hint="default"/>
                            <w:sz w:val="18"/>
                            <w:szCs w:val="18"/>
                          </w:rPr>
                          <w:t>股股东总数（如有）</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72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14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1" w:hRule="exact"/>
                    </w:trPr>
                    <w:tc>
                      <w:tcPr>
                        <w:tcW w:w="20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3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92" w:right="10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5" w:right="10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2002" w:type="dxa"/>
                        <w:gridSpan w:val="2"/>
                        <w:vMerge/>
                        <w:tcBorders>
                          <w:left w:val="single" w:sz="4" w:space="0" w:color="000000"/>
                          <w:bottom w:val="single" w:sz="4" w:space="0" w:color="000000"/>
                          <w:right w:val="single" w:sz="4" w:space="0" w:color="000000"/>
                        </w:tcBorders>
                        <w:shd w:val="clear" w:color="auto" w:fill="D2D2D2"/>
                      </w:tcPr>
                      <w:p>
                        <w:pPr/>
                      </w:p>
                    </w:tc>
                    <w:tc>
                      <w:tcPr>
                        <w:tcW w:w="1021" w:type="dxa"/>
                        <w:gridSpan w:val="2"/>
                        <w:vMerge/>
                        <w:tcBorders>
                          <w:left w:val="single" w:sz="4" w:space="0" w:color="000000"/>
                          <w:bottom w:val="single" w:sz="4" w:space="0" w:color="000000"/>
                          <w:right w:val="single" w:sz="4" w:space="0" w:color="000000"/>
                        </w:tcBorders>
                        <w:shd w:val="clear" w:color="auto" w:fill="D2D2D2"/>
                      </w:tcPr>
                      <w:p>
                        <w:pPr/>
                      </w:p>
                    </w:tc>
                    <w:tc>
                      <w:tcPr>
                        <w:tcW w:w="823" w:type="dxa"/>
                        <w:gridSpan w:val="2"/>
                        <w:vMerge/>
                        <w:tcBorders>
                          <w:left w:val="single" w:sz="4" w:space="0" w:color="000000"/>
                          <w:bottom w:val="single" w:sz="4" w:space="0" w:color="000000"/>
                          <w:right w:val="single" w:sz="4" w:space="0" w:color="000000"/>
                        </w:tcBorders>
                        <w:shd w:val="clear" w:color="auto" w:fill="D2D2D2"/>
                      </w:tcPr>
                      <w:p>
                        <w:pPr/>
                      </w:p>
                    </w:tc>
                    <w:tc>
                      <w:tcPr>
                        <w:tcW w:w="1133" w:type="dxa"/>
                        <w:gridSpan w:val="2"/>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股份状态</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0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6"/>
                          <w:jc w:val="left"/>
                          <w:rPr>
                            <w:rFonts w:ascii="宋体" w:hAnsi="宋体" w:cs="宋体" w:eastAsia="宋体" w:hint="default"/>
                            <w:sz w:val="18"/>
                            <w:szCs w:val="18"/>
                          </w:rPr>
                        </w:pPr>
                        <w:r>
                          <w:rPr>
                            <w:rFonts w:ascii="宋体" w:hAnsi="宋体" w:cs="宋体" w:eastAsia="宋体" w:hint="default"/>
                            <w:sz w:val="18"/>
                            <w:szCs w:val="18"/>
                          </w:rPr>
                          <w:t>北京市国有资产经营有 限责任公司</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26.24%</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47,237,193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15,745,731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47,237,193</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6"/>
                          <w:jc w:val="left"/>
                          <w:rPr>
                            <w:rFonts w:ascii="宋体" w:hAnsi="宋体" w:cs="宋体" w:eastAsia="宋体" w:hint="default"/>
                            <w:sz w:val="18"/>
                            <w:szCs w:val="18"/>
                          </w:rPr>
                        </w:pPr>
                        <w:r>
                          <w:rPr>
                            <w:rFonts w:ascii="宋体" w:hAnsi="宋体" w:cs="宋体" w:eastAsia="宋体" w:hint="default"/>
                            <w:sz w:val="18"/>
                            <w:szCs w:val="18"/>
                          </w:rPr>
                          <w:t>首都信息发展股份有限 公司</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26.24%</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47,223,931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15,741,310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47,223,931</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北京科桥创业投资中心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26" w:right="53" w:hanging="272"/>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6.25%</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11,250,000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11,250,000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詹榜华</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2.75%</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1" w:right="0"/>
                          <w:jc w:val="left"/>
                          <w:rPr>
                            <w:rFonts w:ascii="Times New Roman" w:hAnsi="Times New Roman" w:cs="Times New Roman" w:eastAsia="Times New Roman" w:hint="default"/>
                            <w:sz w:val="18"/>
                            <w:szCs w:val="18"/>
                          </w:rPr>
                        </w:pPr>
                        <w:r>
                          <w:rPr>
                            <w:rFonts w:ascii="Times New Roman"/>
                            <w:sz w:val="18"/>
                          </w:rPr>
                          <w:t>4,954,968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1,651,656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9" w:right="0"/>
                          <w:jc w:val="left"/>
                          <w:rPr>
                            <w:rFonts w:ascii="Times New Roman" w:hAnsi="Times New Roman" w:cs="Times New Roman" w:eastAsia="Times New Roman" w:hint="default"/>
                            <w:sz w:val="18"/>
                            <w:szCs w:val="18"/>
                          </w:rPr>
                        </w:pPr>
                        <w:r>
                          <w:rPr>
                            <w:rFonts w:ascii="Times New Roman"/>
                            <w:sz w:val="18"/>
                          </w:rPr>
                          <w:t>3,716,226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1,238,742</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6"/>
                          <w:jc w:val="left"/>
                          <w:rPr>
                            <w:rFonts w:ascii="宋体" w:hAnsi="宋体" w:cs="宋体" w:eastAsia="宋体" w:hint="default"/>
                            <w:sz w:val="18"/>
                            <w:szCs w:val="18"/>
                          </w:rPr>
                        </w:pPr>
                        <w:r>
                          <w:rPr>
                            <w:rFonts w:ascii="宋体" w:hAnsi="宋体" w:cs="宋体" w:eastAsia="宋体" w:hint="default"/>
                            <w:sz w:val="18"/>
                            <w:szCs w:val="18"/>
                          </w:rPr>
                          <w:t>上海西上海资产经营有 限公司</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26" w:right="53" w:hanging="272"/>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1.82%</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3,277,825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3,277,825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3,277,825</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6"/>
                          <w:jc w:val="left"/>
                          <w:rPr>
                            <w:rFonts w:ascii="宋体" w:hAnsi="宋体" w:cs="宋体" w:eastAsia="宋体" w:hint="default"/>
                            <w:sz w:val="18"/>
                            <w:szCs w:val="18"/>
                          </w:rPr>
                        </w:pPr>
                        <w:r>
                          <w:rPr>
                            <w:rFonts w:ascii="宋体" w:hAnsi="宋体" w:cs="宋体" w:eastAsia="宋体" w:hint="default"/>
                            <w:sz w:val="18"/>
                            <w:szCs w:val="18"/>
                          </w:rPr>
                          <w:t>全国社会保障基金理事 会转持一户</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1.25%</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2,250,000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681,399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6"/>
                          <w:jc w:val="left"/>
                          <w:rPr>
                            <w:rFonts w:ascii="宋体" w:hAnsi="宋体" w:cs="宋体" w:eastAsia="宋体" w:hint="default"/>
                            <w:sz w:val="18"/>
                            <w:szCs w:val="18"/>
                          </w:rPr>
                        </w:pPr>
                        <w:r>
                          <w:rPr>
                            <w:rFonts w:ascii="宋体" w:hAnsi="宋体" w:cs="宋体" w:eastAsia="宋体" w:hint="default"/>
                            <w:sz w:val="18"/>
                            <w:szCs w:val="18"/>
                          </w:rPr>
                          <w:t>上海市数字证书认证中 心有限公司</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1.07%</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1,923,360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483,120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1,923,360</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林雪焰</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0.69%</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1" w:right="0"/>
                          <w:jc w:val="left"/>
                          <w:rPr>
                            <w:rFonts w:ascii="Times New Roman" w:hAnsi="Times New Roman" w:cs="Times New Roman" w:eastAsia="Times New Roman" w:hint="default"/>
                            <w:sz w:val="18"/>
                            <w:szCs w:val="18"/>
                          </w:rPr>
                        </w:pPr>
                        <w:r>
                          <w:rPr>
                            <w:rFonts w:ascii="Times New Roman"/>
                            <w:sz w:val="18"/>
                          </w:rPr>
                          <w:t>1,238,936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412,979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929,202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309,734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1,050,000</w:t>
                        </w:r>
                      </w:p>
                    </w:tc>
                  </w:tr>
                  <w:tr>
                    <w:trPr>
                      <w:trHeight w:val="1028" w:hRule="exact"/>
                    </w:trPr>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66"/>
                          <w:jc w:val="both"/>
                          <w:rPr>
                            <w:rFonts w:ascii="宋体" w:hAnsi="宋体" w:cs="宋体" w:eastAsia="宋体" w:hint="default"/>
                            <w:sz w:val="18"/>
                            <w:szCs w:val="18"/>
                          </w:rPr>
                        </w:pPr>
                        <w:r>
                          <w:rPr>
                            <w:rFonts w:ascii="宋体" w:hAnsi="宋体" w:cs="宋体" w:eastAsia="宋体" w:hint="default"/>
                            <w:sz w:val="18"/>
                            <w:szCs w:val="18"/>
                          </w:rPr>
                          <w:t>广东天贝合资产管理有 限公司－天贝合狼朗号 私募证券投资基金</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0.62%</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1,122,675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1,122,675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1,122,675</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广东天贝合资产管理有 限公司－天贝合拾贝</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 私募证券投资基金</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0.56%</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1,007,225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1,007,225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1,007,225</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974" w:hRule="exact"/>
                    </w:trPr>
                    <w:tc>
                      <w:tcPr>
                        <w:tcW w:w="302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14" w:lineRule="auto"/>
                          <w:ind w:left="24" w:right="108"/>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 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名股东的情况（如有）</w:t>
                        </w:r>
                      </w:p>
                    </w:tc>
                    <w:tc>
                      <w:tcPr>
                        <w:tcW w:w="67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277" w:hRule="exact"/>
                    </w:trPr>
                    <w:tc>
                      <w:tcPr>
                        <w:tcW w:w="302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7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09" w:lineRule="auto"/>
                          <w:ind w:left="26" w:right="20"/>
                          <w:jc w:val="left"/>
                          <w:rPr>
                            <w:rFonts w:ascii="宋体" w:hAnsi="宋体" w:cs="宋体" w:eastAsia="宋体" w:hint="default"/>
                            <w:sz w:val="18"/>
                            <w:szCs w:val="18"/>
                          </w:rPr>
                        </w:pPr>
                        <w:r>
                          <w:rPr>
                            <w:rFonts w:ascii="宋体" w:hAnsi="宋体" w:cs="宋体" w:eastAsia="宋体" w:hint="default"/>
                            <w:spacing w:val="-3"/>
                            <w:sz w:val="18"/>
                            <w:szCs w:val="18"/>
                          </w:rPr>
                          <w:t>国资公司、首信股份和科桥投资之间存在关联关系。国资公司系首信股份的控股股东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持有其股份</w:t>
                        </w:r>
                        <w:r>
                          <w:rPr>
                            <w:rFonts w:ascii="宋体" w:hAnsi="宋体" w:cs="宋体" w:eastAsia="宋体" w:hint="default"/>
                            <w:spacing w:val="-22"/>
                            <w:sz w:val="18"/>
                            <w:szCs w:val="18"/>
                          </w:rPr>
                          <w:t> </w:t>
                        </w:r>
                        <w:r>
                          <w:rPr>
                            <w:rFonts w:ascii="Times New Roman" w:hAnsi="Times New Roman" w:cs="Times New Roman" w:eastAsia="Times New Roman" w:hint="default"/>
                            <w:spacing w:val="-3"/>
                            <w:sz w:val="18"/>
                            <w:szCs w:val="18"/>
                          </w:rPr>
                          <w:t>63.31%</w:t>
                        </w:r>
                        <w:r>
                          <w:rPr>
                            <w:rFonts w:ascii="宋体" w:hAnsi="宋体" w:cs="宋体" w:eastAsia="宋体" w:hint="default"/>
                            <w:spacing w:val="-3"/>
                            <w:sz w:val="18"/>
                            <w:szCs w:val="18"/>
                          </w:rPr>
                          <w:t>的股权。国资公司系科桥投资的主要出资人，出资额占科桥投资总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出资额的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w:t>
                        </w:r>
                      </w:p>
                    </w:tc>
                  </w:tr>
                </w:tbl>
                <w:p>
                  <w:pPr/>
                </w:p>
              </w:txbxContent>
            </v:textbox>
            <w10:wrap type="none"/>
          </v:shape>
        </w:pict>
      </w:r>
      <w:r>
        <w:rPr/>
        <w:t>，</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3591"/>
        <w:gridCol w:w="3118"/>
        <w:gridCol w:w="1673"/>
        <w:gridCol w:w="1346"/>
      </w:tblGrid>
      <w:tr>
        <w:trPr>
          <w:trHeight w:val="578" w:hRule="exact"/>
        </w:trPr>
        <w:tc>
          <w:tcPr>
            <w:tcW w:w="97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8"/>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3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0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3591" w:type="dxa"/>
            <w:vMerge/>
            <w:tcBorders>
              <w:left w:val="single" w:sz="4" w:space="0" w:color="000000"/>
              <w:bottom w:val="single" w:sz="4" w:space="0" w:color="000000"/>
              <w:right w:val="single" w:sz="4" w:space="0" w:color="000000"/>
            </w:tcBorders>
            <w:shd w:val="clear" w:color="auto" w:fill="D2D2D2"/>
          </w:tcPr>
          <w:p>
            <w:pPr/>
          </w:p>
        </w:tc>
        <w:tc>
          <w:tcPr>
            <w:tcW w:w="3118" w:type="dxa"/>
            <w:vMerge/>
            <w:tcBorders>
              <w:left w:val="single" w:sz="4" w:space="0" w:color="000000"/>
              <w:bottom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北京市国有资产经营有限责任公司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47,237,193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47,237,193</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47,223,931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47,223,931</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北京科桥创业投资中心（有限合伙）</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11,250,000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11,250,000</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上海西上海资产经营有限公司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3,277,825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3,277,825</w:t>
            </w:r>
          </w:p>
        </w:tc>
      </w:tr>
      <w:tr>
        <w:trPr>
          <w:trHeight w:val="404"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全国社会保障基金理事会转持一户</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2,250,000</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上海市数字证书认证中心有限公司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1,923,360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1,923,360</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詹榜华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1,238,742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1,238,742</w:t>
            </w:r>
          </w:p>
        </w:tc>
      </w:tr>
      <w:tr>
        <w:trPr>
          <w:trHeight w:val="71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5"/>
              <w:jc w:val="left"/>
              <w:rPr>
                <w:rFonts w:ascii="宋体" w:hAnsi="宋体" w:cs="宋体" w:eastAsia="宋体" w:hint="default"/>
                <w:sz w:val="18"/>
                <w:szCs w:val="18"/>
              </w:rPr>
            </w:pPr>
            <w:r>
              <w:rPr>
                <w:rFonts w:ascii="宋体" w:hAnsi="宋体" w:cs="宋体" w:eastAsia="宋体" w:hint="default"/>
                <w:sz w:val="18"/>
                <w:szCs w:val="18"/>
              </w:rPr>
              <w:t>广东天贝合资产管理有限公司－天贝合狼朗 号私募证券投资基金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1,122,675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1,122,675</w:t>
            </w:r>
          </w:p>
        </w:tc>
      </w:tr>
      <w:tr>
        <w:trPr>
          <w:trHeight w:val="715"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广东天贝合资产管理有限公司－天贝合拾贝</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号私募证券投资基金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1,007,225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1,007,225</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张权</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1066"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名无限售流通股股东之间，以及前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w:t>
            </w:r>
          </w:p>
          <w:p>
            <w:pPr>
              <w:pStyle w:val="TableParagraph"/>
              <w:spacing w:line="300" w:lineRule="auto" w:before="63"/>
              <w:ind w:left="24" w:right="44"/>
              <w:jc w:val="left"/>
              <w:rPr>
                <w:rFonts w:ascii="宋体" w:hAnsi="宋体" w:cs="宋体" w:eastAsia="宋体" w:hint="default"/>
                <w:sz w:val="18"/>
                <w:szCs w:val="18"/>
              </w:rPr>
            </w:pPr>
            <w:r>
              <w:rPr>
                <w:rFonts w:ascii="宋体" w:hAnsi="宋体" w:cs="宋体" w:eastAsia="宋体" w:hint="default"/>
                <w:sz w:val="18"/>
                <w:szCs w:val="18"/>
              </w:rPr>
              <w:t>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 系或一致行动的说明</w:t>
            </w:r>
          </w:p>
        </w:tc>
        <w:tc>
          <w:tcPr>
            <w:tcW w:w="613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70"/>
              <w:ind w:left="23" w:right="20"/>
              <w:jc w:val="left"/>
              <w:rPr>
                <w:rFonts w:ascii="宋体" w:hAnsi="宋体" w:cs="宋体" w:eastAsia="宋体" w:hint="default"/>
                <w:sz w:val="18"/>
                <w:szCs w:val="18"/>
              </w:rPr>
            </w:pPr>
            <w:r>
              <w:rPr>
                <w:rFonts w:ascii="宋体" w:hAnsi="宋体" w:cs="宋体" w:eastAsia="宋体" w:hint="default"/>
                <w:spacing w:val="-2"/>
                <w:sz w:val="18"/>
                <w:szCs w:val="18"/>
              </w:rPr>
              <w:t>国资公司、首信股份和科桥投资之间存在关联关系。国资公司系首信股份的控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股股东，持有其股份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63.31%</w:t>
            </w:r>
            <w:r>
              <w:rPr>
                <w:rFonts w:ascii="宋体" w:hAnsi="宋体" w:cs="宋体" w:eastAsia="宋体" w:hint="default"/>
                <w:sz w:val="18"/>
                <w:szCs w:val="18"/>
              </w:rPr>
              <w:t>的股权。国资公司系科桥投资的主要出资人，出 资额占科桥投资总出资额的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w:t>
            </w:r>
          </w:p>
        </w:tc>
      </w:tr>
      <w:tr>
        <w:trPr>
          <w:trHeight w:val="554"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p>
        </w:tc>
        <w:tc>
          <w:tcPr>
            <w:tcW w:w="61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98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98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控股股东性质：地方国有控股 控股股东类型：法人</w:t>
      </w:r>
    </w:p>
    <w:tbl>
      <w:tblPr>
        <w:tblW w:w="0" w:type="auto"/>
        <w:jc w:val="left"/>
        <w:tblInd w:w="149" w:type="dxa"/>
        <w:tblLayout w:type="fixed"/>
        <w:tblCellMar>
          <w:top w:w="0" w:type="dxa"/>
          <w:left w:w="0" w:type="dxa"/>
          <w:bottom w:w="0" w:type="dxa"/>
          <w:right w:w="0" w:type="dxa"/>
        </w:tblCellMar>
        <w:tblLook w:val="01E0"/>
      </w:tblPr>
      <w:tblGrid>
        <w:gridCol w:w="2834"/>
        <w:gridCol w:w="1985"/>
        <w:gridCol w:w="1702"/>
        <w:gridCol w:w="1702"/>
        <w:gridCol w:w="1416"/>
      </w:tblGrid>
      <w:tr>
        <w:trPr>
          <w:trHeight w:val="463" w:hRule="exact"/>
        </w:trPr>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63"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北京市国有资产经营有限责任公司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岳鹏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911100004005921645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资本运营</w:t>
            </w:r>
          </w:p>
        </w:tc>
      </w:tr>
      <w:tr>
        <w:trPr>
          <w:trHeight w:val="2516" w:hRule="exact"/>
        </w:trPr>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241" w:right="60" w:hanging="180"/>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控股股东报告期内控股和参股的其 他境内外上市公司的股权情况</w:t>
            </w:r>
          </w:p>
        </w:tc>
        <w:tc>
          <w:tcPr>
            <w:tcW w:w="68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b/>
                <w:bCs/>
                <w:sz w:val="18"/>
                <w:szCs w:val="18"/>
              </w:rPr>
              <w:t>控股的上市公司：</w:t>
            </w:r>
            <w:r>
              <w:rPr>
                <w:rFonts w:ascii="宋体" w:hAnsi="宋体" w:cs="宋体" w:eastAsia="宋体" w:hint="default"/>
                <w:sz w:val="18"/>
                <w:szCs w:val="18"/>
              </w:rPr>
            </w:r>
          </w:p>
          <w:p>
            <w:pPr>
              <w:pStyle w:val="TableParagraph"/>
              <w:spacing w:line="338" w:lineRule="auto" w:before="119"/>
              <w:ind w:left="295" w:right="3356" w:hanging="27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、首都信息发展股份有限公司（</w:t>
            </w:r>
            <w:r>
              <w:rPr>
                <w:rFonts w:ascii="Times New Roman" w:hAnsi="Times New Roman" w:cs="Times New Roman" w:eastAsia="Times New Roman" w:hint="default"/>
                <w:sz w:val="18"/>
                <w:szCs w:val="18"/>
              </w:rPr>
              <w:t>HK1075</w:t>
            </w:r>
            <w:r>
              <w:rPr>
                <w:rFonts w:ascii="宋体" w:hAnsi="宋体" w:cs="宋体" w:eastAsia="宋体" w:hint="default"/>
                <w:sz w:val="18"/>
                <w:szCs w:val="18"/>
              </w:rPr>
              <w:t>） 持股数量：</w:t>
            </w:r>
            <w:r>
              <w:rPr>
                <w:rFonts w:ascii="Times New Roman" w:hAnsi="Times New Roman" w:cs="Times New Roman" w:eastAsia="Times New Roman" w:hint="default"/>
                <w:sz w:val="18"/>
                <w:szCs w:val="18"/>
              </w:rPr>
              <w:t>183,454,175.60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 持股比例：</w:t>
            </w:r>
            <w:r>
              <w:rPr>
                <w:rFonts w:ascii="Times New Roman" w:hAnsi="Times New Roman" w:cs="Times New Roman" w:eastAsia="Times New Roman" w:hint="default"/>
                <w:sz w:val="18"/>
                <w:szCs w:val="18"/>
              </w:rPr>
              <w:t>63.31%</w:t>
            </w:r>
          </w:p>
          <w:p>
            <w:pPr>
              <w:pStyle w:val="TableParagraph"/>
              <w:spacing w:line="338" w:lineRule="auto" w:before="22"/>
              <w:ind w:left="295" w:right="2045" w:hanging="27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、绿色动力环保集团股份有限公司（</w:t>
            </w:r>
            <w:r>
              <w:rPr>
                <w:rFonts w:ascii="Times New Roman" w:hAnsi="Times New Roman" w:cs="Times New Roman" w:eastAsia="Times New Roman" w:hint="default"/>
                <w:sz w:val="18"/>
                <w:szCs w:val="18"/>
              </w:rPr>
              <w:t>HK1330</w:t>
            </w:r>
            <w:r>
              <w:rPr>
                <w:rFonts w:ascii="宋体" w:hAnsi="宋体" w:cs="宋体" w:eastAsia="宋体" w:hint="default"/>
                <w:sz w:val="18"/>
                <w:szCs w:val="18"/>
              </w:rPr>
              <w:t>、</w:t>
            </w:r>
            <w:r>
              <w:rPr>
                <w:rFonts w:ascii="Times New Roman" w:hAnsi="Times New Roman" w:cs="Times New Roman" w:eastAsia="Times New Roman" w:hint="default"/>
                <w:sz w:val="18"/>
                <w:szCs w:val="18"/>
              </w:rPr>
              <w:t>SH601330</w:t>
            </w:r>
            <w:r>
              <w:rPr>
                <w:rFonts w:ascii="宋体" w:hAnsi="宋体" w:cs="宋体" w:eastAsia="宋体" w:hint="default"/>
                <w:sz w:val="18"/>
                <w:szCs w:val="18"/>
              </w:rPr>
              <w:t>） 持股数量：</w:t>
            </w:r>
            <w:r>
              <w:rPr>
                <w:rFonts w:ascii="Times New Roman" w:hAnsi="Times New Roman" w:cs="Times New Roman" w:eastAsia="Times New Roman" w:hint="default"/>
                <w:sz w:val="18"/>
                <w:szCs w:val="18"/>
              </w:rPr>
              <w:t>501,189,618.00 </w:t>
            </w:r>
            <w:r>
              <w:rPr>
                <w:rFonts w:ascii="宋体" w:hAnsi="宋体" w:cs="宋体" w:eastAsia="宋体" w:hint="default"/>
                <w:sz w:val="18"/>
                <w:szCs w:val="18"/>
              </w:rPr>
              <w:t>股</w:t>
            </w:r>
          </w:p>
          <w:p>
            <w:pPr>
              <w:pStyle w:val="TableParagraph"/>
              <w:spacing w:line="240" w:lineRule="auto" w:before="22"/>
              <w:ind w:left="2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43.16%</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2"/>
        <w:rPr>
          <w:rFonts w:ascii="宋体" w:hAnsi="宋体" w:cs="宋体" w:eastAsia="宋体" w:hint="default"/>
          <w:sz w:val="27"/>
          <w:szCs w:val="27"/>
        </w:rPr>
      </w:pPr>
    </w:p>
    <w:p>
      <w:pPr>
        <w:spacing w:line="1579" w:lineRule="exact"/>
        <w:ind w:left="148" w:right="0" w:firstLine="0"/>
        <w:rPr>
          <w:rFonts w:ascii="宋体" w:hAnsi="宋体" w:cs="宋体" w:eastAsia="宋体" w:hint="default"/>
          <w:sz w:val="20"/>
          <w:szCs w:val="20"/>
        </w:rPr>
      </w:pPr>
      <w:r>
        <w:rPr>
          <w:rFonts w:ascii="宋体" w:hAnsi="宋体" w:cs="宋体" w:eastAsia="宋体" w:hint="default"/>
          <w:position w:val="-31"/>
          <w:sz w:val="20"/>
          <w:szCs w:val="20"/>
        </w:rPr>
        <w:pict>
          <v:group style="width:482.5pt;height:79pt;mso-position-horizontal-relative:char;mso-position-vertical-relative:line" coordorigin="0,0" coordsize="9650,1580">
            <v:group style="position:absolute;left:12;top:14;width:2826;height:579" coordorigin="12,14" coordsize="2826,579">
              <v:shape style="position:absolute;left:12;top:14;width:2826;height:579" coordorigin="12,14" coordsize="2826,579" path="m12,593l2838,593,2838,14,12,14,12,593xe" filled="true" fillcolor="#d9d9d9" stroked="false">
                <v:path arrowok="t"/>
                <v:fill type="solid"/>
              </v:shape>
            </v:group>
            <v:group style="position:absolute;left:12;top:987;width:2826;height:579" coordorigin="12,987" coordsize="2826,579">
              <v:shape style="position:absolute;left:12;top:987;width:2826;height:579" coordorigin="12,987" coordsize="2826,579" path="m12,1565l2838,1565,2838,987,12,987,12,1565xe" filled="true" fillcolor="#d9d9d9" stroked="false">
                <v:path arrowok="t"/>
                <v:fill type="solid"/>
              </v:shape>
            </v:group>
            <v:group style="position:absolute;left:34;top:593;width:2781;height:394" coordorigin="34,593" coordsize="2781,394">
              <v:shape style="position:absolute;left:34;top:593;width:2781;height:394" coordorigin="34,593" coordsize="2781,394" path="m34,987l2814,987,2814,593,34,593,34,987xe" filled="true" fillcolor="#d9d9d9" stroked="false">
                <v:path arrowok="t"/>
                <v:fill type="solid"/>
              </v:shape>
            </v:group>
            <v:group style="position:absolute;left:10;top:10;width:2826;height:2" coordorigin="10,10" coordsize="2826,2">
              <v:shape style="position:absolute;left:10;top:10;width:2826;height:2" coordorigin="10,10" coordsize="2826,0" path="m10,10l2835,10e" filled="false" stroked="true" strokeweight=".48pt" strokecolor="#000000">
                <v:path arrowok="t"/>
              </v:shape>
            </v:group>
            <v:group style="position:absolute;left:2845;top:10;width:6796;height:2" coordorigin="2845,10" coordsize="6796,2">
              <v:shape style="position:absolute;left:2845;top:10;width:6796;height:2" coordorigin="2845,10" coordsize="6796,0" path="m2845,10l9640,10e" filled="false" stroked="true" strokeweight=".48pt" strokecolor="#000000">
                <v:path arrowok="t"/>
              </v:shape>
            </v:group>
            <v:group style="position:absolute;left:5;top:5;width:2;height:1570" coordorigin="5,5" coordsize="2,1570">
              <v:shape style="position:absolute;left:5;top:5;width:2;height:1570" coordorigin="5,5" coordsize="0,1570" path="m5,5l5,1575e" filled="false" stroked="true" strokeweight=".48pt" strokecolor="#000000">
                <v:path arrowok="t"/>
              </v:shape>
            </v:group>
            <v:group style="position:absolute;left:10;top:1570;width:2826;height:2" coordorigin="10,1570" coordsize="2826,2">
              <v:shape style="position:absolute;left:10;top:1570;width:2826;height:2" coordorigin="10,1570" coordsize="2826,0" path="m10,1570l2835,1570e" filled="false" stroked="true" strokeweight=".48pt" strokecolor="#000000">
                <v:path arrowok="t"/>
              </v:shape>
            </v:group>
            <v:group style="position:absolute;left:2840;top:5;width:2;height:1570" coordorigin="2840,5" coordsize="2,1570">
              <v:shape style="position:absolute;left:2840;top:5;width:2;height:1570" coordorigin="2840,5" coordsize="0,1570" path="m2840,5l2840,1575e" filled="false" stroked="true" strokeweight=".48pt" strokecolor="#000000">
                <v:path arrowok="t"/>
              </v:shape>
            </v:group>
            <v:group style="position:absolute;left:2845;top:1570;width:6796;height:2" coordorigin="2845,1570" coordsize="6796,2">
              <v:shape style="position:absolute;left:2845;top:1570;width:6796;height:2" coordorigin="2845,1570" coordsize="6796,0" path="m2845,1570l9640,1570e" filled="false" stroked="true" strokeweight=".48pt" strokecolor="#000000">
                <v:path arrowok="t"/>
              </v:shape>
            </v:group>
            <v:group style="position:absolute;left:9645;top:5;width:2;height:1570" coordorigin="9645,5" coordsize="2,1570">
              <v:shape style="position:absolute;left:9645;top:5;width:2;height:1570" coordorigin="9645,5" coordsize="0,1570" path="m9645,5l9645,1575e" filled="false" stroked="true" strokeweight=".47998pt" strokecolor="#000000">
                <v:path arrowok="t"/>
              </v:shape>
              <v:shape style="position:absolute;left:2840;top:10;width:6805;height:1561" type="#_x0000_t202" filled="false" stroked="false">
                <v:textbox inset="0,0,0,0">
                  <w:txbxContent>
                    <w:p>
                      <w:pPr>
                        <w:spacing w:line="350" w:lineRule="auto" w:before="104"/>
                        <w:ind w:left="300" w:right="4114" w:hanging="272"/>
                        <w:jc w:val="left"/>
                        <w:rPr>
                          <w:rFonts w:ascii="宋体" w:hAnsi="宋体" w:cs="宋体" w:eastAsia="宋体" w:hint="default"/>
                          <w:sz w:val="18"/>
                          <w:szCs w:val="18"/>
                        </w:rPr>
                      </w:pPr>
                      <w:r>
                        <w:rPr>
                          <w:rFonts w:ascii="宋体" w:hAnsi="宋体" w:cs="宋体" w:eastAsia="宋体" w:hint="default"/>
                          <w:b/>
                          <w:bCs/>
                          <w:sz w:val="18"/>
                          <w:szCs w:val="18"/>
                        </w:rPr>
                        <w:t>参股的上市公司：</w:t>
                      </w:r>
                      <w:r>
                        <w:rPr>
                          <w:rFonts w:ascii="宋体" w:hAnsi="宋体" w:cs="宋体" w:eastAsia="宋体" w:hint="default"/>
                          <w:b/>
                          <w:bCs/>
                          <w:w w:val="99"/>
                          <w:sz w:val="18"/>
                          <w:szCs w:val="18"/>
                        </w:rPr>
                        <w:t> </w:t>
                      </w:r>
                      <w:r>
                        <w:rPr>
                          <w:rFonts w:ascii="宋体" w:hAnsi="宋体" w:cs="宋体" w:eastAsia="宋体" w:hint="default"/>
                          <w:sz w:val="18"/>
                          <w:szCs w:val="18"/>
                        </w:rPr>
                        <w:t>北京银行（</w:t>
                      </w:r>
                      <w:r>
                        <w:rPr>
                          <w:rFonts w:ascii="Times New Roman" w:hAnsi="Times New Roman" w:cs="Times New Roman" w:eastAsia="Times New Roman" w:hint="default"/>
                          <w:sz w:val="18"/>
                          <w:szCs w:val="18"/>
                        </w:rPr>
                        <w:t>SH601169</w:t>
                      </w:r>
                      <w:r>
                        <w:rPr>
                          <w:rFonts w:ascii="宋体" w:hAnsi="宋体" w:cs="宋体" w:eastAsia="宋体" w:hint="default"/>
                          <w:sz w:val="18"/>
                          <w:szCs w:val="18"/>
                        </w:rPr>
                        <w:t>） 持股数量：</w:t>
                      </w:r>
                      <w:r>
                        <w:rPr>
                          <w:rFonts w:ascii="Times New Roman" w:hAnsi="Times New Roman" w:cs="Times New Roman" w:eastAsia="Times New Roman" w:hint="default"/>
                          <w:sz w:val="18"/>
                          <w:szCs w:val="18"/>
                        </w:rPr>
                        <w:t>1,825,228,052.00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spacing w:before="12"/>
                        <w:ind w:left="30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8.63%</w:t>
                      </w:r>
                    </w:p>
                  </w:txbxContent>
                </v:textbox>
                <w10:wrap type="none"/>
              </v:shape>
            </v:group>
          </v:group>
        </w:pict>
      </w:r>
      <w:r>
        <w:rPr>
          <w:rFonts w:ascii="宋体" w:hAnsi="宋体" w:cs="宋体" w:eastAsia="宋体" w:hint="default"/>
          <w:position w:val="-31"/>
          <w:sz w:val="20"/>
          <w:szCs w:val="20"/>
        </w:rPr>
      </w:r>
    </w:p>
    <w:p>
      <w:pPr>
        <w:pStyle w:val="BodyText"/>
        <w:spacing w:line="240" w:lineRule="auto" w:before="44"/>
        <w:ind w:right="982"/>
        <w:jc w:val="left"/>
      </w:pPr>
      <w:r>
        <w:rPr/>
        <w:t>控股股东报告期内变更</w:t>
      </w:r>
    </w:p>
    <w:p>
      <w:pPr>
        <w:pStyle w:val="BodyText"/>
        <w:spacing w:line="340" w:lineRule="auto" w:before="117"/>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5"/>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7874"/>
        <w:jc w:val="left"/>
      </w:pPr>
      <w:r>
        <w:rPr/>
        <w:t>实际控制人性质：地方国资管理机构 实际控制人类型：法人</w:t>
      </w:r>
    </w:p>
    <w:tbl>
      <w:tblPr>
        <w:tblW w:w="0" w:type="auto"/>
        <w:jc w:val="left"/>
        <w:tblInd w:w="149" w:type="dxa"/>
        <w:tblLayout w:type="fixed"/>
        <w:tblCellMar>
          <w:top w:w="0" w:type="dxa"/>
          <w:left w:w="0" w:type="dxa"/>
          <w:bottom w:w="0" w:type="dxa"/>
          <w:right w:w="0" w:type="dxa"/>
        </w:tblCellMar>
        <w:tblLook w:val="01E0"/>
      </w:tblPr>
      <w:tblGrid>
        <w:gridCol w:w="2834"/>
        <w:gridCol w:w="1985"/>
        <w:gridCol w:w="1844"/>
        <w:gridCol w:w="1702"/>
        <w:gridCol w:w="1205"/>
      </w:tblGrid>
      <w:tr>
        <w:trPr>
          <w:trHeight w:val="46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实际控制人名称</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66"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北京市国有资产经营有限责任公司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岳鹏</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911100004005921645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资本运营</w:t>
            </w:r>
          </w:p>
        </w:tc>
      </w:tr>
      <w:tr>
        <w:trPr>
          <w:trHeight w:val="2312"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44"/>
              <w:ind w:left="22" w:right="99"/>
              <w:jc w:val="left"/>
              <w:rPr>
                <w:rFonts w:ascii="宋体" w:hAnsi="宋体" w:cs="宋体" w:eastAsia="宋体" w:hint="default"/>
                <w:sz w:val="18"/>
                <w:szCs w:val="18"/>
              </w:rPr>
            </w:pPr>
            <w:r>
              <w:rPr>
                <w:rFonts w:ascii="宋体" w:hAnsi="宋体" w:cs="宋体" w:eastAsia="宋体" w:hint="default"/>
                <w:sz w:val="18"/>
                <w:szCs w:val="18"/>
              </w:rPr>
              <w:t>实际控制人报告期内控制的其他境 内外上市公司的股权情况</w:t>
            </w:r>
          </w:p>
        </w:tc>
        <w:tc>
          <w:tcPr>
            <w:tcW w:w="6735" w:type="dxa"/>
            <w:gridSpan w:val="4"/>
            <w:tcBorders>
              <w:top w:val="single" w:sz="4" w:space="0" w:color="000000"/>
              <w:left w:val="single" w:sz="4" w:space="0" w:color="000000"/>
              <w:bottom w:val="single" w:sz="4" w:space="0" w:color="000000"/>
              <w:right w:val="single" w:sz="4" w:space="0" w:color="000000"/>
            </w:tcBorders>
          </w:tcPr>
          <w:p>
            <w:pPr>
              <w:pStyle w:val="TableParagraph"/>
              <w:spacing w:line="340" w:lineRule="auto" w:before="123"/>
              <w:ind w:left="295" w:right="3286" w:hanging="27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、首都信息发展股份有限公司（</w:t>
            </w:r>
            <w:r>
              <w:rPr>
                <w:rFonts w:ascii="Times New Roman" w:hAnsi="Times New Roman" w:cs="Times New Roman" w:eastAsia="Times New Roman" w:hint="default"/>
                <w:sz w:val="18"/>
                <w:szCs w:val="18"/>
              </w:rPr>
              <w:t>HK1075</w:t>
            </w:r>
            <w:r>
              <w:rPr>
                <w:rFonts w:ascii="宋体" w:hAnsi="宋体" w:cs="宋体" w:eastAsia="宋体" w:hint="default"/>
                <w:sz w:val="18"/>
                <w:szCs w:val="18"/>
              </w:rPr>
              <w:t>） 持股数量：</w:t>
            </w:r>
            <w:r>
              <w:rPr>
                <w:rFonts w:ascii="Times New Roman" w:hAnsi="Times New Roman" w:cs="Times New Roman" w:eastAsia="Times New Roman" w:hint="default"/>
                <w:sz w:val="18"/>
                <w:szCs w:val="18"/>
              </w:rPr>
              <w:t>183,454,175.60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 持股比例：</w:t>
            </w:r>
            <w:r>
              <w:rPr>
                <w:rFonts w:ascii="Times New Roman" w:hAnsi="Times New Roman" w:cs="Times New Roman" w:eastAsia="Times New Roman" w:hint="default"/>
                <w:sz w:val="18"/>
                <w:szCs w:val="18"/>
              </w:rPr>
              <w:t>63.31%</w:t>
            </w:r>
          </w:p>
          <w:p>
            <w:pPr>
              <w:pStyle w:val="TableParagraph"/>
              <w:spacing w:line="338" w:lineRule="auto" w:before="20"/>
              <w:ind w:left="295" w:right="1976" w:hanging="27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、绿色动力环保集团股份有限公司（</w:t>
            </w:r>
            <w:r>
              <w:rPr>
                <w:rFonts w:ascii="Times New Roman" w:hAnsi="Times New Roman" w:cs="Times New Roman" w:eastAsia="Times New Roman" w:hint="default"/>
                <w:sz w:val="18"/>
                <w:szCs w:val="18"/>
              </w:rPr>
              <w:t>HK1330</w:t>
            </w:r>
            <w:r>
              <w:rPr>
                <w:rFonts w:ascii="宋体" w:hAnsi="宋体" w:cs="宋体" w:eastAsia="宋体" w:hint="default"/>
                <w:sz w:val="18"/>
                <w:szCs w:val="18"/>
              </w:rPr>
              <w:t>、</w:t>
            </w:r>
            <w:r>
              <w:rPr>
                <w:rFonts w:ascii="Times New Roman" w:hAnsi="Times New Roman" w:cs="Times New Roman" w:eastAsia="Times New Roman" w:hint="default"/>
                <w:sz w:val="18"/>
                <w:szCs w:val="18"/>
              </w:rPr>
              <w:t>SH601330</w:t>
            </w:r>
            <w:r>
              <w:rPr>
                <w:rFonts w:ascii="宋体" w:hAnsi="宋体" w:cs="宋体" w:eastAsia="宋体" w:hint="default"/>
                <w:sz w:val="18"/>
                <w:szCs w:val="18"/>
              </w:rPr>
              <w:t>） 持股数量：</w:t>
            </w:r>
            <w:r>
              <w:rPr>
                <w:rFonts w:ascii="Times New Roman" w:hAnsi="Times New Roman" w:cs="Times New Roman" w:eastAsia="Times New Roman" w:hint="default"/>
                <w:sz w:val="18"/>
                <w:szCs w:val="18"/>
              </w:rPr>
              <w:t>501,189,618.00 </w:t>
            </w:r>
            <w:r>
              <w:rPr>
                <w:rFonts w:ascii="宋体" w:hAnsi="宋体" w:cs="宋体" w:eastAsia="宋体" w:hint="default"/>
                <w:sz w:val="18"/>
                <w:szCs w:val="18"/>
              </w:rPr>
              <w:t>股</w:t>
            </w:r>
          </w:p>
          <w:p>
            <w:pPr>
              <w:pStyle w:val="TableParagraph"/>
              <w:spacing w:line="240" w:lineRule="auto" w:before="22"/>
              <w:ind w:left="2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43.16%</w:t>
            </w:r>
          </w:p>
        </w:tc>
      </w:tr>
    </w:tbl>
    <w:p>
      <w:pPr>
        <w:pStyle w:val="BodyText"/>
        <w:spacing w:line="240" w:lineRule="auto" w:before="67"/>
        <w:ind w:right="982"/>
        <w:jc w:val="left"/>
      </w:pPr>
      <w:r>
        <w:rPr/>
        <w:t>实际控制人报告期内变更</w:t>
      </w:r>
    </w:p>
    <w:p>
      <w:pPr>
        <w:pStyle w:val="BodyText"/>
        <w:spacing w:line="338" w:lineRule="auto" w:before="119"/>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w:t>
      </w:r>
    </w:p>
    <w:p>
      <w:pPr>
        <w:pStyle w:val="BodyText"/>
        <w:spacing w:line="240" w:lineRule="auto" w:before="122"/>
        <w:ind w:right="982"/>
        <w:jc w:val="left"/>
      </w:pPr>
      <w:r>
        <w:rPr/>
        <w:t>公司与实际控制人之间的产权及控制关系的方框图</w:t>
      </w:r>
    </w:p>
    <w:p>
      <w:pPr>
        <w:spacing w:line="240" w:lineRule="auto" w:before="9"/>
        <w:rPr>
          <w:rFonts w:ascii="宋体" w:hAnsi="宋体" w:cs="宋体" w:eastAsia="宋体" w:hint="default"/>
          <w:sz w:val="18"/>
          <w:szCs w:val="18"/>
        </w:rPr>
      </w:pPr>
    </w:p>
    <w:p>
      <w:pPr>
        <w:spacing w:line="3780" w:lineRule="exact"/>
        <w:ind w:left="1427"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4500245" cy="24003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00245" cy="2400300"/>
                    </a:xfrm>
                    <a:prstGeom prst="rect">
                      <a:avLst/>
                    </a:prstGeom>
                  </pic:spPr>
                </pic:pic>
              </a:graphicData>
            </a:graphic>
          </wp:inline>
        </w:drawing>
      </w:r>
      <w:r>
        <w:rPr>
          <w:rFonts w:ascii="宋体" w:hAnsi="宋体" w:cs="宋体" w:eastAsia="宋体" w:hint="default"/>
          <w:position w:val="-75"/>
          <w:sz w:val="20"/>
          <w:szCs w:val="20"/>
        </w:rPr>
      </w:r>
    </w:p>
    <w:p>
      <w:pPr>
        <w:spacing w:line="240" w:lineRule="auto" w:before="7"/>
        <w:rPr>
          <w:rFonts w:ascii="宋体" w:hAnsi="宋体" w:cs="宋体" w:eastAsia="宋体" w:hint="default"/>
          <w:sz w:val="14"/>
          <w:szCs w:val="14"/>
        </w:rPr>
      </w:pPr>
    </w:p>
    <w:p>
      <w:pPr>
        <w:pStyle w:val="BodyText"/>
        <w:spacing w:line="240" w:lineRule="auto"/>
        <w:ind w:right="982"/>
        <w:jc w:val="left"/>
      </w:pPr>
      <w:r>
        <w:rPr/>
        <w:t>实际控制人通过信托或其他资产管理方式控制公司</w:t>
      </w:r>
    </w:p>
    <w:p>
      <w:pPr>
        <w:pStyle w:val="BodyText"/>
        <w:spacing w:line="240" w:lineRule="auto" w:before="115"/>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68"/>
        <w:gridCol w:w="1277"/>
        <w:gridCol w:w="1700"/>
        <w:gridCol w:w="1843"/>
        <w:gridCol w:w="2482"/>
      </w:tblGrid>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73" w:right="67" w:hanging="20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 位负责人</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57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62" w:right="0"/>
              <w:jc w:val="left"/>
              <w:rPr>
                <w:rFonts w:ascii="宋体" w:hAnsi="宋体" w:cs="宋体" w:eastAsia="宋体" w:hint="default"/>
                <w:sz w:val="18"/>
                <w:szCs w:val="18"/>
              </w:rPr>
            </w:pPr>
            <w:r>
              <w:rPr>
                <w:rFonts w:ascii="宋体" w:hAnsi="宋体" w:cs="宋体" w:eastAsia="宋体" w:hint="default"/>
                <w:sz w:val="18"/>
                <w:szCs w:val="18"/>
              </w:rPr>
              <w:t>林艳坤</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28,980.8609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应用信息系统的建设与运维</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982"/>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982"/>
        <w:jc w:val="left"/>
        <w:rPr>
          <w:b w:val="0"/>
          <w:bCs w:val="0"/>
        </w:rPr>
      </w:pPr>
      <w:bookmarkStart w:name="_bookmark7" w:id="8"/>
      <w:bookmarkEnd w:id="8"/>
      <w:r>
        <w:rPr>
          <w:b w:val="0"/>
          <w:bCs w:val="0"/>
        </w:rPr>
      </w:r>
      <w:r>
        <w:rPr/>
        <w:t>第八节</w:t>
      </w:r>
      <w:r>
        <w:rPr>
          <w:spacing w:val="-5"/>
        </w:rPr>
        <w:t> </w:t>
      </w:r>
      <w:r>
        <w:rPr/>
        <w:t>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919" w:right="0"/>
        <w:jc w:val="left"/>
        <w:rPr>
          <w:b w:val="0"/>
          <w:bCs w:val="0"/>
        </w:rPr>
      </w:pPr>
      <w:bookmarkStart w:name="_bookmark8" w:id="9"/>
      <w:bookmarkEnd w:id="9"/>
      <w:r>
        <w:rPr>
          <w:b w:val="0"/>
          <w:bCs w:val="0"/>
        </w:rPr>
      </w:r>
      <w:r>
        <w:rPr/>
        <w:t>第九节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392" w:right="0"/>
        <w:jc w:val="left"/>
        <w:rPr>
          <w:b w:val="0"/>
          <w:bCs w:val="0"/>
        </w:rPr>
      </w:pPr>
      <w:r>
        <w:rPr/>
        <w:pict>
          <v:shape style="position:absolute;margin-left:486.463013pt;margin-top:32.855602pt;width:66.25pt;height:66.5pt;mso-position-horizontal-relative:page;mso-position-vertical-relative:paragraph;z-index:-8834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6"/>
        <w:rPr>
          <w:rFonts w:ascii="宋体" w:hAnsi="宋体" w:cs="宋体" w:eastAsia="宋体" w:hint="default"/>
          <w:b/>
          <w:bCs/>
          <w:sz w:val="25"/>
          <w:szCs w:val="25"/>
        </w:rPr>
      </w:pPr>
    </w:p>
    <w:tbl>
      <w:tblPr>
        <w:tblW w:w="0" w:type="auto"/>
        <w:jc w:val="left"/>
        <w:tblInd w:w="102" w:type="dxa"/>
        <w:tblLayout w:type="fixed"/>
        <w:tblCellMar>
          <w:top w:w="0" w:type="dxa"/>
          <w:left w:w="0" w:type="dxa"/>
          <w:bottom w:w="0" w:type="dxa"/>
          <w:right w:w="0" w:type="dxa"/>
        </w:tblCellMar>
        <w:tblLook w:val="01E0"/>
      </w:tblPr>
      <w:tblGrid>
        <w:gridCol w:w="711"/>
        <w:gridCol w:w="1133"/>
        <w:gridCol w:w="427"/>
        <w:gridCol w:w="425"/>
        <w:gridCol w:w="425"/>
        <w:gridCol w:w="1558"/>
        <w:gridCol w:w="1616"/>
        <w:gridCol w:w="797"/>
        <w:gridCol w:w="708"/>
        <w:gridCol w:w="709"/>
        <w:gridCol w:w="852"/>
        <w:gridCol w:w="64"/>
        <w:gridCol w:w="786"/>
      </w:tblGrid>
      <w:tr>
        <w:trPr>
          <w:trHeight w:val="1339" w:hRule="exact"/>
        </w:trPr>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8" w:right="2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7"/>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7"/>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6" w:right="59" w:firstLine="36"/>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64" w:type="dxa"/>
            <w:tcBorders>
              <w:top w:val="single" w:sz="4" w:space="0" w:color="000000"/>
              <w:left w:val="single" w:sz="4" w:space="0" w:color="000000"/>
              <w:bottom w:val="single" w:sz="4" w:space="0" w:color="000000"/>
              <w:right w:val="nil" w:sz="6" w:space="0" w:color="auto"/>
            </w:tcBorders>
            <w:shd w:val="clear" w:color="auto" w:fill="D2D2D2"/>
          </w:tcPr>
          <w:p>
            <w:pPr/>
          </w:p>
        </w:tc>
        <w:tc>
          <w:tcPr>
            <w:tcW w:w="7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 w:right="59"/>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6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Times New Roman" w:hAnsi="Times New Roman" w:cs="Times New Roman" w:eastAsia="Times New Roman" w:hint="default"/>
                <w:sz w:val="18"/>
                <w:szCs w:val="18"/>
              </w:rPr>
            </w:pPr>
            <w:r>
              <w:rPr>
                <w:rFonts w:ascii="Times New Roman"/>
                <w:sz w:val="18"/>
              </w:rPr>
              <w:t>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3,303,312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1,651,656</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98" w:right="0"/>
              <w:jc w:val="left"/>
              <w:rPr>
                <w:rFonts w:ascii="Times New Roman" w:hAnsi="Times New Roman" w:cs="Times New Roman" w:eastAsia="Times New Roman" w:hint="default"/>
                <w:sz w:val="18"/>
                <w:szCs w:val="18"/>
              </w:rPr>
            </w:pPr>
            <w:r>
              <w:rPr>
                <w:rFonts w:ascii="Times New Roman"/>
                <w:sz w:val="18"/>
              </w:rPr>
              <w:t>4,954,968</w:t>
            </w:r>
          </w:p>
        </w:tc>
      </w:tr>
      <w:tr>
        <w:trPr>
          <w:trHeight w:val="46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林雪焰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825,957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412,979</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8" w:right="0"/>
              <w:jc w:val="left"/>
              <w:rPr>
                <w:rFonts w:ascii="Times New Roman" w:hAnsi="Times New Roman" w:cs="Times New Roman" w:eastAsia="Times New Roman" w:hint="default"/>
                <w:sz w:val="18"/>
                <w:szCs w:val="18"/>
              </w:rPr>
            </w:pPr>
            <w:r>
              <w:rPr>
                <w:rFonts w:ascii="Times New Roman"/>
                <w:sz w:val="18"/>
              </w:rPr>
              <w:t>1,238,936</w:t>
            </w:r>
          </w:p>
        </w:tc>
      </w:tr>
      <w:tr>
        <w:trPr>
          <w:trHeight w:val="46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卢磊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许向燕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雷毅平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王渝次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67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杜美杰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张文亮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吴舜皋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557,506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208,966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278,754</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2" w:right="0"/>
              <w:jc w:val="left"/>
              <w:rPr>
                <w:rFonts w:ascii="Times New Roman" w:hAnsi="Times New Roman" w:cs="Times New Roman" w:eastAsia="Times New Roman" w:hint="default"/>
                <w:sz w:val="18"/>
                <w:szCs w:val="18"/>
              </w:rPr>
            </w:pPr>
            <w:r>
              <w:rPr>
                <w:rFonts w:ascii="Times New Roman"/>
                <w:sz w:val="18"/>
              </w:rPr>
              <w:t>627,294</w:t>
            </w:r>
          </w:p>
        </w:tc>
      </w:tr>
      <w:tr>
        <w:trPr>
          <w:trHeight w:val="46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刘明哲</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39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李志梅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张益谦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445,905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2"/>
                <w:w w:val="95"/>
                <w:sz w:val="18"/>
              </w:rPr>
              <w:t>111,000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167,452</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2" w:right="0"/>
              <w:jc w:val="left"/>
              <w:rPr>
                <w:rFonts w:ascii="Times New Roman" w:hAnsi="Times New Roman" w:cs="Times New Roman" w:eastAsia="Times New Roman" w:hint="default"/>
                <w:sz w:val="18"/>
                <w:szCs w:val="18"/>
              </w:rPr>
            </w:pPr>
            <w:r>
              <w:rPr>
                <w:rFonts w:ascii="Times New Roman"/>
                <w:sz w:val="18"/>
              </w:rPr>
              <w:t>502,357</w:t>
            </w:r>
          </w:p>
        </w:tc>
      </w:tr>
      <w:tr>
        <w:trPr>
          <w:trHeight w:val="46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侯鹏亮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齐秀彬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01" w:right="19" w:hanging="178"/>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吴伟东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程小茁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170,914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85,457</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2" w:right="0"/>
              <w:jc w:val="left"/>
              <w:rPr>
                <w:rFonts w:ascii="Times New Roman" w:hAnsi="Times New Roman" w:cs="Times New Roman" w:eastAsia="Times New Roman" w:hint="default"/>
                <w:sz w:val="18"/>
                <w:szCs w:val="18"/>
              </w:rPr>
            </w:pPr>
            <w:r>
              <w:rPr>
                <w:rFonts w:ascii="Times New Roman"/>
                <w:sz w:val="18"/>
              </w:rPr>
              <w:t>256,371</w:t>
            </w:r>
          </w:p>
        </w:tc>
      </w:tr>
      <w:tr>
        <w:trPr>
          <w:trHeight w:val="46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高青山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蒋峰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39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5,303,594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319,966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2,596,298</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8" w:right="0"/>
              <w:jc w:val="left"/>
              <w:rPr>
                <w:rFonts w:ascii="Times New Roman" w:hAnsi="Times New Roman" w:cs="Times New Roman" w:eastAsia="Times New Roman" w:hint="default"/>
                <w:sz w:val="18"/>
                <w:szCs w:val="18"/>
              </w:rPr>
            </w:pPr>
            <w:r>
              <w:rPr>
                <w:rFonts w:ascii="Times New Roman"/>
                <w:sz w:val="18"/>
              </w:rPr>
              <w:t>7,579,926</w:t>
            </w:r>
          </w:p>
        </w:tc>
      </w:tr>
    </w:tbl>
    <w:p>
      <w:pPr>
        <w:spacing w:line="240" w:lineRule="auto" w:before="3"/>
        <w:rPr>
          <w:rFonts w:ascii="宋体" w:hAnsi="宋体" w:cs="宋体" w:eastAsia="宋体" w:hint="default"/>
          <w:b/>
          <w:bCs/>
          <w:sz w:val="18"/>
          <w:szCs w:val="18"/>
        </w:rPr>
      </w:pPr>
    </w:p>
    <w:p>
      <w:pPr>
        <w:pStyle w:val="Heading2"/>
        <w:spacing w:line="240" w:lineRule="auto" w:before="26"/>
        <w:ind w:left="392" w:right="0"/>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8" w:footer="979" w:top="1060" w:bottom="1160" w:left="74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2"/>
        <w:gridCol w:w="1274"/>
        <w:gridCol w:w="850"/>
        <w:gridCol w:w="1560"/>
        <w:gridCol w:w="5031"/>
      </w:tblGrid>
      <w:tr>
        <w:trPr>
          <w:trHeight w:val="464"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5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6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蒋峰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5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因个人原因申请辞去公司董事职务。</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许向燕</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5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年第一次临时股东大会审议通过，同意选举许向燕女</w:t>
            </w:r>
          </w:p>
          <w:p>
            <w:pPr>
              <w:pStyle w:val="TableParagraph"/>
              <w:spacing w:line="240" w:lineRule="auto" w:before="60"/>
              <w:ind w:left="24" w:right="-46"/>
              <w:jc w:val="left"/>
              <w:rPr>
                <w:rFonts w:ascii="宋体" w:hAnsi="宋体" w:cs="宋体" w:eastAsia="宋体" w:hint="default"/>
                <w:sz w:val="18"/>
                <w:szCs w:val="18"/>
              </w:rPr>
            </w:pPr>
            <w:r>
              <w:rPr>
                <w:rFonts w:ascii="宋体" w:hAnsi="宋体" w:cs="宋体" w:eastAsia="宋体" w:hint="default"/>
                <w:sz w:val="18"/>
                <w:szCs w:val="18"/>
              </w:rPr>
              <w:t>士为公司董事，任期自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8"/>
          <w:szCs w:val="18"/>
        </w:rPr>
      </w:pPr>
    </w:p>
    <w:p>
      <w:pPr>
        <w:pStyle w:val="Heading2"/>
        <w:spacing w:line="240" w:lineRule="auto" w:before="26"/>
        <w:ind w:right="0"/>
        <w:jc w:val="both"/>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spacing w:line="240" w:lineRule="auto" w:before="6"/>
        <w:rPr>
          <w:rFonts w:ascii="宋体" w:hAnsi="宋体" w:cs="宋体" w:eastAsia="宋体" w:hint="default"/>
          <w:sz w:val="13"/>
          <w:szCs w:val="13"/>
        </w:rPr>
      </w:pPr>
    </w:p>
    <w:p>
      <w:pPr>
        <w:pStyle w:val="Heading4"/>
        <w:spacing w:line="240" w:lineRule="auto"/>
        <w:ind w:left="573" w:right="0"/>
        <w:jc w:val="left"/>
      </w:pPr>
      <w:r>
        <w:rPr>
          <w:rFonts w:ascii="Times New Roman" w:hAnsi="Times New Roman" w:cs="Times New Roman" w:eastAsia="Times New Roman" w:hint="default"/>
        </w:rPr>
        <w:t>1</w:t>
      </w:r>
      <w:r>
        <w:rPr/>
        <w:t>、詹榜华先生：</w:t>
      </w:r>
      <w:r>
        <w:rPr>
          <w:rFonts w:ascii="Times New Roman" w:hAnsi="Times New Roman" w:cs="Times New Roman" w:eastAsia="Times New Roman" w:hint="default"/>
        </w:rPr>
        <w:t>1964</w:t>
      </w:r>
      <w:r>
        <w:rPr/>
        <w:t>年出生，中国国籍，无境外永久居留权。</w:t>
      </w:r>
      <w:r>
        <w:rPr>
          <w:rFonts w:ascii="Times New Roman" w:hAnsi="Times New Roman" w:cs="Times New Roman" w:eastAsia="Times New Roman" w:hint="default"/>
        </w:rPr>
        <w:t>1988</w:t>
      </w:r>
      <w:r>
        <w:rPr/>
        <w:t>年毕业于中南大学，获硕士学位；</w:t>
      </w:r>
    </w:p>
    <w:p>
      <w:pPr>
        <w:pStyle w:val="Heading4"/>
        <w:spacing w:line="264" w:lineRule="auto" w:before="22"/>
        <w:ind w:right="1126"/>
        <w:jc w:val="both"/>
      </w:pPr>
      <w:r>
        <w:rPr>
          <w:rFonts w:ascii="Times New Roman" w:hAnsi="Times New Roman" w:cs="Times New Roman" w:eastAsia="Times New Roman" w:hint="default"/>
          <w:spacing w:val="-2"/>
        </w:rPr>
        <w:t>2004</w:t>
      </w:r>
      <w:r>
        <w:rPr>
          <w:spacing w:val="-2"/>
        </w:rPr>
        <w:t>年毕业于北京邮电大学，获博士学位。</w:t>
      </w:r>
      <w:r>
        <w:rPr>
          <w:rFonts w:ascii="Times New Roman" w:hAnsi="Times New Roman" w:cs="Times New Roman" w:eastAsia="Times New Roman" w:hint="default"/>
          <w:spacing w:val="-2"/>
        </w:rPr>
        <w:t>1988</w:t>
      </w:r>
      <w:r>
        <w:rPr>
          <w:spacing w:val="-2"/>
        </w:rPr>
        <w:t>年至</w:t>
      </w:r>
      <w:r>
        <w:rPr>
          <w:rFonts w:ascii="Times New Roman" w:hAnsi="Times New Roman" w:cs="Times New Roman" w:eastAsia="Times New Roman" w:hint="default"/>
          <w:spacing w:val="-2"/>
        </w:rPr>
        <w:t>2002</w:t>
      </w:r>
      <w:r>
        <w:rPr>
          <w:spacing w:val="-2"/>
        </w:rPr>
        <w:t>年任职于解放军某研究所，任副研究员；</w:t>
      </w:r>
      <w:r>
        <w:rPr>
          <w:rFonts w:ascii="Times New Roman" w:hAnsi="Times New Roman" w:cs="Times New Roman" w:eastAsia="Times New Roman" w:hint="default"/>
          <w:spacing w:val="-2"/>
        </w:rPr>
        <w:t>2002</w:t>
      </w:r>
      <w:r>
        <w:rPr>
          <w:spacing w:val="-2"/>
        </w:rPr>
        <w:t>年</w:t>
      </w:r>
      <w:r>
        <w:rPr>
          <w:spacing w:val="-29"/>
        </w:rPr>
        <w:t> </w:t>
      </w:r>
      <w:r>
        <w:rPr>
          <w:spacing w:val="-2"/>
        </w:rPr>
        <w:t>至今任职于本公司，历任总经理，现任公司董事长，兼任北京邮电大学兼职教授、全国信息安全标准化技</w:t>
      </w:r>
      <w:r>
        <w:rPr>
          <w:spacing w:val="-50"/>
        </w:rPr>
        <w:t> </w:t>
      </w:r>
      <w:r>
        <w:rPr>
          <w:spacing w:val="-50"/>
        </w:rPr>
      </w:r>
      <w:r>
        <w:rPr>
          <w:spacing w:val="-4"/>
        </w:rPr>
        <w:t>术委员会委员和</w:t>
      </w:r>
      <w:r>
        <w:rPr>
          <w:rFonts w:ascii="Times New Roman" w:hAnsi="Times New Roman" w:cs="Times New Roman" w:eastAsia="Times New Roman" w:hint="default"/>
          <w:spacing w:val="-4"/>
        </w:rPr>
        <w:t>WG3</w:t>
      </w:r>
      <w:r>
        <w:rPr>
          <w:spacing w:val="-4"/>
        </w:rPr>
        <w:t>组、</w:t>
      </w:r>
      <w:r>
        <w:rPr>
          <w:rFonts w:ascii="Times New Roman" w:hAnsi="Times New Roman" w:cs="Times New Roman" w:eastAsia="Times New Roman" w:hint="default"/>
          <w:spacing w:val="-4"/>
        </w:rPr>
        <w:t>WG4</w:t>
      </w:r>
      <w:r>
        <w:rPr>
          <w:spacing w:val="-4"/>
        </w:rPr>
        <w:t>组副组长、全国版权标准化技术委员会委员、国家密码行业标准化技术委员</w:t>
      </w:r>
      <w:r>
        <w:rPr>
          <w:spacing w:val="-17"/>
        </w:rPr>
        <w:t> </w:t>
      </w:r>
      <w:r>
        <w:rPr>
          <w:spacing w:val="-17"/>
        </w:rPr>
      </w:r>
      <w:r>
        <w:rPr>
          <w:spacing w:val="-2"/>
        </w:rPr>
        <w:t>会副主任委员、国家商用密码应用技术体系研究总体工作组专家、北京市信息化专家咨询委员会委员、北</w:t>
      </w:r>
      <w:r>
        <w:rPr>
          <w:spacing w:val="-44"/>
        </w:rPr>
        <w:t> </w:t>
      </w:r>
      <w:r>
        <w:rPr>
          <w:spacing w:val="-44"/>
        </w:rPr>
      </w:r>
      <w:r>
        <w:rPr>
          <w:spacing w:val="-2"/>
        </w:rPr>
        <w:t>京市商用密码行业协会会长、中国密码学会电子认证专业委员会副主任委员、中国保密协会科学技术分会</w:t>
      </w:r>
      <w:r>
        <w:rPr>
          <w:spacing w:val="-44"/>
        </w:rPr>
        <w:t> </w:t>
      </w:r>
      <w:r>
        <w:rPr>
          <w:spacing w:val="-44"/>
        </w:rPr>
      </w:r>
      <w:r>
        <w:rPr/>
        <w:t>副主任委员、未来移动通信论坛</w:t>
      </w:r>
      <w:r>
        <w:rPr>
          <w:rFonts w:ascii="Times New Roman" w:hAnsi="Times New Roman" w:cs="Times New Roman" w:eastAsia="Times New Roman" w:hint="default"/>
        </w:rPr>
        <w:t>5G</w:t>
      </w:r>
      <w:r>
        <w:rPr/>
        <w:t>信息安全工作组副主席等。曾获</w:t>
      </w:r>
      <w:r>
        <w:rPr>
          <w:rFonts w:ascii="Times New Roman" w:hAnsi="Times New Roman" w:cs="Times New Roman" w:eastAsia="Times New Roman" w:hint="default"/>
        </w:rPr>
        <w:t>“</w:t>
      </w:r>
      <w:r>
        <w:rPr/>
        <w:t>国家科技进步二等奖</w:t>
      </w:r>
      <w:r>
        <w:rPr>
          <w:rFonts w:ascii="Times New Roman" w:hAnsi="Times New Roman" w:cs="Times New Roman" w:eastAsia="Times New Roman" w:hint="default"/>
        </w:rPr>
        <w:t>”</w:t>
      </w:r>
      <w:r>
        <w:rPr/>
        <w:t>、</w:t>
      </w:r>
      <w:r>
        <w:rPr>
          <w:rFonts w:ascii="Times New Roman" w:hAnsi="Times New Roman" w:cs="Times New Roman" w:eastAsia="Times New Roman" w:hint="default"/>
        </w:rPr>
        <w:t>“2014</w:t>
      </w:r>
      <w:r>
        <w:rPr/>
        <w:t>中国计</w:t>
      </w:r>
      <w:r>
        <w:rPr>
          <w:spacing w:val="-35"/>
        </w:rPr>
        <w:t> </w:t>
      </w:r>
      <w:r>
        <w:rPr>
          <w:spacing w:val="-35"/>
        </w:rPr>
      </w:r>
      <w:r>
        <w:rPr/>
        <w:t>算机行业发展成就奖之人物成就奖</w:t>
      </w:r>
      <w:r>
        <w:rPr>
          <w:rFonts w:ascii="Times New Roman" w:hAnsi="Times New Roman" w:cs="Times New Roman" w:eastAsia="Times New Roman" w:hint="default"/>
        </w:rPr>
        <w:t>”</w:t>
      </w:r>
      <w:r>
        <w:rPr/>
        <w:t>等。</w:t>
      </w:r>
    </w:p>
    <w:p>
      <w:pPr>
        <w:pStyle w:val="Heading4"/>
        <w:spacing w:line="256" w:lineRule="auto" w:before="118"/>
        <w:ind w:right="982" w:firstLine="420"/>
        <w:jc w:val="left"/>
      </w:pPr>
      <w:r>
        <w:rPr>
          <w:rFonts w:ascii="Times New Roman" w:hAnsi="Times New Roman" w:cs="Times New Roman" w:eastAsia="Times New Roman" w:hint="default"/>
        </w:rPr>
        <w:t>2</w:t>
      </w:r>
      <w:r>
        <w:rPr/>
        <w:t>、林雪焰先生：</w:t>
      </w:r>
      <w:r>
        <w:rPr>
          <w:rFonts w:ascii="Times New Roman" w:hAnsi="Times New Roman" w:cs="Times New Roman" w:eastAsia="Times New Roman" w:hint="default"/>
        </w:rPr>
        <w:t>1972</w:t>
      </w:r>
      <w:r>
        <w:rPr/>
        <w:t>年出生，中国国籍，无境外永久居留权。</w:t>
      </w:r>
      <w:r>
        <w:rPr>
          <w:rFonts w:ascii="Times New Roman" w:hAnsi="Times New Roman" w:cs="Times New Roman" w:eastAsia="Times New Roman" w:hint="default"/>
        </w:rPr>
        <w:t>1999</w:t>
      </w:r>
      <w:r>
        <w:rPr/>
        <w:t>年毕业于电子科技集团第</w:t>
      </w:r>
      <w:r>
        <w:rPr>
          <w:rFonts w:ascii="Times New Roman" w:hAnsi="Times New Roman" w:cs="Times New Roman" w:eastAsia="Times New Roman" w:hint="default"/>
        </w:rPr>
        <w:t>30</w:t>
      </w:r>
      <w:r>
        <w:rPr/>
        <w:t>研究</w:t>
      </w:r>
      <w:r>
        <w:rPr>
          <w:spacing w:val="2"/>
          <w:w w:val="100"/>
        </w:rPr>
        <w:t> </w:t>
      </w:r>
      <w:r>
        <w:rPr>
          <w:spacing w:val="-2"/>
        </w:rPr>
        <w:t>所，获硕士学位。</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1996</w:t>
      </w:r>
      <w:r>
        <w:rPr>
          <w:spacing w:val="-2"/>
        </w:rPr>
        <w:t>年任职于电子科技集团第</w:t>
      </w:r>
      <w:r>
        <w:rPr>
          <w:rFonts w:ascii="Times New Roman" w:hAnsi="Times New Roman" w:cs="Times New Roman" w:eastAsia="Times New Roman" w:hint="default"/>
          <w:spacing w:val="-2"/>
        </w:rPr>
        <w:t>29</w:t>
      </w:r>
      <w:r>
        <w:rPr>
          <w:spacing w:val="-2"/>
        </w:rPr>
        <w:t>研究所；</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2005</w:t>
      </w:r>
      <w:r>
        <w:rPr>
          <w:spacing w:val="-2"/>
        </w:rPr>
        <w:t>年分别任职于成都卫士</w:t>
      </w:r>
      <w:r>
        <w:rPr>
          <w:spacing w:val="-26"/>
        </w:rPr>
        <w:t> </w:t>
      </w:r>
      <w:r>
        <w:rPr>
          <w:spacing w:val="-26"/>
        </w:rPr>
      </w:r>
      <w:r>
        <w:rPr>
          <w:spacing w:val="-2"/>
        </w:rPr>
        <w:t>通信息产业股份有限公司、北京天威诚信电子商务服务有限公司、北京创原天地科技有限公司；</w:t>
      </w:r>
      <w:r>
        <w:rPr>
          <w:rFonts w:ascii="Times New Roman" w:hAnsi="Times New Roman" w:cs="Times New Roman" w:eastAsia="Times New Roman" w:hint="default"/>
          <w:spacing w:val="-2"/>
        </w:rPr>
        <w:t>2005</w:t>
      </w:r>
      <w:r>
        <w:rPr>
          <w:spacing w:val="-2"/>
        </w:rPr>
        <w:t>年至</w:t>
      </w:r>
      <w:r>
        <w:rPr>
          <w:spacing w:val="-42"/>
        </w:rPr>
        <w:t> </w:t>
      </w:r>
      <w:r>
        <w:rPr>
          <w:spacing w:val="-3"/>
        </w:rPr>
        <w:t>今任职于本公司，曾任公司副总经理，现任公司董事、总经理。曾获</w:t>
      </w:r>
      <w:r>
        <w:rPr>
          <w:rFonts w:ascii="Times New Roman" w:hAnsi="Times New Roman" w:cs="Times New Roman" w:eastAsia="Times New Roman" w:hint="default"/>
          <w:spacing w:val="-3"/>
        </w:rPr>
        <w:t>“</w:t>
      </w:r>
      <w:r>
        <w:rPr>
          <w:spacing w:val="-3"/>
        </w:rPr>
        <w:t>北京市科技进步奖</w:t>
      </w:r>
      <w:r>
        <w:rPr>
          <w:rFonts w:ascii="Times New Roman" w:hAnsi="Times New Roman" w:cs="Times New Roman" w:eastAsia="Times New Roman" w:hint="default"/>
          <w:spacing w:val="-3"/>
        </w:rPr>
        <w:t>(</w:t>
      </w:r>
      <w:r>
        <w:rPr>
          <w:spacing w:val="-3"/>
        </w:rPr>
        <w:t>省部级</w:t>
      </w:r>
      <w:r>
        <w:rPr>
          <w:rFonts w:ascii="Times New Roman" w:hAnsi="Times New Roman" w:cs="Times New Roman" w:eastAsia="Times New Roman" w:hint="default"/>
          <w:spacing w:val="-3"/>
        </w:rPr>
        <w:t>)</w:t>
      </w:r>
      <w:r>
        <w:rPr>
          <w:spacing w:val="-3"/>
        </w:rPr>
        <w:t>三等奖</w:t>
      </w:r>
      <w:r>
        <w:rPr>
          <w:rFonts w:ascii="Times New Roman" w:hAnsi="Times New Roman" w:cs="Times New Roman" w:eastAsia="Times New Roman" w:hint="default"/>
          <w:spacing w:val="-3"/>
        </w:rPr>
        <w:t>”</w:t>
      </w:r>
      <w:r>
        <w:rPr>
          <w:spacing w:val="-3"/>
        </w:rPr>
        <w:t>、</w:t>
      </w:r>
      <w:r>
        <w:rPr>
          <w:spacing w:val="-7"/>
        </w:rPr>
        <w:t> </w:t>
      </w:r>
      <w:r>
        <w:rPr>
          <w:rFonts w:ascii="Times New Roman" w:hAnsi="Times New Roman" w:cs="Times New Roman" w:eastAsia="Times New Roman" w:hint="default"/>
        </w:rPr>
        <w:t>“</w:t>
      </w:r>
      <w:r>
        <w:rPr/>
        <w:t>国家密码科技进步奖</w:t>
      </w:r>
      <w:r>
        <w:rPr>
          <w:rFonts w:ascii="Times New Roman" w:hAnsi="Times New Roman" w:cs="Times New Roman" w:eastAsia="Times New Roman" w:hint="default"/>
        </w:rPr>
        <w:t>(</w:t>
      </w:r>
      <w:r>
        <w:rPr/>
        <w:t>省部级</w:t>
      </w:r>
      <w:r>
        <w:rPr>
          <w:rFonts w:ascii="Times New Roman" w:hAnsi="Times New Roman" w:cs="Times New Roman" w:eastAsia="Times New Roman" w:hint="default"/>
        </w:rPr>
        <w:t>)</w:t>
      </w:r>
      <w:r>
        <w:rPr/>
        <w:t>二等奖</w:t>
      </w:r>
      <w:r>
        <w:rPr>
          <w:rFonts w:ascii="Times New Roman" w:hAnsi="Times New Roman" w:cs="Times New Roman" w:eastAsia="Times New Roman" w:hint="default"/>
        </w:rPr>
        <w:t>”</w:t>
      </w:r>
      <w:r>
        <w:rPr/>
        <w:t>等。</w:t>
      </w:r>
    </w:p>
    <w:p>
      <w:pPr>
        <w:pStyle w:val="Heading4"/>
        <w:spacing w:line="240" w:lineRule="auto" w:before="125"/>
        <w:ind w:left="573" w:right="982"/>
        <w:jc w:val="left"/>
      </w:pPr>
      <w:r>
        <w:rPr>
          <w:rFonts w:ascii="Times New Roman" w:hAnsi="Times New Roman" w:cs="Times New Roman" w:eastAsia="Times New Roman" w:hint="default"/>
        </w:rPr>
        <w:t>3</w:t>
      </w:r>
      <w:r>
        <w:rPr/>
        <w:t>、卢磊先生：</w:t>
      </w:r>
      <w:r>
        <w:rPr>
          <w:rFonts w:ascii="Times New Roman" w:hAnsi="Times New Roman" w:cs="Times New Roman" w:eastAsia="Times New Roman" w:hint="default"/>
        </w:rPr>
        <w:t>1980</w:t>
      </w:r>
      <w:r>
        <w:rPr/>
        <w:t>年出生，中国国籍，无境外永久居留权。</w:t>
      </w:r>
      <w:r>
        <w:rPr>
          <w:rFonts w:ascii="Times New Roman" w:hAnsi="Times New Roman" w:cs="Times New Roman" w:eastAsia="Times New Roman" w:hint="default"/>
        </w:rPr>
        <w:t>2003</w:t>
      </w:r>
      <w:r>
        <w:rPr/>
        <w:t>年毕业于复旦大学，获学士学位。</w:t>
      </w:r>
    </w:p>
    <w:p>
      <w:pPr>
        <w:pStyle w:val="Heading4"/>
        <w:spacing w:line="261" w:lineRule="auto" w:before="21"/>
        <w:ind w:right="1105"/>
        <w:jc w:val="both"/>
      </w:pPr>
      <w:r>
        <w:rPr>
          <w:rFonts w:ascii="Times New Roman" w:hAnsi="Times New Roman" w:cs="Times New Roman" w:eastAsia="Times New Roman" w:hint="default"/>
          <w:spacing w:val="-2"/>
        </w:rPr>
        <w:t>2016</w:t>
      </w:r>
      <w:r>
        <w:rPr>
          <w:spacing w:val="-2"/>
        </w:rPr>
        <w:t>年毕业于南开大学，获高级管理人员工商管理硕士学位。</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2005</w:t>
      </w:r>
      <w:r>
        <w:rPr>
          <w:spacing w:val="-2"/>
        </w:rPr>
        <w:t>年任职于北大青鸟华育国际</w:t>
      </w:r>
      <w:r>
        <w:rPr>
          <w:rFonts w:ascii="Times New Roman" w:hAnsi="Times New Roman" w:cs="Times New Roman" w:eastAsia="Times New Roman" w:hint="default"/>
          <w:spacing w:val="-2"/>
        </w:rPr>
        <w:t>IT</w:t>
      </w:r>
      <w:r>
        <w:rPr>
          <w:rFonts w:ascii="Times New Roman" w:hAnsi="Times New Roman" w:cs="Times New Roman" w:eastAsia="Times New Roman" w:hint="default"/>
          <w:spacing w:val="23"/>
        </w:rPr>
        <w:t> </w:t>
      </w:r>
      <w:r>
        <w:rPr>
          <w:spacing w:val="-2"/>
        </w:rPr>
        <w:t>培训中心，任策划经理；</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2011</w:t>
      </w:r>
      <w:r>
        <w:rPr>
          <w:spacing w:val="-2"/>
        </w:rPr>
        <w:t>年任职于北京大岳咨询公司，任项目经理；</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2014</w:t>
      </w:r>
      <w:r>
        <w:rPr>
          <w:spacing w:val="-2"/>
        </w:rPr>
        <w:t>年任职于</w:t>
      </w:r>
      <w:r>
        <w:rPr>
          <w:spacing w:val="-35"/>
        </w:rPr>
        <w:t> </w:t>
      </w:r>
      <w:r>
        <w:rPr>
          <w:spacing w:val="-35"/>
        </w:rPr>
      </w:r>
      <w:r>
        <w:rPr>
          <w:spacing w:val="-2"/>
        </w:rPr>
        <w:t>北京市国有资产经营有限责任公司，历任金融资产管理部项目经理、科技与现代制造业投资部项目经理、</w:t>
      </w:r>
      <w:r>
        <w:rPr>
          <w:spacing w:val="-21"/>
        </w:rPr>
        <w:t> </w:t>
      </w:r>
      <w:r>
        <w:rPr>
          <w:spacing w:val="-21"/>
        </w:rPr>
      </w:r>
      <w:r>
        <w:rPr/>
        <w:t>高级经理。现任本公司董事，首都信息发展股份有限公司副总裁、董事会秘书。</w:t>
      </w:r>
    </w:p>
    <w:p>
      <w:pPr>
        <w:pStyle w:val="Heading4"/>
        <w:spacing w:line="256" w:lineRule="auto" w:before="138"/>
        <w:ind w:right="1126" w:firstLine="420"/>
        <w:jc w:val="both"/>
      </w:pPr>
      <w:r>
        <w:rPr>
          <w:rFonts w:ascii="Times New Roman" w:hAnsi="Times New Roman" w:cs="Times New Roman" w:eastAsia="Times New Roman" w:hint="default"/>
        </w:rPr>
        <w:t>4</w:t>
      </w:r>
      <w:r>
        <w:rPr/>
        <w:t>、许向燕女士：</w:t>
      </w:r>
      <w:r>
        <w:rPr>
          <w:rFonts w:ascii="Times New Roman" w:hAnsi="Times New Roman" w:cs="Times New Roman" w:eastAsia="Times New Roman" w:hint="default"/>
        </w:rPr>
        <w:t>1973</w:t>
      </w:r>
      <w:r>
        <w:rPr/>
        <w:t>年出生，中国国籍，无境外永久居留权。</w:t>
      </w:r>
      <w:r>
        <w:rPr>
          <w:rFonts w:ascii="Times New Roman" w:hAnsi="Times New Roman" w:cs="Times New Roman" w:eastAsia="Times New Roman" w:hint="default"/>
        </w:rPr>
        <w:t>1998</w:t>
      </w:r>
      <w:r>
        <w:rPr/>
        <w:t>年毕业于天津大学管理学院，获</w:t>
      </w:r>
      <w:r>
        <w:rPr>
          <w:w w:val="100"/>
        </w:rPr>
        <w:t> </w:t>
      </w:r>
      <w:r>
        <w:rPr>
          <w:spacing w:val="-2"/>
        </w:rPr>
        <w:t>硕士学位。</w:t>
      </w:r>
      <w:r>
        <w:rPr>
          <w:rFonts w:ascii="Times New Roman" w:hAnsi="Times New Roman" w:cs="Times New Roman" w:eastAsia="Times New Roman" w:hint="default"/>
          <w:spacing w:val="-2"/>
        </w:rPr>
        <w:t>1998</w:t>
      </w:r>
      <w:r>
        <w:rPr>
          <w:spacing w:val="-2"/>
        </w:rPr>
        <w:t>年至今任职于首都信息发展股份有限公司。现任本公司董事、首都信息发展股份有限公司</w:t>
      </w:r>
      <w:r>
        <w:rPr>
          <w:spacing w:val="-40"/>
        </w:rPr>
        <w:t> </w:t>
      </w:r>
      <w:r>
        <w:rPr>
          <w:spacing w:val="-40"/>
        </w:rPr>
      </w:r>
      <w:r>
        <w:rPr/>
        <w:t>董事会办公室主任。</w:t>
      </w:r>
    </w:p>
    <w:p>
      <w:pPr>
        <w:pStyle w:val="Heading4"/>
        <w:spacing w:line="261" w:lineRule="auto" w:before="143"/>
        <w:ind w:right="982" w:firstLine="420"/>
        <w:jc w:val="left"/>
      </w:pPr>
      <w:r>
        <w:rPr>
          <w:rFonts w:ascii="Times New Roman" w:hAnsi="Times New Roman" w:cs="Times New Roman" w:eastAsia="Times New Roman" w:hint="default"/>
        </w:rPr>
        <w:t>5</w:t>
      </w:r>
      <w:r>
        <w:rPr/>
        <w:t>、雷毅平先生：</w:t>
      </w:r>
      <w:r>
        <w:rPr>
          <w:rFonts w:ascii="Times New Roman" w:hAnsi="Times New Roman" w:cs="Times New Roman" w:eastAsia="Times New Roman" w:hint="default"/>
        </w:rPr>
        <w:t>1985</w:t>
      </w:r>
      <w:r>
        <w:rPr/>
        <w:t>年出生，中国国籍，无境外永久居留权。</w:t>
      </w:r>
      <w:r>
        <w:rPr>
          <w:rFonts w:ascii="Times New Roman" w:hAnsi="Times New Roman" w:cs="Times New Roman" w:eastAsia="Times New Roman" w:hint="default"/>
        </w:rPr>
        <w:t>2009</w:t>
      </w:r>
      <w:r>
        <w:rPr/>
        <w:t>年毕业于北京工业大学，获学士</w:t>
      </w:r>
      <w:r>
        <w:rPr>
          <w:w w:val="100"/>
        </w:rPr>
        <w:t> </w:t>
      </w:r>
      <w:r>
        <w:rPr>
          <w:spacing w:val="-4"/>
        </w:rPr>
        <w:t>学位。</w:t>
      </w:r>
      <w:r>
        <w:rPr>
          <w:rFonts w:ascii="Times New Roman" w:hAnsi="Times New Roman" w:cs="Times New Roman" w:eastAsia="Times New Roman" w:hint="default"/>
          <w:spacing w:val="-4"/>
        </w:rPr>
        <w:t>2011</w:t>
      </w:r>
      <w:r>
        <w:rPr>
          <w:spacing w:val="-4"/>
        </w:rPr>
        <w:t>年毕业于澳大利亚新南威尔士大学，获硕士学位。</w:t>
      </w:r>
      <w:r>
        <w:rPr>
          <w:rFonts w:ascii="Times New Roman" w:hAnsi="Times New Roman" w:cs="Times New Roman" w:eastAsia="Times New Roman" w:hint="default"/>
          <w:spacing w:val="-4"/>
        </w:rPr>
        <w:t>2012</w:t>
      </w:r>
      <w:r>
        <w:rPr>
          <w:spacing w:val="-4"/>
        </w:rPr>
        <w:t>年至</w:t>
      </w:r>
      <w:r>
        <w:rPr>
          <w:rFonts w:ascii="Times New Roman" w:hAnsi="Times New Roman" w:cs="Times New Roman" w:eastAsia="Times New Roman" w:hint="default"/>
          <w:spacing w:val="-4"/>
        </w:rPr>
        <w:t>2016</w:t>
      </w:r>
      <w:r>
        <w:rPr>
          <w:spacing w:val="-4"/>
        </w:rPr>
        <w:t>年先后任职于英利能源（北京）</w:t>
      </w:r>
      <w:r>
        <w:rPr>
          <w:spacing w:val="-36"/>
        </w:rPr>
        <w:t> </w:t>
      </w:r>
      <w:r>
        <w:rPr>
          <w:spacing w:val="-36"/>
        </w:rPr>
      </w:r>
      <w:r>
        <w:rPr>
          <w:spacing w:val="-2"/>
        </w:rPr>
        <w:t>有限公司、中清能绿洲科技股份有限公司、北京天星资本股份有限公司。现任本公司董事、北京工业发展</w:t>
      </w:r>
      <w:r>
        <w:rPr>
          <w:spacing w:val="-50"/>
        </w:rPr>
        <w:t> </w:t>
      </w:r>
      <w:r>
        <w:rPr>
          <w:spacing w:val="-50"/>
        </w:rPr>
      </w:r>
      <w:r>
        <w:rPr/>
        <w:t>投资管理有限公司高级投资经理。</w:t>
      </w:r>
    </w:p>
    <w:p>
      <w:pPr>
        <w:pStyle w:val="Heading4"/>
        <w:spacing w:line="256" w:lineRule="auto" w:before="138"/>
        <w:ind w:right="1126" w:firstLine="420"/>
        <w:jc w:val="both"/>
      </w:pPr>
      <w:r>
        <w:rPr>
          <w:rFonts w:ascii="Times New Roman" w:hAnsi="Times New Roman" w:cs="Times New Roman" w:eastAsia="Times New Roman" w:hint="default"/>
        </w:rPr>
        <w:t>6</w:t>
      </w:r>
      <w:r>
        <w:rPr/>
        <w:t>、王渝次先生：</w:t>
      </w:r>
      <w:r>
        <w:rPr>
          <w:rFonts w:ascii="Times New Roman" w:hAnsi="Times New Roman" w:cs="Times New Roman" w:eastAsia="Times New Roman" w:hint="default"/>
        </w:rPr>
        <w:t>1953</w:t>
      </w:r>
      <w:r>
        <w:rPr/>
        <w:t>年出生，中国国籍，无境外永久居留权。</w:t>
      </w:r>
      <w:r>
        <w:rPr>
          <w:rFonts w:ascii="Times New Roman" w:hAnsi="Times New Roman" w:cs="Times New Roman" w:eastAsia="Times New Roman" w:hint="default"/>
        </w:rPr>
        <w:t>1998</w:t>
      </w:r>
      <w:r>
        <w:rPr/>
        <w:t>年毕业于陕西财经学院商业经济</w:t>
      </w:r>
      <w:r>
        <w:rPr>
          <w:w w:val="100"/>
        </w:rPr>
        <w:t> </w:t>
      </w:r>
      <w:r>
        <w:rPr>
          <w:spacing w:val="-2"/>
        </w:rPr>
        <w:t>学专业，获经济学博士学位。</w:t>
      </w:r>
      <w:r>
        <w:rPr>
          <w:rFonts w:ascii="Times New Roman" w:hAnsi="Times New Roman" w:cs="Times New Roman" w:eastAsia="Times New Roman" w:hint="default"/>
          <w:spacing w:val="-2"/>
        </w:rPr>
        <w:t>1982</w:t>
      </w:r>
      <w:r>
        <w:rPr>
          <w:spacing w:val="-2"/>
        </w:rPr>
        <w:t>年至</w:t>
      </w:r>
      <w:r>
        <w:rPr>
          <w:rFonts w:ascii="Times New Roman" w:hAnsi="Times New Roman" w:cs="Times New Roman" w:eastAsia="Times New Roman" w:hint="default"/>
          <w:spacing w:val="-2"/>
        </w:rPr>
        <w:t>1995</w:t>
      </w:r>
      <w:r>
        <w:rPr>
          <w:spacing w:val="-2"/>
        </w:rPr>
        <w:t>年就职于中共中央办公厅；</w:t>
      </w:r>
      <w:r>
        <w:rPr>
          <w:rFonts w:ascii="Times New Roman" w:hAnsi="Times New Roman" w:cs="Times New Roman" w:eastAsia="Times New Roman" w:hint="default"/>
          <w:spacing w:val="-2"/>
        </w:rPr>
        <w:t>1995</w:t>
      </w:r>
      <w:r>
        <w:rPr>
          <w:spacing w:val="-2"/>
        </w:rPr>
        <w:t>年至</w:t>
      </w:r>
      <w:r>
        <w:rPr>
          <w:rFonts w:ascii="Times New Roman" w:hAnsi="Times New Roman" w:cs="Times New Roman" w:eastAsia="Times New Roman" w:hint="default"/>
          <w:spacing w:val="-2"/>
        </w:rPr>
        <w:t>2001</w:t>
      </w:r>
      <w:r>
        <w:rPr>
          <w:spacing w:val="-2"/>
        </w:rPr>
        <w:t>年就职于中央财经领</w:t>
      </w:r>
      <w:r>
        <w:rPr>
          <w:spacing w:val="-27"/>
        </w:rPr>
        <w:t> </w:t>
      </w:r>
      <w:r>
        <w:rPr>
          <w:spacing w:val="-27"/>
        </w:rPr>
      </w:r>
      <w:r>
        <w:rPr>
          <w:spacing w:val="-2"/>
        </w:rPr>
        <w:t>导小组办公室，历任秘书组处长、副组长、经贸组巡视员；</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2006</w:t>
      </w:r>
      <w:r>
        <w:rPr>
          <w:spacing w:val="-2"/>
        </w:rPr>
        <w:t>年就职于国务院信息化工作办公</w:t>
      </w:r>
      <w:r>
        <w:rPr>
          <w:spacing w:val="-38"/>
        </w:rPr>
        <w:t> </w:t>
      </w:r>
      <w:r>
        <w:rPr>
          <w:spacing w:val="-38"/>
        </w:rPr>
      </w:r>
      <w:r>
        <w:rPr>
          <w:spacing w:val="-2"/>
        </w:rPr>
        <w:t>室，担任综合组副组长、国家信息化专家委秘书长、网络与信息安全组组长；</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2012</w:t>
      </w:r>
      <w:r>
        <w:rPr>
          <w:spacing w:val="-2"/>
        </w:rPr>
        <w:t>年就职于国家</w:t>
      </w:r>
      <w:r>
        <w:rPr>
          <w:spacing w:val="-40"/>
        </w:rPr>
        <w:t> </w:t>
      </w:r>
      <w:r>
        <w:rPr>
          <w:spacing w:val="-40"/>
        </w:rPr>
      </w:r>
      <w:r>
        <w:rPr/>
        <w:t>邮政局，担任副局长；</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2016</w:t>
      </w:r>
      <w:r>
        <w:rPr/>
        <w:t>年担任中央企业专职外部董事。现任本公司独立董事。</w:t>
      </w:r>
    </w:p>
    <w:p>
      <w:pPr>
        <w:pStyle w:val="Heading4"/>
        <w:spacing w:line="256" w:lineRule="auto" w:before="125"/>
        <w:ind w:right="982" w:firstLine="420"/>
        <w:jc w:val="left"/>
      </w:pPr>
      <w:r>
        <w:rPr>
          <w:rFonts w:ascii="Times New Roman" w:hAnsi="Times New Roman" w:cs="Times New Roman" w:eastAsia="Times New Roman" w:hint="default"/>
        </w:rPr>
        <w:t>7</w:t>
      </w:r>
      <w:r>
        <w:rPr/>
        <w:t>、杜美杰女士：</w:t>
      </w:r>
      <w:r>
        <w:rPr>
          <w:rFonts w:ascii="Times New Roman" w:hAnsi="Times New Roman" w:cs="Times New Roman" w:eastAsia="Times New Roman" w:hint="default"/>
        </w:rPr>
        <w:t>1975</w:t>
      </w:r>
      <w:r>
        <w:rPr/>
        <w:t>年出生，中国国籍，无境外永久居留权。中国人民大学商学院会计系管理学博</w:t>
      </w:r>
      <w:r>
        <w:rPr>
          <w:w w:val="100"/>
        </w:rPr>
        <w:t> </w:t>
      </w:r>
      <w:r>
        <w:rPr>
          <w:spacing w:val="-2"/>
        </w:rPr>
        <w:t>士，北京大学光华管理学院博士后。曾先后取得中国注册会计师、美国注册内部审计师、美国注册管理会</w:t>
      </w:r>
    </w:p>
    <w:p>
      <w:pPr>
        <w:spacing w:after="0" w:line="256"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56" w:lineRule="auto" w:before="36"/>
        <w:ind w:right="982"/>
        <w:jc w:val="left"/>
      </w:pPr>
      <w:r>
        <w:rPr>
          <w:spacing w:val="-3"/>
        </w:rPr>
        <w:t>计师等资格证书。现任本公司独立董事，北京语言大学商学院会计系副教授、会计系主任、</w:t>
      </w:r>
      <w:r>
        <w:rPr>
          <w:rFonts w:ascii="Times New Roman" w:hAnsi="Times New Roman" w:cs="Times New Roman" w:eastAsia="Times New Roman" w:hint="default"/>
          <w:spacing w:val="-3"/>
        </w:rPr>
        <w:t>MPAcc</w:t>
      </w:r>
      <w:r>
        <w:rPr>
          <w:spacing w:val="-3"/>
        </w:rPr>
        <w:t>中心主</w:t>
      </w:r>
      <w:r>
        <w:rPr>
          <w:spacing w:val="-7"/>
        </w:rPr>
        <w:t> </w:t>
      </w:r>
      <w:r>
        <w:rPr>
          <w:spacing w:val="-7"/>
        </w:rPr>
      </w:r>
      <w:r>
        <w:rPr/>
        <w:t>任。</w:t>
      </w:r>
    </w:p>
    <w:p>
      <w:pPr>
        <w:pStyle w:val="Heading4"/>
        <w:spacing w:line="256" w:lineRule="auto" w:before="142"/>
        <w:ind w:right="1128" w:firstLine="420"/>
        <w:jc w:val="both"/>
      </w:pPr>
      <w:r>
        <w:rPr>
          <w:rFonts w:ascii="Times New Roman" w:hAnsi="Times New Roman" w:cs="Times New Roman" w:eastAsia="Times New Roman" w:hint="default"/>
        </w:rPr>
        <w:t>8</w:t>
      </w:r>
      <w:r>
        <w:rPr/>
        <w:t>、张文亮先生：</w:t>
      </w:r>
      <w:r>
        <w:rPr>
          <w:rFonts w:ascii="Times New Roman" w:hAnsi="Times New Roman" w:cs="Times New Roman" w:eastAsia="Times New Roman" w:hint="default"/>
        </w:rPr>
        <w:t>1977</w:t>
      </w:r>
      <w:r>
        <w:rPr/>
        <w:t>年出生，中国国籍，无境外永久居留权。</w:t>
      </w:r>
      <w:r>
        <w:rPr>
          <w:rFonts w:ascii="Times New Roman" w:hAnsi="Times New Roman" w:cs="Times New Roman" w:eastAsia="Times New Roman" w:hint="default"/>
        </w:rPr>
        <w:t>2001</w:t>
      </w:r>
      <w:r>
        <w:rPr/>
        <w:t>年毕业于北京大学法学院，获学</w:t>
      </w:r>
      <w:r>
        <w:rPr>
          <w:w w:val="100"/>
        </w:rPr>
        <w:t> </w:t>
      </w:r>
      <w:r>
        <w:rPr/>
        <w:t>士学位，</w:t>
      </w:r>
      <w:r>
        <w:rPr>
          <w:rFonts w:ascii="Times New Roman" w:hAnsi="Times New Roman" w:cs="Times New Roman" w:eastAsia="Times New Roman" w:hint="default"/>
        </w:rPr>
        <w:t>2009</w:t>
      </w:r>
      <w:r>
        <w:rPr/>
        <w:t>年取得律师执业资格。现任本公司独立董事、北京观韬中茂律师事务所合伙人。</w:t>
      </w:r>
    </w:p>
    <w:p>
      <w:pPr>
        <w:pStyle w:val="Heading4"/>
        <w:spacing w:line="240" w:lineRule="auto" w:before="125"/>
        <w:ind w:left="573" w:right="0"/>
        <w:jc w:val="left"/>
      </w:pPr>
      <w:r>
        <w:rPr>
          <w:rFonts w:ascii="Times New Roman" w:hAnsi="Times New Roman" w:cs="Times New Roman" w:eastAsia="Times New Roman" w:hint="default"/>
        </w:rPr>
        <w:t>9</w:t>
      </w:r>
      <w:r>
        <w:rPr/>
        <w:t>、吴舜皋先生：</w:t>
      </w:r>
      <w:r>
        <w:rPr>
          <w:rFonts w:ascii="Times New Roman" w:hAnsi="Times New Roman" w:cs="Times New Roman" w:eastAsia="Times New Roman" w:hint="default"/>
        </w:rPr>
        <w:t>1965</w:t>
      </w:r>
      <w:r>
        <w:rPr/>
        <w:t>年出生，中国国籍，无境外永久居留权。</w:t>
      </w:r>
      <w:r>
        <w:rPr>
          <w:rFonts w:ascii="Times New Roman" w:hAnsi="Times New Roman" w:cs="Times New Roman" w:eastAsia="Times New Roman" w:hint="default"/>
        </w:rPr>
        <w:t>1986</w:t>
      </w:r>
      <w:r>
        <w:rPr/>
        <w:t>年毕业于武汉大学，获学士学位。</w:t>
      </w:r>
    </w:p>
    <w:p>
      <w:pPr>
        <w:pStyle w:val="Heading4"/>
        <w:spacing w:line="256" w:lineRule="auto" w:before="21"/>
        <w:ind w:right="982"/>
        <w:jc w:val="left"/>
      </w:pPr>
      <w:r>
        <w:rPr>
          <w:rFonts w:ascii="Times New Roman" w:hAnsi="Times New Roman" w:cs="Times New Roman" w:eastAsia="Times New Roman" w:hint="default"/>
          <w:spacing w:val="-4"/>
        </w:rPr>
        <w:t>1986</w:t>
      </w:r>
      <w:r>
        <w:rPr>
          <w:spacing w:val="-4"/>
        </w:rPr>
        <w:t>年至</w:t>
      </w:r>
      <w:r>
        <w:rPr>
          <w:rFonts w:ascii="Times New Roman" w:hAnsi="Times New Roman" w:cs="Times New Roman" w:eastAsia="Times New Roman" w:hint="default"/>
          <w:spacing w:val="-4"/>
        </w:rPr>
        <w:t>2003</w:t>
      </w:r>
      <w:r>
        <w:rPr>
          <w:spacing w:val="-4"/>
        </w:rPr>
        <w:t>年任职于解放军某研究所，任高级工程师；</w:t>
      </w:r>
      <w:r>
        <w:rPr>
          <w:rFonts w:ascii="Times New Roman" w:hAnsi="Times New Roman" w:cs="Times New Roman" w:eastAsia="Times New Roman" w:hint="default"/>
          <w:spacing w:val="-4"/>
        </w:rPr>
        <w:t>2003</w:t>
      </w:r>
      <w:r>
        <w:rPr>
          <w:spacing w:val="-4"/>
        </w:rPr>
        <w:t>年至今任职于本公司，现任公司监事会主席。</w:t>
      </w:r>
      <w:r>
        <w:rPr>
          <w:spacing w:val="-28"/>
        </w:rPr>
        <w:t> </w:t>
      </w:r>
      <w:r>
        <w:rPr>
          <w:spacing w:val="-28"/>
        </w:rPr>
      </w:r>
      <w:r>
        <w:rPr/>
        <w:t>曾获</w:t>
      </w:r>
      <w:r>
        <w:rPr>
          <w:rFonts w:ascii="Times New Roman" w:hAnsi="Times New Roman" w:cs="Times New Roman" w:eastAsia="Times New Roman" w:hint="default"/>
        </w:rPr>
        <w:t>“</w:t>
      </w:r>
      <w:r>
        <w:rPr/>
        <w:t>国家科技进步二等奖</w:t>
      </w:r>
      <w:r>
        <w:rPr>
          <w:rFonts w:ascii="Times New Roman" w:hAnsi="Times New Roman" w:cs="Times New Roman" w:eastAsia="Times New Roman" w:hint="default"/>
        </w:rPr>
        <w:t>”</w:t>
      </w:r>
      <w:r>
        <w:rPr/>
        <w:t>。</w:t>
      </w:r>
    </w:p>
    <w:p>
      <w:pPr>
        <w:pStyle w:val="Heading4"/>
        <w:spacing w:line="256" w:lineRule="auto" w:before="125"/>
        <w:ind w:right="982" w:firstLine="420"/>
        <w:jc w:val="left"/>
      </w:pPr>
      <w:r>
        <w:rPr>
          <w:rFonts w:ascii="Times New Roman" w:hAnsi="Times New Roman" w:cs="Times New Roman" w:eastAsia="Times New Roman" w:hint="default"/>
        </w:rPr>
        <w:t>10</w:t>
      </w:r>
      <w:r>
        <w:rPr/>
        <w:t>、刘明哲先生：</w:t>
      </w:r>
      <w:r>
        <w:rPr>
          <w:rFonts w:ascii="Times New Roman" w:hAnsi="Times New Roman" w:cs="Times New Roman" w:eastAsia="Times New Roman" w:hint="default"/>
        </w:rPr>
        <w:t>1981</w:t>
      </w:r>
      <w:r>
        <w:rPr/>
        <w:t>年出生，中国国籍，无境外永久居留权。</w:t>
      </w:r>
      <w:r>
        <w:rPr>
          <w:rFonts w:ascii="Times New Roman" w:hAnsi="Times New Roman" w:cs="Times New Roman" w:eastAsia="Times New Roman" w:hint="default"/>
        </w:rPr>
        <w:t>2005</w:t>
      </w:r>
      <w:r>
        <w:rPr/>
        <w:t>年毕业于北京物资学院。</w:t>
      </w:r>
      <w:r>
        <w:rPr>
          <w:rFonts w:ascii="Times New Roman" w:hAnsi="Times New Roman" w:cs="Times New Roman" w:eastAsia="Times New Roman" w:hint="default"/>
        </w:rPr>
        <w:t>2005</w:t>
      </w:r>
      <w:r>
        <w:rPr/>
        <w:t>年</w:t>
      </w:r>
      <w:r>
        <w:rPr>
          <w:w w:val="100"/>
        </w:rPr>
        <w:t> </w:t>
      </w:r>
      <w:r>
        <w:rPr>
          <w:spacing w:val="-2"/>
        </w:rPr>
        <w:t>至</w:t>
      </w:r>
      <w:r>
        <w:rPr>
          <w:rFonts w:ascii="Times New Roman" w:hAnsi="Times New Roman" w:cs="Times New Roman" w:eastAsia="Times New Roman" w:hint="default"/>
          <w:spacing w:val="-2"/>
        </w:rPr>
        <w:t>2007</w:t>
      </w:r>
      <w:r>
        <w:rPr>
          <w:spacing w:val="-2"/>
        </w:rPr>
        <w:t>年任职于北京七六一通信雷达有限责任公司；</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2012</w:t>
      </w:r>
      <w:r>
        <w:rPr>
          <w:spacing w:val="-2"/>
        </w:rPr>
        <w:t>年任职于北京北广电子集团有限责任公</w:t>
      </w:r>
      <w:r>
        <w:rPr>
          <w:spacing w:val="-32"/>
        </w:rPr>
        <w:t> </w:t>
      </w:r>
      <w:r>
        <w:rPr>
          <w:spacing w:val="-32"/>
        </w:rPr>
      </w:r>
      <w:r>
        <w:rPr>
          <w:spacing w:val="-2"/>
        </w:rPr>
        <w:t>司，任财务部副部长；</w:t>
      </w:r>
      <w:r>
        <w:rPr>
          <w:rFonts w:ascii="Times New Roman" w:hAnsi="Times New Roman" w:cs="Times New Roman" w:eastAsia="Times New Roman" w:hint="default"/>
          <w:spacing w:val="-2"/>
        </w:rPr>
        <w:t>2012</w:t>
      </w:r>
      <w:r>
        <w:rPr>
          <w:spacing w:val="-2"/>
        </w:rPr>
        <w:t>年至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月任职于北京市国有资产经营有限责任公司，任财务部副总经理；</w:t>
      </w:r>
      <w:r>
        <w:rPr>
          <w:spacing w:val="-33"/>
        </w:rPr>
        <w:t> </w:t>
      </w:r>
      <w:r>
        <w:rPr>
          <w:spacing w:val="-33"/>
        </w:rPr>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月至今，任职于北京水晶石数字科技股份有限公司担任副总经理（财务总监），现任本公司监事。</w:t>
      </w:r>
    </w:p>
    <w:p>
      <w:pPr>
        <w:pStyle w:val="Heading4"/>
        <w:spacing w:line="256" w:lineRule="auto" w:before="125"/>
        <w:ind w:right="1126" w:firstLine="420"/>
        <w:jc w:val="both"/>
      </w:pPr>
      <w:r>
        <w:rPr>
          <w:rFonts w:ascii="Times New Roman" w:hAnsi="Times New Roman" w:cs="Times New Roman" w:eastAsia="Times New Roman" w:hint="default"/>
          <w:spacing w:val="-2"/>
        </w:rPr>
        <w:t>11</w:t>
      </w:r>
      <w:r>
        <w:rPr>
          <w:spacing w:val="-2"/>
        </w:rPr>
        <w:t>、李志梅女士：</w:t>
      </w:r>
      <w:r>
        <w:rPr>
          <w:rFonts w:ascii="Times New Roman" w:hAnsi="Times New Roman" w:cs="Times New Roman" w:eastAsia="Times New Roman" w:hint="default"/>
          <w:spacing w:val="-2"/>
        </w:rPr>
        <w:t>1970</w:t>
      </w:r>
      <w:r>
        <w:rPr>
          <w:spacing w:val="-2"/>
        </w:rPr>
        <w:t>年出生，中国国籍，无境外永久居留权。</w:t>
      </w:r>
      <w:r>
        <w:rPr>
          <w:rFonts w:ascii="Times New Roman" w:hAnsi="Times New Roman" w:cs="Times New Roman" w:eastAsia="Times New Roman" w:hint="default"/>
          <w:spacing w:val="-2"/>
        </w:rPr>
        <w:t>1992</w:t>
      </w:r>
      <w:r>
        <w:rPr>
          <w:spacing w:val="-2"/>
        </w:rPr>
        <w:t>年毕业于辽宁广播电视大学对外</w:t>
      </w:r>
      <w:r>
        <w:rPr>
          <w:w w:val="100"/>
        </w:rPr>
        <w:t> </w:t>
      </w:r>
      <w:r>
        <w:rPr>
          <w:spacing w:val="-2"/>
        </w:rPr>
        <w:t>经济贸易专业。</w:t>
      </w:r>
      <w:r>
        <w:rPr>
          <w:rFonts w:ascii="Times New Roman" w:hAnsi="Times New Roman" w:cs="Times New Roman" w:eastAsia="Times New Roman" w:hint="default"/>
          <w:spacing w:val="-2"/>
        </w:rPr>
        <w:t>1992</w:t>
      </w:r>
      <w:r>
        <w:rPr>
          <w:spacing w:val="-2"/>
        </w:rPr>
        <w:t>年至</w:t>
      </w:r>
      <w:r>
        <w:rPr>
          <w:rFonts w:ascii="Times New Roman" w:hAnsi="Times New Roman" w:cs="Times New Roman" w:eastAsia="Times New Roman" w:hint="default"/>
          <w:spacing w:val="-2"/>
        </w:rPr>
        <w:t>2001</w:t>
      </w:r>
      <w:r>
        <w:rPr>
          <w:spacing w:val="-2"/>
        </w:rPr>
        <w:t>年任职于北京华科电子技术公司，任财务主管；</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2005</w:t>
      </w:r>
      <w:r>
        <w:rPr>
          <w:spacing w:val="-2"/>
        </w:rPr>
        <w:t>年先后任职于</w:t>
      </w:r>
      <w:r>
        <w:rPr>
          <w:spacing w:val="-37"/>
        </w:rPr>
        <w:t> </w:t>
      </w:r>
      <w:r>
        <w:rPr>
          <w:spacing w:val="-37"/>
        </w:rPr>
      </w:r>
      <w:r>
        <w:rPr/>
        <w:t>北京美加教育集团、北京金汛新世纪机器人制造有限公司、荣诚机电</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有限公司；</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2019</w:t>
      </w:r>
      <w:r>
        <w:rPr/>
        <w:t>年任</w:t>
      </w:r>
      <w:r>
        <w:rPr>
          <w:spacing w:val="-54"/>
        </w:rPr>
        <w:t> </w:t>
      </w:r>
      <w:r>
        <w:rPr>
          <w:spacing w:val="-2"/>
        </w:rPr>
        <w:t>职于首都信息发展股份有限公司。公司监事会于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6</w:t>
      </w:r>
      <w:r>
        <w:rPr>
          <w:spacing w:val="-2"/>
        </w:rPr>
        <w:t>日收到李志梅女士的辞职报告，其辞职将在公</w:t>
      </w:r>
      <w:r>
        <w:rPr>
          <w:spacing w:val="-42"/>
        </w:rPr>
        <w:t> </w:t>
      </w:r>
      <w:r>
        <w:rPr>
          <w:spacing w:val="-42"/>
        </w:rPr>
      </w:r>
      <w:r>
        <w:rPr/>
        <w:t>司股东大会选举产生新任监事后生效。</w:t>
      </w:r>
    </w:p>
    <w:p>
      <w:pPr>
        <w:pStyle w:val="Heading4"/>
        <w:spacing w:line="256" w:lineRule="auto" w:before="142"/>
        <w:ind w:right="982" w:firstLine="420"/>
        <w:jc w:val="left"/>
      </w:pPr>
      <w:r>
        <w:rPr>
          <w:rFonts w:ascii="Times New Roman" w:hAnsi="Times New Roman" w:cs="Times New Roman" w:eastAsia="Times New Roman" w:hint="default"/>
          <w:spacing w:val="-2"/>
        </w:rPr>
        <w:t>12</w:t>
      </w:r>
      <w:r>
        <w:rPr>
          <w:spacing w:val="-2"/>
        </w:rPr>
        <w:t>、张益谦先生：</w:t>
      </w:r>
      <w:r>
        <w:rPr>
          <w:rFonts w:ascii="Times New Roman" w:hAnsi="Times New Roman" w:cs="Times New Roman" w:eastAsia="Times New Roman" w:hint="default"/>
          <w:spacing w:val="-2"/>
        </w:rPr>
        <w:t>1978</w:t>
      </w:r>
      <w:r>
        <w:rPr>
          <w:spacing w:val="-2"/>
        </w:rPr>
        <w:t>年出生，中国国籍，无境外永久居留权。</w:t>
      </w:r>
      <w:r>
        <w:rPr>
          <w:rFonts w:ascii="Times New Roman" w:hAnsi="Times New Roman" w:cs="Times New Roman" w:eastAsia="Times New Roman" w:hint="default"/>
          <w:spacing w:val="-2"/>
        </w:rPr>
        <w:t>2012</w:t>
      </w:r>
      <w:r>
        <w:rPr>
          <w:spacing w:val="-2"/>
        </w:rPr>
        <w:t>年毕业于北京航空航天大学软件</w:t>
      </w:r>
      <w:r>
        <w:rPr>
          <w:w w:val="100"/>
        </w:rPr>
        <w:t> </w:t>
      </w:r>
      <w:r>
        <w:rPr>
          <w:spacing w:val="-5"/>
        </w:rPr>
        <w:t>工程领域工程专业，获工程硕士学位。</w:t>
      </w:r>
      <w:r>
        <w:rPr>
          <w:rFonts w:ascii="Times New Roman" w:hAnsi="Times New Roman" w:cs="Times New Roman" w:eastAsia="Times New Roman" w:hint="default"/>
          <w:spacing w:val="-5"/>
        </w:rPr>
        <w:t>2001</w:t>
      </w:r>
      <w:r>
        <w:rPr>
          <w:spacing w:val="-5"/>
        </w:rPr>
        <w:t>年至今任职于本公司，历任销售代表、政府与公共服务部经理、</w:t>
      </w:r>
      <w:r>
        <w:rPr>
          <w:spacing w:val="-3"/>
        </w:rPr>
        <w:t> </w:t>
      </w:r>
      <w:r>
        <w:rPr>
          <w:spacing w:val="-3"/>
        </w:rPr>
      </w:r>
      <w:r>
        <w:rPr/>
        <w:t>大客户中心总监、营销中心总监、公司总监，现任公司副总经理。</w:t>
      </w:r>
    </w:p>
    <w:p>
      <w:pPr>
        <w:pStyle w:val="Heading4"/>
        <w:spacing w:line="256" w:lineRule="auto" w:before="143"/>
        <w:ind w:right="982" w:firstLine="420"/>
        <w:jc w:val="left"/>
      </w:pPr>
      <w:r>
        <w:rPr>
          <w:rFonts w:ascii="Times New Roman" w:hAnsi="Times New Roman" w:cs="Times New Roman" w:eastAsia="Times New Roman" w:hint="default"/>
        </w:rPr>
        <w:t>13</w:t>
      </w:r>
      <w:r>
        <w:rPr/>
        <w:t>、侯鹏亮先生：</w:t>
      </w:r>
      <w:r>
        <w:rPr>
          <w:rFonts w:ascii="Times New Roman" w:hAnsi="Times New Roman" w:cs="Times New Roman" w:eastAsia="Times New Roman" w:hint="default"/>
        </w:rPr>
        <w:t>1975</w:t>
      </w:r>
      <w:r>
        <w:rPr/>
        <w:t>年出生，中国国籍，无境外永久居留权。</w:t>
      </w:r>
      <w:r>
        <w:rPr>
          <w:rFonts w:ascii="Times New Roman" w:hAnsi="Times New Roman" w:cs="Times New Roman" w:eastAsia="Times New Roman" w:hint="default"/>
        </w:rPr>
        <w:t>1997</w:t>
      </w:r>
      <w:r>
        <w:rPr/>
        <w:t>毕业于江汉大学计算机技术系分</w:t>
      </w:r>
      <w:r>
        <w:rPr>
          <w:w w:val="100"/>
        </w:rPr>
        <w:t> </w:t>
      </w:r>
      <w:r>
        <w:rPr>
          <w:spacing w:val="-2"/>
        </w:rPr>
        <w:t>析测试专业，大学专科学历；</w:t>
      </w:r>
      <w:r>
        <w:rPr>
          <w:rFonts w:ascii="Times New Roman" w:hAnsi="Times New Roman" w:cs="Times New Roman" w:eastAsia="Times New Roman" w:hint="default"/>
          <w:spacing w:val="-2"/>
        </w:rPr>
        <w:t>2004</w:t>
      </w:r>
      <w:r>
        <w:rPr>
          <w:spacing w:val="-2"/>
        </w:rPr>
        <w:t>毕业于武汉大学软件工程专业，在职硕士研究生学历。</w:t>
      </w:r>
      <w:r>
        <w:rPr>
          <w:rFonts w:ascii="Times New Roman" w:hAnsi="Times New Roman" w:cs="Times New Roman" w:eastAsia="Times New Roman" w:hint="default"/>
          <w:spacing w:val="-2"/>
        </w:rPr>
        <w:t>1997</w:t>
      </w:r>
      <w:r>
        <w:rPr>
          <w:spacing w:val="-2"/>
        </w:rPr>
        <w:t>至</w:t>
      </w:r>
      <w:r>
        <w:rPr>
          <w:rFonts w:ascii="Times New Roman" w:hAnsi="Times New Roman" w:cs="Times New Roman" w:eastAsia="Times New Roman" w:hint="default"/>
          <w:spacing w:val="-2"/>
        </w:rPr>
        <w:t>2011</w:t>
      </w:r>
      <w:r>
        <w:rPr>
          <w:spacing w:val="-2"/>
        </w:rPr>
        <w:t>年分</w:t>
      </w:r>
      <w:r>
        <w:rPr>
          <w:spacing w:val="-37"/>
        </w:rPr>
        <w:t> </w:t>
      </w:r>
      <w:r>
        <w:rPr/>
        <w:t>别任职于武汉维豪信息技术有限公司、上海维豪信息安全有限公司。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月至今任职于本公司，现任</w:t>
      </w:r>
      <w:r>
        <w:rPr>
          <w:spacing w:val="-25"/>
        </w:rPr>
        <w:t> </w:t>
      </w:r>
      <w:r>
        <w:rPr>
          <w:spacing w:val="-25"/>
        </w:rPr>
      </w:r>
      <w:r>
        <w:rPr>
          <w:spacing w:val="-7"/>
          <w:w w:val="100"/>
        </w:rPr>
        <w:t>公司副总经理。曾先后荣获</w:t>
      </w:r>
      <w:r>
        <w:rPr>
          <w:rFonts w:ascii="Times New Roman" w:hAnsi="Times New Roman" w:cs="Times New Roman" w:eastAsia="Times New Roman" w:hint="default"/>
          <w:spacing w:val="-7"/>
          <w:w w:val="100"/>
        </w:rPr>
        <w:t>“</w:t>
      </w:r>
      <w:r>
        <w:rPr>
          <w:spacing w:val="-7"/>
          <w:w w:val="100"/>
        </w:rPr>
        <w:t>武汉市科技进步三等奖</w:t>
      </w:r>
      <w:r>
        <w:rPr>
          <w:rFonts w:ascii="Times New Roman" w:hAnsi="Times New Roman" w:cs="Times New Roman" w:eastAsia="Times New Roman" w:hint="default"/>
          <w:spacing w:val="-7"/>
          <w:w w:val="100"/>
        </w:rPr>
        <w:t>”</w:t>
      </w:r>
      <w:r>
        <w:rPr>
          <w:spacing w:val="-7"/>
          <w:w w:val="100"/>
        </w:rPr>
        <w:t>、</w:t>
      </w:r>
      <w:r>
        <w:rPr>
          <w:rFonts w:ascii="Times New Roman" w:hAnsi="Times New Roman" w:cs="Times New Roman" w:eastAsia="Times New Roman" w:hint="default"/>
          <w:spacing w:val="-7"/>
          <w:w w:val="100"/>
        </w:rPr>
        <w:t>“</w:t>
      </w:r>
      <w:r>
        <w:rPr>
          <w:spacing w:val="-7"/>
          <w:w w:val="100"/>
        </w:rPr>
        <w:t>上海市科技进步一等奖</w:t>
      </w:r>
      <w:r>
        <w:rPr>
          <w:rFonts w:ascii="Times New Roman" w:hAnsi="Times New Roman" w:cs="Times New Roman" w:eastAsia="Times New Roman" w:hint="default"/>
          <w:spacing w:val="-7"/>
          <w:w w:val="100"/>
        </w:rPr>
        <w:t>”</w:t>
      </w:r>
      <w:r>
        <w:rPr>
          <w:spacing w:val="-7"/>
          <w:w w:val="100"/>
        </w:rPr>
        <w:t>、</w:t>
      </w:r>
      <w:r>
        <w:rPr>
          <w:rFonts w:ascii="Times New Roman" w:hAnsi="Times New Roman" w:cs="Times New Roman" w:eastAsia="Times New Roman" w:hint="default"/>
          <w:spacing w:val="-7"/>
          <w:w w:val="100"/>
        </w:rPr>
        <w:t>“</w:t>
      </w:r>
      <w:r>
        <w:rPr>
          <w:spacing w:val="-7"/>
          <w:w w:val="100"/>
        </w:rPr>
        <w:t>北京市科学技术三等奖</w:t>
      </w:r>
      <w:r>
        <w:rPr>
          <w:rFonts w:ascii="Times New Roman" w:hAnsi="Times New Roman" w:cs="Times New Roman" w:eastAsia="Times New Roman" w:hint="default"/>
          <w:spacing w:val="-7"/>
          <w:w w:val="100"/>
        </w:rPr>
        <w:t>”</w:t>
      </w:r>
      <w:r>
        <w:rPr>
          <w:spacing w:val="-7"/>
          <w:w w:val="100"/>
        </w:rPr>
        <w:t>，</w:t>
      </w:r>
      <w:r>
        <w:rPr>
          <w:spacing w:val="-86"/>
          <w:w w:val="100"/>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w:t>
      </w:r>
      <w:r>
        <w:rPr/>
        <w:t>工业控制系统密码应用研究项目</w:t>
      </w:r>
      <w:r>
        <w:rPr>
          <w:rFonts w:ascii="Times New Roman" w:hAnsi="Times New Roman" w:cs="Times New Roman" w:eastAsia="Times New Roman" w:hint="default"/>
        </w:rPr>
        <w:t>”</w:t>
      </w:r>
      <w:r>
        <w:rPr/>
        <w:t>获得省部级密码奖三等奖。</w:t>
      </w:r>
    </w:p>
    <w:p>
      <w:pPr>
        <w:pStyle w:val="Heading4"/>
        <w:spacing w:line="256" w:lineRule="auto" w:before="125"/>
        <w:ind w:right="1126" w:firstLine="420"/>
        <w:jc w:val="both"/>
      </w:pPr>
      <w:r>
        <w:rPr>
          <w:rFonts w:ascii="Times New Roman" w:hAnsi="Times New Roman" w:cs="Times New Roman" w:eastAsia="Times New Roman" w:hint="default"/>
          <w:spacing w:val="-2"/>
        </w:rPr>
        <w:t>14</w:t>
      </w:r>
      <w:r>
        <w:rPr>
          <w:spacing w:val="-2"/>
        </w:rPr>
        <w:t>、齐秀彬女士：</w:t>
      </w:r>
      <w:r>
        <w:rPr>
          <w:rFonts w:ascii="Times New Roman" w:hAnsi="Times New Roman" w:cs="Times New Roman" w:eastAsia="Times New Roman" w:hint="default"/>
          <w:spacing w:val="-2"/>
        </w:rPr>
        <w:t>1977</w:t>
      </w:r>
      <w:r>
        <w:rPr>
          <w:spacing w:val="-2"/>
        </w:rPr>
        <w:t>年出生，中国国籍，无境外永久居留权。</w:t>
      </w:r>
      <w:r>
        <w:rPr>
          <w:rFonts w:ascii="Times New Roman" w:hAnsi="Times New Roman" w:cs="Times New Roman" w:eastAsia="Times New Roman" w:hint="default"/>
          <w:spacing w:val="-2"/>
        </w:rPr>
        <w:t>2001</w:t>
      </w:r>
      <w:r>
        <w:rPr>
          <w:spacing w:val="-2"/>
        </w:rPr>
        <w:t>年毕业于哈尔滨工业大学，获硕</w:t>
      </w:r>
      <w:r>
        <w:rPr>
          <w:w w:val="100"/>
        </w:rPr>
        <w:t> </w:t>
      </w:r>
      <w:r>
        <w:rPr>
          <w:spacing w:val="-6"/>
        </w:rPr>
        <w:t>士学位。</w:t>
      </w:r>
      <w:r>
        <w:rPr>
          <w:rFonts w:ascii="Times New Roman" w:hAnsi="Times New Roman" w:cs="Times New Roman" w:eastAsia="Times New Roman" w:hint="default"/>
          <w:spacing w:val="-6"/>
        </w:rPr>
        <w:t>2001</w:t>
      </w:r>
      <w:r>
        <w:rPr>
          <w:spacing w:val="-6"/>
        </w:rPr>
        <w:t>年至</w:t>
      </w:r>
      <w:r>
        <w:rPr>
          <w:rFonts w:ascii="Times New Roman" w:hAnsi="Times New Roman" w:cs="Times New Roman" w:eastAsia="Times New Roman" w:hint="default"/>
          <w:spacing w:val="-6"/>
        </w:rPr>
        <w:t>2016</w:t>
      </w:r>
      <w:r>
        <w:rPr>
          <w:spacing w:val="-6"/>
        </w:rPr>
        <w:t>年就职于大唐电信科技股份有限公司，</w:t>
      </w:r>
      <w:r>
        <w:rPr>
          <w:rFonts w:ascii="Times New Roman" w:hAnsi="Times New Roman" w:cs="Times New Roman" w:eastAsia="Times New Roman" w:hint="default"/>
          <w:spacing w:val="-6"/>
        </w:rPr>
        <w:t>2005</w:t>
      </w:r>
      <w:r>
        <w:rPr>
          <w:spacing w:val="-6"/>
        </w:rPr>
        <w:t>年至</w:t>
      </w:r>
      <w:r>
        <w:rPr>
          <w:rFonts w:ascii="Times New Roman" w:hAnsi="Times New Roman" w:cs="Times New Roman" w:eastAsia="Times New Roman" w:hint="default"/>
          <w:spacing w:val="-6"/>
        </w:rPr>
        <w:t>2016</w:t>
      </w:r>
      <w:r>
        <w:rPr>
          <w:spacing w:val="-6"/>
        </w:rPr>
        <w:t>年担任该公司董事会秘书，</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年至</w:t>
      </w:r>
      <w:r>
        <w:rPr>
          <w:rFonts w:ascii="Times New Roman" w:hAnsi="Times New Roman" w:cs="Times New Roman" w:eastAsia="Times New Roman" w:hint="default"/>
        </w:rPr>
        <w:t>2016</w:t>
      </w:r>
      <w:r>
        <w:rPr/>
        <w:t>年兼任总法律顾问；</w:t>
      </w:r>
      <w:r>
        <w:rPr>
          <w:rFonts w:ascii="Times New Roman" w:hAnsi="Times New Roman" w:cs="Times New Roman" w:eastAsia="Times New Roman" w:hint="default"/>
        </w:rPr>
        <w:t>2017</w:t>
      </w:r>
      <w:r>
        <w:rPr/>
        <w:t>年至今任职于本公司，现任公司副总经理、董事会秘书。</w:t>
      </w:r>
    </w:p>
    <w:p>
      <w:pPr>
        <w:pStyle w:val="Heading4"/>
        <w:spacing w:line="256" w:lineRule="auto" w:before="125"/>
        <w:ind w:right="1126" w:firstLine="420"/>
        <w:jc w:val="both"/>
      </w:pPr>
      <w:r>
        <w:rPr>
          <w:rFonts w:ascii="Times New Roman" w:hAnsi="Times New Roman" w:cs="Times New Roman" w:eastAsia="Times New Roman" w:hint="default"/>
          <w:spacing w:val="-2"/>
        </w:rPr>
        <w:t>15</w:t>
      </w:r>
      <w:r>
        <w:rPr>
          <w:spacing w:val="-2"/>
        </w:rPr>
        <w:t>、吴伟东女士：</w:t>
      </w:r>
      <w:r>
        <w:rPr>
          <w:rFonts w:ascii="Times New Roman" w:hAnsi="Times New Roman" w:cs="Times New Roman" w:eastAsia="Times New Roman" w:hint="default"/>
          <w:spacing w:val="-2"/>
        </w:rPr>
        <w:t>1969</w:t>
      </w:r>
      <w:r>
        <w:rPr>
          <w:spacing w:val="-2"/>
        </w:rPr>
        <w:t>年出生，中国国籍，无境外永久居留权。</w:t>
      </w:r>
      <w:r>
        <w:rPr>
          <w:rFonts w:ascii="Times New Roman" w:hAnsi="Times New Roman" w:cs="Times New Roman" w:eastAsia="Times New Roman" w:hint="default"/>
          <w:spacing w:val="-2"/>
        </w:rPr>
        <w:t>1991</w:t>
      </w:r>
      <w:r>
        <w:rPr>
          <w:spacing w:val="-2"/>
        </w:rPr>
        <w:t>年毕业于中国人民大学社会学专</w:t>
      </w:r>
      <w:r>
        <w:rPr>
          <w:w w:val="100"/>
        </w:rPr>
        <w:t> </w:t>
      </w:r>
      <w:r>
        <w:rPr>
          <w:spacing w:val="-2"/>
        </w:rPr>
        <w:t>业，获法学学士学位。</w:t>
      </w:r>
      <w:r>
        <w:rPr>
          <w:rFonts w:ascii="Times New Roman" w:hAnsi="Times New Roman" w:cs="Times New Roman" w:eastAsia="Times New Roman" w:hint="default"/>
          <w:spacing w:val="-2"/>
        </w:rPr>
        <w:t>1991</w:t>
      </w:r>
      <w:r>
        <w:rPr>
          <w:spacing w:val="-2"/>
        </w:rPr>
        <w:t>年至</w:t>
      </w:r>
      <w:r>
        <w:rPr>
          <w:rFonts w:ascii="Times New Roman" w:hAnsi="Times New Roman" w:cs="Times New Roman" w:eastAsia="Times New Roman" w:hint="default"/>
          <w:spacing w:val="-2"/>
        </w:rPr>
        <w:t>2017</w:t>
      </w:r>
      <w:r>
        <w:rPr>
          <w:spacing w:val="-2"/>
        </w:rPr>
        <w:t>年先后任职于北京市人事局政策法规处、华理经济文化发展公司、北</w:t>
      </w:r>
      <w:r>
        <w:rPr>
          <w:spacing w:val="-43"/>
        </w:rPr>
        <w:t> </w:t>
      </w:r>
      <w:r>
        <w:rPr>
          <w:spacing w:val="-43"/>
        </w:rPr>
      </w:r>
      <w:r>
        <w:rPr/>
        <w:t>京大发正大有限公司、北京科技园建设（集团）股份有限公司、首都信息发展股份有限公司；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spacing w:val="-24"/>
        </w:rPr>
        <w:t> </w:t>
      </w:r>
      <w:r>
        <w:rPr/>
        <w:t>至今任职于本公司，现任公司副总经理。</w:t>
      </w:r>
    </w:p>
    <w:p>
      <w:pPr>
        <w:pStyle w:val="Heading4"/>
        <w:spacing w:line="256" w:lineRule="auto" w:before="142"/>
        <w:ind w:right="1126" w:firstLine="420"/>
        <w:jc w:val="both"/>
      </w:pPr>
      <w:r>
        <w:rPr>
          <w:rFonts w:ascii="Times New Roman" w:hAnsi="Times New Roman" w:cs="Times New Roman" w:eastAsia="Times New Roman" w:hint="default"/>
          <w:spacing w:val="-2"/>
        </w:rPr>
        <w:t>16</w:t>
      </w:r>
      <w:r>
        <w:rPr>
          <w:spacing w:val="-2"/>
        </w:rPr>
        <w:t>、程小茁先生：</w:t>
      </w:r>
      <w:r>
        <w:rPr>
          <w:rFonts w:ascii="Times New Roman" w:hAnsi="Times New Roman" w:cs="Times New Roman" w:eastAsia="Times New Roman" w:hint="default"/>
          <w:spacing w:val="-2"/>
        </w:rPr>
        <w:t>1975</w:t>
      </w:r>
      <w:r>
        <w:rPr>
          <w:spacing w:val="-2"/>
        </w:rPr>
        <w:t>年出生，中国国籍，无境外永久居留权。</w:t>
      </w:r>
      <w:r>
        <w:rPr>
          <w:rFonts w:ascii="Times New Roman" w:hAnsi="Times New Roman" w:cs="Times New Roman" w:eastAsia="Times New Roman" w:hint="default"/>
          <w:spacing w:val="-2"/>
        </w:rPr>
        <w:t>2000</w:t>
      </w:r>
      <w:r>
        <w:rPr>
          <w:spacing w:val="-2"/>
        </w:rPr>
        <w:t>年毕业于辽宁石油化工大学计算</w:t>
      </w:r>
      <w:r>
        <w:rPr>
          <w:w w:val="100"/>
        </w:rPr>
        <w:t> </w:t>
      </w:r>
      <w:r>
        <w:rPr>
          <w:spacing w:val="-2"/>
        </w:rPr>
        <w:t>机应用技术专业，获工学硕士学位。</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2004</w:t>
      </w:r>
      <w:r>
        <w:rPr>
          <w:spacing w:val="-2"/>
        </w:rPr>
        <w:t>年任职于首都信息发展股份有限公司，历任开发部工程</w:t>
      </w:r>
      <w:r>
        <w:rPr>
          <w:spacing w:val="-36"/>
        </w:rPr>
        <w:t> </w:t>
      </w:r>
      <w:r>
        <w:rPr>
          <w:spacing w:val="-36"/>
        </w:rPr>
      </w:r>
      <w:r>
        <w:rPr>
          <w:spacing w:val="-2"/>
        </w:rPr>
        <w:t>师、项目经理、售前工程师；</w:t>
      </w:r>
      <w:r>
        <w:rPr>
          <w:rFonts w:ascii="Times New Roman" w:hAnsi="Times New Roman" w:cs="Times New Roman" w:eastAsia="Times New Roman" w:hint="default"/>
          <w:spacing w:val="-2"/>
        </w:rPr>
        <w:t>2004</w:t>
      </w:r>
      <w:r>
        <w:rPr>
          <w:spacing w:val="-2"/>
        </w:rPr>
        <w:t>年至今任职于本公司，现任公司副总经理，曾荣获北京市科技进步三等</w:t>
      </w:r>
      <w:r>
        <w:rPr>
          <w:spacing w:val="-40"/>
        </w:rPr>
        <w:t> </w:t>
      </w:r>
      <w:r>
        <w:rPr>
          <w:spacing w:val="-40"/>
        </w:rPr>
      </w:r>
      <w:r>
        <w:rPr/>
        <w:t>奖。</w:t>
      </w:r>
    </w:p>
    <w:p>
      <w:pPr>
        <w:pStyle w:val="Heading4"/>
        <w:spacing w:line="256" w:lineRule="auto" w:before="142"/>
        <w:ind w:right="1126" w:firstLine="420"/>
        <w:jc w:val="both"/>
      </w:pPr>
      <w:r>
        <w:rPr>
          <w:rFonts w:ascii="Times New Roman" w:hAnsi="Times New Roman" w:cs="Times New Roman" w:eastAsia="Times New Roman" w:hint="default"/>
          <w:spacing w:val="-2"/>
        </w:rPr>
        <w:t>17</w:t>
      </w:r>
      <w:r>
        <w:rPr>
          <w:spacing w:val="-2"/>
        </w:rPr>
        <w:t>、高青山先生：</w:t>
      </w:r>
      <w:r>
        <w:rPr>
          <w:rFonts w:ascii="Times New Roman" w:hAnsi="Times New Roman" w:cs="Times New Roman" w:eastAsia="Times New Roman" w:hint="default"/>
          <w:spacing w:val="-2"/>
        </w:rPr>
        <w:t>1976</w:t>
      </w:r>
      <w:r>
        <w:rPr>
          <w:spacing w:val="-2"/>
        </w:rPr>
        <w:t>年出生，中国国籍，无境外永久居留权。</w:t>
      </w:r>
      <w:r>
        <w:rPr>
          <w:rFonts w:ascii="Times New Roman" w:hAnsi="Times New Roman" w:cs="Times New Roman" w:eastAsia="Times New Roman" w:hint="default"/>
          <w:spacing w:val="-2"/>
        </w:rPr>
        <w:t>2000</w:t>
      </w:r>
      <w:r>
        <w:rPr>
          <w:spacing w:val="-2"/>
        </w:rPr>
        <w:t>年毕业于郑州轻工业学院会计学</w:t>
      </w:r>
      <w:r>
        <w:rPr>
          <w:w w:val="100"/>
        </w:rPr>
        <w:t> </w:t>
      </w:r>
      <w:r>
        <w:rPr>
          <w:spacing w:val="-2"/>
        </w:rPr>
        <w:t>专业，获学士学位。</w:t>
      </w:r>
      <w:r>
        <w:rPr>
          <w:rFonts w:ascii="Times New Roman" w:hAnsi="Times New Roman" w:cs="Times New Roman" w:eastAsia="Times New Roman" w:hint="default"/>
          <w:spacing w:val="-2"/>
        </w:rPr>
        <w:t>2000</w:t>
      </w:r>
      <w:r>
        <w:rPr>
          <w:spacing w:val="-2"/>
        </w:rPr>
        <w:t>年任职于贵州航天乌江机电设备有限公司财务部，</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月，任职</w:t>
      </w:r>
      <w:r>
        <w:rPr>
          <w:spacing w:val="-33"/>
        </w:rPr>
        <w:t> </w:t>
      </w:r>
      <w:r>
        <w:rPr>
          <w:spacing w:val="-33"/>
        </w:rPr>
      </w:r>
      <w:r>
        <w:rPr/>
        <w:t>于致同会计师事务所审计部，历任审计员、审计经理、高级经理、审计总监。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月至今任职于本公</w:t>
      </w:r>
      <w:r>
        <w:rPr>
          <w:spacing w:val="-24"/>
        </w:rPr>
        <w:t> </w:t>
      </w:r>
      <w:r>
        <w:rPr>
          <w:spacing w:val="-24"/>
        </w:rPr>
      </w:r>
      <w:r>
        <w:rPr/>
        <w:t>司，现任公司财务负责人。</w:t>
      </w:r>
    </w:p>
    <w:p>
      <w:pPr>
        <w:pStyle w:val="BodyText"/>
        <w:spacing w:line="240" w:lineRule="auto" w:before="81"/>
        <w:ind w:right="982"/>
        <w:jc w:val="left"/>
      </w:pPr>
      <w:r>
        <w:rPr/>
        <w:t>在股东单位任职情况</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77"/>
        <w:gridCol w:w="2552"/>
        <w:gridCol w:w="1702"/>
        <w:gridCol w:w="1558"/>
        <w:gridCol w:w="1561"/>
        <w:gridCol w:w="991"/>
      </w:tblGrid>
      <w:tr>
        <w:trPr>
          <w:trHeight w:val="102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756" w:right="34" w:hanging="720"/>
              <w:jc w:val="left"/>
              <w:rPr>
                <w:rFonts w:ascii="宋体" w:hAnsi="宋体" w:cs="宋体" w:eastAsia="宋体" w:hint="default"/>
                <w:sz w:val="18"/>
                <w:szCs w:val="18"/>
              </w:rPr>
            </w:pPr>
            <w:r>
              <w:rPr>
                <w:rFonts w:ascii="宋体" w:hAnsi="宋体" w:cs="宋体" w:eastAsia="宋体" w:hint="default"/>
                <w:sz w:val="18"/>
                <w:szCs w:val="18"/>
              </w:rPr>
              <w:t>在股东单位担任的职 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在股东单位 是否领取报 酬津贴</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卢磊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副总裁、董事会秘书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许向燕</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董事会办公室主任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李志梅</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审计部经理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雷毅平</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982"/>
        <w:jc w:val="left"/>
      </w:pPr>
      <w:r>
        <w:rPr/>
        <w:t>在其他单位任职情况</w:t>
      </w:r>
    </w:p>
    <w:p>
      <w:pPr>
        <w:pStyle w:val="BodyText"/>
        <w:spacing w:line="240" w:lineRule="auto" w:before="12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77"/>
        <w:gridCol w:w="2693"/>
        <w:gridCol w:w="1560"/>
        <w:gridCol w:w="1558"/>
        <w:gridCol w:w="1561"/>
        <w:gridCol w:w="991"/>
      </w:tblGrid>
      <w:tr>
        <w:trPr>
          <w:trHeight w:val="1027"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95" w:right="53"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北京邮电大学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全国信息安全标准化技术委员会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委员、</w:t>
            </w:r>
            <w:r>
              <w:rPr>
                <w:rFonts w:ascii="Times New Roman" w:hAnsi="Times New Roman" w:cs="Times New Roman" w:eastAsia="Times New Roman" w:hint="default"/>
                <w:sz w:val="18"/>
                <w:szCs w:val="18"/>
              </w:rPr>
              <w:t>WG3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组、</w:t>
            </w:r>
          </w:p>
          <w:p>
            <w:pPr>
              <w:pStyle w:val="TableParagraph"/>
              <w:spacing w:line="240" w:lineRule="auto" w:before="63"/>
              <w:ind w:left="1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WG4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组副组长</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全国版权标准化技术委员会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委员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国家密码行业标准化技术委员会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副主任委员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92" w:right="80" w:hanging="812"/>
              <w:jc w:val="left"/>
              <w:rPr>
                <w:rFonts w:ascii="宋体" w:hAnsi="宋体" w:cs="宋体" w:eastAsia="宋体" w:hint="default"/>
                <w:sz w:val="18"/>
                <w:szCs w:val="18"/>
              </w:rPr>
            </w:pPr>
            <w:r>
              <w:rPr>
                <w:rFonts w:ascii="宋体" w:hAnsi="宋体" w:cs="宋体" w:eastAsia="宋体" w:hint="default"/>
                <w:sz w:val="18"/>
                <w:szCs w:val="18"/>
              </w:rPr>
              <w:t>国家商用密码应用技术体系研究 总体工作组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专家</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北京市信息化专家咨询委员会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委员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北京市商用密码行业协会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252" w:right="80" w:hanging="1172"/>
              <w:jc w:val="left"/>
              <w:rPr>
                <w:rFonts w:ascii="宋体" w:hAnsi="宋体" w:cs="宋体" w:eastAsia="宋体" w:hint="default"/>
                <w:sz w:val="18"/>
                <w:szCs w:val="18"/>
              </w:rPr>
            </w:pPr>
            <w:r>
              <w:rPr>
                <w:rFonts w:ascii="宋体" w:hAnsi="宋体" w:cs="宋体" w:eastAsia="宋体" w:hint="default"/>
                <w:sz w:val="18"/>
                <w:szCs w:val="18"/>
              </w:rPr>
              <w:t>中国密码学会电子认证专业委员 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副主任委员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中国保密协会科学技术分会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副主任委员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161" w:right="19" w:hanging="1138"/>
              <w:jc w:val="left"/>
              <w:rPr>
                <w:rFonts w:ascii="宋体" w:hAnsi="宋体" w:cs="宋体" w:eastAsia="宋体" w:hint="default"/>
                <w:sz w:val="18"/>
                <w:szCs w:val="18"/>
              </w:rPr>
            </w:pPr>
            <w:r>
              <w:rPr>
                <w:rFonts w:ascii="宋体" w:hAnsi="宋体" w:cs="宋体" w:eastAsia="宋体" w:hint="default"/>
                <w:sz w:val="18"/>
                <w:szCs w:val="18"/>
              </w:rPr>
              <w:t>未来移动通信论坛</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信息安全工 作组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副主席</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詹榜华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安信天行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林雪焰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版信通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林雪焰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252" w:right="80" w:hanging="1172"/>
              <w:jc w:val="left"/>
              <w:rPr>
                <w:rFonts w:ascii="宋体" w:hAnsi="宋体" w:cs="宋体" w:eastAsia="宋体" w:hint="default"/>
                <w:sz w:val="18"/>
                <w:szCs w:val="18"/>
              </w:rPr>
            </w:pPr>
            <w:r>
              <w:rPr>
                <w:rFonts w:ascii="宋体" w:hAnsi="宋体" w:cs="宋体" w:eastAsia="宋体" w:hint="default"/>
                <w:sz w:val="18"/>
                <w:szCs w:val="18"/>
              </w:rPr>
              <w:t>中国密码学会电子认证专业委员 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委员</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林雪焰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中国网络安全产业联盟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林雪焰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国家密码行业标准化技术委员会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委员</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卢磊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北京文化体育科技有限公司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卢磊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厦门融通信息技术有限公司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卢磊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1" w:right="80" w:hanging="900"/>
              <w:jc w:val="left"/>
              <w:rPr>
                <w:rFonts w:ascii="宋体" w:hAnsi="宋体" w:cs="宋体" w:eastAsia="宋体" w:hint="default"/>
                <w:sz w:val="18"/>
                <w:szCs w:val="18"/>
              </w:rPr>
            </w:pPr>
            <w:r>
              <w:rPr>
                <w:rFonts w:ascii="宋体" w:hAnsi="宋体" w:cs="宋体" w:eastAsia="宋体" w:hint="default"/>
                <w:sz w:val="18"/>
                <w:szCs w:val="18"/>
              </w:rPr>
              <w:t>北京首信网创网络信息服务有限 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77"/>
        <w:gridCol w:w="2693"/>
        <w:gridCol w:w="1560"/>
        <w:gridCol w:w="1558"/>
        <w:gridCol w:w="1561"/>
        <w:gridCol w:w="991"/>
      </w:tblGrid>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卢磊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首信医联信息技术有限公司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许向燕</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辽宁众信同行软件开发有限公司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雷毅平</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北京工业发展投资管理有限公司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高级投资经理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王渝次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国民技术股份有限公司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杜美杰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北京语言大学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5" w:right="53"/>
              <w:jc w:val="both"/>
              <w:rPr>
                <w:rFonts w:ascii="宋体" w:hAnsi="宋体" w:cs="宋体" w:eastAsia="宋体" w:hint="default"/>
                <w:sz w:val="18"/>
                <w:szCs w:val="18"/>
              </w:rPr>
            </w:pPr>
            <w:r>
              <w:rPr>
                <w:rFonts w:ascii="宋体" w:hAnsi="宋体" w:cs="宋体" w:eastAsia="宋体" w:hint="default"/>
                <w:sz w:val="18"/>
                <w:szCs w:val="18"/>
              </w:rPr>
              <w:t>商学院会计系副教 授、会计系主任、 </w:t>
            </w:r>
            <w:r>
              <w:rPr>
                <w:rFonts w:ascii="Times New Roman" w:hAnsi="Times New Roman" w:cs="Times New Roman" w:eastAsia="Times New Roman" w:hint="default"/>
                <w:spacing w:val="-4"/>
                <w:sz w:val="18"/>
                <w:szCs w:val="18"/>
              </w:rPr>
              <w:t>MPAcc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中心主任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杜美杰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252" w:right="80" w:hanging="1172"/>
              <w:jc w:val="left"/>
              <w:rPr>
                <w:rFonts w:ascii="宋体" w:hAnsi="宋体" w:cs="宋体" w:eastAsia="宋体" w:hint="default"/>
                <w:sz w:val="18"/>
                <w:szCs w:val="18"/>
              </w:rPr>
            </w:pPr>
            <w:r>
              <w:rPr>
                <w:rFonts w:ascii="宋体" w:hAnsi="宋体" w:cs="宋体" w:eastAsia="宋体" w:hint="default"/>
                <w:sz w:val="18"/>
                <w:szCs w:val="18"/>
              </w:rPr>
              <w:t>北京凯普林光电科技股份有限公 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杜美杰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北京神导科技股份有限公司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张文亮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北京观韬中茂律师事务所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合伙人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张文亮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天津捷强动力装备股份有限公司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吴舜皋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数字医信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吴舜皋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数字认证</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r>
              <w:rPr>
                <w:rFonts w:ascii="Times New Roman" w:hAnsi="Times New Roman" w:cs="Times New Roman" w:eastAsia="Times New Roman"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执行董事、经理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刘明哲</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252" w:right="80" w:hanging="1172"/>
              <w:jc w:val="left"/>
              <w:rPr>
                <w:rFonts w:ascii="宋体" w:hAnsi="宋体" w:cs="宋体" w:eastAsia="宋体" w:hint="default"/>
                <w:sz w:val="18"/>
                <w:szCs w:val="18"/>
              </w:rPr>
            </w:pPr>
            <w:r>
              <w:rPr>
                <w:rFonts w:ascii="宋体" w:hAnsi="宋体" w:cs="宋体" w:eastAsia="宋体" w:hint="default"/>
                <w:sz w:val="18"/>
                <w:szCs w:val="18"/>
              </w:rPr>
              <w:t>北京水晶石数字科技股份有限公 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595" w:right="53" w:hanging="540"/>
              <w:jc w:val="left"/>
              <w:rPr>
                <w:rFonts w:ascii="宋体" w:hAnsi="宋体" w:cs="宋体" w:eastAsia="宋体" w:hint="default"/>
                <w:sz w:val="18"/>
                <w:szCs w:val="18"/>
              </w:rPr>
            </w:pPr>
            <w:r>
              <w:rPr>
                <w:rFonts w:ascii="宋体" w:hAnsi="宋体" w:cs="宋体" w:eastAsia="宋体" w:hint="default"/>
                <w:sz w:val="18"/>
                <w:szCs w:val="18"/>
              </w:rPr>
              <w:t>副总经理（财务总 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刘明哲</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252" w:right="80" w:hanging="1172"/>
              <w:jc w:val="left"/>
              <w:rPr>
                <w:rFonts w:ascii="宋体" w:hAnsi="宋体" w:cs="宋体" w:eastAsia="宋体" w:hint="default"/>
                <w:sz w:val="18"/>
                <w:szCs w:val="18"/>
              </w:rPr>
            </w:pPr>
            <w:r>
              <w:rPr>
                <w:rFonts w:ascii="宋体" w:hAnsi="宋体" w:cs="宋体" w:eastAsia="宋体" w:hint="default"/>
                <w:sz w:val="18"/>
                <w:szCs w:val="18"/>
              </w:rPr>
              <w:t>北京集成电路设计园有限责任公 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刘明哲</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北京产权交易所有限公司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李志梅</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厦门融通信息技术有限责任公司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李志梅</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首信医联信息技术有限公司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张益谦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安信天行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张益谦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数字医信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侯鹏亮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中天信安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齐秀彬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安信天行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高青山</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版信通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高青山</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中天信安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高青山</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数字认证</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r>
              <w:rPr>
                <w:rFonts w:ascii="Times New Roman" w:hAnsi="Times New Roman" w:cs="Times New Roman" w:eastAsia="Times New Roman"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982"/>
        <w:jc w:val="left"/>
      </w:pPr>
      <w:r>
        <w:rPr/>
        <w:t>公司现任及报告期内离任董事、监事和高级管理人员近三年证券监管机构处罚的情况</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董事、监事、高级管理人员报酬的决策程序、确定依据、实际支付情况</w:t>
      </w:r>
    </w:p>
    <w:p>
      <w:pPr>
        <w:pStyle w:val="Heading4"/>
        <w:spacing w:line="430" w:lineRule="atLeast" w:before="18"/>
        <w:ind w:left="573" w:right="982"/>
        <w:jc w:val="left"/>
      </w:pPr>
      <w:r>
        <w:rPr/>
        <w:t>（一）董事、监事、高级管理人员报酬的决策程序</w:t>
      </w:r>
      <w:r>
        <w:rPr>
          <w:w w:val="100"/>
        </w:rPr>
        <w:t> </w:t>
      </w:r>
      <w:r>
        <w:rPr>
          <w:spacing w:val="-2"/>
        </w:rPr>
        <w:t>公司董事、监事报酬由股东大会决定，高级管理人员报酬由董事会决定；与公司签署劳动合同的非独</w:t>
      </w:r>
    </w:p>
    <w:p>
      <w:pPr>
        <w:pStyle w:val="Heading4"/>
        <w:spacing w:line="240" w:lineRule="auto" w:before="34"/>
        <w:ind w:right="982"/>
        <w:jc w:val="left"/>
      </w:pPr>
      <w:r>
        <w:rPr/>
        <w:t>立董事、监事、高级管理人员报酬由公司支付，非独立董事、监事不另外支付津贴。独立董事津贴根据股</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2"/>
        <w:jc w:val="left"/>
      </w:pPr>
      <w:r>
        <w:rPr/>
        <w:t>东大会通过的决议进行支付。</w:t>
      </w:r>
    </w:p>
    <w:p>
      <w:pPr>
        <w:pStyle w:val="Heading4"/>
        <w:spacing w:line="376" w:lineRule="auto" w:before="157"/>
        <w:ind w:left="573" w:right="982"/>
        <w:jc w:val="left"/>
      </w:pPr>
      <w:r>
        <w:rPr/>
        <w:t>（二）董事、监事、高级管理人员报酬确定依据</w:t>
      </w:r>
      <w:r>
        <w:rPr>
          <w:w w:val="100"/>
        </w:rPr>
        <w:t> </w:t>
      </w:r>
      <w:r>
        <w:rPr>
          <w:spacing w:val="-2"/>
        </w:rPr>
        <w:t>依据公司盈利水平及董事、监事、高级管理人员的职责履行情况并结合年度绩效完成情况综合确定。</w:t>
      </w:r>
    </w:p>
    <w:p>
      <w:pPr>
        <w:pStyle w:val="Heading4"/>
        <w:spacing w:line="240" w:lineRule="auto" w:before="37"/>
        <w:ind w:left="573" w:right="982"/>
        <w:jc w:val="left"/>
      </w:pPr>
      <w:r>
        <w:rPr/>
        <w:t>（三）董事、监事、高级管理人员报酬的实际支付情况</w:t>
      </w:r>
    </w:p>
    <w:p>
      <w:pPr>
        <w:pStyle w:val="Heading4"/>
        <w:spacing w:line="273" w:lineRule="auto" w:before="157"/>
        <w:ind w:right="982" w:firstLine="420"/>
        <w:jc w:val="left"/>
      </w:pPr>
      <w:r>
        <w:rPr>
          <w:spacing w:val="-2"/>
        </w:rPr>
        <w:t>公司董事、监事、高级管理人员基本工资已按月支付，绩效年薪根据公司相关规定发放；公司独立董</w:t>
      </w:r>
      <w:r>
        <w:rPr>
          <w:w w:val="100"/>
        </w:rPr>
        <w:t> </w:t>
      </w:r>
      <w:r>
        <w:rPr/>
        <w:t>事津贴已按照确定的薪酬标准全额支付。</w:t>
      </w:r>
    </w:p>
    <w:p>
      <w:pPr>
        <w:pStyle w:val="BodyText"/>
        <w:spacing w:line="240" w:lineRule="auto" w:before="67"/>
        <w:ind w:right="982"/>
        <w:jc w:val="left"/>
      </w:pPr>
      <w:r>
        <w:rPr/>
        <w:t>公司报告期内董事、监事和高级管理人员报酬情况</w:t>
      </w:r>
    </w:p>
    <w:p>
      <w:pPr>
        <w:pStyle w:val="BodyText"/>
        <w:spacing w:line="240" w:lineRule="auto" w:before="117"/>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詹榜华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林雪焰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王渝次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杜美杰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张文亮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吴舜皋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张益谦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侯鹏亮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齐秀彬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410" w:right="46" w:hanging="360"/>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吴伟东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程小茁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86.28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高青山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780.96</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19"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公司董事、高级管理人员报告期内被授予的股权激励情况</w:t>
      </w:r>
    </w:p>
    <w:p>
      <w:pPr>
        <w:pStyle w:val="BodyText"/>
        <w:spacing w:line="240" w:lineRule="auto" w:before="118"/>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1,191</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1,191</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1,191</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大学专科及以下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1,191</w:t>
            </w:r>
          </w:p>
        </w:tc>
      </w:tr>
    </w:tbl>
    <w:p>
      <w:pPr>
        <w:spacing w:line="240" w:lineRule="auto" w:before="5"/>
        <w:rPr>
          <w:rFonts w:ascii="宋体" w:hAnsi="宋体" w:cs="宋体" w:eastAsia="宋体" w:hint="default"/>
          <w:b/>
          <w:bCs/>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4"/>
          <w:szCs w:val="24"/>
        </w:rPr>
      </w:pPr>
    </w:p>
    <w:p>
      <w:pPr>
        <w:pStyle w:val="Heading4"/>
        <w:spacing w:line="273" w:lineRule="auto"/>
        <w:ind w:right="1126" w:firstLine="420"/>
        <w:jc w:val="both"/>
      </w:pPr>
      <w:r>
        <w:rPr>
          <w:spacing w:val="-2"/>
        </w:rPr>
        <w:t>员工的薪酬依据公司的薪酬制度按时发放，公司根据岗位价值、个人能力核定员工的固定工资，根据</w:t>
      </w:r>
      <w:r>
        <w:rPr>
          <w:w w:val="100"/>
        </w:rPr>
        <w:t> </w:t>
      </w:r>
      <w:r>
        <w:rPr>
          <w:spacing w:val="-2"/>
        </w:rPr>
        <w:t>公司及个人业绩核定员工的绩效奖金，薪酬分配向核心人才和绩优人才倾斜，确保核心人才收入水平的市</w:t>
      </w:r>
      <w:r>
        <w:rPr>
          <w:spacing w:val="-44"/>
        </w:rPr>
        <w:t> </w:t>
      </w:r>
      <w:r>
        <w:rPr>
          <w:spacing w:val="-44"/>
        </w:rPr>
      </w:r>
      <w:r>
        <w:rPr>
          <w:spacing w:val="-2"/>
        </w:rPr>
        <w:t>场竞争力。员工的薪酬政策会根据地域差异、人才供给情况、员工流失情况、行业环境变化程度及企业支</w:t>
      </w:r>
      <w:r>
        <w:rPr>
          <w:spacing w:val="-50"/>
        </w:rPr>
        <w:t> </w:t>
      </w:r>
      <w:r>
        <w:rPr>
          <w:spacing w:val="-50"/>
        </w:rPr>
      </w:r>
      <w:r>
        <w:rPr/>
        <w:t>付能力做动态调整。</w:t>
      </w:r>
    </w:p>
    <w:p>
      <w:pPr>
        <w:pStyle w:val="BodyText"/>
        <w:spacing w:line="240" w:lineRule="auto" w:before="67"/>
        <w:ind w:right="982"/>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8"/>
        <w:rPr>
          <w:rFonts w:ascii="宋体" w:hAnsi="宋体" w:cs="宋体" w:eastAsia="宋体" w:hint="default"/>
          <w:sz w:val="12"/>
          <w:szCs w:val="12"/>
        </w:rPr>
      </w:pPr>
    </w:p>
    <w:p>
      <w:pPr>
        <w:pStyle w:val="Heading4"/>
        <w:spacing w:line="240" w:lineRule="auto"/>
        <w:ind w:left="573" w:right="982"/>
        <w:jc w:val="left"/>
      </w:pPr>
      <w:r>
        <w:rPr/>
        <w:t>公司核心技术人员保持稳定，报告期内未发生变动。</w:t>
      </w:r>
    </w:p>
    <w:p>
      <w:pPr>
        <w:spacing w:line="240" w:lineRule="auto" w:before="10"/>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24"/>
          <w:szCs w:val="24"/>
        </w:rPr>
      </w:pPr>
    </w:p>
    <w:p>
      <w:pPr>
        <w:pStyle w:val="Heading4"/>
        <w:spacing w:line="273" w:lineRule="auto"/>
        <w:ind w:right="1105" w:firstLine="420"/>
        <w:jc w:val="both"/>
      </w:pPr>
      <w:r>
        <w:rPr>
          <w:spacing w:val="-3"/>
        </w:rPr>
        <w:t>公司在以领导力、专业力、文化力为中心的培训体系框架下，深入完善各培训项目。领导力培训针对</w:t>
      </w:r>
      <w:r>
        <w:rPr>
          <w:w w:val="100"/>
        </w:rPr>
        <w:t> </w:t>
      </w:r>
      <w:r>
        <w:rPr>
          <w:spacing w:val="-2"/>
        </w:rPr>
        <w:t>管理者及后备人员，报告期内公司开展了针对中高层管理人员的远航计划、针对一线经理人的船长计划，</w:t>
      </w:r>
      <w:r>
        <w:rPr>
          <w:spacing w:val="-21"/>
        </w:rPr>
        <w:t> </w:t>
      </w:r>
      <w:r>
        <w:rPr>
          <w:spacing w:val="-21"/>
        </w:rPr>
      </w:r>
      <w:r>
        <w:rPr>
          <w:spacing w:val="-2"/>
        </w:rPr>
        <w:t>全面提升其领导管理能力；专业力是基于岗位胜任能力的要求，进行与岗位相关的技能培训，报告期内公</w:t>
      </w:r>
      <w:r>
        <w:rPr>
          <w:spacing w:val="-44"/>
        </w:rPr>
        <w:t> </w:t>
      </w:r>
      <w:r>
        <w:rPr>
          <w:spacing w:val="-44"/>
        </w:rPr>
      </w:r>
      <w:r>
        <w:rPr>
          <w:spacing w:val="-2"/>
        </w:rPr>
        <w:t>司组织开展了技术专家分享会、技术规范轮训、面向实施人员的金牌指挥官培训、售前行业专家训练营等</w:t>
      </w:r>
      <w:r>
        <w:rPr>
          <w:spacing w:val="-44"/>
        </w:rPr>
        <w:t> </w:t>
      </w:r>
      <w:r>
        <w:rPr>
          <w:spacing w:val="-44"/>
        </w:rPr>
      </w:r>
      <w:r>
        <w:rPr>
          <w:spacing w:val="-2"/>
        </w:rPr>
        <w:t>专业力培训项目。文化力培训是企业文化建设的一部分，传递公司文化的途径。报告期内除对新员工培训</w:t>
      </w:r>
      <w:r>
        <w:rPr>
          <w:spacing w:val="-44"/>
        </w:rPr>
        <w:t> </w:t>
      </w:r>
      <w:r>
        <w:rPr>
          <w:spacing w:val="-44"/>
        </w:rPr>
      </w:r>
      <w:r>
        <w:rPr/>
        <w:t>外，还开展了外派人员培训。同时，在课程库和讲师库建设方面也有一定程度的提升。</w:t>
      </w:r>
    </w:p>
    <w:p>
      <w:pPr>
        <w:spacing w:line="240" w:lineRule="auto" w:before="7"/>
        <w:rPr>
          <w:rFonts w:ascii="宋体" w:hAnsi="宋体" w:cs="宋体" w:eastAsia="宋体" w:hint="default"/>
          <w:sz w:val="23"/>
          <w:szCs w:val="23"/>
        </w:rPr>
      </w:pPr>
    </w:p>
    <w:p>
      <w:pPr>
        <w:pStyle w:val="Heading3"/>
        <w:spacing w:line="240" w:lineRule="auto"/>
        <w:ind w:right="982"/>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6"/>
        <w:jc w:val="center"/>
        <w:rPr>
          <w:b w:val="0"/>
          <w:bCs w:val="0"/>
        </w:rPr>
      </w:pPr>
      <w:bookmarkStart w:name="_bookmark9" w:id="10"/>
      <w:bookmarkEnd w:id="10"/>
      <w:r>
        <w:rPr>
          <w:b w:val="0"/>
          <w:bCs w:val="0"/>
        </w:rPr>
      </w:r>
      <w:r>
        <w:rPr/>
        <w:t>第十节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9"/>
        <w:rPr>
          <w:rFonts w:ascii="宋体" w:hAnsi="宋体" w:cs="宋体" w:eastAsia="宋体" w:hint="default"/>
          <w:b/>
          <w:bCs/>
          <w:sz w:val="24"/>
          <w:szCs w:val="24"/>
        </w:rPr>
      </w:pPr>
    </w:p>
    <w:p>
      <w:pPr>
        <w:pStyle w:val="Heading4"/>
        <w:spacing w:line="273" w:lineRule="auto"/>
        <w:ind w:right="1126" w:firstLine="420"/>
        <w:jc w:val="both"/>
      </w:pPr>
      <w:r>
        <w:rPr>
          <w:spacing w:val="-2"/>
        </w:rPr>
        <w:t>公司严格按照《公司法》、《证券法》、《上市公司治理准则》、《深圳证券交易所创业板股票上市</w:t>
      </w:r>
      <w:r>
        <w:rPr>
          <w:w w:val="100"/>
        </w:rPr>
        <w:t> </w:t>
      </w:r>
      <w:r>
        <w:rPr>
          <w:spacing w:val="-2"/>
        </w:rPr>
        <w:t>规则》、《深圳证券交易所创业板上市公司规范运作指引》等有关法律法规的要求，结合本公司的实际情</w:t>
      </w:r>
      <w:r>
        <w:rPr>
          <w:spacing w:val="-43"/>
        </w:rPr>
        <w:t> </w:t>
      </w:r>
      <w:r>
        <w:rPr>
          <w:spacing w:val="-43"/>
        </w:rPr>
      </w:r>
      <w:r>
        <w:rPr/>
        <w:t>况不断完善公司法人治理结构，建立健全公司内部控制体系，保证公司规范运作，提升公司治理水平。</w:t>
      </w:r>
    </w:p>
    <w:p>
      <w:pPr>
        <w:pStyle w:val="Heading4"/>
        <w:spacing w:line="273" w:lineRule="auto" w:before="127"/>
        <w:ind w:right="982" w:firstLine="420"/>
        <w:jc w:val="left"/>
      </w:pPr>
      <w:r>
        <w:rPr>
          <w:spacing w:val="-2"/>
        </w:rPr>
        <w:t>报告期内，公司股东大会、董事会、监事会依法规范运作，公司治理的实际状况符合证券监管部门有</w:t>
      </w:r>
      <w:r>
        <w:rPr>
          <w:w w:val="100"/>
        </w:rPr>
        <w:t> </w:t>
      </w:r>
      <w:r>
        <w:rPr/>
        <w:t>关上市公司治理的法律法规和规范性文件的要求。</w:t>
      </w:r>
    </w:p>
    <w:p>
      <w:pPr>
        <w:pStyle w:val="Heading4"/>
        <w:spacing w:line="357" w:lineRule="auto" w:before="127"/>
        <w:ind w:left="573" w:right="982" w:firstLine="2"/>
        <w:jc w:val="left"/>
      </w:pPr>
      <w:r>
        <w:rPr>
          <w:rFonts w:ascii="Times New Roman" w:hAnsi="Times New Roman" w:cs="Times New Roman" w:eastAsia="Times New Roman" w:hint="default"/>
          <w:b/>
          <w:bCs/>
        </w:rPr>
        <w:t>1</w:t>
      </w:r>
      <w:r>
        <w:rPr>
          <w:rFonts w:ascii="宋体" w:hAnsi="宋体" w:cs="宋体" w:eastAsia="宋体" w:hint="default"/>
          <w:b/>
          <w:bCs/>
        </w:rPr>
        <w:t>、股东与股东大会</w:t>
      </w:r>
      <w:r>
        <w:rPr>
          <w:rFonts w:ascii="宋体" w:hAnsi="宋体" w:cs="宋体" w:eastAsia="宋体" w:hint="default"/>
          <w:b/>
          <w:bCs/>
          <w:w w:val="100"/>
        </w:rPr>
        <w:t> </w:t>
      </w:r>
      <w:r>
        <w:rPr>
          <w:spacing w:val="-2"/>
        </w:rPr>
        <w:t>公司股东大会的召集、召开均严格按照《公司法》、《上市公司股东大会规则》、《深圳证券交易所</w:t>
      </w:r>
    </w:p>
    <w:p>
      <w:pPr>
        <w:pStyle w:val="Heading4"/>
        <w:spacing w:line="209" w:lineRule="exact"/>
        <w:ind w:right="0"/>
        <w:jc w:val="both"/>
      </w:pPr>
      <w:r>
        <w:rPr/>
        <w:t>创业板上市公司规范运作指引》以及《公司章程》的要求规范运行，确保所有股东特别是中小股东享有平</w:t>
      </w:r>
    </w:p>
    <w:p>
      <w:pPr>
        <w:pStyle w:val="Heading4"/>
        <w:spacing w:line="256" w:lineRule="auto" w:before="37"/>
        <w:ind w:right="1107"/>
        <w:jc w:val="both"/>
      </w:pPr>
      <w:r>
        <w:rPr>
          <w:spacing w:val="-2"/>
        </w:rPr>
        <w:t>等地位和合法权利。报告期内，公司共召开</w:t>
      </w:r>
      <w:r>
        <w:rPr>
          <w:rFonts w:ascii="Times New Roman" w:hAnsi="Times New Roman" w:cs="Times New Roman" w:eastAsia="Times New Roman" w:hint="default"/>
          <w:spacing w:val="-2"/>
        </w:rPr>
        <w:t>1</w:t>
      </w:r>
      <w:r>
        <w:rPr>
          <w:spacing w:val="-2"/>
        </w:rPr>
        <w:t>次年度股东大会，</w:t>
      </w:r>
      <w:r>
        <w:rPr>
          <w:rFonts w:ascii="Times New Roman" w:hAnsi="Times New Roman" w:cs="Times New Roman" w:eastAsia="Times New Roman" w:hint="default"/>
          <w:spacing w:val="-2"/>
        </w:rPr>
        <w:t>2</w:t>
      </w:r>
      <w:r>
        <w:rPr>
          <w:spacing w:val="-2"/>
        </w:rPr>
        <w:t>次临时股东大会，均由公司董事会召集，</w:t>
      </w:r>
      <w:r>
        <w:rPr>
          <w:spacing w:val="-22"/>
        </w:rPr>
        <w:t> </w:t>
      </w:r>
      <w:r>
        <w:rPr>
          <w:spacing w:val="-22"/>
        </w:rPr>
      </w:r>
      <w:r>
        <w:rPr/>
        <w:t>股东大会的召开及决议内容合法有效，并由见证律师出具《法律意见书》。</w:t>
      </w:r>
    </w:p>
    <w:p>
      <w:pPr>
        <w:pStyle w:val="Heading4"/>
        <w:spacing w:line="430" w:lineRule="atLeast" w:before="3"/>
        <w:ind w:left="573" w:right="982" w:firstLine="2"/>
        <w:jc w:val="left"/>
      </w:pPr>
      <w:r>
        <w:rPr>
          <w:rFonts w:ascii="Times New Roman" w:hAnsi="Times New Roman" w:cs="Times New Roman" w:eastAsia="Times New Roman" w:hint="default"/>
          <w:b/>
          <w:bCs/>
        </w:rPr>
        <w:t>2</w:t>
      </w:r>
      <w:r>
        <w:rPr>
          <w:rFonts w:ascii="宋体" w:hAnsi="宋体" w:cs="宋体" w:eastAsia="宋体" w:hint="default"/>
          <w:b/>
          <w:bCs/>
        </w:rPr>
        <w:t>、董事与董事会</w:t>
      </w:r>
      <w:r>
        <w:rPr>
          <w:rFonts w:ascii="宋体" w:hAnsi="宋体" w:cs="宋体" w:eastAsia="宋体" w:hint="default"/>
          <w:b/>
          <w:bCs/>
          <w:w w:val="100"/>
        </w:rPr>
        <w:t> </w:t>
      </w:r>
      <w:r>
        <w:rPr>
          <w:spacing w:val="-2"/>
        </w:rPr>
        <w:t>公司董事会由</w:t>
      </w:r>
      <w:r>
        <w:rPr>
          <w:rFonts w:ascii="Times New Roman" w:hAnsi="Times New Roman" w:cs="Times New Roman" w:eastAsia="Times New Roman" w:hint="default"/>
          <w:spacing w:val="-2"/>
        </w:rPr>
        <w:t>8</w:t>
      </w:r>
      <w:r>
        <w:rPr>
          <w:spacing w:val="-2"/>
        </w:rPr>
        <w:t>名董事组成，其中独立董事</w:t>
      </w:r>
      <w:r>
        <w:rPr>
          <w:rFonts w:ascii="Times New Roman" w:hAnsi="Times New Roman" w:cs="Times New Roman" w:eastAsia="Times New Roman" w:hint="default"/>
          <w:spacing w:val="-2"/>
        </w:rPr>
        <w:t>3</w:t>
      </w:r>
      <w:r>
        <w:rPr>
          <w:spacing w:val="-2"/>
        </w:rPr>
        <w:t>名，董事会的人数及人员构成符合有关法律法规和《公司</w:t>
      </w:r>
    </w:p>
    <w:p>
      <w:pPr>
        <w:pStyle w:val="Heading4"/>
        <w:spacing w:line="268" w:lineRule="auto" w:before="21"/>
        <w:ind w:right="1126"/>
        <w:jc w:val="both"/>
      </w:pPr>
      <w:r>
        <w:rPr/>
        <w:t>章程》的要求。报告期内，公司共召开</w:t>
      </w:r>
      <w:r>
        <w:rPr>
          <w:rFonts w:ascii="Times New Roman" w:hAnsi="Times New Roman" w:cs="Times New Roman" w:eastAsia="Times New Roman" w:hint="default"/>
        </w:rPr>
        <w:t>9</w:t>
      </w:r>
      <w:r>
        <w:rPr/>
        <w:t>次董事会会议。公司董事会严格按照《公司法》、《深圳证券交</w:t>
      </w:r>
      <w:r>
        <w:rPr>
          <w:spacing w:val="-23"/>
        </w:rPr>
        <w:t> </w:t>
      </w:r>
      <w:r>
        <w:rPr>
          <w:spacing w:val="-23"/>
        </w:rPr>
      </w:r>
      <w:r>
        <w:rPr>
          <w:spacing w:val="-2"/>
        </w:rPr>
        <w:t>易所创业板上市公司规范运作指引》以及《公司章程》的要求规范运行，董事会召集、召开及决议内容合</w:t>
      </w:r>
      <w:r>
        <w:rPr>
          <w:spacing w:val="-43"/>
        </w:rPr>
        <w:t> </w:t>
      </w:r>
      <w:r>
        <w:rPr>
          <w:spacing w:val="-43"/>
        </w:rPr>
      </w:r>
      <w:r>
        <w:rPr>
          <w:spacing w:val="-2"/>
        </w:rPr>
        <w:t>法有效。公司董事严格按照相关规定，积极出席相关会议，勤勉规范履行职责，认真审议各项议案，促使</w:t>
      </w:r>
      <w:r>
        <w:rPr>
          <w:spacing w:val="-43"/>
        </w:rPr>
        <w:t> </w:t>
      </w:r>
      <w:r>
        <w:rPr>
          <w:spacing w:val="-43"/>
        </w:rPr>
      </w:r>
      <w:r>
        <w:rPr/>
        <w:t>董事会规范高效运作、科学审慎决策，积极维护公司和股东利益。</w:t>
      </w:r>
    </w:p>
    <w:p>
      <w:pPr>
        <w:pStyle w:val="Heading4"/>
        <w:spacing w:line="432" w:lineRule="exact" w:before="31"/>
        <w:ind w:left="573" w:right="982" w:firstLine="2"/>
        <w:jc w:val="left"/>
      </w:pPr>
      <w:r>
        <w:rPr>
          <w:rFonts w:ascii="Times New Roman" w:hAnsi="Times New Roman" w:cs="Times New Roman" w:eastAsia="Times New Roman" w:hint="default"/>
          <w:b/>
          <w:bCs/>
        </w:rPr>
        <w:t>3</w:t>
      </w:r>
      <w:r>
        <w:rPr>
          <w:rFonts w:ascii="宋体" w:hAnsi="宋体" w:cs="宋体" w:eastAsia="宋体" w:hint="default"/>
          <w:b/>
          <w:bCs/>
        </w:rPr>
        <w:t>、监事与监事会</w:t>
      </w:r>
      <w:r>
        <w:rPr>
          <w:rFonts w:ascii="宋体" w:hAnsi="宋体" w:cs="宋体" w:eastAsia="宋体" w:hint="default"/>
          <w:b/>
          <w:bCs/>
          <w:w w:val="100"/>
        </w:rPr>
        <w:t> </w:t>
      </w:r>
      <w:r>
        <w:rPr>
          <w:spacing w:val="-2"/>
        </w:rPr>
        <w:t>公司监事会由</w:t>
      </w:r>
      <w:r>
        <w:rPr>
          <w:rFonts w:ascii="Times New Roman" w:hAnsi="Times New Roman" w:cs="Times New Roman" w:eastAsia="Times New Roman" w:hint="default"/>
          <w:spacing w:val="-2"/>
        </w:rPr>
        <w:t>3</w:t>
      </w:r>
      <w:r>
        <w:rPr>
          <w:spacing w:val="-2"/>
        </w:rPr>
        <w:t>名监事组成，其中职工监事</w:t>
      </w:r>
      <w:r>
        <w:rPr>
          <w:rFonts w:ascii="Times New Roman" w:hAnsi="Times New Roman" w:cs="Times New Roman" w:eastAsia="Times New Roman" w:hint="default"/>
          <w:spacing w:val="-2"/>
        </w:rPr>
        <w:t>1</w:t>
      </w:r>
      <w:r>
        <w:rPr>
          <w:spacing w:val="-2"/>
        </w:rPr>
        <w:t>名，监事会的人数及人员构成符合有关法律法规和《公司</w:t>
      </w:r>
    </w:p>
    <w:p>
      <w:pPr>
        <w:pStyle w:val="Heading4"/>
        <w:spacing w:line="271" w:lineRule="exact"/>
        <w:ind w:right="0"/>
        <w:jc w:val="both"/>
      </w:pPr>
      <w:r>
        <w:rPr/>
        <w:t>章程》的要求。报告期内，公司共召开</w:t>
      </w:r>
      <w:r>
        <w:rPr>
          <w:rFonts w:ascii="Times New Roman" w:hAnsi="Times New Roman" w:cs="Times New Roman" w:eastAsia="Times New Roman" w:hint="default"/>
        </w:rPr>
        <w:t>5</w:t>
      </w:r>
      <w:r>
        <w:rPr/>
        <w:t>次监事会会议。公司监事会严格按照《公司法》、《深圳证券交</w:t>
      </w:r>
    </w:p>
    <w:p>
      <w:pPr>
        <w:pStyle w:val="Heading4"/>
        <w:spacing w:line="273" w:lineRule="auto" w:before="21"/>
        <w:ind w:right="1126"/>
        <w:jc w:val="both"/>
      </w:pPr>
      <w:r>
        <w:rPr>
          <w:spacing w:val="-2"/>
        </w:rPr>
        <w:t>易所创业板上市公司规范运作指引》以及《公司章程》的要求规范运行，公司监事认真履行监事职责，及</w:t>
      </w:r>
      <w:r>
        <w:rPr>
          <w:spacing w:val="-43"/>
        </w:rPr>
        <w:t> </w:t>
      </w:r>
      <w:r>
        <w:rPr>
          <w:spacing w:val="-43"/>
        </w:rPr>
      </w:r>
      <w:r>
        <w:rPr>
          <w:spacing w:val="-2"/>
        </w:rPr>
        <w:t>时了解公司的生产经营情况，监督公司财务及资金运作等情况，检查公司董事及高级管理人员执行职务行</w:t>
      </w:r>
      <w:r>
        <w:rPr>
          <w:spacing w:val="-43"/>
        </w:rPr>
        <w:t> </w:t>
      </w:r>
      <w:r>
        <w:rPr>
          <w:spacing w:val="-43"/>
        </w:rPr>
      </w:r>
      <w:r>
        <w:rPr/>
        <w:t>为，核查公司经营管理层实施公司股东大会和董事会决议情况，切实维护公司和股东的合法权益。</w:t>
      </w:r>
    </w:p>
    <w:p>
      <w:pPr>
        <w:pStyle w:val="BodyText"/>
        <w:spacing w:line="240" w:lineRule="auto" w:before="67"/>
        <w:ind w:right="0"/>
        <w:jc w:val="both"/>
      </w:pPr>
      <w:r>
        <w:rPr/>
        <w:t>公司治理的实际状况与中国证监会发布的有关上市公司治理的规范性文件是否存在重大差异</w:t>
      </w:r>
    </w:p>
    <w:p>
      <w:pPr>
        <w:pStyle w:val="BodyText"/>
        <w:spacing w:line="340" w:lineRule="auto" w:before="117"/>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right="982" w:firstLine="420"/>
        <w:jc w:val="left"/>
      </w:pPr>
      <w:r>
        <w:rPr>
          <w:spacing w:val="-5"/>
        </w:rPr>
        <w:t>公司严格按照《公司法》、《证券法》和《公司章程》的要求规范运作，在业务、人员、资产、机构、</w:t>
      </w:r>
      <w:r>
        <w:rPr>
          <w:w w:val="100"/>
        </w:rPr>
        <w:t> </w:t>
      </w:r>
      <w:r>
        <w:rPr>
          <w:spacing w:val="-2"/>
        </w:rPr>
        <w:t>财务等方面与控股股东完全分开，独立运作经营。报告期内不存在不能保证独立性、不能保持自主经营能</w:t>
      </w:r>
      <w:r>
        <w:rPr>
          <w:spacing w:val="-42"/>
        </w:rPr>
        <w:t> </w:t>
      </w:r>
      <w:r>
        <w:rPr>
          <w:spacing w:val="-42"/>
        </w:rPr>
      </w:r>
      <w:r>
        <w:rPr/>
        <w:t>力的情况。</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19"/>
        <w:gridCol w:w="1277"/>
        <w:gridCol w:w="991"/>
        <w:gridCol w:w="1558"/>
        <w:gridCol w:w="1702"/>
        <w:gridCol w:w="2621"/>
      </w:tblGrid>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1" w:right="38" w:hanging="272"/>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54" w:right="45" w:hanging="20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8"/>
              <w:jc w:val="right"/>
              <w:rPr>
                <w:rFonts w:ascii="Times New Roman" w:hAnsi="Times New Roman" w:cs="Times New Roman" w:eastAsia="Times New Roman" w:hint="default"/>
                <w:sz w:val="18"/>
                <w:szCs w:val="18"/>
              </w:rPr>
            </w:pPr>
            <w:r>
              <w:rPr>
                <w:rFonts w:ascii="Times New Roman"/>
                <w:sz w:val="18"/>
              </w:rPr>
              <w:t>64.27%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年第一次临时股东大会决议 公告</w:t>
            </w:r>
            <w:r>
              <w:rPr>
                <w:rFonts w:ascii="Times New Roman" w:hAnsi="Times New Roman" w:cs="Times New Roman" w:eastAsia="Times New Roman" w:hint="default"/>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2019-016)</w:t>
            </w:r>
          </w:p>
        </w:tc>
      </w:tr>
      <w:tr>
        <w:trPr>
          <w:trHeight w:val="71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526" w:right="45" w:hanging="47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 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8"/>
              <w:jc w:val="right"/>
              <w:rPr>
                <w:rFonts w:ascii="Times New Roman" w:hAnsi="Times New Roman" w:cs="Times New Roman" w:eastAsia="Times New Roman" w:hint="default"/>
                <w:sz w:val="18"/>
                <w:szCs w:val="18"/>
              </w:rPr>
            </w:pPr>
            <w:r>
              <w:rPr>
                <w:rFonts w:ascii="Times New Roman"/>
                <w:sz w:val="18"/>
              </w:rPr>
              <w:t>65.50%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年年度股东大会决议公告</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2019-035)</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54" w:right="45" w:hanging="20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 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8"/>
              <w:jc w:val="right"/>
              <w:rPr>
                <w:rFonts w:ascii="Times New Roman" w:hAnsi="Times New Roman" w:cs="Times New Roman" w:eastAsia="Times New Roman" w:hint="default"/>
                <w:sz w:val="18"/>
                <w:szCs w:val="18"/>
              </w:rPr>
            </w:pPr>
            <w:r>
              <w:rPr>
                <w:rFonts w:ascii="Times New Roman"/>
                <w:sz w:val="18"/>
              </w:rPr>
              <w:t>68.40%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年第二次临时股东大会决议 公告</w:t>
            </w:r>
            <w:r>
              <w:rPr>
                <w:rFonts w:ascii="Times New Roman" w:hAnsi="Times New Roman" w:cs="Times New Roman" w:eastAsia="Times New Roman" w:hint="default"/>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2019-049)</w:t>
            </w:r>
          </w:p>
        </w:tc>
      </w:tr>
    </w:tbl>
    <w:p>
      <w:pPr>
        <w:spacing w:line="240" w:lineRule="auto" w:before="5"/>
        <w:rPr>
          <w:rFonts w:ascii="宋体" w:hAnsi="宋体" w:cs="宋体" w:eastAsia="宋体" w:hint="default"/>
          <w:b/>
          <w:bCs/>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王渝次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杜美杰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2" w:right="0"/>
              <w:jc w:val="lef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0" w:right="0"/>
              <w:jc w:val="lef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张文亮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982"/>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21"/>
        <w:ind w:right="982"/>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独立董事对公司有关建议是否被采纳</w:t>
      </w:r>
    </w:p>
    <w:p>
      <w:pPr>
        <w:pStyle w:val="BodyText"/>
        <w:spacing w:line="34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spacing w:after="0" w:line="3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73" w:lineRule="auto" w:before="36"/>
        <w:ind w:right="1126" w:firstLine="420"/>
        <w:jc w:val="both"/>
      </w:pPr>
      <w:r>
        <w:rPr>
          <w:spacing w:val="-2"/>
        </w:rPr>
        <w:t>报告期内，独立董事根据《公司法》、《独立董事工作制度》、《公司章程》等有关规定和要求，勤</w:t>
      </w:r>
      <w:r>
        <w:rPr>
          <w:w w:val="100"/>
        </w:rPr>
        <w:t> </w:t>
      </w:r>
      <w:r>
        <w:rPr>
          <w:spacing w:val="-2"/>
        </w:rPr>
        <w:t>勉尽责地行使权利和履行义务，出席董事会和股东大会，对公司利润分配、关联交易、聘请审计机构、高</w:t>
      </w:r>
      <w:r>
        <w:rPr>
          <w:spacing w:val="-43"/>
        </w:rPr>
        <w:t> </w:t>
      </w:r>
      <w:r>
        <w:rPr>
          <w:spacing w:val="-43"/>
        </w:rPr>
      </w:r>
      <w:r>
        <w:rPr>
          <w:spacing w:val="-2"/>
        </w:rPr>
        <w:t>级管理人员薪酬、变更公司会计政策、内部控制、非经营性资金占用及其他关联资金往来、募集资金使用</w:t>
      </w:r>
      <w:r>
        <w:rPr>
          <w:spacing w:val="-47"/>
        </w:rPr>
        <w:t> </w:t>
      </w:r>
      <w:r>
        <w:rPr>
          <w:spacing w:val="-47"/>
        </w:rPr>
      </w:r>
      <w:r>
        <w:rPr>
          <w:spacing w:val="-2"/>
        </w:rPr>
        <w:t>及管理、选举董事等重要事项发表独立意见，并对公司财务及生产经营活动进行监督，维护公司和股东的</w:t>
      </w:r>
      <w:r>
        <w:rPr>
          <w:spacing w:val="-43"/>
        </w:rPr>
        <w:t> </w:t>
      </w:r>
      <w:r>
        <w:rPr>
          <w:spacing w:val="-43"/>
        </w:rPr>
      </w:r>
      <w:r>
        <w:rPr/>
        <w:t>合法权益。</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12"/>
        <w:rPr>
          <w:rFonts w:ascii="宋体" w:hAnsi="宋体" w:cs="宋体" w:eastAsia="宋体" w:hint="default"/>
          <w:b/>
          <w:bCs/>
          <w:sz w:val="24"/>
          <w:szCs w:val="24"/>
        </w:rPr>
      </w:pPr>
    </w:p>
    <w:p>
      <w:pPr>
        <w:pStyle w:val="Heading4"/>
        <w:spacing w:line="264" w:lineRule="auto"/>
        <w:ind w:right="982" w:firstLine="420"/>
        <w:jc w:val="left"/>
      </w:pPr>
      <w:r>
        <w:rPr>
          <w:spacing w:val="-2"/>
        </w:rPr>
        <w:t>公司董事会下设</w:t>
      </w:r>
      <w:r>
        <w:rPr>
          <w:rFonts w:ascii="Times New Roman" w:hAnsi="Times New Roman" w:cs="Times New Roman" w:eastAsia="Times New Roman" w:hint="default"/>
          <w:spacing w:val="-2"/>
        </w:rPr>
        <w:t>4</w:t>
      </w:r>
      <w:r>
        <w:rPr>
          <w:spacing w:val="-2"/>
        </w:rPr>
        <w:t>个专门委员会，分别为战略委员会、审计委员会、薪酬与考核委员会、提名委员会。</w:t>
      </w:r>
      <w:r>
        <w:rPr>
          <w:w w:val="100"/>
        </w:rPr>
        <w:t> </w:t>
      </w:r>
      <w:r>
        <w:rPr>
          <w:spacing w:val="-2"/>
        </w:rPr>
        <w:t>各专门委员会严格按照《公司章程》及各专门委员会实施细则的规定认真履行职责。报告期内，各专门委</w:t>
      </w:r>
      <w:r>
        <w:rPr>
          <w:spacing w:val="-47"/>
        </w:rPr>
        <w:t> </w:t>
      </w:r>
      <w:r>
        <w:rPr>
          <w:spacing w:val="-47"/>
        </w:rPr>
      </w:r>
      <w:r>
        <w:rPr/>
        <w:t>员会履职情况如下：</w:t>
      </w:r>
    </w:p>
    <w:p>
      <w:pPr>
        <w:pStyle w:val="Heading4"/>
        <w:spacing w:line="357" w:lineRule="auto" w:before="136"/>
        <w:ind w:left="573" w:right="982"/>
        <w:jc w:val="left"/>
      </w:pPr>
      <w:r>
        <w:rPr>
          <w:rFonts w:ascii="Times New Roman" w:hAnsi="Times New Roman" w:cs="Times New Roman" w:eastAsia="Times New Roman" w:hint="default"/>
          <w:b/>
          <w:bCs/>
        </w:rPr>
        <w:t>1</w:t>
      </w:r>
      <w:r>
        <w:rPr>
          <w:rFonts w:ascii="宋体" w:hAnsi="宋体" w:cs="宋体" w:eastAsia="宋体" w:hint="default"/>
          <w:b/>
          <w:bCs/>
        </w:rPr>
        <w:t>、战略委员会</w:t>
      </w:r>
      <w:r>
        <w:rPr>
          <w:rFonts w:ascii="宋体" w:hAnsi="宋体" w:cs="宋体" w:eastAsia="宋体" w:hint="default"/>
          <w:b/>
          <w:bCs/>
          <w:spacing w:val="-103"/>
        </w:rPr>
        <w:t> </w:t>
      </w:r>
      <w:r>
        <w:rPr>
          <w:spacing w:val="-2"/>
        </w:rPr>
        <w:t>报告期内，战略委员会严格按照《公司章程》及《公司董事会战略委员会实施细则》等相关规定，认</w:t>
      </w:r>
    </w:p>
    <w:p>
      <w:pPr>
        <w:pStyle w:val="Heading4"/>
        <w:spacing w:line="209" w:lineRule="exact"/>
        <w:ind w:right="0"/>
        <w:jc w:val="both"/>
      </w:pPr>
      <w:r>
        <w:rPr/>
        <w:t>真审议公司部分募集资金投资项目延期事项，确保公司募集资金使用及管理符合《深圳证券交易所创业板</w:t>
      </w:r>
    </w:p>
    <w:p>
      <w:pPr>
        <w:pStyle w:val="Heading4"/>
        <w:spacing w:line="273" w:lineRule="auto" w:before="37"/>
        <w:ind w:right="982"/>
        <w:jc w:val="left"/>
      </w:pPr>
      <w:r>
        <w:rPr>
          <w:spacing w:val="-2"/>
        </w:rPr>
        <w:t>股票上市规则》、《深圳证券交易所创业板上市公司规范运作指引》及《公司章程》等相关规定，切实履</w:t>
      </w:r>
      <w:r>
        <w:rPr>
          <w:spacing w:val="-43"/>
        </w:rPr>
        <w:t> </w:t>
      </w:r>
      <w:r>
        <w:rPr>
          <w:spacing w:val="-43"/>
        </w:rPr>
      </w:r>
      <w:r>
        <w:rPr/>
        <w:t>行战略委员会职责。</w:t>
      </w:r>
    </w:p>
    <w:p>
      <w:pPr>
        <w:pStyle w:val="Heading4"/>
        <w:spacing w:line="357" w:lineRule="auto" w:before="127"/>
        <w:ind w:left="573" w:right="982"/>
        <w:jc w:val="left"/>
      </w:pPr>
      <w:r>
        <w:rPr>
          <w:rFonts w:ascii="Times New Roman" w:hAnsi="Times New Roman" w:cs="Times New Roman" w:eastAsia="Times New Roman" w:hint="default"/>
          <w:b/>
          <w:bCs/>
        </w:rPr>
        <w:t>2</w:t>
      </w:r>
      <w:r>
        <w:rPr>
          <w:rFonts w:ascii="宋体" w:hAnsi="宋体" w:cs="宋体" w:eastAsia="宋体" w:hint="default"/>
          <w:b/>
          <w:bCs/>
        </w:rPr>
        <w:t>、审计委员会</w:t>
      </w:r>
      <w:r>
        <w:rPr>
          <w:rFonts w:ascii="宋体" w:hAnsi="宋体" w:cs="宋体" w:eastAsia="宋体" w:hint="default"/>
          <w:b/>
          <w:bCs/>
          <w:spacing w:val="-103"/>
        </w:rPr>
        <w:t> </w:t>
      </w:r>
      <w:r>
        <w:rPr>
          <w:spacing w:val="-5"/>
        </w:rPr>
        <w:t>报告期内，审计委员会根据中国证监会等相关要求，多次组织年报审计沟通会，对年报审计工作安排、</w:t>
      </w:r>
    </w:p>
    <w:p>
      <w:pPr>
        <w:pStyle w:val="Heading4"/>
        <w:spacing w:line="209" w:lineRule="exact"/>
        <w:ind w:right="0"/>
        <w:jc w:val="both"/>
      </w:pPr>
      <w:r>
        <w:rPr/>
        <w:t>关键审计事项、公司财务状况等进行沟通，有效监督公司年报编制与披露工作；同时，公司审计委员会严</w:t>
      </w:r>
    </w:p>
    <w:p>
      <w:pPr>
        <w:pStyle w:val="Heading4"/>
        <w:spacing w:line="273" w:lineRule="auto" w:before="37"/>
        <w:ind w:right="1126"/>
        <w:jc w:val="both"/>
      </w:pPr>
      <w:r>
        <w:rPr>
          <w:spacing w:val="-2"/>
        </w:rPr>
        <w:t>格按照《公司章程》及《公司董事会审计委员会实施细则》等相关规定，对定期报告、财务决算、利润分</w:t>
      </w:r>
      <w:r>
        <w:rPr>
          <w:spacing w:val="-45"/>
        </w:rPr>
        <w:t> </w:t>
      </w:r>
      <w:r>
        <w:rPr>
          <w:spacing w:val="-45"/>
        </w:rPr>
      </w:r>
      <w:r>
        <w:rPr>
          <w:spacing w:val="-2"/>
        </w:rPr>
        <w:t>配、聘请审计机构、内部控制、募集资金存放与使用情况专项报告、非经营性资金占用及其他关联资金往</w:t>
      </w:r>
      <w:r>
        <w:rPr>
          <w:spacing w:val="-47"/>
        </w:rPr>
        <w:t> </w:t>
      </w:r>
      <w:r>
        <w:rPr>
          <w:spacing w:val="-47"/>
        </w:rPr>
      </w:r>
      <w:r>
        <w:rPr/>
        <w:t>来等相关事项进行认真审议，切实履行审计委员会职责。</w:t>
      </w:r>
    </w:p>
    <w:p>
      <w:pPr>
        <w:pStyle w:val="Heading4"/>
        <w:spacing w:line="357" w:lineRule="auto" w:before="127"/>
        <w:ind w:left="573" w:right="982"/>
        <w:jc w:val="left"/>
      </w:pPr>
      <w:r>
        <w:rPr>
          <w:rFonts w:ascii="Times New Roman" w:hAnsi="Times New Roman" w:cs="Times New Roman" w:eastAsia="Times New Roman" w:hint="default"/>
          <w:b/>
          <w:bCs/>
        </w:rPr>
        <w:t>3</w:t>
      </w:r>
      <w:r>
        <w:rPr>
          <w:rFonts w:ascii="宋体" w:hAnsi="宋体" w:cs="宋体" w:eastAsia="宋体" w:hint="default"/>
          <w:b/>
          <w:bCs/>
        </w:rPr>
        <w:t>、薪酬与考核委员会</w:t>
      </w:r>
      <w:r>
        <w:rPr>
          <w:rFonts w:ascii="宋体" w:hAnsi="宋体" w:cs="宋体" w:eastAsia="宋体" w:hint="default"/>
          <w:b/>
          <w:bCs/>
          <w:w w:val="100"/>
        </w:rPr>
        <w:t> </w:t>
      </w:r>
      <w:r>
        <w:rPr>
          <w:spacing w:val="-2"/>
        </w:rPr>
        <w:t>报告期内，薪酬与考核委员会严格按照《公司章程》及《公司董事会薪酬与考核委员会实施细则》等</w:t>
      </w:r>
    </w:p>
    <w:p>
      <w:pPr>
        <w:pStyle w:val="Heading4"/>
        <w:spacing w:line="225" w:lineRule="exact"/>
        <w:ind w:right="0"/>
        <w:jc w:val="both"/>
      </w:pPr>
      <w:r>
        <w:rPr/>
        <w:t>相关规定，对公司董事及高级管理人员</w:t>
      </w:r>
      <w:r>
        <w:rPr>
          <w:rFonts w:ascii="Times New Roman" w:hAnsi="Times New Roman" w:cs="Times New Roman" w:eastAsia="Times New Roman" w:hint="default"/>
        </w:rPr>
        <w:t>2018</w:t>
      </w:r>
      <w:r>
        <w:rPr/>
        <w:t>年度履职和绩效情况、公司高级管理人员</w:t>
      </w:r>
      <w:r>
        <w:rPr>
          <w:rFonts w:ascii="Times New Roman" w:hAnsi="Times New Roman" w:cs="Times New Roman" w:eastAsia="Times New Roman" w:hint="default"/>
        </w:rPr>
        <w:t>2019</w:t>
      </w:r>
      <w:r>
        <w:rPr/>
        <w:t>年薪酬等进行审</w:t>
      </w:r>
    </w:p>
    <w:p>
      <w:pPr>
        <w:pStyle w:val="Heading4"/>
        <w:spacing w:line="240" w:lineRule="auto" w:before="21"/>
        <w:ind w:right="0"/>
        <w:jc w:val="both"/>
      </w:pPr>
      <w:r>
        <w:rPr/>
        <w:t>议评价，切实履行薪酬与考核委员会职责。</w:t>
      </w:r>
    </w:p>
    <w:p>
      <w:pPr>
        <w:pStyle w:val="Heading4"/>
        <w:spacing w:line="290" w:lineRule="auto" w:before="157"/>
        <w:ind w:left="573" w:right="982"/>
        <w:jc w:val="left"/>
      </w:pPr>
      <w:r>
        <w:rPr>
          <w:rFonts w:ascii="Times New Roman" w:hAnsi="Times New Roman" w:cs="Times New Roman" w:eastAsia="Times New Roman" w:hint="default"/>
          <w:b/>
          <w:bCs/>
        </w:rPr>
        <w:t>4</w:t>
      </w:r>
      <w:r>
        <w:rPr>
          <w:rFonts w:ascii="宋体" w:hAnsi="宋体" w:cs="宋体" w:eastAsia="宋体" w:hint="default"/>
          <w:b/>
          <w:bCs/>
        </w:rPr>
        <w:t>、提名委员会</w:t>
      </w:r>
      <w:r>
        <w:rPr>
          <w:rFonts w:ascii="宋体" w:hAnsi="宋体" w:cs="宋体" w:eastAsia="宋体" w:hint="default"/>
          <w:b/>
          <w:bCs/>
          <w:spacing w:val="-103"/>
        </w:rPr>
        <w:t> </w:t>
      </w:r>
      <w:r>
        <w:rPr>
          <w:spacing w:val="-2"/>
        </w:rPr>
        <w:t>报告期内，提名委员会严格按照《公司章程》及《公司董事会提名委员会实施细则》等相关规定，对</w:t>
      </w:r>
    </w:p>
    <w:p>
      <w:pPr>
        <w:pStyle w:val="Heading4"/>
        <w:spacing w:line="273" w:lineRule="auto"/>
        <w:ind w:right="982"/>
        <w:jc w:val="left"/>
      </w:pPr>
      <w:r>
        <w:rPr>
          <w:spacing w:val="-2"/>
        </w:rPr>
        <w:t>公司提名董事进行认真审议，确保公司董事具备履行职责所必须的经营和管理经验、业务专长，提名程序</w:t>
      </w:r>
      <w:r>
        <w:rPr>
          <w:spacing w:val="-43"/>
        </w:rPr>
        <w:t> </w:t>
      </w:r>
      <w:r>
        <w:rPr>
          <w:spacing w:val="-43"/>
        </w:rPr>
      </w:r>
      <w:r>
        <w:rPr/>
        <w:t>符合《上市公司治理准则》及《公司章程》等相关规定。</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5"/>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12"/>
        <w:rPr>
          <w:rFonts w:ascii="宋体" w:hAnsi="宋体" w:cs="宋体" w:eastAsia="宋体" w:hint="default"/>
          <w:b/>
          <w:bCs/>
          <w:sz w:val="24"/>
          <w:szCs w:val="24"/>
        </w:rPr>
      </w:pPr>
    </w:p>
    <w:p>
      <w:pPr>
        <w:pStyle w:val="Heading4"/>
        <w:spacing w:line="273" w:lineRule="auto"/>
        <w:ind w:right="982" w:firstLine="420"/>
        <w:jc w:val="left"/>
      </w:pPr>
      <w:r>
        <w:rPr>
          <w:spacing w:val="-2"/>
        </w:rPr>
        <w:t>公司建立了高级管理人员的薪酬与公司业绩挂钩的绩效考核与激励约束机制，公司高级管理人员实行</w:t>
      </w:r>
      <w:r>
        <w:rPr>
          <w:w w:val="100"/>
        </w:rPr>
        <w:t> </w:t>
      </w:r>
      <w:r>
        <w:rPr>
          <w:spacing w:val="-2"/>
        </w:rPr>
        <w:t>基本年薪和绩效年薪相结合的薪酬制度。由董事会薪酬与考核委员会根据公司年度经营目标完成情况和高</w:t>
      </w:r>
    </w:p>
    <w:p>
      <w:pPr>
        <w:spacing w:after="0" w:line="273"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r>
        <w:rPr/>
        <w:pict>
          <v:shape style="position:absolute;margin-left:362.829987pt;margin-top:600.459961pt;width:172.1pt;height:97.7pt;mso-position-horizontal-relative:page;mso-position-vertical-relative:page;z-index:-8833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p>
    <w:p>
      <w:pPr>
        <w:pStyle w:val="Heading4"/>
        <w:spacing w:line="240" w:lineRule="auto" w:before="36"/>
        <w:ind w:right="982"/>
        <w:jc w:val="left"/>
      </w:pPr>
      <w:r>
        <w:rPr/>
        <w:t>级管理人员的业绩与述职情况进行考评。公司根据考评结果兑现其绩效年薪。</w:t>
      </w:r>
    </w:p>
    <w:p>
      <w:pPr>
        <w:spacing w:line="240" w:lineRule="auto" w:before="11"/>
        <w:rPr>
          <w:rFonts w:ascii="宋体" w:hAnsi="宋体" w:cs="宋体" w:eastAsia="宋体" w:hint="default"/>
          <w:sz w:val="23"/>
          <w:szCs w:val="23"/>
        </w:rPr>
      </w:pPr>
    </w:p>
    <w:p>
      <w:pPr>
        <w:pStyle w:val="Heading2"/>
        <w:spacing w:line="240" w:lineRule="auto"/>
        <w:ind w:right="982"/>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spacing w:line="467" w:lineRule="exact"/>
        <w:ind w:left="6396"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166.1pt;height:23.4pt;mso-position-horizontal-relative:char;mso-position-vertical-relative:line" coordorigin="0,0" coordsize="3322,468">
            <v:group style="position:absolute;left:0;top:0;width:3322;height:468" coordorigin="0,0" coordsize="3322,468">
              <v:shape style="position:absolute;left:0;top:0;width:3322;height:468" coordorigin="0,0" coordsize="3322,468" path="m0,468l3322,468,3322,0,0,0,0,468xe" filled="true" fillcolor="#ffffff" stroked="false">
                <v:path arrowok="t"/>
                <v:fill type="solid"/>
              </v:shape>
            </v:group>
          </v:group>
        </w:pict>
      </w:r>
      <w:r>
        <w:rPr>
          <w:rFonts w:ascii="宋体" w:hAnsi="宋体" w:cs="宋体" w:eastAsia="宋体" w:hint="default"/>
          <w:position w:val="-8"/>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BodyText"/>
        <w:spacing w:line="240" w:lineRule="auto" w:before="44"/>
        <w:ind w:left="0" w:right="1138"/>
        <w:jc w:val="right"/>
      </w:pPr>
      <w:r>
        <w:rPr/>
        <w:pict>
          <v:shape style="position:absolute;margin-left:299.696014pt;margin-top:-86.068275pt;width:235.25pt;height:222.45pt;mso-position-horizontal-relative:page;mso-position-vertical-relative:paragraph;z-index:-8833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BodyText"/>
                    <w:spacing w:line="240" w:lineRule="auto"/>
                    <w:ind w:left="0" w:right="0"/>
                    <w:jc w:val="left"/>
                  </w:pPr>
                  <w:r>
                    <w:rPr/>
                    <w:t>除上述重大缺陷、</w:t>
                  </w:r>
                </w:p>
              </w:txbxContent>
            </v:textbox>
            <w10:wrap type="none"/>
          </v:shape>
        </w:pict>
      </w:r>
      <w:r>
        <w:rPr/>
        <w:pict>
          <v:shape style="position:absolute;margin-left:56.400002pt;margin-top:-238.378281pt;width:480pt;height:533.6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0"/>
                    <w:gridCol w:w="3549"/>
                    <w:gridCol w:w="3332"/>
                  </w:tblGrid>
                  <w:tr>
                    <w:trPr>
                      <w:trHeight w:val="401" w:hRule="exact"/>
                    </w:trPr>
                    <w:tc>
                      <w:tcPr>
                        <w:tcW w:w="2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2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4">
                          <w:r>
                            <w:rPr>
                              <w:rFonts w:ascii="Times New Roman" w:hAnsi="Times New Roman" w:cs="Times New Roman" w:eastAsia="Times New Roman" w:hint="default"/>
                              <w:sz w:val="18"/>
                              <w:szCs w:val="18"/>
                            </w:rPr>
                            <w:t>http://www.cninfo.com.cn</w:t>
                          </w:r>
                        </w:hyperlink>
                      </w:p>
                    </w:tc>
                  </w:tr>
                  <w:tr>
                    <w:trPr>
                      <w:trHeight w:val="713" w:hRule="exact"/>
                    </w:trPr>
                    <w:tc>
                      <w:tcPr>
                        <w:tcW w:w="2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688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2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688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2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033" w:hRule="exact"/>
                    </w:trPr>
                    <w:tc>
                      <w:tcPr>
                        <w:tcW w:w="2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49" w:type="dxa"/>
                        <w:vMerge w:val="restart"/>
                        <w:tcBorders>
                          <w:top w:val="single" w:sz="4" w:space="0" w:color="000000"/>
                          <w:left w:val="single" w:sz="4" w:space="0" w:color="000000"/>
                          <w:right w:val="single" w:sz="4" w:space="0" w:color="000000"/>
                        </w:tcBorders>
                      </w:tcPr>
                      <w:p>
                        <w:pPr>
                          <w:pStyle w:val="TableParagraph"/>
                          <w:spacing w:line="314" w:lineRule="auto" w:before="51"/>
                          <w:ind w:left="30"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、重大缺陷：公司董事、监事或高级管理人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员舞弊行为并给公司造成重要损失和不利影 响；公司更正已公告的财务报表；注册会计 师发现的却未被公司内部控制识别的当期财 务报表重大错报；审计委员会和审计部对公 </w:t>
                        </w:r>
                        <w:r>
                          <w:rPr>
                            <w:rFonts w:ascii="宋体" w:hAnsi="宋体" w:cs="宋体" w:eastAsia="宋体" w:hint="default"/>
                            <w:spacing w:val="-2"/>
                            <w:sz w:val="18"/>
                            <w:szCs w:val="18"/>
                          </w:rPr>
                          <w:t>司内部控制监督无效。</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、重要缺陷：未依照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公认会计准则选择和应用会计政策；未建立 反舞弊程序和控制措施；对于非常规或特殊 交易的账务处理没有建立相应的控制机制或 没有实施且没有相应的补偿性控制；对于期 末财务报告过程的控制存在一项或多项缺陷 且不能合理保证编制的财务报表达到真实、 </w:t>
                        </w:r>
                        <w:r>
                          <w:rPr>
                            <w:rFonts w:ascii="宋体" w:hAnsi="宋体" w:cs="宋体" w:eastAsia="宋体" w:hint="default"/>
                            <w:spacing w:val="-6"/>
                            <w:sz w:val="18"/>
                            <w:szCs w:val="18"/>
                          </w:rPr>
                          <w:t>完整的目标。</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、一般缺陷：</w:t>
                        </w:r>
                        <w:r>
                          <w:rPr>
                            <w:rFonts w:ascii="宋体" w:hAnsi="宋体" w:cs="宋体" w:eastAsia="宋体" w:hint="default"/>
                            <w:sz w:val="18"/>
                            <w:szCs w:val="18"/>
                          </w:rPr>
                          <w:t> 重要缺陷以外的其他控制缺陷。</w:t>
                        </w:r>
                      </w:p>
                    </w:tc>
                    <w:tc>
                      <w:tcPr>
                        <w:tcW w:w="333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2" w:lineRule="auto"/>
                          <w:ind w:left="23" w:right="2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、重大缺陷：决策程序导致重大失误；重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要业务缺乏制度控制或系统性失效，且缺 乏有效的补偿性控制；内部控制评价的结 果特别是重大缺陷未得到整改；其他对公 </w:t>
                        </w:r>
                        <w:r>
                          <w:rPr>
                            <w:rFonts w:ascii="宋体" w:hAnsi="宋体" w:cs="宋体" w:eastAsia="宋体" w:hint="default"/>
                            <w:spacing w:val="-8"/>
                            <w:sz w:val="18"/>
                            <w:szCs w:val="18"/>
                          </w:rPr>
                          <w:t>司产生重大负面影响的情形。</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、重要缺陷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决策程序导致出现一般性失误；重要业务 制度或系统存在缺陷；内部控制评价的结 果特别是重要缺陷未得到整改；其他对公 司产生较大负面影响的情形。</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 陷：决策程序效率不高；一般业务制度或 系统存在缺陷；一般缺陷未得到整改。</w:t>
                        </w:r>
                      </w:p>
                    </w:tc>
                  </w:tr>
                  <w:tr>
                    <w:trPr>
                      <w:trHeight w:val="391" w:hRule="exact"/>
                    </w:trPr>
                    <w:tc>
                      <w:tcPr>
                        <w:tcW w:w="2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549" w:type="dxa"/>
                        <w:vMerge/>
                        <w:tcBorders>
                          <w:left w:val="single" w:sz="4" w:space="0" w:color="000000"/>
                          <w:right w:val="single" w:sz="4" w:space="0" w:color="000000"/>
                        </w:tcBorders>
                      </w:tcPr>
                      <w:p>
                        <w:pPr/>
                      </w:p>
                    </w:tc>
                    <w:tc>
                      <w:tcPr>
                        <w:tcW w:w="3332" w:type="dxa"/>
                        <w:vMerge/>
                        <w:tcBorders>
                          <w:left w:val="single" w:sz="4" w:space="0" w:color="000000"/>
                          <w:right w:val="nil" w:sz="6" w:space="0" w:color="auto"/>
                        </w:tcBorders>
                      </w:tcPr>
                      <w:p>
                        <w:pPr/>
                      </w:p>
                    </w:tc>
                  </w:tr>
                  <w:tr>
                    <w:trPr>
                      <w:trHeight w:val="2033" w:hRule="exact"/>
                    </w:trPr>
                    <w:tc>
                      <w:tcPr>
                        <w:tcW w:w="2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549" w:type="dxa"/>
                        <w:vMerge/>
                        <w:tcBorders>
                          <w:left w:val="single" w:sz="4" w:space="0" w:color="000000"/>
                          <w:bottom w:val="single" w:sz="4" w:space="0" w:color="000000"/>
                          <w:right w:val="single" w:sz="4" w:space="0" w:color="000000"/>
                        </w:tcBorders>
                      </w:tcPr>
                      <w:p>
                        <w:pPr/>
                      </w:p>
                    </w:tc>
                    <w:tc>
                      <w:tcPr>
                        <w:tcW w:w="3332" w:type="dxa"/>
                        <w:vMerge/>
                        <w:tcBorders>
                          <w:left w:val="single" w:sz="4" w:space="0" w:color="000000"/>
                          <w:bottom w:val="single" w:sz="4" w:space="0" w:color="000000"/>
                          <w:right w:val="nil" w:sz="6" w:space="0" w:color="auto"/>
                        </w:tcBorders>
                      </w:tcPr>
                      <w:p>
                        <w:pPr/>
                      </w:p>
                    </w:tc>
                  </w:tr>
                  <w:tr>
                    <w:trPr>
                      <w:trHeight w:val="785" w:hRule="exact"/>
                    </w:trPr>
                    <w:tc>
                      <w:tcPr>
                        <w:tcW w:w="2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49" w:type="dxa"/>
                        <w:vMerge w:val="restart"/>
                        <w:tcBorders>
                          <w:top w:val="single" w:sz="4" w:space="0" w:color="000000"/>
                          <w:left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30" w:right="2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w:t>
                        </w:r>
                        <w:r>
                          <w:rPr>
                            <w:rFonts w:ascii="宋体" w:hAnsi="宋体" w:cs="宋体" w:eastAsia="宋体" w:hint="default"/>
                            <w:spacing w:val="-12"/>
                            <w:sz w:val="18"/>
                            <w:szCs w:val="18"/>
                          </w:rPr>
                          <w:t> </w:t>
                        </w:r>
                        <w:r>
                          <w:rPr>
                            <w:rFonts w:ascii="宋体" w:hAnsi="宋体" w:cs="宋体" w:eastAsia="宋体" w:hint="default"/>
                            <w:sz w:val="18"/>
                            <w:szCs w:val="18"/>
                          </w:rPr>
                          <w:t>要缺陷：利润总额的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错报＜利润总额的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、一般缺陷：错报＜利润总额的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p>
                    </w:tc>
                    <w:tc>
                      <w:tcPr>
                        <w:tcW w:w="3332" w:type="dxa"/>
                        <w:vMerge w:val="restart"/>
                        <w:tcBorders>
                          <w:top w:val="single" w:sz="4" w:space="0" w:color="000000"/>
                          <w:left w:val="single" w:sz="10" w:space="0" w:color="FFFFFF"/>
                          <w:right w:val="single" w:sz="10" w:space="0" w:color="FFFFFF"/>
                        </w:tcBorders>
                      </w:tcPr>
                      <w:p>
                        <w:pPr>
                          <w:pStyle w:val="TableParagraph"/>
                          <w:spacing w:line="300" w:lineRule="auto" w:before="51"/>
                          <w:ind w:left="16" w:right="12"/>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、重大缺陷：非财务报告内部控制缺陷导</w:t>
                        </w:r>
                        <w:r>
                          <w:rPr>
                            <w:rFonts w:ascii="宋体" w:hAnsi="宋体" w:cs="宋体" w:eastAsia="宋体" w:hint="default"/>
                            <w:sz w:val="18"/>
                            <w:szCs w:val="18"/>
                          </w:rPr>
                          <w:t> 致的直接经济损失金额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、重 </w:t>
                        </w:r>
                        <w:r>
                          <w:rPr>
                            <w:rFonts w:ascii="宋体" w:hAnsi="宋体" w:cs="宋体" w:eastAsia="宋体" w:hint="default"/>
                            <w:spacing w:val="-11"/>
                            <w:sz w:val="18"/>
                            <w:szCs w:val="18"/>
                          </w:rPr>
                          <w:t>要缺陷：</w:t>
                        </w:r>
                        <w:r>
                          <w:rPr>
                            <w:rFonts w:ascii="Times New Roman" w:hAnsi="Times New Roman" w:cs="Times New Roman" w:eastAsia="Times New Roman" w:hint="default"/>
                            <w:spacing w:val="-11"/>
                            <w:sz w:val="18"/>
                            <w:szCs w:val="18"/>
                          </w:rPr>
                          <w:t>50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非财务报告内部控</w:t>
                        </w:r>
                        <w:r>
                          <w:rPr>
                            <w:rFonts w:ascii="宋体" w:hAnsi="宋体" w:cs="宋体" w:eastAsia="宋体" w:hint="default"/>
                            <w:spacing w:val="-11"/>
                            <w:sz w:val="18"/>
                            <w:szCs w:val="18"/>
                          </w:rPr>
                          <w:t> </w:t>
                        </w:r>
                        <w:r>
                          <w:rPr>
                            <w:rFonts w:ascii="宋体" w:hAnsi="宋体" w:cs="宋体" w:eastAsia="宋体" w:hint="default"/>
                            <w:sz w:val="18"/>
                            <w:szCs w:val="18"/>
                          </w:rPr>
                          <w:t>制缺</w:t>
                        </w:r>
                        <w:r>
                          <w:rPr>
                            <w:rFonts w:ascii="宋体" w:hAnsi="宋体" w:cs="宋体" w:eastAsia="宋体" w:hint="default"/>
                            <w:sz w:val="18"/>
                            <w:szCs w:val="18"/>
                          </w:rPr>
                          <w:t> 陷导致的直接经济损失金额＜</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、一般缺陷：非财务报告内部控制缺陷导</w:t>
                        </w:r>
                        <w:r>
                          <w:rPr>
                            <w:rFonts w:ascii="宋体" w:hAnsi="宋体" w:cs="宋体" w:eastAsia="宋体" w:hint="default"/>
                            <w:sz w:val="18"/>
                            <w:szCs w:val="18"/>
                          </w:rPr>
                          <w:t> 致的直接经济损失金额＜</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4" w:hRule="exact"/>
                    </w:trPr>
                    <w:tc>
                      <w:tcPr>
                        <w:tcW w:w="2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549" w:type="dxa"/>
                        <w:vMerge/>
                        <w:tcBorders>
                          <w:left w:val="single" w:sz="4" w:space="0" w:color="000000"/>
                          <w:right w:val="single" w:sz="10" w:space="0" w:color="FFFFFF"/>
                        </w:tcBorders>
                      </w:tcPr>
                      <w:p>
                        <w:pPr/>
                      </w:p>
                    </w:tc>
                    <w:tc>
                      <w:tcPr>
                        <w:tcW w:w="3332" w:type="dxa"/>
                        <w:vMerge/>
                        <w:tcBorders>
                          <w:left w:val="single" w:sz="10" w:space="0" w:color="FFFFFF"/>
                          <w:right w:val="single" w:sz="10" w:space="0" w:color="FFFFFF"/>
                        </w:tcBorders>
                      </w:tcPr>
                      <w:p>
                        <w:pPr/>
                      </w:p>
                    </w:tc>
                  </w:tr>
                  <w:tr>
                    <w:trPr>
                      <w:trHeight w:val="785" w:hRule="exact"/>
                    </w:trPr>
                    <w:tc>
                      <w:tcPr>
                        <w:tcW w:w="2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549" w:type="dxa"/>
                        <w:vMerge/>
                        <w:tcBorders>
                          <w:left w:val="single" w:sz="4" w:space="0" w:color="000000"/>
                          <w:bottom w:val="single" w:sz="4" w:space="0" w:color="000000"/>
                          <w:right w:val="single" w:sz="10" w:space="0" w:color="FFFFFF"/>
                        </w:tcBorders>
                      </w:tcPr>
                      <w:p>
                        <w:pPr/>
                      </w:p>
                    </w:tc>
                    <w:tc>
                      <w:tcPr>
                        <w:tcW w:w="3332" w:type="dxa"/>
                        <w:vMerge/>
                        <w:tcBorders>
                          <w:left w:val="single" w:sz="10" w:space="0" w:color="FFFFFF"/>
                          <w:bottom w:val="single" w:sz="4" w:space="0" w:color="000000"/>
                          <w:right w:val="single" w:sz="10" w:space="0" w:color="FFFFFF"/>
                        </w:tcBorders>
                      </w:tcPr>
                      <w:p>
                        <w:pPr/>
                      </w:p>
                    </w:tc>
                  </w:tr>
                  <w:tr>
                    <w:trPr>
                      <w:trHeight w:val="401" w:hRule="exact"/>
                    </w:trPr>
                    <w:tc>
                      <w:tcPr>
                        <w:tcW w:w="2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2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p>
      <w:pPr>
        <w:spacing w:line="468" w:lineRule="exact"/>
        <w:ind w:left="6396"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166.1pt;height:23.4pt;mso-position-horizontal-relative:char;mso-position-vertical-relative:line" coordorigin="0,0" coordsize="3322,468">
            <v:group style="position:absolute;left:0;top:0;width:3322;height:468" coordorigin="0,0" coordsize="3322,468">
              <v:shape style="position:absolute;left:0;top:0;width:3322;height:468" coordorigin="0,0" coordsize="3322,468" path="m0,468l3322,468,3322,0,0,0,0,468xe" filled="true" fillcolor="#ffffff" stroked="false">
                <v:path arrowok="t"/>
                <v:fill type="solid"/>
              </v:shape>
            </v:group>
          </v:group>
        </w:pict>
      </w:r>
      <w:r>
        <w:rPr>
          <w:rFonts w:ascii="宋体" w:hAnsi="宋体" w:cs="宋体" w:eastAsia="宋体" w:hint="default"/>
          <w:position w:val="-8"/>
          <w:sz w:val="20"/>
          <w:szCs w:val="20"/>
        </w:rPr>
      </w:r>
    </w:p>
    <w:p>
      <w:pPr>
        <w:spacing w:after="0" w:line="468" w:lineRule="exact"/>
        <w:rPr>
          <w:rFonts w:ascii="宋体" w:hAnsi="宋体" w:cs="宋体" w:eastAsia="宋体" w:hint="default"/>
          <w:sz w:val="20"/>
          <w:szCs w:val="20"/>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95"/>
        <w:gridCol w:w="6875"/>
      </w:tblGrid>
      <w:tr>
        <w:trPr>
          <w:trHeight w:val="404"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8"/>
          <w:szCs w:val="18"/>
        </w:rPr>
      </w:pPr>
    </w:p>
    <w:p>
      <w:pPr>
        <w:pStyle w:val="Heading2"/>
        <w:spacing w:line="240" w:lineRule="auto" w:before="26"/>
        <w:ind w:right="982"/>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内部控制鉴证报告</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2" w:right="82"/>
              <w:jc w:val="left"/>
              <w:rPr>
                <w:rFonts w:ascii="宋体" w:hAnsi="宋体" w:cs="宋体" w:eastAsia="宋体" w:hint="default"/>
                <w:sz w:val="18"/>
                <w:szCs w:val="18"/>
              </w:rPr>
            </w:pPr>
            <w:r>
              <w:rPr>
                <w:rFonts w:ascii="宋体" w:hAnsi="宋体" w:cs="宋体" w:eastAsia="宋体" w:hint="default"/>
                <w:sz w:val="18"/>
                <w:szCs w:val="18"/>
              </w:rPr>
              <w:t>我们认为，北京数字认证公司于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日在所有重大方面有效地保持了按照《企业内部控制基本规范》建立的 与财务报表相关的内部控制。</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4">
              <w:r>
                <w:rPr>
                  <w:rFonts w:ascii="Times New Roman" w:hAnsi="Times New Roman" w:cs="Times New Roman" w:eastAsia="Times New Roman" w:hint="default"/>
                  <w:sz w:val="18"/>
                  <w:szCs w:val="18"/>
                </w:rPr>
                <w:t>http://www.cninfo.com.cn</w:t>
              </w:r>
            </w:hyperlink>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982"/>
        <w:jc w:val="left"/>
      </w:pPr>
      <w:r>
        <w:rPr/>
        <w:t>会计师事务所是否出具非标准意见的内部控制鉴证报告</w:t>
      </w:r>
    </w:p>
    <w:p>
      <w:pPr>
        <w:pStyle w:val="BodyText"/>
        <w:spacing w:line="340" w:lineRule="auto" w:before="117"/>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39"/>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982"/>
        <w:jc w:val="left"/>
        <w:rPr>
          <w:b w:val="0"/>
          <w:bCs w:val="0"/>
        </w:rPr>
      </w:pPr>
      <w:bookmarkStart w:name="_bookmark10" w:id="11"/>
      <w:bookmarkEnd w:id="11"/>
      <w:r>
        <w:rPr>
          <w:b w:val="0"/>
          <w:bCs w:val="0"/>
        </w:rPr>
      </w:r>
      <w:r>
        <w:rPr/>
        <w:t>第十一节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982"/>
        <w:jc w:val="left"/>
        <w:rPr>
          <w:b w:val="0"/>
          <w:bCs w:val="0"/>
        </w:rPr>
      </w:pPr>
      <w:bookmarkStart w:name="_bookmark11" w:id="12"/>
      <w:bookmarkEnd w:id="12"/>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2"/>
        <w:jc w:val="left"/>
        <w:rPr>
          <w:b w:val="0"/>
          <w:bCs w:val="0"/>
        </w:rPr>
      </w:pPr>
      <w:r>
        <w:rPr/>
        <w:t>一、审计报告</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110ZA2221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郑建彪、王娟</w:t>
            </w:r>
          </w:p>
        </w:tc>
      </w:tr>
    </w:tbl>
    <w:p>
      <w:pPr>
        <w:pStyle w:val="BodyText"/>
        <w:spacing w:line="240" w:lineRule="auto" w:before="49"/>
        <w:ind w:left="0" w:right="978"/>
        <w:jc w:val="center"/>
      </w:pPr>
      <w:r>
        <w:rPr/>
        <w:t>审计报告正文</w:t>
      </w:r>
    </w:p>
    <w:p>
      <w:pPr>
        <w:spacing w:line="240" w:lineRule="auto" w:before="9"/>
        <w:rPr>
          <w:rFonts w:ascii="宋体" w:hAnsi="宋体" w:cs="宋体" w:eastAsia="宋体" w:hint="default"/>
          <w:sz w:val="10"/>
          <w:szCs w:val="10"/>
        </w:rPr>
      </w:pPr>
    </w:p>
    <w:p>
      <w:pPr>
        <w:pStyle w:val="Heading3"/>
        <w:spacing w:line="376" w:lineRule="auto" w:before="36"/>
        <w:ind w:left="650" w:right="6474" w:hanging="498"/>
        <w:jc w:val="left"/>
        <w:rPr>
          <w:b w:val="0"/>
          <w:bCs w:val="0"/>
        </w:rPr>
      </w:pPr>
      <w:r>
        <w:rPr>
          <w:spacing w:val="-1"/>
        </w:rPr>
        <w:t>北京数字认证股份有限公司全体股东：</w:t>
      </w:r>
      <w:r>
        <w:rPr>
          <w:spacing w:val="-89"/>
        </w:rPr>
        <w:t> </w:t>
      </w:r>
      <w:r>
        <w:rPr>
          <w:spacing w:val="-89"/>
        </w:rPr>
      </w:r>
      <w:r>
        <w:rPr/>
        <w:t>一、审计意见</w:t>
      </w:r>
      <w:r>
        <w:rPr>
          <w:b w:val="0"/>
          <w:bCs w:val="0"/>
        </w:rPr>
      </w:r>
    </w:p>
    <w:p>
      <w:pPr>
        <w:pStyle w:val="Heading4"/>
        <w:spacing w:line="256" w:lineRule="auto" w:before="37"/>
        <w:ind w:right="1128" w:firstLine="497"/>
        <w:jc w:val="both"/>
      </w:pPr>
      <w:r>
        <w:rPr>
          <w:spacing w:val="-4"/>
        </w:rPr>
        <w:t>我们审计了北京数字认证股份有限公司（以下简称数字认证公司）财务报表，包括</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w:t>
      </w:r>
      <w:r>
        <w:rPr>
          <w:spacing w:val="-3"/>
          <w:w w:val="100"/>
        </w:rPr>
        <w:t> </w:t>
      </w:r>
      <w:r>
        <w:rPr>
          <w:spacing w:val="-2"/>
        </w:rPr>
        <w:t>合并及公司资产负债表，</w:t>
      </w:r>
      <w:r>
        <w:rPr>
          <w:rFonts w:ascii="Times New Roman" w:hAnsi="Times New Roman" w:cs="Times New Roman" w:eastAsia="Times New Roman" w:hint="default"/>
          <w:spacing w:val="-2"/>
        </w:rPr>
        <w:t>2019</w:t>
      </w:r>
      <w:r>
        <w:rPr>
          <w:spacing w:val="-2"/>
        </w:rPr>
        <w:t>年度的合并及公司利润表、合并及公司现金流量表、合并及公司股东权益变</w:t>
      </w:r>
      <w:r>
        <w:rPr>
          <w:spacing w:val="-41"/>
        </w:rPr>
        <w:t> </w:t>
      </w:r>
      <w:r>
        <w:rPr>
          <w:spacing w:val="-41"/>
        </w:rPr>
      </w:r>
      <w:r>
        <w:rPr/>
        <w:t>动表以及相关财务报表附注。</w:t>
      </w:r>
    </w:p>
    <w:p>
      <w:pPr>
        <w:pStyle w:val="Heading4"/>
        <w:spacing w:line="240" w:lineRule="auto" w:before="143"/>
        <w:ind w:left="650" w:right="982"/>
        <w:jc w:val="left"/>
      </w:pPr>
      <w:r>
        <w:rPr>
          <w:spacing w:val="-4"/>
        </w:rPr>
        <w:t>我们认为，后附的财务报表在所有重大方面按照企业会计准则的规定编制，公允反映了数字认证公司</w:t>
      </w:r>
    </w:p>
    <w:p>
      <w:pPr>
        <w:pStyle w:val="Heading4"/>
        <w:spacing w:line="240" w:lineRule="auto" w:before="37"/>
        <w:ind w:right="982"/>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2019</w:t>
      </w:r>
      <w:r>
        <w:rPr/>
        <w:t>年度的合并及公司的经营成果和现金流量。</w:t>
      </w:r>
    </w:p>
    <w:p>
      <w:pPr>
        <w:spacing w:line="432" w:lineRule="exact" w:before="41"/>
        <w:ind w:left="650" w:right="982" w:firstLine="0"/>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1"/>
          <w:sz w:val="21"/>
          <w:szCs w:val="21"/>
        </w:rPr>
        <w:t>我们按照中国注册会计师审计准则的规定执行了审计工作。审计报告的</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注册会计师对财务报表审计</w:t>
      </w:r>
    </w:p>
    <w:p>
      <w:pPr>
        <w:pStyle w:val="Heading4"/>
        <w:spacing w:line="271" w:lineRule="exact"/>
        <w:ind w:right="982"/>
        <w:jc w:val="left"/>
      </w:pP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部分进一步阐述了我们在这些准则下的责任。按照中国注册会计师职业道德守则，我们独立于数</w:t>
      </w:r>
    </w:p>
    <w:p>
      <w:pPr>
        <w:pStyle w:val="Heading4"/>
        <w:spacing w:line="273" w:lineRule="auto" w:before="21"/>
        <w:ind w:right="982"/>
        <w:jc w:val="left"/>
      </w:pPr>
      <w:r>
        <w:rPr>
          <w:spacing w:val="-2"/>
        </w:rPr>
        <w:t>字认证公司，并履行了职业道德方面的其他责任。我们相信，我们获取的审计证据是充分、适当的，为发</w:t>
      </w:r>
      <w:r>
        <w:rPr>
          <w:spacing w:val="-43"/>
        </w:rPr>
        <w:t> </w:t>
      </w:r>
      <w:r>
        <w:rPr>
          <w:spacing w:val="-43"/>
        </w:rPr>
      </w:r>
      <w:r>
        <w:rPr/>
        <w:t>表审计意见提供了基础。</w:t>
      </w:r>
    </w:p>
    <w:p>
      <w:pPr>
        <w:pStyle w:val="Heading4"/>
        <w:spacing w:line="432" w:lineRule="exact" w:before="27"/>
        <w:ind w:left="650" w:right="982"/>
        <w:jc w:val="left"/>
      </w:pPr>
      <w:r>
        <w:rPr>
          <w:rFonts w:ascii="宋体" w:hAnsi="宋体" w:cs="宋体" w:eastAsia="宋体" w:hint="default"/>
          <w:b/>
          <w:bCs/>
        </w:rPr>
        <w:t>三、关键审计事项</w:t>
      </w:r>
      <w:r>
        <w:rPr>
          <w:rFonts w:ascii="宋体" w:hAnsi="宋体" w:cs="宋体" w:eastAsia="宋体" w:hint="default"/>
          <w:b/>
          <w:bCs/>
          <w:spacing w:val="-103"/>
        </w:rPr>
        <w:t> </w:t>
      </w:r>
      <w:r>
        <w:rPr>
          <w:spacing w:val="-4"/>
        </w:rPr>
        <w:t>关键审计事项是我们根据职业判断，认为对本期财务报表审计最为重要的事项。这些事项的应对以对</w:t>
      </w:r>
    </w:p>
    <w:p>
      <w:pPr>
        <w:pStyle w:val="Heading4"/>
        <w:spacing w:line="256" w:lineRule="exact"/>
        <w:ind w:right="982"/>
        <w:jc w:val="left"/>
      </w:pPr>
      <w:r>
        <w:rPr/>
        <w:t>财务报表整体进行审计并形成审计意见为背景，我们不对这些事项单独发表意见。</w:t>
      </w:r>
    </w:p>
    <w:p>
      <w:pPr>
        <w:pStyle w:val="Heading4"/>
        <w:spacing w:line="240" w:lineRule="auto" w:before="157"/>
        <w:ind w:left="650" w:right="982"/>
        <w:jc w:val="left"/>
      </w:pPr>
      <w:r>
        <w:rPr/>
        <w:t>劳务收入确认中完工百分比法的应用</w:t>
      </w:r>
    </w:p>
    <w:p>
      <w:pPr>
        <w:pStyle w:val="Heading3"/>
        <w:spacing w:line="240" w:lineRule="auto" w:before="157"/>
        <w:ind w:left="650" w:right="982"/>
        <w:jc w:val="left"/>
        <w:rPr>
          <w:b w:val="0"/>
          <w:bCs w:val="0"/>
        </w:rPr>
      </w:pPr>
      <w:r>
        <w:rPr>
          <w:rFonts w:ascii="Times New Roman" w:hAnsi="Times New Roman" w:cs="Times New Roman" w:eastAsia="Times New Roman" w:hint="default"/>
        </w:rPr>
        <w:t>1</w:t>
      </w:r>
      <w:r>
        <w:rPr/>
        <w:t>、事项描述</w:t>
      </w:r>
      <w:r>
        <w:rPr>
          <w:b w:val="0"/>
          <w:bCs w:val="0"/>
        </w:rPr>
      </w:r>
    </w:p>
    <w:p>
      <w:pPr>
        <w:pStyle w:val="Heading4"/>
        <w:spacing w:line="256" w:lineRule="auto" w:before="141"/>
        <w:ind w:right="1128" w:firstLine="497"/>
        <w:jc w:val="both"/>
      </w:pPr>
      <w:r>
        <w:rPr/>
        <w:t>数字认证公司会计政策和估计的披露参见附注三、</w:t>
      </w:r>
      <w:r>
        <w:rPr>
          <w:rFonts w:ascii="Times New Roman" w:hAnsi="Times New Roman" w:cs="Times New Roman" w:eastAsia="Times New Roman" w:hint="default"/>
        </w:rPr>
        <w:t>24</w:t>
      </w:r>
      <w:r>
        <w:rPr>
          <w:rFonts w:ascii="Times New Roman" w:hAnsi="Times New Roman" w:cs="Times New Roman" w:eastAsia="Times New Roman" w:hint="default"/>
          <w:spacing w:val="49"/>
        </w:rPr>
        <w:t> </w:t>
      </w:r>
      <w:r>
        <w:rPr/>
        <w:t>，关于收入的金额的披露参见附注五、</w:t>
      </w:r>
      <w:r>
        <w:rPr>
          <w:rFonts w:ascii="Times New Roman" w:hAnsi="Times New Roman" w:cs="Times New Roman" w:eastAsia="Times New Roman" w:hint="default"/>
        </w:rPr>
        <w:t>25</w:t>
      </w:r>
      <w:r>
        <w:rPr/>
        <w:t>，附</w:t>
      </w:r>
      <w:r>
        <w:rPr>
          <w:w w:val="100"/>
        </w:rPr>
        <w:t> </w:t>
      </w:r>
      <w:r>
        <w:rPr/>
        <w:t>注十五、</w:t>
      </w:r>
      <w:r>
        <w:rPr>
          <w:rFonts w:ascii="Times New Roman" w:hAnsi="Times New Roman" w:cs="Times New Roman" w:eastAsia="Times New Roman" w:hint="default"/>
        </w:rPr>
        <w:t>4</w:t>
      </w:r>
      <w:r>
        <w:rPr/>
        <w:t>。</w:t>
      </w:r>
    </w:p>
    <w:p>
      <w:pPr>
        <w:pStyle w:val="Heading4"/>
        <w:spacing w:line="240" w:lineRule="auto" w:before="125"/>
        <w:ind w:left="650" w:right="982"/>
        <w:jc w:val="left"/>
      </w:pPr>
      <w:r>
        <w:rPr/>
        <w:t>数字认证公司的营业收入分为电子认证服务收入、安全集成收入和安全咨询与运维服务收入三类。</w:t>
      </w:r>
    </w:p>
    <w:p>
      <w:pPr>
        <w:pStyle w:val="Heading4"/>
        <w:spacing w:line="273" w:lineRule="auto" w:before="157"/>
        <w:ind w:right="1126" w:firstLine="497"/>
        <w:jc w:val="both"/>
      </w:pPr>
      <w:r>
        <w:rPr>
          <w:spacing w:val="-4"/>
        </w:rPr>
        <w:t>①电子认证服务收入主要包括数字证书收入、电子签名服务收入和证书介质收入，其中数字证书收入</w:t>
      </w:r>
      <w:r>
        <w:rPr>
          <w:w w:val="100"/>
        </w:rPr>
        <w:t> </w:t>
      </w:r>
      <w:r>
        <w:rPr>
          <w:spacing w:val="-2"/>
        </w:rPr>
        <w:t>在数字证书签发或更新生效当月开始在数字证书的有效期内分期确认收入；电子签名服务收入按照约定的</w:t>
      </w:r>
      <w:r>
        <w:rPr>
          <w:spacing w:val="-43"/>
        </w:rPr>
        <w:t> </w:t>
      </w:r>
      <w:r>
        <w:rPr>
          <w:spacing w:val="-43"/>
        </w:rPr>
      </w:r>
      <w:r>
        <w:rPr>
          <w:spacing w:val="-2"/>
        </w:rPr>
        <w:t>服务期限分期确认收入，约定电子签名服务单价的则按照双方确认的服务量及单价确认收入；证书介质收</w:t>
      </w:r>
      <w:r>
        <w:rPr>
          <w:spacing w:val="-43"/>
        </w:rPr>
        <w:t> </w:t>
      </w:r>
      <w:r>
        <w:rPr>
          <w:spacing w:val="-43"/>
        </w:rPr>
      </w:r>
      <w:r>
        <w:rPr/>
        <w:t>入在移交给客户并经客户验收后一次性确认收入。</w:t>
      </w:r>
    </w:p>
    <w:p>
      <w:pPr>
        <w:pStyle w:val="Heading4"/>
        <w:spacing w:line="240" w:lineRule="auto" w:before="127"/>
        <w:ind w:left="650" w:right="982"/>
        <w:jc w:val="left"/>
      </w:pPr>
      <w:r>
        <w:rPr>
          <w:spacing w:val="-6"/>
        </w:rPr>
        <w:t>②对于安全集成，根据合同的约定，在取得了客户的初步验收确认时，按照合同约定的金额确认收入。</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73" w:lineRule="auto" w:before="36"/>
        <w:ind w:right="1126" w:firstLine="497"/>
        <w:jc w:val="both"/>
      </w:pPr>
      <w:r>
        <w:rPr>
          <w:spacing w:val="-4"/>
          <w:w w:val="100"/>
        </w:rPr>
        <w:t>③安全咨询与运维服务在资产负债表日按完工百分比法确认收入。对于提供专业咨询研究并编制报告</w:t>
      </w:r>
      <w:r>
        <w:rPr>
          <w:w w:val="100"/>
        </w:rPr>
        <w:t> </w:t>
      </w:r>
      <w:r>
        <w:rPr/>
        <w:t>的咨询研究业务，在提交咨询研究报告且通过相关评审验收时一次性确认收入。</w:t>
      </w:r>
    </w:p>
    <w:p>
      <w:pPr>
        <w:pStyle w:val="Heading4"/>
        <w:spacing w:line="273" w:lineRule="auto" w:before="127"/>
        <w:ind w:right="1126" w:firstLine="497"/>
        <w:jc w:val="both"/>
      </w:pPr>
      <w:r>
        <w:rPr>
          <w:spacing w:val="-4"/>
        </w:rPr>
        <w:t>在使用完工百分比法时，涉及对合同完工进度的估计、预计完成合同所需的总成本及预计合同是否会</w:t>
      </w:r>
      <w:r>
        <w:rPr>
          <w:w w:val="100"/>
        </w:rPr>
        <w:t> </w:t>
      </w:r>
      <w:r>
        <w:rPr>
          <w:spacing w:val="-2"/>
        </w:rPr>
        <w:t>引起亏损，这些往往需要管理层作出大量的判断。管理层的判断，一般以历史经验为基础；如果这些判断</w:t>
      </w:r>
      <w:r>
        <w:rPr>
          <w:spacing w:val="-50"/>
        </w:rPr>
        <w:t> </w:t>
      </w:r>
      <w:r>
        <w:rPr>
          <w:spacing w:val="-50"/>
        </w:rPr>
      </w:r>
      <w:r>
        <w:rPr>
          <w:spacing w:val="-2"/>
        </w:rPr>
        <w:t>的基础或环境发生了变化，可能会对确认的收入及成本金额产生重大影响。由于应用完工百分比法确认收</w:t>
      </w:r>
      <w:r>
        <w:rPr>
          <w:spacing w:val="-43"/>
        </w:rPr>
        <w:t> </w:t>
      </w:r>
      <w:r>
        <w:rPr>
          <w:spacing w:val="-43"/>
        </w:rPr>
      </w:r>
      <w:r>
        <w:rPr>
          <w:spacing w:val="-2"/>
        </w:rPr>
        <w:t>入需要运用大量的估计和专业判断，且对数字认证公司报告期的经营业绩具有重大影响，我们将该事项确</w:t>
      </w:r>
      <w:r>
        <w:rPr>
          <w:spacing w:val="-43"/>
        </w:rPr>
        <w:t> </w:t>
      </w:r>
      <w:r>
        <w:rPr>
          <w:spacing w:val="-43"/>
        </w:rPr>
      </w:r>
      <w:r>
        <w:rPr/>
        <w:t>定为关键审计事项。</w:t>
      </w:r>
    </w:p>
    <w:p>
      <w:pPr>
        <w:pStyle w:val="Heading4"/>
        <w:spacing w:line="357" w:lineRule="auto" w:before="127"/>
        <w:ind w:left="650" w:right="3724"/>
        <w:jc w:val="left"/>
      </w:pPr>
      <w:r>
        <w:rPr>
          <w:rFonts w:ascii="Times New Roman" w:hAnsi="Times New Roman" w:cs="Times New Roman" w:eastAsia="Times New Roman" w:hint="default"/>
          <w:b/>
          <w:bCs/>
        </w:rPr>
        <w:t>2</w:t>
      </w:r>
      <w:r>
        <w:rPr>
          <w:rFonts w:ascii="宋体" w:hAnsi="宋体" w:cs="宋体" w:eastAsia="宋体" w:hint="default"/>
          <w:b/>
          <w:bCs/>
        </w:rPr>
        <w:t>、审计应对</w:t>
      </w:r>
      <w:r>
        <w:rPr>
          <w:rFonts w:ascii="宋体" w:hAnsi="宋体" w:cs="宋体" w:eastAsia="宋体" w:hint="default"/>
          <w:b/>
          <w:bCs/>
          <w:spacing w:val="-104"/>
        </w:rPr>
        <w:t> </w:t>
      </w:r>
      <w:r>
        <w:rPr>
          <w:spacing w:val="-2"/>
        </w:rPr>
        <w:t>我们对劳务收入确认中完工百分比法的应用实施的审计程序主要包括：</w:t>
      </w:r>
    </w:p>
    <w:p>
      <w:pPr>
        <w:pStyle w:val="Heading4"/>
        <w:spacing w:line="240" w:lineRule="auto" w:before="55"/>
        <w:ind w:left="650" w:right="982"/>
        <w:jc w:val="left"/>
      </w:pPr>
      <w:r>
        <w:rPr/>
        <w:t>（</w:t>
      </w:r>
      <w:r>
        <w:rPr>
          <w:rFonts w:ascii="Times New Roman" w:hAnsi="Times New Roman" w:cs="Times New Roman" w:eastAsia="Times New Roman" w:hint="default"/>
        </w:rPr>
        <w:t>1</w:t>
      </w:r>
      <w:r>
        <w:rPr/>
        <w:t>）了解并评价了项目管理流程及内部控制制度，并执行了控制测试。</w:t>
      </w:r>
    </w:p>
    <w:p>
      <w:pPr>
        <w:pStyle w:val="Heading4"/>
        <w:spacing w:line="256" w:lineRule="auto" w:before="141"/>
        <w:ind w:right="1105" w:firstLine="497"/>
        <w:jc w:val="both"/>
      </w:pPr>
      <w:r>
        <w:rPr>
          <w:spacing w:val="-2"/>
        </w:rPr>
        <w:t>（</w:t>
      </w:r>
      <w:r>
        <w:rPr>
          <w:rFonts w:ascii="Times New Roman" w:hAnsi="Times New Roman" w:cs="Times New Roman" w:eastAsia="Times New Roman" w:hint="default"/>
          <w:spacing w:val="-2"/>
        </w:rPr>
        <w:t>2</w:t>
      </w:r>
      <w:r>
        <w:rPr>
          <w:spacing w:val="-2"/>
        </w:rPr>
        <w:t>）对重要项目的预计完成合同所需的总成本的合理性和实际发生的成本的真实性进行测试，抽样</w:t>
      </w:r>
      <w:r>
        <w:rPr>
          <w:w w:val="100"/>
        </w:rPr>
        <w:t> </w:t>
      </w:r>
      <w:r>
        <w:rPr>
          <w:spacing w:val="-2"/>
        </w:rPr>
        <w:t>检查大额采购合同、发票、出入库单、工时费用分配表等支持性文件并对存货的出入库进行截止性测试。</w:t>
      </w:r>
    </w:p>
    <w:p>
      <w:pPr>
        <w:pStyle w:val="Heading4"/>
        <w:spacing w:line="256" w:lineRule="auto" w:before="142"/>
        <w:ind w:right="1128" w:firstLine="497"/>
        <w:jc w:val="both"/>
      </w:pPr>
      <w:r>
        <w:rPr>
          <w:spacing w:val="-2"/>
        </w:rPr>
        <w:t>（</w:t>
      </w:r>
      <w:r>
        <w:rPr>
          <w:rFonts w:ascii="Times New Roman" w:hAnsi="Times New Roman" w:cs="Times New Roman" w:eastAsia="Times New Roman" w:hint="default"/>
          <w:spacing w:val="-2"/>
        </w:rPr>
        <w:t>3</w:t>
      </w:r>
      <w:r>
        <w:rPr>
          <w:spacing w:val="-2"/>
        </w:rPr>
        <w:t>）抽样选取重要项目的合同，查看合同金额、约定的完工进度、付款条件、双方主要的权利义务</w:t>
      </w:r>
      <w:r>
        <w:rPr>
          <w:w w:val="100"/>
        </w:rPr>
        <w:t> </w:t>
      </w:r>
      <w:r>
        <w:rPr/>
        <w:t>等关键条款。</w:t>
      </w:r>
    </w:p>
    <w:p>
      <w:pPr>
        <w:pStyle w:val="Heading4"/>
        <w:spacing w:line="256" w:lineRule="auto" w:before="142"/>
        <w:ind w:right="1128" w:firstLine="497"/>
        <w:jc w:val="both"/>
      </w:pPr>
      <w:r>
        <w:rPr>
          <w:spacing w:val="-2"/>
        </w:rPr>
        <w:t>（</w:t>
      </w:r>
      <w:r>
        <w:rPr>
          <w:rFonts w:ascii="Times New Roman" w:hAnsi="Times New Roman" w:cs="Times New Roman" w:eastAsia="Times New Roman" w:hint="default"/>
          <w:spacing w:val="-2"/>
        </w:rPr>
        <w:t>4</w:t>
      </w:r>
      <w:r>
        <w:rPr>
          <w:spacing w:val="-2"/>
        </w:rPr>
        <w:t>）对本期安全咨询与运维服务确认收入的大额项目检查项目进度单和验收报告，并核查平台项目</w:t>
      </w:r>
      <w:r>
        <w:rPr>
          <w:w w:val="100"/>
        </w:rPr>
        <w:t> </w:t>
      </w:r>
      <w:r>
        <w:rPr/>
        <w:t>完工进度和外部进度单。</w:t>
      </w:r>
    </w:p>
    <w:p>
      <w:pPr>
        <w:pStyle w:val="Heading4"/>
        <w:spacing w:line="256" w:lineRule="auto" w:before="142"/>
        <w:ind w:right="1128" w:firstLine="497"/>
        <w:jc w:val="both"/>
      </w:pPr>
      <w:r>
        <w:rPr>
          <w:spacing w:val="-2"/>
        </w:rPr>
        <w:t>（</w:t>
      </w:r>
      <w:r>
        <w:rPr>
          <w:rFonts w:ascii="Times New Roman" w:hAnsi="Times New Roman" w:cs="Times New Roman" w:eastAsia="Times New Roman" w:hint="default"/>
          <w:spacing w:val="-2"/>
        </w:rPr>
        <w:t>5</w:t>
      </w:r>
      <w:r>
        <w:rPr>
          <w:spacing w:val="-2"/>
        </w:rPr>
        <w:t>）对报告期内确认电子认证服务收入的大额客户及确认安全咨询与运维服务收入的大额项目执行</w:t>
      </w:r>
      <w:r>
        <w:rPr>
          <w:w w:val="100"/>
        </w:rPr>
        <w:t> </w:t>
      </w:r>
      <w:r>
        <w:rPr/>
        <w:t>函证程序。</w:t>
      </w:r>
    </w:p>
    <w:p>
      <w:pPr>
        <w:pStyle w:val="Heading4"/>
        <w:spacing w:line="256" w:lineRule="auto" w:before="143"/>
        <w:ind w:right="1128" w:firstLine="497"/>
        <w:jc w:val="both"/>
      </w:pPr>
      <w:r>
        <w:rPr>
          <w:spacing w:val="-2"/>
        </w:rPr>
        <w:t>（</w:t>
      </w:r>
      <w:r>
        <w:rPr>
          <w:rFonts w:ascii="Times New Roman" w:hAnsi="Times New Roman" w:cs="Times New Roman" w:eastAsia="Times New Roman" w:hint="default"/>
          <w:spacing w:val="-2"/>
        </w:rPr>
        <w:t>6</w:t>
      </w:r>
      <w:r>
        <w:rPr>
          <w:spacing w:val="-2"/>
        </w:rPr>
        <w:t>）对本期确认的电子认证服务收入，核查直属渠道的运行服务平台数据以及渠道供应商的结算单</w:t>
      </w:r>
      <w:r>
        <w:rPr>
          <w:w w:val="100"/>
        </w:rPr>
        <w:t> </w:t>
      </w:r>
      <w:r>
        <w:rPr/>
        <w:t>与财务数据是否一致，并通过重新计算完工百分比法确认的收入金额来验证企业分期收入的准确性。</w:t>
      </w:r>
    </w:p>
    <w:p>
      <w:pPr>
        <w:pStyle w:val="Heading4"/>
        <w:spacing w:line="273" w:lineRule="auto" w:before="142"/>
        <w:ind w:right="1135" w:firstLine="497"/>
        <w:jc w:val="both"/>
      </w:pPr>
      <w:r>
        <w:rPr/>
        <w:t>我们所实施的审计程序及获得的审计证据能够说明数字认证公司管理层对报告期内劳务收入确认完</w:t>
      </w:r>
      <w:r>
        <w:rPr>
          <w:w w:val="100"/>
        </w:rPr>
        <w:t> </w:t>
      </w:r>
      <w:r>
        <w:rPr/>
        <w:t>工百分比法的应用中所作出的相关估计和判断是合理的。</w:t>
      </w:r>
    </w:p>
    <w:p>
      <w:pPr>
        <w:pStyle w:val="Heading4"/>
        <w:spacing w:line="432" w:lineRule="exact" w:before="27"/>
        <w:ind w:left="650" w:right="982"/>
        <w:jc w:val="left"/>
      </w:pPr>
      <w:r>
        <w:rPr>
          <w:rFonts w:ascii="宋体" w:hAnsi="宋体" w:cs="宋体" w:eastAsia="宋体" w:hint="default"/>
          <w:b/>
          <w:bCs/>
        </w:rPr>
        <w:t>四、其他信息</w:t>
      </w:r>
      <w:r>
        <w:rPr>
          <w:rFonts w:ascii="宋体" w:hAnsi="宋体" w:cs="宋体" w:eastAsia="宋体" w:hint="default"/>
          <w:b/>
          <w:bCs/>
          <w:spacing w:val="-104"/>
        </w:rPr>
        <w:t> </w:t>
      </w:r>
      <w:r>
        <w:rPr>
          <w:spacing w:val="-4"/>
        </w:rPr>
        <w:t>数字认证公司管理层（以下简称管理层）对其他信息负责。其他信息包括数字认证公司</w:t>
      </w:r>
      <w:r>
        <w:rPr>
          <w:rFonts w:ascii="Times New Roman" w:hAnsi="Times New Roman" w:cs="Times New Roman" w:eastAsia="Times New Roman" w:hint="default"/>
          <w:spacing w:val="-4"/>
        </w:rPr>
        <w:t>2019</w:t>
      </w:r>
      <w:r>
        <w:rPr>
          <w:spacing w:val="-4"/>
        </w:rPr>
        <w:t>年年度报</w:t>
      </w:r>
    </w:p>
    <w:p>
      <w:pPr>
        <w:pStyle w:val="Heading4"/>
        <w:spacing w:line="255" w:lineRule="exact"/>
        <w:ind w:right="982"/>
        <w:jc w:val="left"/>
      </w:pPr>
      <w:r>
        <w:rPr/>
        <w:t>告中涵盖的信息，但不包括财务报表和我们的审计报告。</w:t>
      </w:r>
    </w:p>
    <w:p>
      <w:pPr>
        <w:pStyle w:val="Heading4"/>
        <w:spacing w:line="432" w:lineRule="exact" w:before="57"/>
        <w:ind w:left="650" w:right="982"/>
        <w:jc w:val="left"/>
      </w:pPr>
      <w:r>
        <w:rPr/>
        <w:t>我们对财务报表发表的审计意见不涵盖其他信息，我们也不对其他信息发表任何形式的鉴证结论。</w:t>
      </w:r>
      <w:r>
        <w:rPr>
          <w:w w:val="100"/>
        </w:rPr>
        <w:t> </w:t>
      </w:r>
      <w:r>
        <w:rPr>
          <w:spacing w:val="-4"/>
        </w:rPr>
        <w:t>结合我们对财务报表的审计，我们的责任是阅读其他信息，在此过程中，考虑其他信息是否与财务报</w:t>
      </w:r>
    </w:p>
    <w:p>
      <w:pPr>
        <w:pStyle w:val="Heading4"/>
        <w:spacing w:line="255" w:lineRule="exact"/>
        <w:ind w:right="982"/>
        <w:jc w:val="left"/>
      </w:pPr>
      <w:r>
        <w:rPr/>
        <w:t>表或我们在审计过程中了解到的情况存在重大不一致或者似乎存在重大错报。</w:t>
      </w:r>
    </w:p>
    <w:p>
      <w:pPr>
        <w:pStyle w:val="Heading4"/>
        <w:spacing w:line="273" w:lineRule="auto" w:before="157"/>
        <w:ind w:right="1128" w:firstLine="497"/>
        <w:jc w:val="both"/>
      </w:pPr>
      <w:r>
        <w:rPr>
          <w:spacing w:val="-4"/>
        </w:rPr>
        <w:t>基于我们已执行的工作，如果我们确定其他信息存在重大错报，我们应当报告该事实。在这方面，我</w:t>
      </w:r>
      <w:r>
        <w:rPr>
          <w:w w:val="100"/>
        </w:rPr>
        <w:t> </w:t>
      </w:r>
      <w:r>
        <w:rPr/>
        <w:t>们无任何事项需要报告。</w:t>
      </w:r>
    </w:p>
    <w:p>
      <w:pPr>
        <w:spacing w:line="432" w:lineRule="exact" w:before="27"/>
        <w:ind w:left="650" w:right="982" w:firstLine="0"/>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4"/>
          <w:sz w:val="21"/>
          <w:szCs w:val="21"/>
        </w:rPr>
        <w:t>数字认证公司管理层负责按照企业会计准则的规定编制财务报表，使其实现公允反映，并设计、执行</w:t>
      </w:r>
    </w:p>
    <w:p>
      <w:pPr>
        <w:pStyle w:val="Heading4"/>
        <w:spacing w:line="255" w:lineRule="exact"/>
        <w:ind w:right="982"/>
        <w:jc w:val="left"/>
      </w:pPr>
      <w:r>
        <w:rPr/>
        <w:t>和维护必要的内部控制，以使财务报表不存在由于舞弊或错误导致的重大错报。</w:t>
      </w:r>
    </w:p>
    <w:p>
      <w:pPr>
        <w:pStyle w:val="Heading4"/>
        <w:spacing w:line="273" w:lineRule="auto" w:before="157"/>
        <w:ind w:right="1126" w:firstLine="497"/>
        <w:jc w:val="both"/>
      </w:pPr>
      <w:r>
        <w:rPr>
          <w:spacing w:val="-4"/>
        </w:rPr>
        <w:t>在编制财务报表时，管理层负责评估数字认证公司的持续经营能力，披露与持续经营相关的事项（如</w:t>
      </w:r>
      <w:r>
        <w:rPr>
          <w:w w:val="100"/>
        </w:rPr>
        <w:t> </w:t>
      </w:r>
      <w:r>
        <w:rPr/>
        <w:t>适用），并运用持续经营假设，除非管理层计划清算数字认证公司、终止运营或别无其他现实的选择。</w:t>
      </w:r>
    </w:p>
    <w:p>
      <w:pPr>
        <w:spacing w:line="376" w:lineRule="auto" w:before="128"/>
        <w:ind w:left="650" w:right="2654" w:firstLine="0"/>
        <w:jc w:val="left"/>
        <w:rPr>
          <w:rFonts w:ascii="宋体" w:hAnsi="宋体" w:cs="宋体" w:eastAsia="宋体" w:hint="default"/>
          <w:sz w:val="21"/>
          <w:szCs w:val="21"/>
        </w:rPr>
      </w:pPr>
      <w:r>
        <w:rPr>
          <w:rFonts w:ascii="宋体" w:hAnsi="宋体" w:cs="宋体" w:eastAsia="宋体" w:hint="default"/>
          <w:spacing w:val="-2"/>
          <w:sz w:val="21"/>
          <w:szCs w:val="21"/>
        </w:rPr>
        <w:t>治理层负责监督数字认证公司的财务报告过程。</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spacing w:after="0" w:line="376" w:lineRule="auto"/>
        <w:jc w:val="left"/>
        <w:rPr>
          <w:rFonts w:ascii="宋体" w:hAnsi="宋体" w:cs="宋体" w:eastAsia="宋体" w:hint="default"/>
          <w:sz w:val="21"/>
          <w:szCs w:val="21"/>
        </w:rPr>
        <w:sectPr>
          <w:pgSz w:w="11910" w:h="16840"/>
          <w:pgMar w:header="748"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73" w:lineRule="auto" w:before="36"/>
        <w:ind w:left="292" w:right="1126" w:firstLine="497"/>
        <w:jc w:val="both"/>
      </w:pPr>
      <w:r>
        <w:rPr>
          <w:spacing w:val="-4"/>
          <w:w w:val="100"/>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Heading4"/>
        <w:spacing w:line="273" w:lineRule="auto" w:before="127"/>
        <w:ind w:left="292" w:right="393" w:firstLine="497"/>
        <w:jc w:val="left"/>
      </w:pPr>
      <w:r>
        <w:rPr>
          <w:spacing w:val="-4"/>
        </w:rPr>
        <w:t>在按照审计准则执行审计工作的过程中，我们运用职业判断，并保持职业怀疑。同时，我们也执行以</w:t>
      </w:r>
      <w:r>
        <w:rPr>
          <w:w w:val="100"/>
        </w:rPr>
        <w:t> </w:t>
      </w:r>
      <w:r>
        <w:rPr/>
        <w:t>下工作：</w:t>
      </w:r>
    </w:p>
    <w:p>
      <w:pPr>
        <w:pStyle w:val="Heading4"/>
        <w:spacing w:line="266" w:lineRule="auto" w:before="127"/>
        <w:ind w:left="292" w:right="393" w:firstLine="497"/>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r>
        <w:rPr>
          <w:spacing w:val="-6"/>
        </w:rPr>
        <w:t> </w:t>
      </w:r>
      <w:r>
        <w:rPr>
          <w:spacing w:val="-6"/>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Heading4"/>
        <w:spacing w:line="240" w:lineRule="auto" w:before="134"/>
        <w:ind w:left="790" w:right="393"/>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w:t>
      </w:r>
    </w:p>
    <w:p>
      <w:pPr>
        <w:pStyle w:val="Heading4"/>
        <w:spacing w:line="240" w:lineRule="auto" w:before="21"/>
        <w:ind w:left="292" w:right="7334"/>
        <w:jc w:val="left"/>
      </w:pPr>
      <w:r>
        <w:rPr/>
        <w:t>见。</w:t>
      </w:r>
    </w:p>
    <w:p>
      <w:pPr>
        <w:pStyle w:val="Heading4"/>
        <w:spacing w:line="240" w:lineRule="auto" w:before="157"/>
        <w:ind w:left="790" w:right="393"/>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Heading4"/>
        <w:spacing w:line="240" w:lineRule="auto" w:before="141"/>
        <w:ind w:left="790" w:right="393"/>
        <w:jc w:val="left"/>
      </w:pPr>
      <w:r>
        <w:rPr/>
        <w:t>（</w:t>
      </w:r>
      <w:r>
        <w:rPr>
          <w:rFonts w:ascii="Times New Roman" w:hAnsi="Times New Roman" w:cs="Times New Roman" w:eastAsia="Times New Roman" w:hint="default"/>
        </w:rPr>
        <w:t>4</w:t>
      </w:r>
      <w:r>
        <w:rPr/>
        <w:t>）对管理层使用持续经营假设的恰当性得出结论。同时，根据获取的审计证据，就可能导致对数</w:t>
      </w:r>
    </w:p>
    <w:p>
      <w:pPr>
        <w:pStyle w:val="Heading4"/>
        <w:spacing w:line="273" w:lineRule="auto" w:before="21"/>
        <w:ind w:left="292" w:right="1105"/>
        <w:jc w:val="both"/>
      </w:pPr>
      <w:r>
        <w:rPr>
          <w:spacing w:val="-2"/>
        </w:rPr>
        <w:t>字认证公司的持续经营能力产生重大疑虑的事项或情况是否存在重大不确定性得出结论。如果我们得出结</w:t>
      </w:r>
      <w:r>
        <w:rPr>
          <w:spacing w:val="-43"/>
        </w:rPr>
        <w:t> </w:t>
      </w:r>
      <w:r>
        <w:rPr>
          <w:spacing w:val="-43"/>
        </w:rPr>
      </w:r>
      <w:r>
        <w:rPr>
          <w:spacing w:val="-2"/>
        </w:rPr>
        <w:t>论认为存在重大不确定性，审计准则要求我们在审计报告中提请报表使用者注意财务报表中的相关披露；</w:t>
      </w:r>
      <w:r>
        <w:rPr>
          <w:spacing w:val="-21"/>
        </w:rPr>
        <w:t> </w:t>
      </w:r>
      <w:r>
        <w:rPr>
          <w:spacing w:val="-21"/>
        </w:rPr>
      </w:r>
      <w:r>
        <w:rPr>
          <w:spacing w:val="-2"/>
        </w:rPr>
        <w:t>如果披露不充分，我们应当发表非无保留意见。我们的结论基于截至审计报告日可获得的信息。然而，未</w:t>
      </w:r>
      <w:r>
        <w:rPr>
          <w:spacing w:val="-47"/>
        </w:rPr>
        <w:t> </w:t>
      </w:r>
      <w:r>
        <w:rPr>
          <w:spacing w:val="-47"/>
        </w:rPr>
      </w:r>
      <w:r>
        <w:rPr/>
        <w:t>来的事项或情况可能导致数字认证公司不能持续经营。</w:t>
      </w:r>
    </w:p>
    <w:p>
      <w:pPr>
        <w:pStyle w:val="Heading4"/>
        <w:spacing w:line="240" w:lineRule="auto" w:before="127"/>
        <w:ind w:left="790" w:right="393"/>
        <w:jc w:val="left"/>
      </w:pPr>
      <w:r>
        <w:rPr/>
        <w:t>（</w:t>
      </w:r>
      <w:r>
        <w:rPr>
          <w:rFonts w:ascii="Times New Roman" w:hAnsi="Times New Roman" w:cs="Times New Roman" w:eastAsia="Times New Roman" w:hint="default"/>
        </w:rPr>
        <w:t>5</w:t>
      </w:r>
      <w:r>
        <w:rPr/>
        <w:t>）评价财务报表的总体列报、结构和内容，并评价财务报表是否公允反映相关交易和事项。</w:t>
      </w:r>
    </w:p>
    <w:p>
      <w:pPr>
        <w:pStyle w:val="Heading4"/>
        <w:spacing w:line="256" w:lineRule="auto" w:before="141"/>
        <w:ind w:left="292" w:right="1128" w:firstLine="497"/>
        <w:jc w:val="both"/>
      </w:pPr>
      <w:r>
        <w:rPr>
          <w:spacing w:val="-2"/>
        </w:rPr>
        <w:t>（</w:t>
      </w:r>
      <w:r>
        <w:rPr>
          <w:rFonts w:ascii="Times New Roman" w:hAnsi="Times New Roman" w:cs="Times New Roman" w:eastAsia="Times New Roman" w:hint="default"/>
          <w:spacing w:val="-2"/>
        </w:rPr>
        <w:t>6</w:t>
      </w:r>
      <w:r>
        <w:rPr>
          <w:spacing w:val="-2"/>
        </w:rPr>
        <w:t>）就数字认证公司中实体或业务活动的财务信息获取充分、适当的审计证据，以对财务报表发表</w:t>
      </w:r>
      <w:r>
        <w:rPr>
          <w:w w:val="100"/>
        </w:rPr>
        <w:t> </w:t>
      </w:r>
      <w:r>
        <w:rPr/>
        <w:t>意见。我们负责指导、监督和执行集团审计，并对审计意见承担全部责任。</w:t>
      </w:r>
    </w:p>
    <w:p>
      <w:pPr>
        <w:pStyle w:val="Heading4"/>
        <w:spacing w:line="273" w:lineRule="auto" w:before="142"/>
        <w:ind w:left="292" w:right="1126" w:firstLine="497"/>
        <w:jc w:val="both"/>
      </w:pPr>
      <w:r>
        <w:rPr>
          <w:spacing w:val="-4"/>
        </w:rPr>
        <w:t>我们与治理层就计划的审计范围、时间安排和重大审计发现等事项进行沟通，包括沟通我们在审计中</w:t>
      </w:r>
      <w:r>
        <w:rPr>
          <w:w w:val="100"/>
        </w:rPr>
        <w:t> </w:t>
      </w:r>
      <w:r>
        <w:rPr/>
        <w:t>识别出的值得关注的内部控制缺陷。</w:t>
      </w:r>
    </w:p>
    <w:p>
      <w:pPr>
        <w:pStyle w:val="Heading4"/>
        <w:spacing w:line="273" w:lineRule="auto" w:before="127"/>
        <w:ind w:left="292" w:right="1126" w:firstLine="497"/>
        <w:jc w:val="both"/>
      </w:pPr>
      <w:r>
        <w:rPr>
          <w:spacing w:val="-4"/>
          <w:w w:val="100"/>
        </w:rPr>
        <w:t>我们还就已遵守与独立性相关的职业道德要求向治理层提供声明，并与治理层沟通可能被合理认为影</w:t>
      </w:r>
      <w:r>
        <w:rPr>
          <w:w w:val="100"/>
        </w:rPr>
        <w:t> </w:t>
      </w:r>
      <w:r>
        <w:rPr/>
        <w:t>响我们独立性的所有关系和其他事项，以及相关的防范措施（如适用）。</w:t>
      </w:r>
    </w:p>
    <w:p>
      <w:pPr>
        <w:pStyle w:val="Heading4"/>
        <w:spacing w:line="273" w:lineRule="auto" w:before="127"/>
        <w:ind w:left="292" w:right="1126" w:firstLine="497"/>
        <w:jc w:val="both"/>
      </w:pPr>
      <w:r>
        <w:rPr>
          <w:spacing w:val="-4"/>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2599"/>
        <w:gridCol w:w="3244"/>
        <w:gridCol w:w="1892"/>
      </w:tblGrid>
      <w:tr>
        <w:trPr>
          <w:trHeight w:val="1896"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b/>
                <w:bCs/>
                <w:sz w:val="21"/>
                <w:szCs w:val="21"/>
              </w:rPr>
              <w:t>致同会计师事务所</w:t>
            </w:r>
            <w:r>
              <w:rPr>
                <w:rFonts w:ascii="宋体" w:hAnsi="宋体" w:cs="宋体" w:eastAsia="宋体" w:hint="default"/>
                <w:sz w:val="21"/>
                <w:szCs w:val="21"/>
              </w:rPr>
            </w:r>
          </w:p>
          <w:p>
            <w:pPr>
              <w:pStyle w:val="TableParagraph"/>
              <w:spacing w:line="240" w:lineRule="auto" w:before="78"/>
              <w:ind w:left="200" w:right="0"/>
              <w:jc w:val="left"/>
              <w:rPr>
                <w:rFonts w:ascii="宋体" w:hAnsi="宋体" w:cs="宋体" w:eastAsia="宋体" w:hint="default"/>
                <w:sz w:val="21"/>
                <w:szCs w:val="21"/>
              </w:rPr>
            </w:pPr>
            <w:r>
              <w:rPr>
                <w:rFonts w:ascii="宋体" w:hAnsi="宋体" w:cs="宋体" w:eastAsia="宋体" w:hint="default"/>
                <w:b/>
                <w:bCs/>
                <w:sz w:val="21"/>
                <w:szCs w:val="21"/>
              </w:rPr>
              <w:t>（特殊普通合伙）</w:t>
            </w:r>
            <w:r>
              <w:rPr>
                <w:rFonts w:ascii="宋体" w:hAnsi="宋体" w:cs="宋体" w:eastAsia="宋体" w:hint="default"/>
                <w:sz w:val="21"/>
                <w:szCs w:val="21"/>
              </w:rPr>
            </w:r>
          </w:p>
        </w:tc>
        <w:tc>
          <w:tcPr>
            <w:tcW w:w="3244" w:type="dxa"/>
            <w:tcBorders>
              <w:top w:val="nil" w:sz="6" w:space="0" w:color="auto"/>
              <w:left w:val="nil" w:sz="6" w:space="0" w:color="auto"/>
              <w:bottom w:val="nil" w:sz="6" w:space="0" w:color="auto"/>
              <w:right w:val="nil" w:sz="6" w:space="0" w:color="auto"/>
            </w:tcBorders>
          </w:tcPr>
          <w:p>
            <w:pPr>
              <w:pStyle w:val="TableParagraph"/>
              <w:spacing w:line="21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中国注册会计师</w:t>
            </w:r>
            <w:r>
              <w:rPr>
                <w:rFonts w:ascii="宋体" w:hAnsi="宋体" w:cs="宋体" w:eastAsia="宋体" w:hint="default"/>
                <w:sz w:val="21"/>
                <w:szCs w:val="21"/>
              </w:rPr>
            </w:r>
          </w:p>
          <w:p>
            <w:pPr>
              <w:pStyle w:val="TableParagraph"/>
              <w:spacing w:line="616" w:lineRule="auto" w:before="78"/>
              <w:ind w:left="709" w:right="1054"/>
              <w:jc w:val="left"/>
              <w:rPr>
                <w:rFonts w:ascii="宋体" w:hAnsi="宋体" w:cs="宋体" w:eastAsia="宋体" w:hint="default"/>
                <w:sz w:val="21"/>
                <w:szCs w:val="21"/>
              </w:rPr>
            </w:pPr>
            <w:r>
              <w:rPr>
                <w:rFonts w:ascii="宋体" w:hAnsi="宋体" w:cs="宋体" w:eastAsia="宋体" w:hint="default"/>
                <w:b/>
                <w:bCs/>
                <w:sz w:val="21"/>
                <w:szCs w:val="21"/>
              </w:rPr>
              <w:t>（项目合伙人）</w:t>
            </w:r>
            <w:r>
              <w:rPr>
                <w:rFonts w:ascii="宋体" w:hAnsi="宋体" w:cs="宋体" w:eastAsia="宋体" w:hint="default"/>
                <w:b/>
                <w:bCs/>
                <w:spacing w:val="-104"/>
                <w:sz w:val="21"/>
                <w:szCs w:val="21"/>
              </w:rPr>
              <w:t> </w:t>
            </w:r>
            <w:r>
              <w:rPr>
                <w:rFonts w:ascii="宋体" w:hAnsi="宋体" w:cs="宋体" w:eastAsia="宋体" w:hint="default"/>
                <w:b/>
                <w:bCs/>
                <w:sz w:val="21"/>
                <w:szCs w:val="21"/>
              </w:rPr>
              <w:t>中国注册会计师</w:t>
            </w:r>
            <w:r>
              <w:rPr>
                <w:rFonts w:ascii="宋体" w:hAnsi="宋体" w:cs="宋体" w:eastAsia="宋体" w:hint="default"/>
                <w:sz w:val="21"/>
                <w:szCs w:val="21"/>
              </w:rPr>
            </w:r>
          </w:p>
        </w:tc>
        <w:tc>
          <w:tcPr>
            <w:tcW w:w="1892" w:type="dxa"/>
            <w:tcBorders>
              <w:top w:val="nil" w:sz="6" w:space="0" w:color="auto"/>
              <w:left w:val="nil" w:sz="6" w:space="0" w:color="auto"/>
              <w:bottom w:val="nil" w:sz="6" w:space="0" w:color="auto"/>
              <w:right w:val="nil" w:sz="6" w:space="0" w:color="auto"/>
            </w:tcBorders>
          </w:tcPr>
          <w:p>
            <w:pPr>
              <w:pStyle w:val="TableParagraph"/>
              <w:spacing w:line="211" w:lineRule="exact"/>
              <w:ind w:left="1147" w:right="0" w:hanging="92"/>
              <w:jc w:val="left"/>
              <w:rPr>
                <w:rFonts w:ascii="宋体" w:hAnsi="宋体" w:cs="宋体" w:eastAsia="宋体" w:hint="default"/>
                <w:sz w:val="21"/>
                <w:szCs w:val="21"/>
              </w:rPr>
            </w:pPr>
            <w:r>
              <w:rPr>
                <w:rFonts w:ascii="宋体" w:hAnsi="宋体" w:cs="宋体" w:eastAsia="宋体" w:hint="default"/>
                <w:b/>
                <w:bCs/>
                <w:sz w:val="21"/>
                <w:szCs w:val="21"/>
              </w:rPr>
              <w:t>郑建彪</w:t>
            </w:r>
            <w:r>
              <w:rPr>
                <w:rFonts w:ascii="宋体" w:hAnsi="宋体" w:cs="宋体" w:eastAsia="宋体" w:hint="default"/>
                <w:sz w:val="21"/>
                <w:szCs w:val="21"/>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147" w:right="0"/>
              <w:jc w:val="left"/>
              <w:rPr>
                <w:rFonts w:ascii="宋体" w:hAnsi="宋体" w:cs="宋体" w:eastAsia="宋体" w:hint="default"/>
                <w:sz w:val="21"/>
                <w:szCs w:val="21"/>
              </w:rPr>
            </w:pPr>
            <w:r>
              <w:rPr>
                <w:rFonts w:ascii="宋体" w:hAnsi="宋体" w:cs="宋体" w:eastAsia="宋体" w:hint="default"/>
                <w:b/>
                <w:bCs/>
                <w:sz w:val="21"/>
                <w:szCs w:val="21"/>
              </w:rPr>
              <w:t>王娟</w:t>
            </w:r>
            <w:r>
              <w:rPr>
                <w:rFonts w:ascii="宋体" w:hAnsi="宋体" w:cs="宋体" w:eastAsia="宋体" w:hint="default"/>
                <w:sz w:val="21"/>
                <w:szCs w:val="21"/>
              </w:rPr>
            </w:r>
          </w:p>
        </w:tc>
      </w:tr>
      <w:tr>
        <w:trPr>
          <w:trHeight w:val="499"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b/>
                <w:bCs/>
                <w:sz w:val="21"/>
                <w:szCs w:val="21"/>
              </w:rPr>
              <w:t>中国</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北京</w:t>
            </w:r>
            <w:r>
              <w:rPr>
                <w:rFonts w:ascii="宋体" w:hAnsi="宋体" w:cs="宋体" w:eastAsia="宋体" w:hint="default"/>
                <w:sz w:val="21"/>
                <w:szCs w:val="21"/>
              </w:rPr>
            </w: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09" w:right="0"/>
              <w:jc w:val="left"/>
              <w:rPr>
                <w:rFonts w:ascii="宋体" w:hAnsi="宋体" w:cs="宋体" w:eastAsia="宋体" w:hint="default"/>
                <w:sz w:val="21"/>
                <w:szCs w:val="21"/>
              </w:rPr>
            </w:pPr>
            <w:r>
              <w:rPr>
                <w:rFonts w:ascii="宋体" w:hAnsi="宋体" w:cs="宋体" w:eastAsia="宋体" w:hint="default"/>
                <w:b/>
                <w:bCs/>
                <w:sz w:val="21"/>
                <w:szCs w:val="21"/>
              </w:rPr>
              <w:t>二Ｏ二Ｏ年三月二十四日</w:t>
            </w:r>
            <w:r>
              <w:rPr>
                <w:rFonts w:ascii="宋体" w:hAnsi="宋体" w:cs="宋体" w:eastAsia="宋体" w:hint="default"/>
                <w:sz w:val="21"/>
                <w:szCs w:val="21"/>
              </w:rPr>
            </w:r>
          </w:p>
        </w:tc>
        <w:tc>
          <w:tcPr>
            <w:tcW w:w="189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8" w:footer="979" w:top="1060" w:bottom="1160" w:left="84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9" w:top="1060" w:bottom="1160" w:left="980" w:right="0"/>
        </w:sectPr>
      </w:pPr>
    </w:p>
    <w:p>
      <w:pPr>
        <w:pStyle w:val="BodyText"/>
        <w:spacing w:line="240" w:lineRule="auto" w:before="44"/>
        <w:ind w:right="-20"/>
        <w:jc w:val="left"/>
      </w:pPr>
      <w:r>
        <w:rPr/>
        <w:t>编制单位：北京数字认证股份有限公司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3" w:space="863"/>
            <w:col w:w="1642" w:space="3202"/>
            <w:col w:w="201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86"/>
        <w:gridCol w:w="2940"/>
        <w:gridCol w:w="2943"/>
      </w:tblGrid>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660,107,910.15</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675,685,333.13</w:t>
            </w: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w:t>
            </w:r>
          </w:p>
        </w:tc>
        <w:tc>
          <w:tcPr>
            <w:tcW w:w="2940" w:type="dxa"/>
            <w:tcBorders>
              <w:top w:val="single" w:sz="4" w:space="0" w:color="000000"/>
              <w:left w:val="single" w:sz="9" w:space="0" w:color="D2D2D2"/>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994,000.00</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368,303.38</w:t>
            </w: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269,710,307.21</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178,589,035.30</w:t>
            </w: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21,549,320.79</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33,237,919.75</w:t>
            </w: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25,159,632.41</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22,880,774.49</w:t>
            </w:r>
          </w:p>
        </w:tc>
      </w:tr>
      <w:tr>
        <w:trPr>
          <w:trHeight w:val="404"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177,649,013.30</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124,314,909.58</w:t>
            </w: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14,805,956.74</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8,089,176.68</w:t>
            </w:r>
          </w:p>
        </w:tc>
      </w:tr>
      <w:tr>
        <w:trPr>
          <w:trHeight w:val="404"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1,169,976,140.60</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1,043,165,452.31</w:t>
            </w: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687"/>
        <w:gridCol w:w="2940"/>
        <w:gridCol w:w="2943"/>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16,296,198.75</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16,418,491.64</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27,653,582.93</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21,147,473.93</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55,099,037.21</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283,018.87</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10,181,281.49</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9,908,134.61</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1,057,624.81</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253,404.99</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36,119,091.78</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33,565,663.14</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730,684.09</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666,700.00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147,137,501.06</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82,242,887.18</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1,317,113,641.66</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1,125,408,339.49</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金融负债</w:t>
            </w:r>
          </w:p>
        </w:tc>
        <w:tc>
          <w:tcPr>
            <w:tcW w:w="2940" w:type="dxa"/>
            <w:tcBorders>
              <w:top w:val="single" w:sz="4" w:space="0" w:color="000000"/>
              <w:left w:val="single" w:sz="9" w:space="0" w:color="D2D2D2"/>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107,294,824.26</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78,219,206.83</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388,220,154.30</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301,962,290.50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687"/>
        <w:gridCol w:w="2940"/>
        <w:gridCol w:w="2943"/>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87,175,537.70</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85,904,845.56</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28,094,253.88</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25,512,026.50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11,319,224.41</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8,235,995.87</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622,103,994.55</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499,834,365.26</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13,260,616.71</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13,256,986.48</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13,260,616.71</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13,256,986.48</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635,364,611.26</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513,091,351.74</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686"/>
        <w:gridCol w:w="2940"/>
        <w:gridCol w:w="2943"/>
      </w:tblGrid>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147,377,810.54</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206,686,143.36</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40,669,159.85</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32,150,975.42</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311,571,327.19</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253,479,868.97</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679,618,297.58</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612,316,987.75</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2,130,732.82</w:t>
            </w: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681,749,030.40</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612,316,987.75</w:t>
            </w: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1,317,113,641.66</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1,125,408,339.49</w:t>
            </w:r>
          </w:p>
        </w:tc>
      </w:tr>
    </w:tbl>
    <w:p>
      <w:pPr>
        <w:spacing w:line="240" w:lineRule="auto" w:before="2"/>
        <w:rPr>
          <w:rFonts w:ascii="Times New Roman" w:hAnsi="Times New Roman" w:cs="Times New Roman" w:eastAsia="Times New Roman" w:hint="default"/>
          <w:sz w:val="23"/>
          <w:szCs w:val="23"/>
        </w:rPr>
      </w:pPr>
    </w:p>
    <w:p>
      <w:pPr>
        <w:pStyle w:val="BodyText"/>
        <w:tabs>
          <w:tab w:pos="3425" w:val="left" w:leader="none"/>
          <w:tab w:pos="7568" w:val="left" w:leader="none"/>
        </w:tabs>
        <w:spacing w:line="240" w:lineRule="auto" w:before="44"/>
        <w:ind w:left="0" w:right="1223"/>
        <w:jc w:val="right"/>
      </w:pPr>
      <w:r>
        <w:rPr/>
        <w:t>法定代表人：詹榜华</w:t>
        <w:tab/>
      </w:r>
      <w:r>
        <w:rPr>
          <w:spacing w:val="-1"/>
        </w:rPr>
        <w:t>主管会计工作负责人：林雪焰</w:t>
        <w:tab/>
      </w:r>
      <w:r>
        <w:rPr/>
        <w:t>会计机构负责人：高青山</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687"/>
        <w:gridCol w:w="2940"/>
        <w:gridCol w:w="2943"/>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443,595,230.66</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494,611,466.53</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w:t>
            </w:r>
          </w:p>
        </w:tc>
        <w:tc>
          <w:tcPr>
            <w:tcW w:w="2940" w:type="dxa"/>
            <w:tcBorders>
              <w:top w:val="single" w:sz="4" w:space="0" w:color="000000"/>
              <w:left w:val="single" w:sz="9" w:space="0" w:color="D2D2D2"/>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994,000.00</w:t>
            </w: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216,385,879.26</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145,570,300.25</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6,054,759.85</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3,354,543.37</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56,976,346.13</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52,619,181.06</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63,172,512.27</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50,265,342.11</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687"/>
        <w:gridCol w:w="2940"/>
        <w:gridCol w:w="2943"/>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787,178,728.17</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746,420,833.32</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64,125,248.05</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64,186,460.94</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19,058,968.59</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13,404,218.94</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4,915,590.75</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4,410,167.90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31,038,308.66</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30,659,119.97</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47,330,684.09</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666,700.00</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166,468,800.14</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113,326,667.75</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953,647,528.31</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859,747,501.07</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金融负债</w:t>
            </w:r>
          </w:p>
        </w:tc>
        <w:tc>
          <w:tcPr>
            <w:tcW w:w="2940" w:type="dxa"/>
            <w:tcBorders>
              <w:top w:val="single" w:sz="4" w:space="0" w:color="000000"/>
              <w:left w:val="single" w:sz="9" w:space="0" w:color="D2D2D2"/>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79,785,189.81</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65,295,525.57</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687"/>
        <w:gridCol w:w="2940"/>
        <w:gridCol w:w="2943"/>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170,881,328.94</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147,097,237.24</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58,691,646.80</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59,867,196.53</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22,283,901.23</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20,117,024.14</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5,805,136.16</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7,234,760.27</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337,447,202.94</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299,611,743.75</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11,176,833.13</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11,196,700.57</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11,176,833.13</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11,196,700.57</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348,624,036.07</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310,808,444.32</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146,700,460.52</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206,700,460.52</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686"/>
        <w:gridCol w:w="2940"/>
        <w:gridCol w:w="2943"/>
      </w:tblGrid>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40,669,159.85</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32,150,975.42</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237,653,871.87</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190,087,620.81</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605,023,492.24</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548,939,056.75</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953,647,528.31</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859,747,501.07</w:t>
            </w:r>
          </w:p>
        </w:tc>
      </w:tr>
    </w:tbl>
    <w:p>
      <w:pPr>
        <w:spacing w:line="240" w:lineRule="auto" w:before="1"/>
        <w:rPr>
          <w:rFonts w:ascii="Times New Roman" w:hAnsi="Times New Roman" w:cs="Times New Roman" w:eastAsia="Times New Roman" w:hint="default"/>
          <w:sz w:val="22"/>
          <w:szCs w:val="22"/>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103"/>
        <w:gridCol w:w="2232"/>
        <w:gridCol w:w="2233"/>
      </w:tblGrid>
      <w:tr>
        <w:trPr>
          <w:trHeight w:val="39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793,892,436.34</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667,720,172.71</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793,892,436.34</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667,720,172.71</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684,561,175.24</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571,409,354.00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315,396,417.89</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276,330,853.28</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4,851,577.80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4,047,660.22</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112,497,013.94</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102,619,143.46</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111,587,541.75</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107,257,821.86</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142,015,038.34</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83,958,490.28</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-1,786,414.48</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-2,804,615.10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4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2,162,982.22</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3,156,575.09</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19,111,057.16</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14,176,124.24</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8,515,069.50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4,471,616.70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-122,292.89</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-2,167,326.22</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103"/>
        <w:gridCol w:w="2232"/>
        <w:gridCol w:w="2233"/>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-26,563,329.49</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-16,030,141.06</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-106,110.23</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-15,547.14</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110,287,948.04</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98,912,871.45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60,856.03</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110,227,092.01</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98,912,871.45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11,701,063.78</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12,457,470.76</w:t>
            </w:r>
          </w:p>
        </w:tc>
      </w:tr>
      <w:tr>
        <w:trPr>
          <w:trHeight w:val="408"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98,526,028.23</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86,455,400.69</w:t>
            </w:r>
          </w:p>
        </w:tc>
      </w:tr>
      <w:tr>
        <w:trPr>
          <w:trHeight w:val="39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04"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04"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98,526,028.23</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86,455,400.69</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103"/>
        <w:gridCol w:w="2232"/>
        <w:gridCol w:w="2233"/>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98,526,028.23</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86,455,400.69</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98,526,028.23</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86,455,400.69</w:t>
            </w:r>
          </w:p>
        </w:tc>
      </w:tr>
      <w:tr>
        <w:trPr>
          <w:trHeight w:val="408"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0.5474</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0.4803</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0.5474</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0.4803</w:t>
            </w:r>
          </w:p>
        </w:tc>
      </w:tr>
    </w:tbl>
    <w:p>
      <w:pPr>
        <w:pStyle w:val="BodyText"/>
        <w:tabs>
          <w:tab w:pos="3578" w:val="left" w:leader="none"/>
          <w:tab w:pos="7721" w:val="left" w:leader="none"/>
        </w:tabs>
        <w:spacing w:line="624" w:lineRule="auto" w:before="49"/>
        <w:ind w:right="1223"/>
        <w:jc w:val="left"/>
      </w:pPr>
      <w:r>
        <w:rPr/>
        <w:t>本期发生同一控制下企业合并的，被合并方在合并前实现的净利润为：元，上期被合并方实现的净利润为：元。 法定代表人：詹榜华</w:t>
        <w:tab/>
      </w:r>
      <w:r>
        <w:rPr>
          <w:spacing w:val="-1"/>
        </w:rPr>
        <w:t>主管会计工作负责人：林雪焰</w:t>
        <w:tab/>
      </w:r>
      <w:r>
        <w:rPr/>
        <w:t>会计机构负责人：高青山</w:t>
      </w:r>
    </w:p>
    <w:p>
      <w:pPr>
        <w:pStyle w:val="Heading3"/>
        <w:spacing w:line="240" w:lineRule="auto" w:before="68"/>
        <w:ind w:right="982"/>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103"/>
        <w:gridCol w:w="2232"/>
        <w:gridCol w:w="2235"/>
      </w:tblGrid>
      <w:tr>
        <w:trPr>
          <w:trHeight w:val="398"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6"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490,150,556.59</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430,913,044.93</w:t>
            </w:r>
          </w:p>
        </w:tc>
      </w:tr>
      <w:tr>
        <w:trPr>
          <w:trHeight w:val="404"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148,003,892.44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141,661,126.75</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3,432,240.44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3,454,296.84</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81,039,007.03</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77,285,027.12</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74,030,911.00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74,425,739.94</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95,749,733.65</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55,456,960.69</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-1,055,544.40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-2,199,692.89</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1,349,170.08</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2,458,050.55</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15,061,087.79</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12,251,001.95</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11,791,902.93</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5,705,476.02</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07"/>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-61,212.89</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-3,259,768.27</w:t>
            </w:r>
          </w:p>
        </w:tc>
      </w:tr>
      <w:tr>
        <w:trPr>
          <w:trHeight w:val="71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28"/>
              <w:jc w:val="right"/>
              <w:rPr>
                <w:rFonts w:ascii="宋体" w:hAnsi="宋体" w:cs="宋体" w:eastAsia="宋体" w:hint="default"/>
                <w:sz w:val="18"/>
                <w:szCs w:val="18"/>
              </w:rPr>
            </w:pPr>
            <w:r>
              <w:rPr>
                <w:rFonts w:ascii="宋体" w:hAnsi="宋体" w:cs="宋体" w:eastAsia="宋体" w:hint="default"/>
                <w:spacing w:val="-1"/>
                <w:sz w:val="18"/>
                <w:szCs w:val="18"/>
              </w:rPr>
              <w:t>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-20,821,170.68</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-13,677,448.30</w:t>
            </w:r>
          </w:p>
        </w:tc>
      </w:tr>
      <w:tr>
        <w:trPr>
          <w:trHeight w:val="404"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-106,110.23</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-15,547.14</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94,876,026.24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85,093,069.01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103"/>
        <w:gridCol w:w="2232"/>
        <w:gridCol w:w="2235"/>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94,876,026.24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85,093,069.01</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9,694,181.99</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10,859,725.66</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85,181,844.25</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74,233,343.35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85,181,844.25</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74,233,343.35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85,181,844.25</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74,233,343.35</w:t>
            </w:r>
          </w:p>
        </w:tc>
      </w:tr>
      <w:tr>
        <w:trPr>
          <w:trHeight w:val="39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103"/>
        <w:gridCol w:w="2232"/>
        <w:gridCol w:w="2235"/>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5" w:right="0"/>
              <w:jc w:val="left"/>
              <w:rPr>
                <w:rFonts w:ascii="Times New Roman" w:hAnsi="Times New Roman" w:cs="Times New Roman" w:eastAsia="Times New Roman" w:hint="default"/>
                <w:sz w:val="18"/>
                <w:szCs w:val="18"/>
              </w:rPr>
            </w:pPr>
            <w:r>
              <w:rPr>
                <w:rFonts w:ascii="Times New Roman"/>
                <w:sz w:val="18"/>
              </w:rPr>
              <w:t>823,609,970.78</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83" w:right="0"/>
              <w:jc w:val="left"/>
              <w:rPr>
                <w:rFonts w:ascii="Times New Roman" w:hAnsi="Times New Roman" w:cs="Times New Roman" w:eastAsia="Times New Roman" w:hint="default"/>
                <w:sz w:val="18"/>
                <w:szCs w:val="18"/>
              </w:rPr>
            </w:pPr>
            <w:r>
              <w:rPr>
                <w:rFonts w:ascii="Times New Roman"/>
                <w:sz w:val="18"/>
              </w:rPr>
              <w:t>793,118,294.71</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103"/>
        <w:gridCol w:w="2232"/>
        <w:gridCol w:w="2235"/>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10,909,201.45</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8,225,571.21</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14,628,493.42</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15,282,358.97</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849,147,665.65</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816,626,224.89</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282,745,985.54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276,914,149.58</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346,960,257.00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259,037,963.51</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58,274,562.16</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66,973,355.23</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86,380,449.91</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85,737,694.55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774,361,254.61</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688,663,162.87</w:t>
            </w:r>
          </w:p>
        </w:tc>
      </w:tr>
      <w:tr>
        <w:trPr>
          <w:trHeight w:val="409"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74,786,411.04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127,963,062.02</w:t>
            </w:r>
          </w:p>
        </w:tc>
      </w:tr>
      <w:tr>
        <w:trPr>
          <w:trHeight w:val="39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280,000,000.00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8,637,362.39</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6,365,244.29</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288,642,362.39</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406,384,444.29</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77,426,712.93</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19,040,115.88</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280,000,000.00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303,000,000.00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103"/>
        <w:gridCol w:w="2232"/>
        <w:gridCol w:w="2235"/>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87"/>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357,426,712.93</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322,040,115.88</w:t>
            </w:r>
          </w:p>
        </w:tc>
      </w:tr>
      <w:tr>
        <w:trPr>
          <w:trHeight w:val="408"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-68,784,350.54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84,344,328.41</w:t>
            </w:r>
          </w:p>
        </w:tc>
      </w:tr>
      <w:tr>
        <w:trPr>
          <w:trHeight w:val="39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7,056,000.00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87"/>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7,056,000.00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7,056,000.00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87"/>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-16,944,000.00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-10,941,939.50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188,307,390.43</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654,151,952.06</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465,844,561.63</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643,210,012.56</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654,151,952.06</w:t>
            </w:r>
          </w:p>
        </w:tc>
      </w:tr>
    </w:tbl>
    <w:p>
      <w:pPr>
        <w:spacing w:line="240" w:lineRule="auto" w:before="1"/>
        <w:rPr>
          <w:rFonts w:ascii="Times New Roman" w:hAnsi="Times New Roman" w:cs="Times New Roman" w:eastAsia="Times New Roman" w:hint="default"/>
          <w:sz w:val="22"/>
          <w:szCs w:val="22"/>
        </w:rPr>
      </w:pPr>
    </w:p>
    <w:p>
      <w:pPr>
        <w:pStyle w:val="Heading3"/>
        <w:spacing w:line="240" w:lineRule="auto" w:before="36"/>
        <w:ind w:right="982"/>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103"/>
        <w:gridCol w:w="2232"/>
        <w:gridCol w:w="2235"/>
      </w:tblGrid>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463,983,028.77</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493,758,185.45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8,896,006.01</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6,718,496.36</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7,187,245.38</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12,073,630.91</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480,066,280.16</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512,550,312.72</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131,756,544.71</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120,304,610.04</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227,064,076.29</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174,795,791.37</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39,881,525.12</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57,187,943.67</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70,688,832.21</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88,448,488.96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103"/>
        <w:gridCol w:w="2232"/>
        <w:gridCol w:w="2235"/>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469,390,978.33</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440,736,834.04</w:t>
            </w: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10,675,301.83</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71,813,478.68</w:t>
            </w:r>
          </w:p>
        </w:tc>
      </w:tr>
      <w:tr>
        <w:trPr>
          <w:trHeight w:val="39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230,000,000.00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370,000,000.00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11,853,115.82</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8,965,244.29</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5,000.00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241,858,115.82</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378,984,444.29</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13,555,903.86</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9,736,462.50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313,000,000.00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36,100,000.00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279,655,903.86</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322,736,462.50</w:t>
            </w:r>
          </w:p>
        </w:tc>
      </w:tr>
      <w:tr>
        <w:trPr>
          <w:trHeight w:val="408"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-37,797,788.04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56,247,981.79</w:t>
            </w:r>
          </w:p>
        </w:tc>
      </w:tr>
      <w:tr>
        <w:trPr>
          <w:trHeight w:val="39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-51,122,486.21</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104,061,460.47</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482,103,302.71</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378,041,842.24</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430,980,816.50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482,103,302.71</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982"/>
        <w:jc w:val="left"/>
      </w:pPr>
      <w:r>
        <w:rPr/>
        <w:t>本期金额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52"/>
        <w:gridCol w:w="8313"/>
      </w:tblGrid>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68"/>
        <w:gridCol w:w="583"/>
        <w:gridCol w:w="586"/>
        <w:gridCol w:w="583"/>
        <w:gridCol w:w="584"/>
        <w:gridCol w:w="583"/>
        <w:gridCol w:w="583"/>
        <w:gridCol w:w="586"/>
        <w:gridCol w:w="584"/>
        <w:gridCol w:w="583"/>
        <w:gridCol w:w="586"/>
        <w:gridCol w:w="578"/>
      </w:tblGrid>
      <w:tr>
        <w:trPr>
          <w:trHeight w:val="402"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3"/>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253"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713"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left"/>
              <w:rPr>
                <w:rFonts w:ascii="Times New Roman" w:hAnsi="Times New Roman" w:cs="Times New Roman" w:eastAsia="Times New Roman" w:hint="default"/>
                <w:sz w:val="18"/>
                <w:szCs w:val="18"/>
              </w:rPr>
            </w:pPr>
            <w:r>
              <w:rPr>
                <w:rFonts w:ascii="Times New Roman"/>
                <w:sz w:val="18"/>
              </w:rPr>
              <w:t>120,0</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206,68</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6,143.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32,150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,975.4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 w:right="0"/>
              <w:jc w:val="left"/>
              <w:rPr>
                <w:rFonts w:ascii="Times New Roman" w:hAnsi="Times New Roman" w:cs="Times New Roman" w:eastAsia="Times New Roman" w:hint="default"/>
                <w:sz w:val="18"/>
                <w:szCs w:val="18"/>
              </w:rPr>
            </w:pPr>
            <w:r>
              <w:rPr>
                <w:rFonts w:ascii="Times New Roman"/>
                <w:sz w:val="18"/>
              </w:rPr>
              <w:t>253,47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9,868.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612,31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6,987.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75</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612,31</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6,987.</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75</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-7,916,</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385.58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-7,916,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385.58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-7,916,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385.58</w:t>
            </w: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120,0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206,68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6,143.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32,150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245,56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3,483.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39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604,40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0,602.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17</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604,40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0,602.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17</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 w:right="0"/>
              <w:jc w:val="center"/>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-59,30</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8,332.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8,518,</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184.43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66,007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,843.8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75,217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,695.4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2,130,</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732.82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77,348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98,526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98,526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98,526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6" w:right="0"/>
              <w:jc w:val="center"/>
              <w:rPr>
                <w:rFonts w:ascii="Times New Roman" w:hAnsi="Times New Roman" w:cs="Times New Roman" w:eastAsia="Times New Roman" w:hint="default"/>
                <w:sz w:val="18"/>
                <w:szCs w:val="18"/>
              </w:rPr>
            </w:pPr>
            <w:r>
              <w:rPr>
                <w:rFonts w:ascii="Times New Roman"/>
                <w:sz w:val="18"/>
              </w:rPr>
              <w:t>691,66</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7.18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6" w:right="0"/>
              <w:jc w:val="center"/>
              <w:rPr>
                <w:rFonts w:ascii="Times New Roman" w:hAnsi="Times New Roman" w:cs="Times New Roman" w:eastAsia="Times New Roman" w:hint="default"/>
                <w:sz w:val="18"/>
                <w:szCs w:val="18"/>
              </w:rPr>
            </w:pPr>
            <w:r>
              <w:rPr>
                <w:rFonts w:ascii="Times New Roman"/>
                <w:sz w:val="18"/>
              </w:rPr>
              <w:t>691,66</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7.18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2,130,</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732.82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z w:val="18"/>
              </w:rPr>
              <w:t>2,822,</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400.00</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2,822,</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400.00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2,822,</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400.00</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6" w:right="0"/>
              <w:jc w:val="center"/>
              <w:rPr>
                <w:rFonts w:ascii="Times New Roman" w:hAnsi="Times New Roman" w:cs="Times New Roman" w:eastAsia="Times New Roman" w:hint="default"/>
                <w:sz w:val="18"/>
                <w:szCs w:val="18"/>
              </w:rPr>
            </w:pPr>
            <w:r>
              <w:rPr>
                <w:rFonts w:ascii="Times New Roman"/>
                <w:sz w:val="18"/>
              </w:rPr>
              <w:t>691,66</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7.18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6" w:right="0"/>
              <w:jc w:val="center"/>
              <w:rPr>
                <w:rFonts w:ascii="Times New Roman" w:hAnsi="Times New Roman" w:cs="Times New Roman" w:eastAsia="Times New Roman" w:hint="default"/>
                <w:sz w:val="18"/>
                <w:szCs w:val="18"/>
              </w:rPr>
            </w:pPr>
            <w:r>
              <w:rPr>
                <w:rFonts w:ascii="Times New Roman"/>
                <w:sz w:val="18"/>
              </w:rPr>
              <w:t>691,66</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7.18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-691,6</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67.18</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8,518,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184.43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-32,51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8,184.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-24,00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-24,00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 w:right="0"/>
              <w:jc w:val="left"/>
              <w:rPr>
                <w:rFonts w:ascii="Times New Roman" w:hAnsi="Times New Roman" w:cs="Times New Roman" w:eastAsia="Times New Roman" w:hint="default"/>
                <w:sz w:val="18"/>
                <w:szCs w:val="18"/>
              </w:rPr>
            </w:pPr>
            <w:r>
              <w:rPr>
                <w:rFonts w:ascii="Times New Roman"/>
                <w:sz w:val="18"/>
              </w:rPr>
              <w:t>8,518,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184.43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-8,518,</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184.43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-24,00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-24,00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-24,00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 w:right="0"/>
              <w:jc w:val="center"/>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left"/>
              <w:rPr>
                <w:rFonts w:ascii="Times New Roman" w:hAnsi="Times New Roman" w:cs="Times New Roman" w:eastAsia="Times New Roman" w:hint="default"/>
                <w:sz w:val="18"/>
                <w:szCs w:val="18"/>
              </w:rPr>
            </w:pPr>
            <w:r>
              <w:rPr>
                <w:rFonts w:ascii="Times New Roman"/>
                <w:sz w:val="18"/>
              </w:rPr>
              <w:t>180,0</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147,37</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7,810.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40,669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,159.8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311,57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1,327.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679,61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8,297.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2,130,</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732.82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681,74</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9,030.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40</w:t>
            </w:r>
          </w:p>
        </w:tc>
      </w:tr>
    </w:tbl>
    <w:p>
      <w:pPr>
        <w:pStyle w:val="BodyText"/>
        <w:spacing w:line="240" w:lineRule="auto" w:before="49"/>
        <w:ind w:right="982"/>
        <w:jc w:val="left"/>
      </w:pPr>
      <w:r>
        <w:rPr/>
        <w:t>上期金额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1390"/>
        <w:gridCol w:w="576"/>
        <w:gridCol w:w="576"/>
        <w:gridCol w:w="578"/>
        <w:gridCol w:w="576"/>
        <w:gridCol w:w="576"/>
        <w:gridCol w:w="578"/>
        <w:gridCol w:w="588"/>
        <w:gridCol w:w="567"/>
        <w:gridCol w:w="569"/>
        <w:gridCol w:w="641"/>
        <w:gridCol w:w="653"/>
      </w:tblGrid>
      <w:tr>
        <w:trPr>
          <w:trHeight w:val="403" w:hRule="exact"/>
        </w:trPr>
        <w:tc>
          <w:tcPr>
            <w:tcW w:w="12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1211" w:type="dxa"/>
            <w:vMerge/>
            <w:tcBorders>
              <w:left w:val="single" w:sz="4" w:space="0" w:color="000000"/>
              <w:right w:val="single" w:sz="4" w:space="0" w:color="000000"/>
            </w:tcBorders>
            <w:shd w:val="clear" w:color="auto" w:fill="D2D2D2"/>
          </w:tcPr>
          <w:p>
            <w:pPr/>
          </w:p>
        </w:tc>
        <w:tc>
          <w:tcPr>
            <w:tcW w:w="70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52" w:right="48"/>
              <w:jc w:val="left"/>
              <w:rPr>
                <w:rFonts w:ascii="宋体" w:hAnsi="宋体" w:cs="宋体" w:eastAsia="宋体" w:hint="default"/>
                <w:sz w:val="18"/>
                <w:szCs w:val="18"/>
              </w:rPr>
            </w:pPr>
            <w:r>
              <w:rPr>
                <w:rFonts w:ascii="宋体" w:hAnsi="宋体" w:cs="宋体" w:eastAsia="宋体" w:hint="default"/>
                <w:sz w:val="18"/>
                <w:szCs w:val="18"/>
              </w:rPr>
              <w:t>所有者 权益合</w:t>
            </w:r>
          </w:p>
        </w:tc>
      </w:tr>
      <w:tr>
        <w:trPr>
          <w:trHeight w:val="403" w:hRule="exact"/>
        </w:trPr>
        <w:tc>
          <w:tcPr>
            <w:tcW w:w="1211" w:type="dxa"/>
            <w:vMerge/>
            <w:tcBorders>
              <w:left w:val="single" w:sz="4" w:space="0" w:color="000000"/>
              <w:bottom w:val="single" w:sz="4" w:space="0" w:color="000000"/>
              <w:right w:val="single" w:sz="4" w:space="0" w:color="000000"/>
            </w:tcBorders>
            <w:shd w:val="clear" w:color="auto" w:fill="D2D2D2"/>
          </w:tcPr>
          <w:p>
            <w:pP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7"/>
                <w:sz w:val="18"/>
                <w:szCs w:val="18"/>
              </w:rPr>
              <w:t>减：库</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专项</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盈余</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一般</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0" w:right="0"/>
              <w:jc w:val="left"/>
              <w:rPr>
                <w:rFonts w:ascii="宋体" w:hAnsi="宋体" w:cs="宋体" w:eastAsia="宋体" w:hint="default"/>
                <w:sz w:val="18"/>
                <w:szCs w:val="18"/>
              </w:rPr>
            </w:pPr>
            <w:r>
              <w:rPr>
                <w:rFonts w:ascii="宋体" w:hAnsi="宋体" w:cs="宋体" w:eastAsia="宋体" w:hint="default"/>
                <w:sz w:val="18"/>
                <w:szCs w:val="18"/>
              </w:rPr>
              <w:t>未分</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2"/>
        <w:gridCol w:w="490"/>
        <w:gridCol w:w="449"/>
        <w:gridCol w:w="449"/>
        <w:gridCol w:w="492"/>
        <w:gridCol w:w="576"/>
        <w:gridCol w:w="576"/>
        <w:gridCol w:w="578"/>
        <w:gridCol w:w="576"/>
        <w:gridCol w:w="576"/>
        <w:gridCol w:w="578"/>
        <w:gridCol w:w="588"/>
        <w:gridCol w:w="567"/>
        <w:gridCol w:w="569"/>
        <w:gridCol w:w="641"/>
        <w:gridCol w:w="653"/>
      </w:tblGrid>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38"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3" w:right="103"/>
              <w:jc w:val="left"/>
              <w:rPr>
                <w:rFonts w:ascii="宋体" w:hAnsi="宋体" w:cs="宋体" w:eastAsia="宋体" w:hint="default"/>
                <w:sz w:val="18"/>
                <w:szCs w:val="18"/>
              </w:rPr>
            </w:pPr>
            <w:r>
              <w:rPr>
                <w:rFonts w:ascii="宋体" w:hAnsi="宋体" w:cs="宋体" w:eastAsia="宋体" w:hint="default"/>
                <w:sz w:val="18"/>
                <w:szCs w:val="18"/>
              </w:rPr>
              <w:t>综合 收益</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3" w:right="103"/>
              <w:jc w:val="left"/>
              <w:rPr>
                <w:rFonts w:ascii="宋体" w:hAnsi="宋体" w:cs="宋体" w:eastAsia="宋体" w:hint="default"/>
                <w:sz w:val="18"/>
                <w:szCs w:val="18"/>
              </w:rPr>
            </w:pPr>
            <w:r>
              <w:rPr>
                <w:rFonts w:ascii="宋体" w:hAnsi="宋体" w:cs="宋体" w:eastAsia="宋体" w:hint="default"/>
                <w:sz w:val="18"/>
                <w:szCs w:val="18"/>
              </w:rPr>
              <w:t>风险 准备</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99" w:right="107" w:hanging="89"/>
              <w:jc w:val="left"/>
              <w:rPr>
                <w:rFonts w:ascii="宋体" w:hAnsi="宋体" w:cs="宋体" w:eastAsia="宋体" w:hint="default"/>
                <w:sz w:val="18"/>
                <w:szCs w:val="18"/>
              </w:rPr>
            </w:pPr>
            <w:r>
              <w:rPr>
                <w:rFonts w:ascii="宋体" w:hAnsi="宋体" w:cs="宋体" w:eastAsia="宋体" w:hint="default"/>
                <w:sz w:val="18"/>
                <w:szCs w:val="18"/>
              </w:rPr>
              <w:t>配利 润</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 w:right="0"/>
              <w:jc w:val="center"/>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242,25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4,231.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24,727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198,44</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7,802.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 w:right="0"/>
              <w:jc w:val="left"/>
              <w:rPr>
                <w:rFonts w:ascii="Times New Roman" w:hAnsi="Times New Roman" w:cs="Times New Roman" w:eastAsia="Times New Roman" w:hint="default"/>
                <w:sz w:val="18"/>
                <w:szCs w:val="18"/>
              </w:rPr>
            </w:pPr>
            <w:r>
              <w:rPr>
                <w:rFonts w:ascii="Times New Roman"/>
                <w:sz w:val="18"/>
              </w:rPr>
              <w:t>545,42</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9,675.</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01</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545,429</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,675.01</w:t>
            </w: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242,25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4,231.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24,727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198,44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7,802.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545,42</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9,675.</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01</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545,429</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,675.01</w:t>
            </w:r>
          </w:p>
        </w:tc>
      </w:tr>
      <w:tr>
        <w:trPr>
          <w:trHeight w:val="134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-35,56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8,087.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7,423,</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334.34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55,032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,066.3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66,887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,312.7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66,887,</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312.74</w:t>
            </w: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86,455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86,455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86,455,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400.69</w:t>
            </w: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4,431,</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912.05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4,431,</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912.05</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4,431,9</w:t>
            </w:r>
          </w:p>
          <w:p>
            <w:pPr>
              <w:pStyle w:val="TableParagraph"/>
              <w:spacing w:line="240" w:lineRule="auto" w:before="102"/>
              <w:ind w:left="195" w:right="0"/>
              <w:jc w:val="center"/>
              <w:rPr>
                <w:rFonts w:ascii="Times New Roman" w:hAnsi="Times New Roman" w:cs="Times New Roman" w:eastAsia="Times New Roman" w:hint="default"/>
                <w:sz w:val="18"/>
                <w:szCs w:val="18"/>
              </w:rPr>
            </w:pPr>
            <w:r>
              <w:rPr>
                <w:rFonts w:ascii="Times New Roman"/>
                <w:sz w:val="18"/>
              </w:rPr>
              <w:t>12.05</w:t>
            </w: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4"/>
              <w:ind w:left="24"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 w:right="0"/>
              <w:jc w:val="left"/>
              <w:rPr>
                <w:rFonts w:ascii="Times New Roman" w:hAnsi="Times New Roman" w:cs="Times New Roman" w:eastAsia="Times New Roman" w:hint="default"/>
                <w:sz w:val="18"/>
                <w:szCs w:val="18"/>
              </w:rPr>
            </w:pPr>
            <w:r>
              <w:rPr>
                <w:rFonts w:ascii="Times New Roman"/>
                <w:sz w:val="18"/>
              </w:rPr>
              <w:t>4,431,</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912.05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 w:right="0"/>
              <w:jc w:val="left"/>
              <w:rPr>
                <w:rFonts w:ascii="Times New Roman" w:hAnsi="Times New Roman" w:cs="Times New Roman" w:eastAsia="Times New Roman" w:hint="default"/>
                <w:sz w:val="18"/>
                <w:szCs w:val="18"/>
              </w:rPr>
            </w:pPr>
            <w:r>
              <w:rPr>
                <w:rFonts w:ascii="Times New Roman"/>
                <w:sz w:val="18"/>
              </w:rPr>
              <w:t>4,431,</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912.05</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 w:right="0"/>
              <w:jc w:val="center"/>
              <w:rPr>
                <w:rFonts w:ascii="Times New Roman" w:hAnsi="Times New Roman" w:cs="Times New Roman" w:eastAsia="Times New Roman" w:hint="default"/>
                <w:sz w:val="18"/>
                <w:szCs w:val="18"/>
              </w:rPr>
            </w:pPr>
            <w:r>
              <w:rPr>
                <w:rFonts w:ascii="Times New Roman"/>
                <w:sz w:val="18"/>
              </w:rPr>
              <w:t>4,431,9</w:t>
            </w:r>
          </w:p>
          <w:p>
            <w:pPr>
              <w:pStyle w:val="TableParagraph"/>
              <w:spacing w:line="240" w:lineRule="auto" w:before="102"/>
              <w:ind w:left="195" w:right="0"/>
              <w:jc w:val="center"/>
              <w:rPr>
                <w:rFonts w:ascii="Times New Roman" w:hAnsi="Times New Roman" w:cs="Times New Roman" w:eastAsia="Times New Roman" w:hint="default"/>
                <w:sz w:val="18"/>
                <w:szCs w:val="18"/>
              </w:rPr>
            </w:pPr>
            <w:r>
              <w:rPr>
                <w:rFonts w:ascii="Times New Roman"/>
                <w:sz w:val="18"/>
              </w:rPr>
              <w:t>12.05</w:t>
            </w:r>
          </w:p>
        </w:tc>
      </w:tr>
      <w:tr>
        <w:trPr>
          <w:trHeight w:val="102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7,423,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334.34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-31,42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3,334.</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34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-24,00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,000.00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 w:right="0"/>
              <w:jc w:val="left"/>
              <w:rPr>
                <w:rFonts w:ascii="Times New Roman" w:hAnsi="Times New Roman" w:cs="Times New Roman" w:eastAsia="Times New Roman" w:hint="default"/>
                <w:sz w:val="18"/>
                <w:szCs w:val="18"/>
              </w:rPr>
            </w:pPr>
            <w:r>
              <w:rPr>
                <w:rFonts w:ascii="Times New Roman"/>
                <w:sz w:val="18"/>
              </w:rPr>
              <w:t>7,423,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334.34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7" w:right="0"/>
              <w:jc w:val="left"/>
              <w:rPr>
                <w:rFonts w:ascii="Times New Roman" w:hAnsi="Times New Roman" w:cs="Times New Roman" w:eastAsia="Times New Roman" w:hint="default"/>
                <w:sz w:val="18"/>
                <w:szCs w:val="18"/>
              </w:rPr>
            </w:pPr>
            <w:r>
              <w:rPr>
                <w:rFonts w:ascii="Times New Roman"/>
                <w:sz w:val="18"/>
              </w:rPr>
              <w:t>-7,423,</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334.34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-24,00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-24,00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 w:right="0"/>
              <w:jc w:val="center"/>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120,0</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206,68</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6,143.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32,150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,975.4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253,47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9,868.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 w:right="0"/>
              <w:jc w:val="left"/>
              <w:rPr>
                <w:rFonts w:ascii="Times New Roman" w:hAnsi="Times New Roman" w:cs="Times New Roman" w:eastAsia="Times New Roman" w:hint="default"/>
                <w:sz w:val="18"/>
                <w:szCs w:val="18"/>
              </w:rPr>
            </w:pPr>
            <w:r>
              <w:rPr>
                <w:rFonts w:ascii="Times New Roman"/>
                <w:sz w:val="18"/>
              </w:rPr>
              <w:t>612,31</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6,987.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75</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612,316</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,987.75</w:t>
            </w:r>
          </w:p>
        </w:tc>
      </w:tr>
    </w:tbl>
    <w:p>
      <w:pPr>
        <w:spacing w:line="240" w:lineRule="auto" w:before="1"/>
        <w:rPr>
          <w:rFonts w:ascii="Times New Roman" w:hAnsi="Times New Roman" w:cs="Times New Roman" w:eastAsia="Times New Roman" w:hint="default"/>
          <w:sz w:val="22"/>
          <w:szCs w:val="22"/>
        </w:rPr>
      </w:pPr>
    </w:p>
    <w:p>
      <w:pPr>
        <w:pStyle w:val="Heading3"/>
        <w:spacing w:line="240" w:lineRule="auto" w:before="36"/>
        <w:ind w:right="982"/>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本期金额</w:t>
      </w:r>
    </w:p>
    <w:p>
      <w:pPr>
        <w:pStyle w:val="BodyText"/>
        <w:spacing w:line="240" w:lineRule="auto" w:before="115"/>
        <w:ind w:left="0" w:right="1131"/>
        <w:jc w:val="right"/>
      </w:pPr>
      <w:r>
        <w:rPr/>
        <w:t>单位：元</w:t>
      </w:r>
    </w:p>
    <w:p>
      <w:pPr>
        <w:spacing w:after="0" w:line="240" w:lineRule="auto"/>
        <w:jc w:val="right"/>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3"/>
        <w:gridCol w:w="605"/>
        <w:gridCol w:w="727"/>
        <w:gridCol w:w="728"/>
        <w:gridCol w:w="725"/>
        <w:gridCol w:w="727"/>
        <w:gridCol w:w="727"/>
        <w:gridCol w:w="615"/>
        <w:gridCol w:w="710"/>
        <w:gridCol w:w="862"/>
      </w:tblGrid>
      <w:tr>
        <w:trPr>
          <w:trHeight w:val="402"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206,700,</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460.52</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32,150,9</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75.42</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190,08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7,620.8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548,939,0</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56.75</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-5,097,</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408.76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-5,097,408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w:t>
            </w: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206,700,</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460.52</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32,150,9</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75.42</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184,99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0,212.0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543,841,6</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47.99</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000.00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8,518,18</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4.43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52,663,</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659.82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61,181,84</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4.25</w:t>
            </w: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85,181,</w:t>
            </w:r>
          </w:p>
          <w:p>
            <w:pPr>
              <w:pStyle w:val="TableParagraph"/>
              <w:spacing w:line="240" w:lineRule="auto" w:before="103"/>
              <w:ind w:left="88" w:right="0"/>
              <w:jc w:val="left"/>
              <w:rPr>
                <w:rFonts w:ascii="Times New Roman" w:hAnsi="Times New Roman" w:cs="Times New Roman" w:eastAsia="Times New Roman" w:hint="default"/>
                <w:sz w:val="18"/>
                <w:szCs w:val="18"/>
              </w:rPr>
            </w:pPr>
            <w:r>
              <w:rPr>
                <w:rFonts w:ascii="Times New Roman"/>
                <w:sz w:val="18"/>
              </w:rPr>
              <w:t>844.25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85,181,84</w:t>
            </w:r>
          </w:p>
          <w:p>
            <w:pPr>
              <w:pStyle w:val="TableParagraph"/>
              <w:spacing w:line="240" w:lineRule="auto" w:before="103"/>
              <w:ind w:left="515" w:right="0"/>
              <w:jc w:val="left"/>
              <w:rPr>
                <w:rFonts w:ascii="Times New Roman" w:hAnsi="Times New Roman" w:cs="Times New Roman" w:eastAsia="Times New Roman" w:hint="default"/>
                <w:sz w:val="18"/>
                <w:szCs w:val="18"/>
              </w:rPr>
            </w:pPr>
            <w:r>
              <w:rPr>
                <w:rFonts w:ascii="Times New Roman"/>
                <w:sz w:val="18"/>
              </w:rPr>
              <w:t>4.25</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8,518,18</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4.43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-32,518</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,184.43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8,518,18</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4.43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-8,518,</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184.43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5"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0"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000.00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000.00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146,700,</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460.52</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40,669,1</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59.85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237,65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3,871.8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605,023,4</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92.24</w:t>
            </w:r>
          </w:p>
        </w:tc>
      </w:tr>
    </w:tbl>
    <w:p>
      <w:pPr>
        <w:pStyle w:val="BodyText"/>
        <w:spacing w:line="240" w:lineRule="auto" w:before="49"/>
        <w:ind w:right="982"/>
        <w:jc w:val="left"/>
      </w:pPr>
      <w:r>
        <w:rPr/>
        <w:t>上期金额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32"/>
        <w:gridCol w:w="593"/>
        <w:gridCol w:w="574"/>
        <w:gridCol w:w="572"/>
        <w:gridCol w:w="571"/>
        <w:gridCol w:w="686"/>
        <w:gridCol w:w="686"/>
        <w:gridCol w:w="684"/>
        <w:gridCol w:w="782"/>
        <w:gridCol w:w="665"/>
        <w:gridCol w:w="797"/>
        <w:gridCol w:w="797"/>
        <w:gridCol w:w="931"/>
      </w:tblGrid>
      <w:tr>
        <w:trPr>
          <w:trHeight w:val="403" w:hRule="exact"/>
        </w:trPr>
        <w:tc>
          <w:tcPr>
            <w:tcW w:w="12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1232" w:type="dxa"/>
            <w:vMerge/>
            <w:tcBorders>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5"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2"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242,254</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,231.31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24,727,</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641.08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147,277,6</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11.80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494,259,48</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4.19</w:t>
            </w: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242,254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,231.31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24,727,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641.08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147,277,6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11.80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494,259,48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4.19</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-35,553,</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770.79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7,423,3</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34.34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42,810,00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9.01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54,679,572.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56</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74,233,34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74,233,343.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4" w:right="0"/>
              <w:jc w:val="center"/>
              <w:rPr>
                <w:rFonts w:ascii="Times New Roman" w:hAnsi="Times New Roman" w:cs="Times New Roman" w:eastAsia="Times New Roman" w:hint="default"/>
                <w:sz w:val="18"/>
                <w:szCs w:val="18"/>
              </w:rPr>
            </w:pPr>
            <w:r>
              <w:rPr>
                <w:rFonts w:ascii="Times New Roman"/>
                <w:sz w:val="18"/>
              </w:rPr>
              <w:t>4,446,2</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29.21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4,446,229.2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7,423,3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34.34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-31,423,3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34.34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-24,000,000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center"/>
              <w:rPr>
                <w:rFonts w:ascii="Times New Roman" w:hAnsi="Times New Roman" w:cs="Times New Roman" w:eastAsia="Times New Roman" w:hint="default"/>
                <w:sz w:val="18"/>
                <w:szCs w:val="18"/>
              </w:rPr>
            </w:pPr>
            <w:r>
              <w:rPr>
                <w:rFonts w:ascii="Times New Roman"/>
                <w:sz w:val="18"/>
              </w:rPr>
              <w:t>7,423,3</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34.34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-7,423,33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4.34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-24,000,000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4" w:right="0"/>
              <w:jc w:val="center"/>
              <w:rPr>
                <w:rFonts w:ascii="Times New Roman" w:hAnsi="Times New Roman" w:cs="Times New Roman" w:eastAsia="Times New Roman" w:hint="default"/>
                <w:sz w:val="18"/>
                <w:szCs w:val="18"/>
              </w:rPr>
            </w:pPr>
            <w:r>
              <w:rPr>
                <w:rFonts w:ascii="Times New Roman"/>
                <w:sz w:val="18"/>
              </w:rPr>
              <w:t>4,446,2</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29.21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4,446,229.2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206,700</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,460.52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32,150,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975.42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190,087,6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20.81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548,939,05</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6.75</w:t>
            </w:r>
          </w:p>
        </w:tc>
      </w:tr>
    </w:tbl>
    <w:p>
      <w:pPr>
        <w:spacing w:line="240" w:lineRule="auto" w:before="9"/>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982"/>
        <w:jc w:val="left"/>
      </w:pPr>
      <w:r>
        <w:rPr>
          <w:rFonts w:ascii="Times New Roman" w:hAnsi="Times New Roman" w:cs="Times New Roman" w:eastAsia="Times New Roman" w:hint="default"/>
          <w:b/>
          <w:bCs/>
        </w:rPr>
        <w:t>1</w:t>
      </w:r>
      <w:r>
        <w:rPr>
          <w:rFonts w:ascii="宋体" w:hAnsi="宋体" w:cs="宋体" w:eastAsia="宋体" w:hint="default"/>
          <w:b/>
          <w:bCs/>
        </w:rPr>
        <w:t>、公司概况</w:t>
      </w:r>
      <w:r>
        <w:rPr>
          <w:rFonts w:ascii="宋体" w:hAnsi="宋体" w:cs="宋体" w:eastAsia="宋体" w:hint="default"/>
          <w:b/>
          <w:bCs/>
          <w:w w:val="99"/>
        </w:rPr>
        <w:t> </w:t>
      </w:r>
      <w:r>
        <w:rPr/>
        <w:t>北京数字认证股份有限公司（以下简称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）是经北京市工商行政管理局核准，于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日由首都</w:t>
      </w:r>
    </w:p>
    <w:p>
      <w:pPr>
        <w:pStyle w:val="BodyText"/>
        <w:spacing w:line="217" w:lineRule="exact"/>
        <w:ind w:right="0"/>
        <w:jc w:val="both"/>
      </w:pPr>
      <w:r>
        <w:rPr/>
        <w:t>信息发展股份有限公司与上海市电子商务安全证书管理中心有限公司共同在北京市投资设立</w:t>
      </w:r>
      <w:r>
        <w:rPr>
          <w:spacing w:val="-82"/>
        </w:rPr>
        <w:t>。</w:t>
      </w:r>
      <w:r>
        <w:rPr/>
        <w:t>公司设立时注册资本为人民币</w:t>
      </w:r>
    </w:p>
    <w:p>
      <w:pPr>
        <w:pStyle w:val="BodyText"/>
        <w:spacing w:line="240" w:lineRule="auto" w:before="76"/>
        <w:ind w:right="0"/>
        <w:jc w:val="both"/>
      </w:pPr>
      <w:r>
        <w:rPr>
          <w:rFonts w:ascii="Times New Roman" w:hAnsi="Times New Roman" w:cs="Times New Roman" w:eastAsia="Times New Roman" w:hint="default"/>
        </w:rPr>
        <w:t>500</w:t>
      </w:r>
      <w:r>
        <w:rPr/>
        <w:t>万元，其中首都信息发展股份有限公司出资额为</w:t>
      </w:r>
      <w:r>
        <w:rPr>
          <w:rFonts w:ascii="Times New Roman" w:hAnsi="Times New Roman" w:cs="Times New Roman" w:eastAsia="Times New Roman" w:hint="default"/>
        </w:rPr>
        <w:t>450</w:t>
      </w:r>
      <w:r>
        <w:rPr/>
        <w:t>万元，占</w:t>
      </w:r>
      <w:r>
        <w:rPr>
          <w:rFonts w:ascii="Times New Roman" w:hAnsi="Times New Roman" w:cs="Times New Roman" w:eastAsia="Times New Roman" w:hint="default"/>
        </w:rPr>
        <w:t>90%</w:t>
      </w:r>
      <w:r>
        <w:rPr/>
        <w:t>，上海市电子商务安全证书管理中心有限公司出资额为</w:t>
      </w:r>
    </w:p>
    <w:p>
      <w:pPr>
        <w:pStyle w:val="BodyText"/>
        <w:spacing w:line="300" w:lineRule="auto" w:before="63"/>
        <w:ind w:right="1133"/>
        <w:jc w:val="both"/>
      </w:pPr>
      <w:r>
        <w:rPr>
          <w:rFonts w:ascii="Times New Roman" w:hAnsi="Times New Roman" w:cs="Times New Roman" w:eastAsia="Times New Roman" w:hint="default"/>
        </w:rPr>
        <w:t>50</w:t>
      </w:r>
      <w:r>
        <w:rPr/>
        <w:t>万元，占</w:t>
      </w:r>
      <w:r>
        <w:rPr>
          <w:rFonts w:ascii="Times New Roman" w:hAnsi="Times New Roman" w:cs="Times New Roman" w:eastAsia="Times New Roman" w:hint="default"/>
        </w:rPr>
        <w:t>10%</w:t>
      </w:r>
      <w:r>
        <w:rPr/>
        <w:t>。上述出资业经北京永拓会计师事务所有限责任公司审验并出具京永验字（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015</w:t>
      </w:r>
      <w:r>
        <w:rPr/>
        <w:t>号验资报告。本公</w:t>
      </w:r>
      <w:r>
        <w:rPr>
          <w:spacing w:val="-61"/>
        </w:rPr>
        <w:t> </w:t>
      </w:r>
      <w:r>
        <w:rPr>
          <w:spacing w:val="-61"/>
        </w:rPr>
      </w:r>
      <w:r>
        <w:rPr/>
        <w:t>司于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日在北京市工商行政管理局办理工商登记，领取了注册号为</w:t>
      </w:r>
      <w:r>
        <w:rPr>
          <w:rFonts w:ascii="Times New Roman" w:hAnsi="Times New Roman" w:cs="Times New Roman" w:eastAsia="Times New Roman" w:hint="default"/>
        </w:rPr>
        <w:t>1100001196650</w:t>
      </w:r>
      <w:r>
        <w:rPr/>
        <w:t>的企业法人营业执照。</w:t>
      </w:r>
    </w:p>
    <w:p>
      <w:pPr>
        <w:pStyle w:val="BodyText"/>
        <w:spacing w:line="302" w:lineRule="auto" w:before="53"/>
        <w:ind w:right="982" w:firstLine="360"/>
        <w:jc w:val="left"/>
      </w:pP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日，首都信息发展股份有限公司和北京市国有资产经营有限责任公司签订股权转让协议，根据该协议，首 都信息发展股份有限公司将其持有的</w:t>
      </w:r>
      <w:r>
        <w:rPr>
          <w:rFonts w:ascii="Times New Roman" w:hAnsi="Times New Roman" w:cs="Times New Roman" w:eastAsia="Times New Roman" w:hint="default"/>
        </w:rPr>
        <w:t>250</w:t>
      </w:r>
      <w:r>
        <w:rPr/>
        <w:t>万元股份转让给北京市国有资产经营有限责任公司。转让后，北京市国有资产经营</w:t>
      </w:r>
      <w:r>
        <w:rPr>
          <w:spacing w:val="-84"/>
        </w:rPr>
        <w:t> </w:t>
      </w:r>
      <w:r>
        <w:rPr>
          <w:spacing w:val="-84"/>
        </w:rPr>
      </w:r>
      <w:r>
        <w:rPr/>
        <w:t>有限责任公司出资额为</w:t>
      </w:r>
      <w:r>
        <w:rPr>
          <w:rFonts w:ascii="Times New Roman" w:hAnsi="Times New Roman" w:cs="Times New Roman" w:eastAsia="Times New Roman" w:hint="default"/>
        </w:rPr>
        <w:t>250</w:t>
      </w:r>
      <w:r>
        <w:rPr/>
        <w:t>万元（占</w:t>
      </w:r>
      <w:r>
        <w:rPr>
          <w:rFonts w:ascii="Times New Roman" w:hAnsi="Times New Roman" w:cs="Times New Roman" w:eastAsia="Times New Roman" w:hint="default"/>
        </w:rPr>
        <w:t>50%</w:t>
      </w:r>
      <w:r>
        <w:rPr/>
        <w:t>），首都信息发展股份有限公司出资额为</w:t>
      </w:r>
      <w:r>
        <w:rPr>
          <w:rFonts w:ascii="Times New Roman" w:hAnsi="Times New Roman" w:cs="Times New Roman" w:eastAsia="Times New Roman" w:hint="default"/>
        </w:rPr>
        <w:t>200</w:t>
      </w:r>
      <w:r>
        <w:rPr/>
        <w:t>万元（占</w:t>
      </w:r>
      <w:r>
        <w:rPr>
          <w:rFonts w:ascii="Times New Roman" w:hAnsi="Times New Roman" w:cs="Times New Roman" w:eastAsia="Times New Roman" w:hint="default"/>
        </w:rPr>
        <w:t>40%</w:t>
      </w:r>
      <w:r>
        <w:rPr/>
        <w:t>），上海市电子商务安全 证书管理中心有限公司出资额为</w:t>
      </w:r>
      <w:r>
        <w:rPr>
          <w:rFonts w:ascii="Times New Roman" w:hAnsi="Times New Roman" w:cs="Times New Roman" w:eastAsia="Times New Roman" w:hint="default"/>
        </w:rPr>
        <w:t>50</w:t>
      </w:r>
      <w:r>
        <w:rPr/>
        <w:t>万元（占</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日，本公司召开的第四次股东会一致通过由北京市国有资产 </w:t>
      </w:r>
      <w:r>
        <w:rPr>
          <w:spacing w:val="-2"/>
        </w:rPr>
        <w:t>经营有限责任公司、首都信息发展股份有限公司、上海市电子商务安全证书管理中心有限公司组成新的股东会，并同意将本</w:t>
      </w:r>
      <w:r>
        <w:rPr>
          <w:spacing w:val="-63"/>
        </w:rPr>
        <w:t> </w:t>
      </w:r>
      <w:r>
        <w:rPr>
          <w:spacing w:val="-63"/>
        </w:rPr>
      </w:r>
      <w:r>
        <w:rPr>
          <w:spacing w:val="-2"/>
        </w:rPr>
        <w:t>公司的注册资本增加</w:t>
      </w:r>
      <w:r>
        <w:rPr>
          <w:rFonts w:ascii="Times New Roman" w:hAnsi="Times New Roman" w:cs="Times New Roman" w:eastAsia="Times New Roman" w:hint="default"/>
          <w:spacing w:val="-2"/>
        </w:rPr>
        <w:t>1,500</w:t>
      </w:r>
      <w:r>
        <w:rPr>
          <w:spacing w:val="-2"/>
        </w:rPr>
        <w:t>万元，即由人民币</w:t>
      </w:r>
      <w:r>
        <w:rPr>
          <w:rFonts w:ascii="Times New Roman" w:hAnsi="Times New Roman" w:cs="Times New Roman" w:eastAsia="Times New Roman" w:hint="default"/>
          <w:spacing w:val="-2"/>
        </w:rPr>
        <w:t>500</w:t>
      </w:r>
      <w:r>
        <w:rPr>
          <w:spacing w:val="-2"/>
        </w:rPr>
        <w:t>万元增至</w:t>
      </w:r>
      <w:r>
        <w:rPr>
          <w:rFonts w:ascii="Times New Roman" w:hAnsi="Times New Roman" w:cs="Times New Roman" w:eastAsia="Times New Roman" w:hint="default"/>
          <w:spacing w:val="-2"/>
        </w:rPr>
        <w:t>2,000</w:t>
      </w:r>
      <w:r>
        <w:rPr>
          <w:spacing w:val="-2"/>
        </w:rPr>
        <w:t>万元。增资后北京市国有资产经营有限责任公司出资额为</w:t>
      </w:r>
      <w:r>
        <w:rPr>
          <w:rFonts w:ascii="Times New Roman" w:hAnsi="Times New Roman" w:cs="Times New Roman" w:eastAsia="Times New Roman" w:hint="default"/>
          <w:spacing w:val="-2"/>
        </w:rPr>
        <w:t>1,000</w:t>
      </w:r>
      <w:r>
        <w:rPr>
          <w:rFonts w:ascii="Times New Roman" w:hAnsi="Times New Roman" w:cs="Times New Roman" w:eastAsia="Times New Roman" w:hint="default"/>
          <w:spacing w:val="1"/>
        </w:rPr>
        <w:t> </w:t>
      </w:r>
      <w:r>
        <w:rPr/>
        <w:t>万元（占</w:t>
      </w:r>
      <w:r>
        <w:rPr>
          <w:rFonts w:ascii="Times New Roman" w:hAnsi="Times New Roman" w:cs="Times New Roman" w:eastAsia="Times New Roman" w:hint="default"/>
        </w:rPr>
        <w:t>50%</w:t>
      </w:r>
      <w:r>
        <w:rPr/>
        <w:t>），首都信息发展股份有限公司出资额为</w:t>
      </w:r>
      <w:r>
        <w:rPr>
          <w:rFonts w:ascii="Times New Roman" w:hAnsi="Times New Roman" w:cs="Times New Roman" w:eastAsia="Times New Roman" w:hint="default"/>
        </w:rPr>
        <w:t>934</w:t>
      </w:r>
      <w:r>
        <w:rPr/>
        <w:t>万元（占</w:t>
      </w:r>
      <w:r>
        <w:rPr>
          <w:rFonts w:ascii="Times New Roman" w:hAnsi="Times New Roman" w:cs="Times New Roman" w:eastAsia="Times New Roman" w:hint="default"/>
        </w:rPr>
        <w:t>46.70%</w:t>
      </w:r>
      <w:r>
        <w:rPr/>
        <w:t>），上海市电子商务安全证书管理中心有限公司</w:t>
      </w:r>
      <w:r>
        <w:rPr>
          <w:spacing w:val="-73"/>
        </w:rPr>
        <w:t> </w:t>
      </w:r>
      <w:r>
        <w:rPr>
          <w:spacing w:val="-73"/>
        </w:rPr>
      </w:r>
      <w:r>
        <w:rPr>
          <w:spacing w:val="-1"/>
        </w:rPr>
        <w:t>出资额为</w:t>
      </w:r>
      <w:r>
        <w:rPr>
          <w:rFonts w:ascii="Times New Roman" w:hAnsi="Times New Roman" w:cs="Times New Roman" w:eastAsia="Times New Roman" w:hint="default"/>
          <w:spacing w:val="-1"/>
        </w:rPr>
        <w:t>66</w:t>
      </w:r>
      <w:r>
        <w:rPr>
          <w:spacing w:val="-1"/>
        </w:rPr>
        <w:t>万元（占</w:t>
      </w:r>
      <w:r>
        <w:rPr>
          <w:rFonts w:ascii="Times New Roman" w:hAnsi="Times New Roman" w:cs="Times New Roman" w:eastAsia="Times New Roman" w:hint="default"/>
          <w:spacing w:val="-1"/>
        </w:rPr>
        <w:t>3.30%</w:t>
      </w:r>
      <w:r>
        <w:rPr>
          <w:spacing w:val="-1"/>
        </w:rPr>
        <w:t>）。</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日，公司依据北京市商业银行出具的《交存入资资金报告单》进行了入资确认，</w:t>
      </w:r>
      <w:r>
        <w:rPr>
          <w:spacing w:val="-40"/>
        </w:rPr>
        <w:t> </w:t>
      </w:r>
      <w:r>
        <w:rPr>
          <w:spacing w:val="-40"/>
        </w:rPr>
      </w:r>
      <w:r>
        <w:rPr/>
        <w:t>并取得北京市工商局出具的《企业入资核查情况》，确认</w:t>
      </w:r>
      <w:r>
        <w:rPr>
          <w:rFonts w:ascii="Times New Roman" w:hAnsi="Times New Roman" w:cs="Times New Roman" w:eastAsia="Times New Roman" w:hint="default"/>
        </w:rPr>
        <w:t>1,500</w:t>
      </w:r>
      <w:r>
        <w:rPr/>
        <w:t>万元出资款已足额缴付。</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日，本公司在北京市工 商行政管理局办理了工商变更登记手续。</w:t>
      </w:r>
    </w:p>
    <w:p>
      <w:pPr>
        <w:pStyle w:val="BodyText"/>
        <w:spacing w:line="240" w:lineRule="auto" w:before="70"/>
        <w:ind w:left="513" w:right="982"/>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日，本公司股东上海市电子商务安全证书管理中心有限公司更名为上海市数字证书认证中心有限公司。</w:t>
      </w:r>
    </w:p>
    <w:p>
      <w:pPr>
        <w:pStyle w:val="BodyText"/>
        <w:spacing w:line="300" w:lineRule="auto" w:before="101"/>
        <w:ind w:right="1128" w:firstLine="360"/>
        <w:jc w:val="both"/>
      </w:pP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26</w:t>
      </w:r>
      <w:r>
        <w:rPr>
          <w:spacing w:val="-2"/>
        </w:rPr>
        <w:t>日，本公司召开的第七次股东会一致通过增加注册资本</w:t>
      </w:r>
      <w:r>
        <w:rPr>
          <w:rFonts w:ascii="Times New Roman" w:hAnsi="Times New Roman" w:cs="Times New Roman" w:eastAsia="Times New Roman" w:hint="default"/>
          <w:spacing w:val="-2"/>
        </w:rPr>
        <w:t>1000</w:t>
      </w:r>
      <w:r>
        <w:rPr>
          <w:spacing w:val="-2"/>
        </w:rPr>
        <w:t>万元，即由人民币</w:t>
      </w:r>
      <w:r>
        <w:rPr>
          <w:rFonts w:ascii="Times New Roman" w:hAnsi="Times New Roman" w:cs="Times New Roman" w:eastAsia="Times New Roman" w:hint="default"/>
          <w:spacing w:val="-2"/>
        </w:rPr>
        <w:t>2,000</w:t>
      </w:r>
      <w:r>
        <w:rPr>
          <w:spacing w:val="-2"/>
        </w:rPr>
        <w:t>万元增至</w:t>
      </w:r>
      <w:r>
        <w:rPr>
          <w:rFonts w:ascii="Times New Roman" w:hAnsi="Times New Roman" w:cs="Times New Roman" w:eastAsia="Times New Roman" w:hint="default"/>
          <w:spacing w:val="-2"/>
        </w:rPr>
        <w:t>3,000</w:t>
      </w:r>
      <w:r>
        <w:rPr>
          <w:spacing w:val="-2"/>
        </w:rPr>
        <w:t>万元。其</w:t>
      </w:r>
      <w:r>
        <w:rPr/>
        <w:t> 中，北京市国有资产经营有限责任公司以现金方式增资</w:t>
      </w:r>
      <w:r>
        <w:rPr>
          <w:rFonts w:ascii="Times New Roman" w:hAnsi="Times New Roman" w:cs="Times New Roman" w:eastAsia="Times New Roman" w:hint="default"/>
        </w:rPr>
        <w:t>500</w:t>
      </w:r>
      <w:r>
        <w:rPr/>
        <w:t>万元，首都信息发展股份有限公司以现金方式增资</w:t>
      </w:r>
      <w:r>
        <w:rPr>
          <w:rFonts w:ascii="Times New Roman" w:hAnsi="Times New Roman" w:cs="Times New Roman" w:eastAsia="Times New Roman" w:hint="default"/>
        </w:rPr>
        <w:t>497.40</w:t>
      </w:r>
      <w:r>
        <w:rPr/>
        <w:t>万元，</w:t>
      </w:r>
      <w:r>
        <w:rPr>
          <w:spacing w:val="-41"/>
        </w:rPr>
        <w:t> </w:t>
      </w:r>
      <w:r>
        <w:rPr/>
        <w:t>上海市数字证书认证中心有限公司以现金方式增资</w:t>
      </w:r>
      <w:r>
        <w:rPr>
          <w:rFonts w:ascii="Times New Roman" w:hAnsi="Times New Roman" w:cs="Times New Roman" w:eastAsia="Times New Roman" w:hint="default"/>
        </w:rPr>
        <w:t>2.60</w:t>
      </w:r>
      <w:r>
        <w:rPr/>
        <w:t>万元。增资后北京市国有资产经营有限责任公司出资额为</w:t>
      </w:r>
      <w:r>
        <w:rPr>
          <w:rFonts w:ascii="Times New Roman" w:hAnsi="Times New Roman" w:cs="Times New Roman" w:eastAsia="Times New Roman" w:hint="default"/>
        </w:rPr>
        <w:t>1,500</w:t>
      </w:r>
      <w:r>
        <w:rPr/>
        <w:t>万元</w:t>
      </w:r>
    </w:p>
    <w:p>
      <w:pPr>
        <w:pStyle w:val="BodyText"/>
        <w:spacing w:line="300" w:lineRule="auto" w:before="13"/>
        <w:ind w:right="1130"/>
        <w:jc w:val="both"/>
      </w:pPr>
      <w:r>
        <w:rPr/>
        <w:t>（占</w:t>
      </w:r>
      <w:r>
        <w:rPr>
          <w:rFonts w:ascii="Times New Roman" w:hAnsi="Times New Roman" w:cs="Times New Roman" w:eastAsia="Times New Roman" w:hint="default"/>
        </w:rPr>
        <w:t>50%</w:t>
      </w:r>
      <w:r>
        <w:rPr/>
        <w:t>），首都信息发展股份有限公司出资额为</w:t>
      </w:r>
      <w:r>
        <w:rPr>
          <w:rFonts w:ascii="Times New Roman" w:hAnsi="Times New Roman" w:cs="Times New Roman" w:eastAsia="Times New Roman" w:hint="default"/>
        </w:rPr>
        <w:t>1,431.40</w:t>
      </w:r>
      <w:r>
        <w:rPr/>
        <w:t>万元（占</w:t>
      </w:r>
      <w:r>
        <w:rPr>
          <w:rFonts w:ascii="Times New Roman" w:hAnsi="Times New Roman" w:cs="Times New Roman" w:eastAsia="Times New Roman" w:hint="default"/>
        </w:rPr>
        <w:t>47.71%</w:t>
      </w:r>
      <w:r>
        <w:rPr/>
        <w:t>），上海市数字证书认证中心有限公司出资额为</w:t>
      </w:r>
      <w:r>
        <w:rPr>
          <w:spacing w:val="-73"/>
        </w:rPr>
        <w:t> </w:t>
      </w:r>
      <w:r>
        <w:rPr>
          <w:spacing w:val="-73"/>
        </w:rPr>
      </w:r>
      <w:r>
        <w:rPr>
          <w:rFonts w:ascii="Times New Roman" w:hAnsi="Times New Roman" w:cs="Times New Roman" w:eastAsia="Times New Roman" w:hint="default"/>
          <w:spacing w:val="-3"/>
        </w:rPr>
        <w:t>68.60</w:t>
      </w:r>
      <w:r>
        <w:rPr>
          <w:spacing w:val="-3"/>
        </w:rPr>
        <w:t>万元（占</w:t>
      </w:r>
      <w:r>
        <w:rPr>
          <w:rFonts w:ascii="Times New Roman" w:hAnsi="Times New Roman" w:cs="Times New Roman" w:eastAsia="Times New Roman" w:hint="default"/>
          <w:spacing w:val="-3"/>
        </w:rPr>
        <w:t>2.29%</w:t>
      </w:r>
      <w:r>
        <w:rPr>
          <w:spacing w:val="-3"/>
        </w:rPr>
        <w:t>）。本次变更业经北京大通会计师事务所审验并出具大通验字（</w:t>
      </w:r>
      <w:r>
        <w:rPr>
          <w:rFonts w:ascii="Times New Roman" w:hAnsi="Times New Roman" w:cs="Times New Roman" w:eastAsia="Times New Roman" w:hint="default"/>
          <w:spacing w:val="-3"/>
        </w:rPr>
        <w:t>2005</w:t>
      </w:r>
      <w:r>
        <w:rPr>
          <w:spacing w:val="-3"/>
        </w:rPr>
        <w:t>）第</w:t>
      </w:r>
      <w:r>
        <w:rPr>
          <w:rFonts w:ascii="Times New Roman" w:hAnsi="Times New Roman" w:cs="Times New Roman" w:eastAsia="Times New Roman" w:hint="default"/>
          <w:spacing w:val="-3"/>
        </w:rPr>
        <w:t>022</w:t>
      </w:r>
      <w:r>
        <w:rPr>
          <w:spacing w:val="-3"/>
        </w:rPr>
        <w:t>号验资报告。本公司于</w:t>
      </w:r>
      <w:r>
        <w:rPr>
          <w:rFonts w:ascii="Times New Roman" w:hAnsi="Times New Roman" w:cs="Times New Roman" w:eastAsia="Times New Roman" w:hint="default"/>
          <w:spacing w:val="-3"/>
        </w:rPr>
        <w:t>2005</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日在北京市工商行政管理局办理工商登记变更，换领了注册号为</w:t>
      </w:r>
      <w:r>
        <w:rPr>
          <w:rFonts w:ascii="Times New Roman" w:hAnsi="Times New Roman" w:cs="Times New Roman" w:eastAsia="Times New Roman" w:hint="default"/>
        </w:rPr>
        <w:t>110000001966505</w:t>
      </w:r>
      <w:r>
        <w:rPr/>
        <w:t>的企业法人营业执照。</w:t>
      </w:r>
    </w:p>
    <w:p>
      <w:pPr>
        <w:pStyle w:val="BodyText"/>
        <w:spacing w:line="240" w:lineRule="auto" w:before="53"/>
        <w:ind w:left="513" w:right="982"/>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日，本公司根据第十六次股东会决议和修改后的公司章程规定，增加注册资本人民币</w:t>
      </w:r>
      <w:r>
        <w:rPr>
          <w:rFonts w:ascii="Times New Roman" w:hAnsi="Times New Roman" w:cs="Times New Roman" w:eastAsia="Times New Roman" w:hint="default"/>
        </w:rPr>
        <w:t>113</w:t>
      </w:r>
      <w:r>
        <w:rPr/>
        <w:t>万元，资本公积人</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28"/>
        <w:jc w:val="both"/>
      </w:pPr>
      <w:r>
        <w:rPr/>
        <w:t>民币</w:t>
      </w:r>
      <w:r>
        <w:rPr>
          <w:rFonts w:ascii="Times New Roman" w:hAnsi="Times New Roman" w:cs="Times New Roman" w:eastAsia="Times New Roman" w:hint="default"/>
        </w:rPr>
        <w:t>70</w:t>
      </w:r>
      <w:r>
        <w:rPr/>
        <w:t>万元，变更后的注册资本为人民币</w:t>
      </w:r>
      <w:r>
        <w:rPr>
          <w:rFonts w:ascii="Times New Roman" w:hAnsi="Times New Roman" w:cs="Times New Roman" w:eastAsia="Times New Roman" w:hint="default"/>
        </w:rPr>
        <w:t>3,113</w:t>
      </w:r>
      <w:r>
        <w:rPr/>
        <w:t>万元。新增注册资本由本公司</w:t>
      </w:r>
      <w:r>
        <w:rPr>
          <w:rFonts w:ascii="Times New Roman" w:hAnsi="Times New Roman" w:cs="Times New Roman" w:eastAsia="Times New Roman" w:hint="default"/>
        </w:rPr>
        <w:t>46</w:t>
      </w:r>
      <w:r>
        <w:rPr/>
        <w:t>名核心员工通过增资扩股的方式认缴。增资</w:t>
      </w:r>
      <w:r>
        <w:rPr>
          <w:spacing w:val="-43"/>
        </w:rPr>
        <w:t> </w:t>
      </w:r>
      <w:r>
        <w:rPr>
          <w:spacing w:val="-43"/>
        </w:rPr>
      </w:r>
      <w:r>
        <w:rPr>
          <w:spacing w:val="-4"/>
        </w:rPr>
        <w:t>后北京市国有资产经营有限责任公司出资额为</w:t>
      </w:r>
      <w:r>
        <w:rPr>
          <w:rFonts w:ascii="Times New Roman" w:hAnsi="Times New Roman" w:cs="Times New Roman" w:eastAsia="Times New Roman" w:hint="default"/>
          <w:spacing w:val="-4"/>
        </w:rPr>
        <w:t>1,500</w:t>
      </w:r>
      <w:r>
        <w:rPr>
          <w:spacing w:val="-4"/>
        </w:rPr>
        <w:t>万元（占</w:t>
      </w:r>
      <w:r>
        <w:rPr>
          <w:rFonts w:ascii="Times New Roman" w:hAnsi="Times New Roman" w:cs="Times New Roman" w:eastAsia="Times New Roman" w:hint="default"/>
          <w:spacing w:val="-4"/>
        </w:rPr>
        <w:t>48.19%</w:t>
      </w:r>
      <w:r>
        <w:rPr>
          <w:spacing w:val="-4"/>
        </w:rPr>
        <w:t>），首都信息发展股份有限公司出资额为</w:t>
      </w:r>
      <w:r>
        <w:rPr>
          <w:rFonts w:ascii="Times New Roman" w:hAnsi="Times New Roman" w:cs="Times New Roman" w:eastAsia="Times New Roman" w:hint="default"/>
          <w:spacing w:val="-4"/>
        </w:rPr>
        <w:t>1,431.40</w:t>
      </w:r>
      <w:r>
        <w:rPr>
          <w:spacing w:val="-4"/>
        </w:rPr>
        <w:t>万元（占</w:t>
      </w:r>
      <w:r>
        <w:rPr>
          <w:spacing w:val="-73"/>
        </w:rPr>
        <w:t> </w:t>
      </w:r>
      <w:r>
        <w:rPr>
          <w:spacing w:val="-73"/>
        </w:rPr>
      </w:r>
      <w:r>
        <w:rPr>
          <w:rFonts w:ascii="Times New Roman" w:hAnsi="Times New Roman" w:cs="Times New Roman" w:eastAsia="Times New Roman" w:hint="default"/>
          <w:spacing w:val="-2"/>
        </w:rPr>
        <w:t>45.98%</w:t>
      </w:r>
      <w:r>
        <w:rPr>
          <w:spacing w:val="-2"/>
        </w:rPr>
        <w:t>），上海市数字证书认证中心有限公司出资额为</w:t>
      </w:r>
      <w:r>
        <w:rPr>
          <w:rFonts w:ascii="Times New Roman" w:hAnsi="Times New Roman" w:cs="Times New Roman" w:eastAsia="Times New Roman" w:hint="default"/>
          <w:spacing w:val="-2"/>
        </w:rPr>
        <w:t>68.60</w:t>
      </w:r>
      <w:r>
        <w:rPr>
          <w:spacing w:val="-2"/>
        </w:rPr>
        <w:t>万元（占</w:t>
      </w:r>
      <w:r>
        <w:rPr>
          <w:rFonts w:ascii="Times New Roman" w:hAnsi="Times New Roman" w:cs="Times New Roman" w:eastAsia="Times New Roman" w:hint="default"/>
          <w:spacing w:val="-2"/>
        </w:rPr>
        <w:t>2.20%</w:t>
      </w:r>
      <w:r>
        <w:rPr>
          <w:spacing w:val="-2"/>
        </w:rPr>
        <w:t>），员工出资额</w:t>
      </w:r>
      <w:r>
        <w:rPr>
          <w:rFonts w:ascii="Times New Roman" w:hAnsi="Times New Roman" w:cs="Times New Roman" w:eastAsia="Times New Roman" w:hint="default"/>
          <w:spacing w:val="-2"/>
        </w:rPr>
        <w:t>113</w:t>
      </w:r>
      <w:r>
        <w:rPr>
          <w:spacing w:val="-2"/>
        </w:rPr>
        <w:t>万元（占</w:t>
      </w:r>
      <w:r>
        <w:rPr>
          <w:rFonts w:ascii="Times New Roman" w:hAnsi="Times New Roman" w:cs="Times New Roman" w:eastAsia="Times New Roman" w:hint="default"/>
          <w:spacing w:val="-2"/>
        </w:rPr>
        <w:t>3.63%</w:t>
      </w:r>
      <w:r>
        <w:rPr>
          <w:spacing w:val="-2"/>
        </w:rPr>
        <w:t>）。本次变更</w:t>
      </w:r>
      <w:r>
        <w:rPr>
          <w:spacing w:val="-47"/>
        </w:rPr>
        <w:t> </w:t>
      </w:r>
      <w:r>
        <w:rPr>
          <w:spacing w:val="-47"/>
        </w:rPr>
      </w:r>
      <w:r>
        <w:rPr>
          <w:spacing w:val="-2"/>
        </w:rPr>
        <w:t>业经京都天华会计师事务所有限公司审验并出具京都天华验字（</w:t>
      </w:r>
      <w:r>
        <w:rPr>
          <w:rFonts w:ascii="Times New Roman" w:hAnsi="Times New Roman" w:cs="Times New Roman" w:eastAsia="Times New Roman" w:hint="default"/>
          <w:spacing w:val="-2"/>
        </w:rPr>
        <w:t>2010</w:t>
      </w:r>
      <w:r>
        <w:rPr>
          <w:spacing w:val="-2"/>
        </w:rPr>
        <w:t>）第</w:t>
      </w:r>
      <w:r>
        <w:rPr>
          <w:rFonts w:ascii="Times New Roman" w:hAnsi="Times New Roman" w:cs="Times New Roman" w:eastAsia="Times New Roman" w:hint="default"/>
          <w:spacing w:val="-2"/>
        </w:rPr>
        <w:t>155</w:t>
      </w:r>
      <w:r>
        <w:rPr>
          <w:spacing w:val="-2"/>
        </w:rPr>
        <w:t>号验资报告。本公司于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w:t>
      </w:r>
      <w:r>
        <w:rPr>
          <w:spacing w:val="-2"/>
        </w:rPr>
        <w:t>日在北京市</w:t>
      </w:r>
      <w:r>
        <w:rPr>
          <w:spacing w:val="-56"/>
        </w:rPr>
        <w:t> </w:t>
      </w:r>
      <w:r>
        <w:rPr>
          <w:spacing w:val="-56"/>
        </w:rPr>
      </w:r>
      <w:r>
        <w:rPr/>
        <w:t>工商行政管理局办理工商登记变更。</w:t>
      </w:r>
    </w:p>
    <w:p>
      <w:pPr>
        <w:pStyle w:val="BodyText"/>
        <w:spacing w:line="300" w:lineRule="auto" w:before="72"/>
        <w:ind w:right="1071" w:firstLine="36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日，本公司根据第十九次股东会决议和修改后的公司章程规定，增加注册资本人民币</w:t>
      </w:r>
      <w:r>
        <w:rPr>
          <w:rFonts w:ascii="Times New Roman" w:hAnsi="Times New Roman" w:cs="Times New Roman" w:eastAsia="Times New Roman" w:hint="default"/>
        </w:rPr>
        <w:t>92.3765</w:t>
      </w:r>
      <w:r>
        <w:rPr/>
        <w:t>万元，变更后 的注册资本为人民币</w:t>
      </w:r>
      <w:r>
        <w:rPr>
          <w:rFonts w:ascii="Times New Roman" w:hAnsi="Times New Roman" w:cs="Times New Roman" w:eastAsia="Times New Roman" w:hint="default"/>
        </w:rPr>
        <w:t>3,205.3765</w:t>
      </w:r>
      <w:r>
        <w:rPr/>
        <w:t>万元。新增注册资本由本公司</w:t>
      </w:r>
      <w:r>
        <w:rPr>
          <w:rFonts w:ascii="Times New Roman" w:hAnsi="Times New Roman" w:cs="Times New Roman" w:eastAsia="Times New Roman" w:hint="default"/>
        </w:rPr>
        <w:t>46</w:t>
      </w:r>
      <w:r>
        <w:rPr/>
        <w:t>名核心员工通过增资扩股的方式认缴。增资后北京市国有资 </w:t>
      </w:r>
      <w:r>
        <w:rPr>
          <w:spacing w:val="-3"/>
        </w:rPr>
        <w:t>产经营有限责任公司出资额为</w:t>
      </w:r>
      <w:r>
        <w:rPr>
          <w:rFonts w:ascii="Times New Roman" w:hAnsi="Times New Roman" w:cs="Times New Roman" w:eastAsia="Times New Roman" w:hint="default"/>
          <w:spacing w:val="-3"/>
        </w:rPr>
        <w:t>1,500</w:t>
      </w:r>
      <w:r>
        <w:rPr>
          <w:spacing w:val="-3"/>
        </w:rPr>
        <w:t>万元（占</w:t>
      </w:r>
      <w:r>
        <w:rPr>
          <w:rFonts w:ascii="Times New Roman" w:hAnsi="Times New Roman" w:cs="Times New Roman" w:eastAsia="Times New Roman" w:hint="default"/>
          <w:spacing w:val="-3"/>
        </w:rPr>
        <w:t>46.7964%</w:t>
      </w:r>
      <w:r>
        <w:rPr>
          <w:spacing w:val="-3"/>
        </w:rPr>
        <w:t>），首都信息发展股份有限公司出资额为</w:t>
      </w:r>
      <w:r>
        <w:rPr>
          <w:rFonts w:ascii="Times New Roman" w:hAnsi="Times New Roman" w:cs="Times New Roman" w:eastAsia="Times New Roman" w:hint="default"/>
          <w:spacing w:val="-3"/>
        </w:rPr>
        <w:t>1,431.40</w:t>
      </w:r>
      <w:r>
        <w:rPr>
          <w:spacing w:val="-3"/>
        </w:rPr>
        <w:t>万元（占</w:t>
      </w:r>
      <w:r>
        <w:rPr>
          <w:rFonts w:ascii="Times New Roman" w:hAnsi="Times New Roman" w:cs="Times New Roman" w:eastAsia="Times New Roman" w:hint="default"/>
          <w:spacing w:val="-3"/>
        </w:rPr>
        <w:t>44.6562%</w:t>
      </w:r>
      <w:r>
        <w:rPr>
          <w:spacing w:val="-3"/>
        </w:rPr>
        <w:t>），</w:t>
      </w:r>
      <w:r>
        <w:rPr>
          <w:spacing w:val="-81"/>
        </w:rPr>
        <w:t> </w:t>
      </w:r>
      <w:r>
        <w:rPr/>
        <w:t>上海市数字证书认证中心有限公司出资额为</w:t>
      </w:r>
      <w:r>
        <w:rPr>
          <w:rFonts w:ascii="Times New Roman" w:hAnsi="Times New Roman" w:cs="Times New Roman" w:eastAsia="Times New Roman" w:hint="default"/>
        </w:rPr>
        <w:t>68.60</w:t>
      </w:r>
      <w:r>
        <w:rPr/>
        <w:t>万元（占</w:t>
      </w:r>
      <w:r>
        <w:rPr>
          <w:rFonts w:ascii="Times New Roman" w:hAnsi="Times New Roman" w:cs="Times New Roman" w:eastAsia="Times New Roman" w:hint="default"/>
        </w:rPr>
        <w:t>2.1402%</w:t>
      </w:r>
      <w:r>
        <w:rPr/>
        <w:t>），员工出资额</w:t>
      </w:r>
      <w:r>
        <w:rPr>
          <w:rFonts w:ascii="Times New Roman" w:hAnsi="Times New Roman" w:cs="Times New Roman" w:eastAsia="Times New Roman" w:hint="default"/>
        </w:rPr>
        <w:t>205.3765</w:t>
      </w:r>
      <w:r>
        <w:rPr/>
        <w:t>万元（占</w:t>
      </w:r>
      <w:r>
        <w:rPr>
          <w:rFonts w:ascii="Times New Roman" w:hAnsi="Times New Roman" w:cs="Times New Roman" w:eastAsia="Times New Roman" w:hint="default"/>
        </w:rPr>
        <w:t>6.4072%</w:t>
      </w:r>
      <w:r>
        <w:rPr/>
        <w:t>）。本次变更</w:t>
      </w:r>
      <w:r>
        <w:rPr>
          <w:spacing w:val="-39"/>
        </w:rPr>
        <w:t> </w:t>
      </w:r>
      <w:r>
        <w:rPr>
          <w:spacing w:val="-39"/>
        </w:rPr>
      </w:r>
      <w:r>
        <w:rPr/>
        <w:t>业经京都天华会计师事务所有限公司审验并出具京都天华验字（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0047</w:t>
      </w:r>
      <w:r>
        <w:rPr/>
        <w:t>号验资报告。本公司于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日在北京 市工商行政管理局办理工商登记变更。</w:t>
      </w:r>
    </w:p>
    <w:p>
      <w:pPr>
        <w:pStyle w:val="BodyText"/>
        <w:spacing w:line="300" w:lineRule="auto" w:before="70"/>
        <w:ind w:right="982" w:firstLine="360"/>
        <w:jc w:val="left"/>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日，本公司全体股东共同签署《发起人协议》并通过修改后的公司章程。根据《发起人协议》和公司章程，</w:t>
      </w:r>
      <w:r>
        <w:rPr/>
        <w:t> 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日的净资产以发起设立的方式整体变更为股份有限公司，总股本设置为</w:t>
      </w:r>
      <w:r>
        <w:rPr>
          <w:rFonts w:ascii="Times New Roman" w:hAnsi="Times New Roman" w:cs="Times New Roman" w:eastAsia="Times New Roman" w:hint="default"/>
        </w:rPr>
        <w:t>4,700</w:t>
      </w:r>
      <w:r>
        <w:rPr/>
        <w:t>万股，均为每股面值</w:t>
      </w:r>
      <w:r>
        <w:rPr>
          <w:rFonts w:ascii="Times New Roman" w:hAnsi="Times New Roman" w:cs="Times New Roman" w:eastAsia="Times New Roman" w:hint="default"/>
        </w:rPr>
        <w:t>1</w:t>
      </w:r>
      <w:r>
        <w:rPr/>
        <w:t>元的人民</w:t>
      </w:r>
      <w:r>
        <w:rPr>
          <w:spacing w:val="-46"/>
        </w:rPr>
        <w:t> </w:t>
      </w:r>
      <w:r>
        <w:rPr>
          <w:spacing w:val="-46"/>
        </w:rPr>
      </w:r>
      <w:r>
        <w:rPr/>
        <w:t>币普通股。其中，北京市国有资产经营有限责任公司持有</w:t>
      </w:r>
      <w:r>
        <w:rPr>
          <w:rFonts w:ascii="Times New Roman" w:hAnsi="Times New Roman" w:cs="Times New Roman" w:eastAsia="Times New Roman" w:hint="default"/>
        </w:rPr>
        <w:t>2,199.4308</w:t>
      </w:r>
      <w:r>
        <w:rPr/>
        <w:t>万股，占总股本的</w:t>
      </w:r>
      <w:r>
        <w:rPr>
          <w:rFonts w:ascii="Times New Roman" w:hAnsi="Times New Roman" w:cs="Times New Roman" w:eastAsia="Times New Roman" w:hint="default"/>
        </w:rPr>
        <w:t>46.7964%</w:t>
      </w:r>
      <w:r>
        <w:rPr/>
        <w:t>；首都信息发展股份有限公 司持有</w:t>
      </w:r>
      <w:r>
        <w:rPr>
          <w:rFonts w:ascii="Times New Roman" w:hAnsi="Times New Roman" w:cs="Times New Roman" w:eastAsia="Times New Roman" w:hint="default"/>
        </w:rPr>
        <w:t>2,098.8414</w:t>
      </w:r>
      <w:r>
        <w:rPr/>
        <w:t>万股，占总股本的</w:t>
      </w:r>
      <w:r>
        <w:rPr>
          <w:rFonts w:ascii="Times New Roman" w:hAnsi="Times New Roman" w:cs="Times New Roman" w:eastAsia="Times New Roman" w:hint="default"/>
        </w:rPr>
        <w:t>44.6562%</w:t>
      </w:r>
      <w:r>
        <w:rPr/>
        <w:t>；上海市数字证书认证中心有限公司持有</w:t>
      </w:r>
      <w:r>
        <w:rPr>
          <w:rFonts w:ascii="Times New Roman" w:hAnsi="Times New Roman" w:cs="Times New Roman" w:eastAsia="Times New Roman" w:hint="default"/>
        </w:rPr>
        <w:t>100.5894</w:t>
      </w:r>
      <w:r>
        <w:rPr/>
        <w:t>万股，占总股本的</w:t>
      </w:r>
      <w:r>
        <w:rPr>
          <w:rFonts w:ascii="Times New Roman" w:hAnsi="Times New Roman" w:cs="Times New Roman" w:eastAsia="Times New Roman" w:hint="default"/>
        </w:rPr>
        <w:t>2.1402%</w:t>
      </w:r>
      <w:r>
        <w:rPr/>
        <w:t>； </w:t>
      </w:r>
      <w:r>
        <w:rPr>
          <w:spacing w:val="-4"/>
        </w:rPr>
        <w:t>员工持有</w:t>
      </w:r>
      <w:r>
        <w:rPr>
          <w:rFonts w:ascii="Times New Roman" w:hAnsi="Times New Roman" w:cs="Times New Roman" w:eastAsia="Times New Roman" w:hint="default"/>
          <w:spacing w:val="-4"/>
        </w:rPr>
        <w:t>301.1384</w:t>
      </w:r>
      <w:r>
        <w:rPr>
          <w:spacing w:val="-4"/>
        </w:rPr>
        <w:t>万股，占总股本的</w:t>
      </w:r>
      <w:r>
        <w:rPr>
          <w:rFonts w:ascii="Times New Roman" w:hAnsi="Times New Roman" w:cs="Times New Roman" w:eastAsia="Times New Roman" w:hint="default"/>
          <w:spacing w:val="-4"/>
        </w:rPr>
        <w:t>6.4072%</w:t>
      </w:r>
      <w:r>
        <w:rPr>
          <w:spacing w:val="-4"/>
        </w:rPr>
        <w:t>。本次变更业经京都天华会计师事务所有限公司审验并出具京都天华验字（</w:t>
      </w:r>
      <w:r>
        <w:rPr>
          <w:rFonts w:ascii="Times New Roman" w:hAnsi="Times New Roman" w:cs="Times New Roman" w:eastAsia="Times New Roman" w:hint="default"/>
          <w:spacing w:val="-4"/>
        </w:rPr>
        <w:t>2011</w:t>
      </w:r>
      <w:r>
        <w:rPr>
          <w:spacing w:val="-4"/>
        </w:rPr>
        <w:t>）</w:t>
      </w:r>
      <w:r>
        <w:rPr>
          <w:spacing w:val="-68"/>
        </w:rPr>
        <w:t> </w:t>
      </w:r>
      <w:r>
        <w:rPr/>
        <w:t>第</w:t>
      </w:r>
      <w:r>
        <w:rPr>
          <w:rFonts w:ascii="Times New Roman" w:hAnsi="Times New Roman" w:cs="Times New Roman" w:eastAsia="Times New Roman" w:hint="default"/>
        </w:rPr>
        <w:t>0170</w:t>
      </w:r>
      <w:r>
        <w:rPr/>
        <w:t>号验资报告。本公司于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日在北京市工商行政管理局办理工商登记变更。</w:t>
      </w:r>
    </w:p>
    <w:p>
      <w:pPr>
        <w:pStyle w:val="BodyText"/>
        <w:spacing w:line="300" w:lineRule="auto" w:before="53"/>
        <w:ind w:right="1128" w:firstLine="360"/>
        <w:jc w:val="both"/>
      </w:pP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8</w:t>
      </w:r>
      <w:r>
        <w:rPr>
          <w:spacing w:val="-1"/>
        </w:rPr>
        <w:t>日，本公司根据第二次股东大会决议和修改后的章程规定，本公司申请增加注册资本人民币</w:t>
      </w:r>
      <w:r>
        <w:rPr>
          <w:rFonts w:ascii="Times New Roman" w:hAnsi="Times New Roman" w:cs="Times New Roman" w:eastAsia="Times New Roman" w:hint="default"/>
          <w:spacing w:val="-1"/>
        </w:rPr>
        <w:t>1,300</w:t>
      </w:r>
      <w:r>
        <w:rPr>
          <w:spacing w:val="-1"/>
        </w:rPr>
        <w:t>万元，变</w:t>
      </w:r>
      <w:r>
        <w:rPr/>
        <w:t> 更后的注册资本为人民币</w:t>
      </w:r>
      <w:r>
        <w:rPr>
          <w:rFonts w:ascii="Times New Roman" w:hAnsi="Times New Roman" w:cs="Times New Roman" w:eastAsia="Times New Roman" w:hint="default"/>
        </w:rPr>
        <w:t>6,000</w:t>
      </w:r>
      <w:r>
        <w:rPr/>
        <w:t>万元。本次变更经京都天华会计师事务所有限公司审验并出具京都天华验字（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0213</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spacing w:val="-1"/>
        </w:rPr>
        <w:t>号验资报告。北京市国有资产经营有限责任公司持有</w:t>
      </w:r>
      <w:r>
        <w:rPr>
          <w:rFonts w:ascii="Times New Roman" w:hAnsi="Times New Roman" w:cs="Times New Roman" w:eastAsia="Times New Roman" w:hint="default"/>
          <w:spacing w:val="-1"/>
        </w:rPr>
        <w:t>2,199.4308</w:t>
      </w:r>
      <w:r>
        <w:rPr>
          <w:spacing w:val="-1"/>
        </w:rPr>
        <w:t>万股，占变更后股本的</w:t>
      </w:r>
      <w:r>
        <w:rPr>
          <w:rFonts w:ascii="Times New Roman" w:hAnsi="Times New Roman" w:cs="Times New Roman" w:eastAsia="Times New Roman" w:hint="default"/>
          <w:spacing w:val="-1"/>
        </w:rPr>
        <w:t>36.6572%</w:t>
      </w:r>
      <w:r>
        <w:rPr>
          <w:spacing w:val="-1"/>
        </w:rPr>
        <w:t>；首都信息发展股份有限公</w:t>
      </w:r>
      <w:r>
        <w:rPr>
          <w:spacing w:val="-38"/>
        </w:rPr>
        <w:t> </w:t>
      </w:r>
      <w:r>
        <w:rPr>
          <w:spacing w:val="-38"/>
        </w:rPr>
      </w:r>
      <w:r>
        <w:rPr/>
        <w:t>司持有</w:t>
      </w:r>
      <w:r>
        <w:rPr>
          <w:rFonts w:ascii="Times New Roman" w:hAnsi="Times New Roman" w:cs="Times New Roman" w:eastAsia="Times New Roman" w:hint="default"/>
        </w:rPr>
        <w:t>2,098.8414</w:t>
      </w:r>
      <w:r>
        <w:rPr/>
        <w:t>万股，占变更后股本的</w:t>
      </w:r>
      <w:r>
        <w:rPr>
          <w:rFonts w:ascii="Times New Roman" w:hAnsi="Times New Roman" w:cs="Times New Roman" w:eastAsia="Times New Roman" w:hint="default"/>
        </w:rPr>
        <w:t>34.9807%</w:t>
      </w:r>
      <w:r>
        <w:rPr/>
        <w:t>；上海市数字证书认证中心有限公司持有</w:t>
      </w:r>
      <w:r>
        <w:rPr>
          <w:rFonts w:ascii="Times New Roman" w:hAnsi="Times New Roman" w:cs="Times New Roman" w:eastAsia="Times New Roman" w:hint="default"/>
        </w:rPr>
        <w:t>100.5894</w:t>
      </w:r>
      <w:r>
        <w:rPr/>
        <w:t>万股，占变更后股本的</w:t>
      </w:r>
      <w:r>
        <w:rPr>
          <w:spacing w:val="-63"/>
        </w:rPr>
        <w:t> </w:t>
      </w:r>
      <w:r>
        <w:rPr>
          <w:spacing w:val="-63"/>
        </w:rPr>
      </w:r>
      <w:r>
        <w:rPr>
          <w:rFonts w:ascii="Times New Roman" w:hAnsi="Times New Roman" w:cs="Times New Roman" w:eastAsia="Times New Roman" w:hint="default"/>
        </w:rPr>
        <w:t>1.6765%</w:t>
      </w:r>
      <w:r>
        <w:rPr/>
        <w:t>；北京科桥投资创业中心持有</w:t>
      </w:r>
      <w:r>
        <w:rPr>
          <w:rFonts w:ascii="Times New Roman" w:hAnsi="Times New Roman" w:cs="Times New Roman" w:eastAsia="Times New Roman" w:hint="default"/>
        </w:rPr>
        <w:t>500.0000</w:t>
      </w:r>
      <w:r>
        <w:rPr/>
        <w:t>万股，占变更后股本的</w:t>
      </w:r>
      <w:r>
        <w:rPr>
          <w:rFonts w:ascii="Times New Roman" w:hAnsi="Times New Roman" w:cs="Times New Roman" w:eastAsia="Times New Roman" w:hint="default"/>
        </w:rPr>
        <w:t>8.3333%</w:t>
      </w:r>
      <w:r>
        <w:rPr/>
        <w:t>，员工持有</w:t>
      </w:r>
      <w:r>
        <w:rPr>
          <w:rFonts w:ascii="Times New Roman" w:hAnsi="Times New Roman" w:cs="Times New Roman" w:eastAsia="Times New Roman" w:hint="default"/>
        </w:rPr>
        <w:t>1,101.1384</w:t>
      </w:r>
      <w:r>
        <w:rPr/>
        <w:t>万股，占变更后股本的</w:t>
      </w:r>
    </w:p>
    <w:p>
      <w:pPr>
        <w:pStyle w:val="BodyText"/>
        <w:spacing w:line="240" w:lineRule="auto" w:before="13"/>
        <w:ind w:right="982"/>
        <w:jc w:val="left"/>
      </w:pPr>
      <w:r>
        <w:rPr>
          <w:rFonts w:ascii="Times New Roman" w:hAnsi="Times New Roman" w:cs="Times New Roman" w:eastAsia="Times New Roman" w:hint="default"/>
        </w:rPr>
        <w:t>18.3523%</w:t>
      </w:r>
      <w:r>
        <w:rPr/>
        <w:t>。本公司于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日在北京市工商行政管理局办理了工商登记变更。</w:t>
      </w:r>
    </w:p>
    <w:p>
      <w:pPr>
        <w:pStyle w:val="BodyText"/>
        <w:spacing w:line="240" w:lineRule="auto" w:before="103"/>
        <w:ind w:left="513" w:right="982"/>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日，本公司根据</w:t>
      </w:r>
      <w:r>
        <w:rPr>
          <w:rFonts w:ascii="Times New Roman" w:hAnsi="Times New Roman" w:cs="Times New Roman" w:eastAsia="Times New Roman" w:hint="default"/>
        </w:rPr>
        <w:t>2016</w:t>
      </w:r>
      <w:r>
        <w:rPr/>
        <w:t>年第一次临时股东大会决议，申请增加注册资本人民币</w:t>
      </w:r>
      <w:r>
        <w:rPr>
          <w:rFonts w:ascii="Times New Roman" w:hAnsi="Times New Roman" w:cs="Times New Roman" w:eastAsia="Times New Roman" w:hint="default"/>
        </w:rPr>
        <w:t>20,000,000.00</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p>
    <w:p>
      <w:pPr>
        <w:pStyle w:val="BodyText"/>
        <w:spacing w:line="240" w:lineRule="auto" w:before="63"/>
        <w:ind w:right="982"/>
        <w:jc w:val="left"/>
      </w:pPr>
      <w:r>
        <w:rPr>
          <w:rFonts w:ascii="Times New Roman" w:hAnsi="Times New Roman" w:cs="Times New Roman" w:eastAsia="Times New Roman" w:hint="default"/>
          <w:spacing w:val="5"/>
        </w:rPr>
        <w:t>25</w:t>
      </w:r>
      <w:r>
        <w:rPr>
          <w:spacing w:val="5"/>
        </w:rPr>
        <w:t>日，经中国证券监督管理委员会证监许可（</w:t>
      </w:r>
      <w:r>
        <w:rPr>
          <w:rFonts w:ascii="Times New Roman" w:hAnsi="Times New Roman" w:cs="Times New Roman" w:eastAsia="Times New Roman" w:hint="default"/>
          <w:spacing w:val="5"/>
        </w:rPr>
        <w:t>2016</w:t>
      </w:r>
      <w:r>
        <w:rPr>
          <w:spacing w:val="5"/>
        </w:rPr>
        <w:t>）</w:t>
      </w:r>
      <w:r>
        <w:rPr>
          <w:rFonts w:ascii="Times New Roman" w:hAnsi="Times New Roman" w:cs="Times New Roman" w:eastAsia="Times New Roman" w:hint="default"/>
          <w:spacing w:val="5"/>
        </w:rPr>
        <w:t>2863</w:t>
      </w:r>
      <w:r>
        <w:rPr>
          <w:spacing w:val="5"/>
        </w:rPr>
        <w:t>号文核准，同意本公司向社会公众发行人民币普通股（</w:t>
      </w:r>
      <w:r>
        <w:rPr>
          <w:rFonts w:ascii="Times New Roman" w:hAnsi="Times New Roman" w:cs="Times New Roman" w:eastAsia="Times New Roman" w:hint="default"/>
          <w:spacing w:val="5"/>
        </w:rPr>
        <w:t>A</w:t>
      </w:r>
      <w:r>
        <w:rPr>
          <w:spacing w:val="5"/>
        </w:rPr>
        <w:t>股）</w:t>
      </w:r>
      <w:r>
        <w:rPr/>
      </w:r>
    </w:p>
    <w:p>
      <w:pPr>
        <w:pStyle w:val="BodyText"/>
        <w:spacing w:line="300" w:lineRule="auto" w:before="63"/>
        <w:ind w:right="1049"/>
        <w:jc w:val="left"/>
      </w:pPr>
      <w:r>
        <w:rPr>
          <w:rFonts w:ascii="Times New Roman" w:hAnsi="Times New Roman" w:cs="Times New Roman" w:eastAsia="Times New Roman" w:hint="default"/>
        </w:rPr>
        <w:t>20,000,000.00</w:t>
      </w:r>
      <w:r>
        <w:rPr/>
        <w:t>股（每股面值</w:t>
      </w:r>
      <w:r>
        <w:rPr>
          <w:rFonts w:ascii="Times New Roman" w:hAnsi="Times New Roman" w:cs="Times New Roman" w:eastAsia="Times New Roman" w:hint="default"/>
        </w:rPr>
        <w:t>1</w:t>
      </w:r>
      <w:r>
        <w:rPr/>
        <w:t>元）。本次发行采用网下向询价对象配售和网上按市值申购定价发行相结合的方式进行，每股</w:t>
      </w:r>
      <w:r>
        <w:rPr>
          <w:spacing w:val="-50"/>
        </w:rPr>
        <w:t> </w:t>
      </w:r>
      <w:r>
        <w:rPr>
          <w:spacing w:val="-50"/>
        </w:rPr>
      </w:r>
      <w:r>
        <w:rPr>
          <w:spacing w:val="-2"/>
        </w:rPr>
        <w:t>发行价为</w:t>
      </w:r>
      <w:r>
        <w:rPr>
          <w:rFonts w:ascii="Times New Roman" w:hAnsi="Times New Roman" w:cs="Times New Roman" w:eastAsia="Times New Roman" w:hint="default"/>
          <w:spacing w:val="-2"/>
        </w:rPr>
        <w:t>13.32</w:t>
      </w:r>
      <w:r>
        <w:rPr>
          <w:spacing w:val="-2"/>
        </w:rPr>
        <w:t>元。变更后的注册资本为人民币</w:t>
      </w:r>
      <w:r>
        <w:rPr>
          <w:rFonts w:ascii="Times New Roman" w:hAnsi="Times New Roman" w:cs="Times New Roman" w:eastAsia="Times New Roman" w:hint="default"/>
          <w:spacing w:val="-2"/>
        </w:rPr>
        <w:t>80,000,000.00</w:t>
      </w:r>
      <w:r>
        <w:rPr>
          <w:spacing w:val="-2"/>
        </w:rPr>
        <w:t>元。截至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日止，本公司已收到社会公众股东认缴股</w:t>
      </w:r>
      <w:r>
        <w:rPr>
          <w:spacing w:val="-50"/>
        </w:rPr>
        <w:t> </w:t>
      </w:r>
      <w:r>
        <w:rPr>
          <w:spacing w:val="-50"/>
        </w:rPr>
      </w:r>
      <w:r>
        <w:rPr/>
        <w:t>款人民币</w:t>
      </w:r>
      <w:r>
        <w:rPr>
          <w:rFonts w:ascii="Times New Roman" w:hAnsi="Times New Roman" w:cs="Times New Roman" w:eastAsia="Times New Roman" w:hint="default"/>
        </w:rPr>
        <w:t>240,400,000.00</w:t>
      </w:r>
      <w:r>
        <w:rPr/>
        <w:t>元（已扣除发行费人民币</w:t>
      </w:r>
      <w:r>
        <w:rPr>
          <w:rFonts w:ascii="Times New Roman" w:hAnsi="Times New Roman" w:cs="Times New Roman" w:eastAsia="Times New Roman" w:hint="default"/>
        </w:rPr>
        <w:t>26,000,000.00</w:t>
      </w:r>
      <w:r>
        <w:rPr/>
        <w:t>元），其中：股本</w:t>
      </w:r>
      <w:r>
        <w:rPr>
          <w:rFonts w:ascii="Times New Roman" w:hAnsi="Times New Roman" w:cs="Times New Roman" w:eastAsia="Times New Roman" w:hint="default"/>
        </w:rPr>
        <w:t>20,000,000.00</w:t>
      </w:r>
      <w:r>
        <w:rPr/>
        <w:t>元，资本公积</w:t>
      </w:r>
      <w:r>
        <w:rPr>
          <w:rFonts w:ascii="Times New Roman" w:hAnsi="Times New Roman" w:cs="Times New Roman" w:eastAsia="Times New Roman" w:hint="default"/>
        </w:rPr>
        <w:t>220,400,000.00</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元，社会公众股东全部以货币资金形式出资，其中，北京市国有资产经营有限责任公司持有</w:t>
      </w:r>
      <w:r>
        <w:rPr>
          <w:rFonts w:ascii="Times New Roman" w:hAnsi="Times New Roman" w:cs="Times New Roman" w:eastAsia="Times New Roman" w:hint="default"/>
        </w:rPr>
        <w:t>2,099.4308</w:t>
      </w:r>
      <w:r>
        <w:rPr/>
        <w:t>万股，占变更后股本</w:t>
      </w:r>
      <w:r>
        <w:rPr>
          <w:spacing w:val="-85"/>
        </w:rPr>
        <w:t> </w:t>
      </w:r>
      <w:r>
        <w:rPr>
          <w:spacing w:val="-85"/>
        </w:rPr>
      </w:r>
      <w:r>
        <w:rPr/>
        <w:t>的</w:t>
      </w:r>
      <w:r>
        <w:rPr>
          <w:rFonts w:ascii="Times New Roman" w:hAnsi="Times New Roman" w:cs="Times New Roman" w:eastAsia="Times New Roman" w:hint="default"/>
        </w:rPr>
        <w:t>26.2429%</w:t>
      </w:r>
      <w:r>
        <w:rPr/>
        <w:t>；首都信息发展股份有限公司持有</w:t>
      </w:r>
      <w:r>
        <w:rPr>
          <w:rFonts w:ascii="Times New Roman" w:hAnsi="Times New Roman" w:cs="Times New Roman" w:eastAsia="Times New Roman" w:hint="default"/>
        </w:rPr>
        <w:t>2,098.8414</w:t>
      </w:r>
      <w:r>
        <w:rPr/>
        <w:t>万股，占变更后股本的</w:t>
      </w:r>
      <w:r>
        <w:rPr>
          <w:rFonts w:ascii="Times New Roman" w:hAnsi="Times New Roman" w:cs="Times New Roman" w:eastAsia="Times New Roman" w:hint="default"/>
        </w:rPr>
        <w:t>26.2355%</w:t>
      </w:r>
      <w:r>
        <w:rPr/>
        <w:t>；上海市数字证书认证中心有限公 司持有</w:t>
      </w:r>
      <w:r>
        <w:rPr>
          <w:rFonts w:ascii="Times New Roman" w:hAnsi="Times New Roman" w:cs="Times New Roman" w:eastAsia="Times New Roman" w:hint="default"/>
        </w:rPr>
        <w:t>96.016</w:t>
      </w:r>
      <w:r>
        <w:rPr/>
        <w:t>万股，占变更后股本的</w:t>
      </w:r>
      <w:r>
        <w:rPr>
          <w:rFonts w:ascii="Times New Roman" w:hAnsi="Times New Roman" w:cs="Times New Roman" w:eastAsia="Times New Roman" w:hint="default"/>
        </w:rPr>
        <w:t>1.2002%</w:t>
      </w:r>
      <w:r>
        <w:rPr/>
        <w:t>，北京科桥投资创业中心持有</w:t>
      </w:r>
      <w:r>
        <w:rPr>
          <w:rFonts w:ascii="Times New Roman" w:hAnsi="Times New Roman" w:cs="Times New Roman" w:eastAsia="Times New Roman" w:hint="default"/>
        </w:rPr>
        <w:t>500</w:t>
      </w:r>
      <w:r>
        <w:rPr/>
        <w:t>万股，占变更后股本的</w:t>
      </w:r>
      <w:r>
        <w:rPr>
          <w:rFonts w:ascii="Times New Roman" w:hAnsi="Times New Roman" w:cs="Times New Roman" w:eastAsia="Times New Roman" w:hint="default"/>
        </w:rPr>
        <w:t>6.2500%</w:t>
      </w:r>
      <w:r>
        <w:rPr/>
        <w:t>；全国社会保</w:t>
      </w:r>
      <w:r>
        <w:rPr>
          <w:spacing w:val="-78"/>
        </w:rPr>
        <w:t> </w:t>
      </w:r>
      <w:r>
        <w:rPr/>
        <w:t>障基金理事会转持一户持有</w:t>
      </w:r>
      <w:r>
        <w:rPr>
          <w:rFonts w:ascii="Times New Roman" w:hAnsi="Times New Roman" w:cs="Times New Roman" w:eastAsia="Times New Roman" w:hint="default"/>
        </w:rPr>
        <w:t>104.5734</w:t>
      </w:r>
      <w:r>
        <w:rPr/>
        <w:t>万股，占变更后股本的</w:t>
      </w:r>
      <w:r>
        <w:rPr>
          <w:rFonts w:ascii="Times New Roman" w:hAnsi="Times New Roman" w:cs="Times New Roman" w:eastAsia="Times New Roman" w:hint="default"/>
        </w:rPr>
        <w:t>1.3072%</w:t>
      </w:r>
      <w:r>
        <w:rPr/>
        <w:t>；员工持有</w:t>
      </w:r>
      <w:r>
        <w:rPr>
          <w:rFonts w:ascii="Times New Roman" w:hAnsi="Times New Roman" w:cs="Times New Roman" w:eastAsia="Times New Roman" w:hint="default"/>
        </w:rPr>
        <w:t>1,101.1384</w:t>
      </w:r>
      <w:r>
        <w:rPr/>
        <w:t>万股，占变更后股本的</w:t>
      </w:r>
      <w:r>
        <w:rPr>
          <w:rFonts w:ascii="Times New Roman" w:hAnsi="Times New Roman" w:cs="Times New Roman" w:eastAsia="Times New Roman" w:hint="default"/>
        </w:rPr>
        <w:t>13.7642%</w:t>
      </w:r>
      <w:r>
        <w:rPr/>
        <w:t>； 社会公众股持有</w:t>
      </w:r>
      <w:r>
        <w:rPr>
          <w:rFonts w:ascii="Times New Roman" w:hAnsi="Times New Roman" w:cs="Times New Roman" w:eastAsia="Times New Roman" w:hint="default"/>
        </w:rPr>
        <w:t>2,000</w:t>
      </w:r>
      <w:r>
        <w:rPr/>
        <w:t>万股，占变更后股本的</w:t>
      </w:r>
      <w:r>
        <w:rPr>
          <w:rFonts w:ascii="Times New Roman" w:hAnsi="Times New Roman" w:cs="Times New Roman" w:eastAsia="Times New Roman" w:hint="default"/>
        </w:rPr>
        <w:t>25%</w:t>
      </w:r>
      <w:r>
        <w:rPr/>
        <w:t>。上述增资业经致同会计师事务所（特殊普通合伙）审验，并于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月</w:t>
      </w:r>
      <w:r>
        <w:rPr>
          <w:rFonts w:ascii="Times New Roman" w:hAnsi="Times New Roman" w:cs="Times New Roman" w:eastAsia="Times New Roman" w:hint="default"/>
        </w:rPr>
        <w:t>19</w:t>
      </w:r>
      <w:r>
        <w:rPr/>
        <w:t>日出具致同验字（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110ZC0705</w:t>
      </w:r>
      <w:r>
        <w:rPr/>
        <w:t>号验资报告。本次发行完成后，公司于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日在深圳证券交易所上市交 易，本公司于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日在北京市工商行政管理局办理了工商登记变更。</w:t>
      </w:r>
    </w:p>
    <w:p>
      <w:pPr>
        <w:pStyle w:val="BodyText"/>
        <w:spacing w:line="307" w:lineRule="auto" w:before="51"/>
        <w:ind w:right="1128"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w:t>
      </w:r>
      <w:r>
        <w:rPr>
          <w:spacing w:val="-2"/>
        </w:rPr>
        <w:t>日，本公司根据第二届董事会第二十次会议决议，选举詹榜华先生为公司第二届董事会董事长，任期与第二</w:t>
      </w:r>
      <w:r>
        <w:rPr/>
        <w:t> </w:t>
      </w:r>
      <w:r>
        <w:rPr>
          <w:spacing w:val="-2"/>
        </w:rPr>
        <w:t>届董事会董事任期一致。根据《北京数字认证股份有限公司章程》的规定，董事长为公司的法定代表人，故公司的法定代表</w:t>
      </w:r>
      <w:r>
        <w:rPr>
          <w:spacing w:val="-67"/>
        </w:rPr>
        <w:t> </w:t>
      </w:r>
      <w:r>
        <w:rPr>
          <w:spacing w:val="-67"/>
        </w:rPr>
      </w:r>
      <w:r>
        <w:rPr/>
        <w:t>人</w:t>
      </w:r>
      <w:r>
        <w:rPr>
          <w:spacing w:val="-56"/>
        </w:rPr>
        <w:t> </w:t>
      </w:r>
      <w:r>
        <w:rPr/>
        <w:t>变</w:t>
      </w:r>
      <w:r>
        <w:rPr>
          <w:spacing w:val="-56"/>
        </w:rPr>
        <w:t> </w:t>
      </w:r>
      <w:r>
        <w:rPr/>
        <w:t>更</w:t>
      </w:r>
      <w:r>
        <w:rPr>
          <w:spacing w:val="-58"/>
        </w:rPr>
        <w:t> </w:t>
      </w:r>
      <w:r>
        <w:rPr/>
        <w:t>为</w:t>
      </w:r>
      <w:r>
        <w:rPr>
          <w:spacing w:val="-56"/>
        </w:rPr>
        <w:t> </w:t>
      </w:r>
      <w:r>
        <w:rPr/>
        <w:t>詹</w:t>
      </w:r>
      <w:r>
        <w:rPr>
          <w:spacing w:val="-58"/>
        </w:rPr>
        <w:t> </w:t>
      </w:r>
      <w:r>
        <w:rPr/>
        <w:t>榜</w:t>
      </w:r>
      <w:r>
        <w:rPr>
          <w:spacing w:val="-56"/>
        </w:rPr>
        <w:t> </w:t>
      </w:r>
      <w:r>
        <w:rPr/>
        <w:t>华</w:t>
      </w:r>
      <w:r>
        <w:rPr>
          <w:spacing w:val="-56"/>
        </w:rPr>
        <w:t> </w:t>
      </w:r>
      <w:r>
        <w:rPr/>
        <w:t>先</w:t>
      </w:r>
      <w:r>
        <w:rPr>
          <w:spacing w:val="-58"/>
        </w:rPr>
        <w:t> </w:t>
      </w:r>
      <w:r>
        <w:rPr/>
        <w:t>生</w:t>
      </w:r>
      <w:r>
        <w:rPr>
          <w:spacing w:val="-56"/>
        </w:rPr>
        <w:t> </w:t>
      </w:r>
      <w:r>
        <w:rPr/>
        <w:t>。</w:t>
      </w:r>
      <w:r>
        <w:rPr>
          <w:spacing w:val="-58"/>
        </w:rPr>
        <w:t> </w:t>
      </w:r>
      <w:r>
        <w:rPr/>
        <w:t>本</w:t>
      </w:r>
      <w:r>
        <w:rPr>
          <w:spacing w:val="-58"/>
        </w:rPr>
        <w:t> </w:t>
      </w:r>
      <w:r>
        <w:rPr/>
        <w:t>公</w:t>
      </w:r>
      <w:r>
        <w:rPr>
          <w:spacing w:val="-56"/>
        </w:rPr>
        <w:t> </w:t>
      </w:r>
      <w:r>
        <w:rPr/>
        <w:t>司</w:t>
      </w:r>
      <w:r>
        <w:rPr>
          <w:spacing w:val="-56"/>
        </w:rPr>
        <w:t> </w:t>
      </w:r>
      <w:r>
        <w:rPr/>
        <w:t>于</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日</w:t>
      </w:r>
      <w:r>
        <w:rPr>
          <w:spacing w:val="-56"/>
        </w:rPr>
        <w:t> </w:t>
      </w:r>
      <w:r>
        <w:rPr/>
        <w:t>在</w:t>
      </w:r>
      <w:r>
        <w:rPr>
          <w:spacing w:val="-58"/>
        </w:rPr>
        <w:t> </w:t>
      </w:r>
      <w:r>
        <w:rPr/>
        <w:t>北</w:t>
      </w:r>
      <w:r>
        <w:rPr>
          <w:spacing w:val="-58"/>
        </w:rPr>
        <w:t> </w:t>
      </w:r>
      <w:r>
        <w:rPr/>
        <w:t>京</w:t>
      </w:r>
      <w:r>
        <w:rPr>
          <w:spacing w:val="-56"/>
        </w:rPr>
        <w:t> </w:t>
      </w:r>
      <w:r>
        <w:rPr/>
        <w:t>市</w:t>
      </w:r>
      <w:r>
        <w:rPr>
          <w:spacing w:val="-56"/>
        </w:rPr>
        <w:t> </w:t>
      </w:r>
      <w:r>
        <w:rPr/>
        <w:t>工</w:t>
      </w:r>
      <w:r>
        <w:rPr>
          <w:spacing w:val="-58"/>
        </w:rPr>
        <w:t> </w:t>
      </w:r>
      <w:r>
        <w:rPr/>
        <w:t>商</w:t>
      </w:r>
      <w:r>
        <w:rPr>
          <w:spacing w:val="-56"/>
        </w:rPr>
        <w:t> </w:t>
      </w:r>
      <w:r>
        <w:rPr/>
        <w:t>管</w:t>
      </w:r>
      <w:r>
        <w:rPr>
          <w:spacing w:val="-58"/>
        </w:rPr>
        <w:t> </w:t>
      </w:r>
      <w:r>
        <w:rPr/>
        <w:t>理</w:t>
      </w:r>
      <w:r>
        <w:rPr>
          <w:spacing w:val="-56"/>
        </w:rPr>
        <w:t> </w:t>
      </w:r>
      <w:r>
        <w:rPr/>
        <w:t>局</w:t>
      </w:r>
      <w:r>
        <w:rPr>
          <w:spacing w:val="-56"/>
        </w:rPr>
        <w:t> </w:t>
      </w:r>
      <w:r>
        <w:rPr/>
        <w:t>办</w:t>
      </w:r>
      <w:r>
        <w:rPr>
          <w:spacing w:val="-58"/>
        </w:rPr>
        <w:t> </w:t>
      </w:r>
      <w:r>
        <w:rPr/>
        <w:t>理</w:t>
      </w:r>
      <w:r>
        <w:rPr>
          <w:spacing w:val="-56"/>
        </w:rPr>
        <w:t> </w:t>
      </w:r>
      <w:r>
        <w:rPr/>
        <w:t>了</w:t>
      </w:r>
      <w:r>
        <w:rPr>
          <w:spacing w:val="-58"/>
        </w:rPr>
        <w:t> </w:t>
      </w:r>
      <w:r>
        <w:rPr/>
        <w:t>工</w:t>
      </w:r>
      <w:r>
        <w:rPr>
          <w:spacing w:val="-58"/>
        </w:rPr>
        <w:t> </w:t>
      </w:r>
      <w:r>
        <w:rPr/>
        <w:t>商</w:t>
      </w:r>
      <w:r>
        <w:rPr>
          <w:spacing w:val="-56"/>
        </w:rPr>
        <w:t> </w:t>
      </w:r>
      <w:r>
        <w:rPr/>
        <w:t>登</w:t>
      </w:r>
      <w:r>
        <w:rPr>
          <w:spacing w:val="-56"/>
        </w:rPr>
        <w:t> </w:t>
      </w:r>
      <w:r>
        <w:rPr/>
        <w:t>记</w:t>
      </w:r>
      <w:r>
        <w:rPr>
          <w:spacing w:val="-58"/>
        </w:rPr>
        <w:t> </w:t>
      </w:r>
      <w:r>
        <w:rPr/>
        <w:t>变</w:t>
      </w:r>
      <w:r>
        <w:rPr>
          <w:spacing w:val="-56"/>
        </w:rPr>
        <w:t> </w:t>
      </w:r>
      <w:r>
        <w:rPr/>
        <w:t>更</w:t>
      </w:r>
      <w:r>
        <w:rPr>
          <w:spacing w:val="-58"/>
        </w:rPr>
        <w:t> </w:t>
      </w:r>
      <w:r>
        <w:rPr/>
        <w:t>，</w:t>
      </w:r>
      <w:r>
        <w:rPr>
          <w:spacing w:val="-56"/>
        </w:rPr>
        <w:t> </w:t>
      </w:r>
      <w:r>
        <w:rPr/>
        <w:t>三</w:t>
      </w:r>
      <w:r>
        <w:rPr>
          <w:spacing w:val="-56"/>
        </w:rPr>
        <w:t> </w:t>
      </w:r>
      <w:r>
        <w:rPr/>
        <w:t>证</w:t>
      </w:r>
      <w:r>
        <w:rPr>
          <w:spacing w:val="-58"/>
        </w:rPr>
        <w:t> </w:t>
      </w:r>
      <w:r>
        <w:rPr/>
        <w:t>合</w:t>
      </w:r>
      <w:r>
        <w:rPr>
          <w:spacing w:val="-56"/>
        </w:rPr>
        <w:t> </w:t>
      </w:r>
      <w:r>
        <w:rPr/>
        <w:t>一</w:t>
      </w:r>
      <w:r>
        <w:rPr>
          <w:spacing w:val="-58"/>
        </w:rPr>
        <w:t> </w:t>
      </w:r>
      <w:r>
        <w:rPr/>
        <w:t>号</w:t>
      </w:r>
      <w:r>
        <w:rPr>
          <w:spacing w:val="-58"/>
        </w:rPr>
        <w:t> </w:t>
      </w:r>
      <w:r>
        <w:rPr/>
        <w:t>为</w:t>
      </w:r>
      <w:r>
        <w:rPr/>
        <w:t> </w:t>
      </w:r>
      <w:r>
        <w:rPr>
          <w:rFonts w:ascii="Times New Roman" w:hAnsi="Times New Roman" w:cs="Times New Roman" w:eastAsia="Times New Roman" w:hint="default"/>
        </w:rPr>
        <w:t>91110108722619411A</w:t>
      </w:r>
      <w:r>
        <w:rPr>
          <w:rFonts w:ascii="Times New Roman" w:hAnsi="Times New Roman" w:cs="Times New Roman" w:eastAsia="Times New Roman" w:hint="default"/>
          <w:spacing w:val="22"/>
        </w:rPr>
        <w:t> </w:t>
      </w:r>
      <w:r>
        <w:rPr/>
        <w:t>。</w:t>
      </w:r>
    </w:p>
    <w:p>
      <w:pPr>
        <w:pStyle w:val="BodyText"/>
        <w:spacing w:line="300" w:lineRule="auto" w:before="48"/>
        <w:ind w:right="1037"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日，本公司根据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日通过的</w:t>
      </w:r>
      <w:r>
        <w:rPr>
          <w:rFonts w:ascii="Times New Roman" w:hAnsi="Times New Roman" w:cs="Times New Roman" w:eastAsia="Times New Roman" w:hint="default"/>
          <w:spacing w:val="-2"/>
        </w:rPr>
        <w:t>2017</w:t>
      </w:r>
      <w:r>
        <w:rPr>
          <w:spacing w:val="-2"/>
        </w:rPr>
        <w:t>年年度股东大会决议，以资本公积金向全体股东每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w:t>
      </w:r>
      <w:r>
        <w:rPr/>
        <w:t> 转增后本公司股本总额为</w:t>
      </w:r>
      <w:r>
        <w:rPr>
          <w:rFonts w:ascii="Times New Roman" w:hAnsi="Times New Roman" w:cs="Times New Roman" w:eastAsia="Times New Roman" w:hint="default"/>
        </w:rPr>
        <w:t>12,000.00</w:t>
      </w:r>
      <w:r>
        <w:rPr/>
        <w:t>万股。本公司于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日在北京市工商管理局办理了工商登记变更。</w:t>
      </w:r>
    </w:p>
    <w:p>
      <w:pPr>
        <w:pStyle w:val="BodyText"/>
        <w:spacing w:line="300" w:lineRule="auto" w:before="54"/>
        <w:ind w:right="1130"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日，本公司根据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日通过的</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spacing w:val="2"/>
        </w:rPr>
        <w:t>年年度股东大会决议，以资本公积金向全体股东每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rFonts w:ascii="Times New Roman" w:hAnsi="Times New Roman" w:cs="Times New Roman" w:eastAsia="Times New Roman" w:hint="default"/>
        </w:rPr>
        <w:t> </w:t>
      </w:r>
      <w:r>
        <w:rPr/>
        <w:t>股，转增后本公司股本总额为</w:t>
      </w:r>
      <w:r>
        <w:rPr>
          <w:rFonts w:ascii="Times New Roman" w:hAnsi="Times New Roman" w:cs="Times New Roman" w:eastAsia="Times New Roman" w:hint="default"/>
        </w:rPr>
        <w:t>18,000.00</w:t>
      </w:r>
      <w:r>
        <w:rPr/>
        <w:t>万股。本公司于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日在北京市工商管理局办理了工商登记变更。</w:t>
      </w:r>
    </w:p>
    <w:p>
      <w:pPr>
        <w:spacing w:after="0" w:line="300"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40" w:lineRule="auto" w:before="44"/>
        <w:ind w:left="513" w:right="982"/>
        <w:jc w:val="left"/>
      </w:pPr>
      <w:r>
        <w:rPr/>
        <w:t>本公司注册地址：北京市海淀区北四环西路</w:t>
      </w:r>
      <w:r>
        <w:rPr>
          <w:rFonts w:ascii="Times New Roman" w:hAnsi="Times New Roman" w:cs="Times New Roman" w:eastAsia="Times New Roman" w:hint="default"/>
        </w:rPr>
        <w:t>68</w:t>
      </w:r>
      <w:r>
        <w:rPr/>
        <w:t>号</w:t>
      </w:r>
      <w:r>
        <w:rPr>
          <w:rFonts w:ascii="Times New Roman" w:hAnsi="Times New Roman" w:cs="Times New Roman" w:eastAsia="Times New Roman" w:hint="default"/>
        </w:rPr>
        <w:t>1501</w:t>
      </w:r>
      <w:r>
        <w:rPr/>
        <w:t>号。 </w:t>
      </w:r>
      <w:r>
        <w:rPr>
          <w:spacing w:val="-4"/>
        </w:rPr>
        <w:t>本公司建立了股东大会、董事会、监事会的法人治理结构，设置了区域销售、行业销售、营销管理中心、产品研发中心、</w:t>
      </w:r>
    </w:p>
    <w:p>
      <w:pPr>
        <w:pStyle w:val="BodyText"/>
        <w:spacing w:line="357" w:lineRule="auto" w:before="1"/>
        <w:ind w:left="513" w:right="982" w:hanging="361"/>
        <w:jc w:val="left"/>
      </w:pPr>
      <w:r>
        <w:rPr/>
        <w:t>电子认证服务中心、董事会办公室、审计部、财务部、人力资源部、综合管理部、采购部等职能部门。 本公司拥有</w:t>
      </w:r>
      <w:r>
        <w:rPr>
          <w:rFonts w:ascii="Times New Roman" w:hAnsi="Times New Roman" w:cs="Times New Roman" w:eastAsia="Times New Roman" w:hint="default"/>
        </w:rPr>
        <w:t>2</w:t>
      </w:r>
      <w:r>
        <w:rPr/>
        <w:t>个全资子公司，即数字认证（武汉）有限责任公司（以下简称</w:t>
      </w:r>
      <w:r>
        <w:rPr>
          <w:rFonts w:ascii="Times New Roman" w:hAnsi="Times New Roman" w:cs="Times New Roman" w:eastAsia="Times New Roman" w:hint="default"/>
        </w:rPr>
        <w:t>“</w:t>
      </w:r>
      <w:r>
        <w:rPr/>
        <w:t>数字认证（武汉）</w:t>
      </w:r>
      <w:r>
        <w:rPr>
          <w:rFonts w:ascii="Times New Roman" w:hAnsi="Times New Roman" w:cs="Times New Roman" w:eastAsia="Times New Roman" w:hint="default"/>
        </w:rPr>
        <w:t>”</w:t>
      </w:r>
      <w:r>
        <w:rPr/>
        <w:t>）、北京数字医信科技</w:t>
      </w:r>
    </w:p>
    <w:p>
      <w:pPr>
        <w:pStyle w:val="BodyText"/>
        <w:spacing w:line="214" w:lineRule="exact"/>
        <w:ind w:right="982"/>
        <w:jc w:val="left"/>
      </w:pPr>
      <w:r>
        <w:rPr/>
        <w:t>有限公司（以下简称</w:t>
      </w:r>
      <w:r>
        <w:rPr>
          <w:rFonts w:ascii="Times New Roman" w:hAnsi="Times New Roman" w:cs="Times New Roman" w:eastAsia="Times New Roman" w:hint="default"/>
        </w:rPr>
        <w:t>“</w:t>
      </w:r>
      <w:r>
        <w:rPr/>
        <w:t>数字医信</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个控股子公司北京安信天行科技有限公司（以下简称</w:t>
      </w:r>
      <w:r>
        <w:rPr>
          <w:rFonts w:ascii="Times New Roman" w:hAnsi="Times New Roman" w:cs="Times New Roman" w:eastAsia="Times New Roman" w:hint="default"/>
        </w:rPr>
        <w:t>“</w:t>
      </w:r>
      <w:r>
        <w:rPr/>
        <w:t>安信天行</w:t>
      </w:r>
      <w:r>
        <w:rPr>
          <w:rFonts w:ascii="Times New Roman" w:hAnsi="Times New Roman" w:cs="Times New Roman" w:eastAsia="Times New Roman" w:hint="default"/>
        </w:rPr>
        <w:t>”</w:t>
      </w:r>
      <w:r>
        <w:rPr/>
        <w:t>）。</w:t>
      </w:r>
    </w:p>
    <w:p>
      <w:pPr>
        <w:pStyle w:val="BodyText"/>
        <w:spacing w:line="300" w:lineRule="auto" w:before="103"/>
        <w:ind w:right="1132" w:firstLine="360"/>
        <w:jc w:val="both"/>
      </w:pPr>
      <w:r>
        <w:rPr>
          <w:spacing w:val="-2"/>
        </w:rPr>
        <w:t>本公司及其子公司（以下简称</w:t>
      </w:r>
      <w:r>
        <w:rPr>
          <w:rFonts w:ascii="Times New Roman" w:hAnsi="Times New Roman" w:cs="Times New Roman" w:eastAsia="Times New Roman" w:hint="default"/>
          <w:spacing w:val="-2"/>
        </w:rPr>
        <w:t>“</w:t>
      </w:r>
      <w:r>
        <w:rPr>
          <w:spacing w:val="-2"/>
        </w:rPr>
        <w:t>本集团</w:t>
      </w:r>
      <w:r>
        <w:rPr>
          <w:rFonts w:ascii="Times New Roman" w:hAnsi="Times New Roman" w:cs="Times New Roman" w:eastAsia="Times New Roman" w:hint="default"/>
          <w:spacing w:val="-2"/>
        </w:rPr>
        <w:t>”</w:t>
      </w:r>
      <w:r>
        <w:rPr>
          <w:spacing w:val="-2"/>
        </w:rPr>
        <w:t>）业务性质和主要经营活动：电子认证服务，数字证书方面的技术开发、技术服</w:t>
      </w:r>
      <w:r>
        <w:rPr/>
        <w:t> 务、技术培训，计算机通信网络安全系统的开发，计算机系统集成，销售开发后的产品。</w:t>
      </w:r>
    </w:p>
    <w:p>
      <w:pPr>
        <w:pStyle w:val="BodyText"/>
        <w:spacing w:line="240" w:lineRule="auto" w:before="72"/>
        <w:ind w:left="513" w:right="982"/>
        <w:jc w:val="left"/>
      </w:pPr>
      <w:r>
        <w:rPr/>
        <w:t>本财务报表及财务报表附注业经本公司第三届董事会第二十三次会议于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日批准。</w:t>
      </w:r>
    </w:p>
    <w:p>
      <w:pPr>
        <w:pStyle w:val="BodyText"/>
        <w:spacing w:line="340" w:lineRule="auto" w:before="101"/>
        <w:ind w:left="513" w:right="982"/>
        <w:jc w:val="left"/>
      </w:pPr>
      <w:r>
        <w:rPr>
          <w:rFonts w:ascii="Times New Roman" w:hAnsi="Times New Roman" w:cs="Times New Roman" w:eastAsia="Times New Roman" w:hint="default"/>
          <w:b/>
          <w:bCs/>
        </w:rPr>
        <w:t>2</w:t>
      </w:r>
      <w:r>
        <w:rPr>
          <w:rFonts w:ascii="宋体" w:hAnsi="宋体" w:cs="宋体" w:eastAsia="宋体" w:hint="default"/>
          <w:b/>
          <w:bCs/>
        </w:rPr>
        <w:t>、合并财务报表范围</w:t>
      </w:r>
      <w:r>
        <w:rPr>
          <w:rFonts w:ascii="宋体" w:hAnsi="宋体" w:cs="宋体" w:eastAsia="宋体" w:hint="default"/>
          <w:b/>
          <w:bCs/>
          <w:w w:val="99"/>
        </w:rPr>
        <w:t> </w:t>
      </w:r>
      <w:r>
        <w:rPr>
          <w:spacing w:val="-2"/>
        </w:rPr>
        <w:t>本报告期的合并财务报表范围包括本公司、安信天行、数字认证（武汉）和数字医信，本公司在其他主体中的权益情况</w:t>
      </w:r>
    </w:p>
    <w:p>
      <w:pPr>
        <w:pStyle w:val="BodyText"/>
        <w:spacing w:line="240" w:lineRule="auto" w:before="1"/>
        <w:ind w:right="982"/>
        <w:jc w:val="left"/>
      </w:pPr>
      <w:r>
        <w:rPr/>
        <w:t>详见本</w:t>
      </w:r>
      <w:r>
        <w:rPr>
          <w:rFonts w:ascii="Times New Roman" w:hAnsi="Times New Roman" w:cs="Times New Roman" w:eastAsia="Times New Roman" w:hint="default"/>
        </w:rPr>
        <w:t>“</w:t>
      </w:r>
      <w:r>
        <w:rPr/>
        <w:t>附注九、在其主体中的权益</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071" w:firstLine="360"/>
        <w:jc w:val="both"/>
      </w:pPr>
      <w:r>
        <w:rPr/>
        <w:t>本财务报表按照财政部颁布的企业会计准则及其应用指南、解释及其他有关规定（统称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）编制。此外， </w:t>
      </w:r>
      <w:r>
        <w:rPr>
          <w:spacing w:val="-2"/>
        </w:rPr>
        <w:t>本集团还按照中国证监会《公开发行证券的公司信息披露编报规则第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年修订）披露有关</w:t>
      </w:r>
      <w:r>
        <w:rPr>
          <w:spacing w:val="-61"/>
        </w:rPr>
        <w:t> </w:t>
      </w:r>
      <w:r>
        <w:rPr>
          <w:spacing w:val="-61"/>
        </w:rPr>
      </w:r>
      <w:r>
        <w:rPr/>
        <w:t>财务信息</w:t>
      </w:r>
    </w:p>
    <w:p>
      <w:pPr>
        <w:pStyle w:val="BodyText"/>
        <w:spacing w:line="357" w:lineRule="auto" w:before="72"/>
        <w:ind w:left="513" w:right="1033"/>
        <w:jc w:val="left"/>
      </w:pPr>
      <w:r>
        <w:rPr/>
        <w:t>本财务报表以持续经营为基础列报。 本集团会计核算以权责发生制为基础。除某些金融工具外，本财务报表均以历史成本为计量基础。资产如果发生减值，</w:t>
      </w:r>
    </w:p>
    <w:p>
      <w:pPr>
        <w:pStyle w:val="BodyText"/>
        <w:spacing w:line="224" w:lineRule="exact"/>
        <w:ind w:right="982"/>
        <w:jc w:val="left"/>
      </w:pPr>
      <w:r>
        <w:rPr/>
        <w:t>则按照相关规定计提相应的减值准备。</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3" w:firstLine="360"/>
        <w:jc w:val="both"/>
      </w:pPr>
      <w:r>
        <w:rPr/>
        <w:t>本集团自本报告期末至少</w:t>
      </w:r>
      <w:r>
        <w:rPr>
          <w:rFonts w:ascii="Times New Roman" w:hAnsi="Times New Roman" w:cs="Times New Roman" w:eastAsia="Times New Roman" w:hint="default"/>
        </w:rPr>
        <w:t>12</w:t>
      </w:r>
      <w:r>
        <w:rPr/>
        <w:t>个月内具备持续经营能力， 无影响持续经营能力的重大事项，本集团以持续经营为基础编 制财务报表是合理的。</w:t>
      </w:r>
    </w:p>
    <w:p>
      <w:pPr>
        <w:spacing w:line="240" w:lineRule="auto" w:before="11"/>
        <w:rPr>
          <w:rFonts w:ascii="宋体" w:hAnsi="宋体" w:cs="宋体" w:eastAsia="宋体" w:hint="default"/>
          <w:sz w:val="21"/>
          <w:szCs w:val="21"/>
        </w:rPr>
      </w:pPr>
    </w:p>
    <w:p>
      <w:pPr>
        <w:pStyle w:val="Heading2"/>
        <w:spacing w:line="240" w:lineRule="auto"/>
        <w:ind w:right="982"/>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441" w:lineRule="auto"/>
        <w:ind w:left="513" w:right="7873" w:hanging="361"/>
        <w:jc w:val="left"/>
      </w:pPr>
      <w:r>
        <w:rPr/>
        <w:t>具体会计政策和会计估计提示： 具体会计政策和会计估计提示：</w:t>
      </w:r>
    </w:p>
    <w:p>
      <w:pPr>
        <w:pStyle w:val="BodyText"/>
        <w:spacing w:line="316" w:lineRule="auto" w:before="45"/>
        <w:ind w:right="1133" w:firstLine="360"/>
        <w:jc w:val="both"/>
      </w:pPr>
      <w:r>
        <w:rPr>
          <w:spacing w:val="-2"/>
        </w:rPr>
        <w:t>本集团根据自身生产经营特点，确定固定资产折旧、无形资产摊销、研发费用资本化条件以及收入确认政策，具体会计</w:t>
      </w:r>
      <w:r>
        <w:rPr/>
        <w:t> 政策参见附注五、</w:t>
      </w:r>
      <w:r>
        <w:rPr>
          <w:rFonts w:ascii="Times New Roman" w:hAnsi="Times New Roman" w:cs="Times New Roman" w:eastAsia="Times New Roman" w:hint="default"/>
        </w:rPr>
        <w:t>16</w:t>
      </w:r>
      <w:r>
        <w:rPr/>
        <w:t>、附注五、</w:t>
      </w:r>
      <w:r>
        <w:rPr>
          <w:rFonts w:ascii="Times New Roman" w:hAnsi="Times New Roman" w:cs="Times New Roman" w:eastAsia="Times New Roman" w:hint="default"/>
        </w:rPr>
        <w:t>19</w:t>
      </w:r>
      <w:r>
        <w:rPr/>
        <w:t>、附注五、</w:t>
      </w:r>
      <w:r>
        <w:rPr>
          <w:rFonts w:ascii="Times New Roman" w:hAnsi="Times New Roman" w:cs="Times New Roman" w:eastAsia="Times New Roman" w:hint="default"/>
        </w:rPr>
        <w:t>19</w:t>
      </w:r>
      <w:r>
        <w:rPr/>
        <w:t>（</w:t>
      </w:r>
      <w:r>
        <w:rPr>
          <w:rFonts w:ascii="Times New Roman" w:hAnsi="Times New Roman" w:cs="Times New Roman" w:eastAsia="Times New Roman" w:hint="default"/>
        </w:rPr>
        <w:t>2</w:t>
      </w:r>
      <w:r>
        <w:rPr/>
        <w:t>）和附注五、</w:t>
      </w:r>
      <w:r>
        <w:rPr>
          <w:rFonts w:ascii="Times New Roman" w:hAnsi="Times New Roman" w:cs="Times New Roman" w:eastAsia="Times New Roman" w:hint="default"/>
        </w:rPr>
        <w:t>25</w:t>
      </w:r>
      <w:r>
        <w:rPr/>
        <w:t>。</w:t>
      </w:r>
    </w:p>
    <w:p>
      <w:pPr>
        <w:spacing w:line="240" w:lineRule="auto" w:before="4"/>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8" w:firstLine="360"/>
        <w:jc w:val="both"/>
      </w:pPr>
      <w:r>
        <w:rPr>
          <w:spacing w:val="-2"/>
        </w:rPr>
        <w:t>本财务报表符合企业会计准则的要求，真实、完整地反映了本公司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日的合并及公司财务状况以及</w:t>
      </w:r>
      <w:r>
        <w:rPr>
          <w:rFonts w:ascii="Times New Roman" w:hAnsi="Times New Roman" w:cs="Times New Roman" w:eastAsia="Times New Roman" w:hint="default"/>
          <w:spacing w:val="-2"/>
        </w:rPr>
        <w:t>2019</w:t>
      </w:r>
      <w:r>
        <w:rPr>
          <w:spacing w:val="-2"/>
        </w:rPr>
        <w:t>年度</w:t>
      </w:r>
      <w:r>
        <w:rPr/>
        <w:t> 的合并及公司经营成果和合并及公司现金流量等有关信息。</w:t>
      </w:r>
    </w:p>
    <w:p>
      <w:pPr>
        <w:spacing w:line="240" w:lineRule="auto" w:before="10"/>
        <w:rPr>
          <w:rFonts w:ascii="宋体" w:hAnsi="宋体" w:cs="宋体" w:eastAsia="宋体" w:hint="default"/>
          <w:sz w:val="23"/>
          <w:szCs w:val="23"/>
        </w:rPr>
      </w:pPr>
    </w:p>
    <w:p>
      <w:pPr>
        <w:pStyle w:val="Heading3"/>
        <w:spacing w:line="240" w:lineRule="auto"/>
        <w:ind w:right="982"/>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982"/>
        <w:jc w:val="left"/>
      </w:pPr>
      <w:r>
        <w:rPr/>
        <w:t>本集团会计期间采用公历年度，即每年自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本集团的营业周期为</w:t>
      </w:r>
      <w:r>
        <w:rPr>
          <w:rFonts w:ascii="Times New Roman" w:hAnsi="Times New Roman" w:cs="Times New Roman" w:eastAsia="Times New Roman" w:hint="default"/>
        </w:rPr>
        <w:t>12</w:t>
      </w:r>
      <w:r>
        <w:rPr/>
        <w:t>个月。</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本公司及境内子公司以人民币为记账本位币。本集团编制本财务报表时所采用的货币为人民币。</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415" w:lineRule="auto"/>
        <w:ind w:left="513" w:right="982"/>
        <w:jc w:val="left"/>
      </w:pPr>
      <w:r>
        <w:rPr/>
        <w:t>（</w:t>
      </w:r>
      <w:r>
        <w:rPr>
          <w:rFonts w:ascii="Times New Roman" w:hAnsi="Times New Roman" w:cs="Times New Roman" w:eastAsia="Times New Roman" w:hint="default"/>
        </w:rPr>
        <w:t>1</w:t>
      </w:r>
      <w:r>
        <w:rPr/>
        <w:t>）同一控制下的企业合并 </w:t>
      </w:r>
      <w:r>
        <w:rPr>
          <w:spacing w:val="-2"/>
        </w:rPr>
        <w:t>对于同一控制下的企业合并，合并方在合并中取得的被合并方的资产、负债，除因会计政策不同而进行的调整以外，按</w:t>
      </w:r>
    </w:p>
    <w:p>
      <w:pPr>
        <w:pStyle w:val="BodyText"/>
        <w:spacing w:line="183" w:lineRule="exact"/>
        <w:ind w:right="982"/>
        <w:jc w:val="left"/>
      </w:pPr>
      <w:r>
        <w:rPr/>
        <w:t>合并日被合并方在最终控制方合并财务报表中的账面价值计量</w:t>
      </w:r>
      <w:r>
        <w:rPr>
          <w:spacing w:val="-82"/>
        </w:rPr>
        <w:t>。</w:t>
      </w:r>
      <w:r>
        <w:rPr/>
        <w:t>合并对价的账面价值与合并中取得的净资产账面价值的差额</w:t>
      </w:r>
    </w:p>
    <w:p>
      <w:pPr>
        <w:pStyle w:val="BodyText"/>
        <w:spacing w:line="436" w:lineRule="auto" w:before="76"/>
        <w:ind w:left="513" w:right="6434" w:hanging="361"/>
        <w:jc w:val="left"/>
      </w:pPr>
      <w:r>
        <w:rPr/>
        <w:t>调整资本公积，资本公积不足冲减的，调整留存收益。 通过多次交易分步实现同一控制下的企业合并</w:t>
      </w:r>
    </w:p>
    <w:p>
      <w:pPr>
        <w:pStyle w:val="BodyText"/>
        <w:spacing w:line="319" w:lineRule="auto" w:before="49"/>
        <w:ind w:right="1132" w:firstLine="360"/>
        <w:jc w:val="both"/>
      </w:pPr>
      <w:r>
        <w:rPr>
          <w:spacing w:val="-2"/>
        </w:rPr>
        <w:t>在个别财务报表中，以合并日持股比例计算的合并日应享有被合并方净资产在最终控制方合并财务报表中的账面价值的</w:t>
      </w:r>
      <w:r>
        <w:rPr/>
        <w:t> </w:t>
      </w:r>
      <w:r>
        <w:rPr>
          <w:spacing w:val="-2"/>
        </w:rPr>
        <w:t>份额作为该项投资的初始投资成本；初始投资成本与合并前持有投资的账面价值加上合并日新支付对价的账面价值之和的差</w:t>
      </w:r>
      <w:r>
        <w:rPr>
          <w:spacing w:val="-64"/>
        </w:rPr>
        <w:t> </w:t>
      </w:r>
      <w:r>
        <w:rPr>
          <w:spacing w:val="-64"/>
        </w:rPr>
      </w:r>
      <w:r>
        <w:rPr/>
        <w:t>额，调整资本公积，资本公积不足冲减的，调整留存收益。</w:t>
      </w:r>
    </w:p>
    <w:p>
      <w:pPr>
        <w:pStyle w:val="BodyText"/>
        <w:spacing w:line="319" w:lineRule="auto" w:before="134"/>
        <w:ind w:right="1132" w:firstLine="360"/>
        <w:jc w:val="both"/>
      </w:pPr>
      <w:r>
        <w:rPr>
          <w:spacing w:val="-2"/>
        </w:rPr>
        <w:t>在合并财务报表中，合并方在合并中取得的被合并方的资产、负债，除因会计政策不同而进行的调整以外，按合并日在</w:t>
      </w:r>
      <w:r>
        <w:rPr/>
        <w:t> </w:t>
      </w:r>
      <w:r>
        <w:rPr>
          <w:spacing w:val="-2"/>
        </w:rPr>
        <w:t>最终控制方合并财务报表中的账面价值计量；合并前持有投资的账面价值加上合并日新支付对价的账面价值之和，与合并中</w:t>
      </w:r>
      <w:r>
        <w:rPr>
          <w:spacing w:val="-64"/>
        </w:rPr>
        <w:t> </w:t>
      </w:r>
      <w:r>
        <w:rPr>
          <w:spacing w:val="-64"/>
        </w:rPr>
      </w:r>
      <w:r>
        <w:rPr>
          <w:spacing w:val="-2"/>
        </w:rPr>
        <w:t>取得的净资产账面价值的差额，调整资本公积，资本公积不足冲减的，调整留存收益。合并方在取得被合并方控制权之前持</w:t>
      </w:r>
      <w:r>
        <w:rPr>
          <w:spacing w:val="-66"/>
        </w:rPr>
        <w:t> </w:t>
      </w:r>
      <w:r>
        <w:rPr>
          <w:spacing w:val="-66"/>
        </w:rPr>
      </w:r>
      <w:r>
        <w:rPr>
          <w:spacing w:val="-2"/>
        </w:rPr>
        <w:t>有的长期股权投资，在取得原股权之日与合并方与被合并方同处于同一方最终控制之日孰晚日起至合并日之间已确认有关损</w:t>
      </w:r>
      <w:r>
        <w:rPr>
          <w:spacing w:val="-64"/>
        </w:rPr>
        <w:t> </w:t>
      </w:r>
      <w:r>
        <w:rPr>
          <w:spacing w:val="-64"/>
        </w:rPr>
      </w:r>
      <w:r>
        <w:rPr/>
        <w:t>益、其他综合收益和其他所有者权益变动，应分别冲减比较报表期间的期初留存收益或当期损益。</w:t>
      </w:r>
    </w:p>
    <w:p>
      <w:pPr>
        <w:pStyle w:val="BodyText"/>
        <w:spacing w:line="415" w:lineRule="auto" w:before="134"/>
        <w:ind w:left="513" w:right="982"/>
        <w:jc w:val="left"/>
      </w:pPr>
      <w:r>
        <w:rPr/>
        <w:t>（</w:t>
      </w:r>
      <w:r>
        <w:rPr>
          <w:rFonts w:ascii="Times New Roman" w:hAnsi="Times New Roman" w:cs="Times New Roman" w:eastAsia="Times New Roman" w:hint="default"/>
        </w:rPr>
        <w:t>2</w:t>
      </w:r>
      <w:r>
        <w:rPr/>
        <w:t>）非同一控制下的企业合并 </w:t>
      </w:r>
      <w:r>
        <w:rPr>
          <w:spacing w:val="-2"/>
        </w:rPr>
        <w:t>对于非同一控制下的企业合并，合并成本为购买日为取得对被购买方的控制权而付出的资产、发生或承担的负债以及发</w:t>
      </w:r>
    </w:p>
    <w:p>
      <w:pPr>
        <w:pStyle w:val="BodyText"/>
        <w:spacing w:line="183" w:lineRule="exact"/>
        <w:ind w:right="982"/>
        <w:jc w:val="left"/>
      </w:pPr>
      <w:r>
        <w:rPr/>
        <w:t>行的权益性证券的公允价值。在购买日，取得的被购买方的资产、负债及或有负债按公允价值确认。</w:t>
      </w:r>
    </w:p>
    <w:p>
      <w:pPr>
        <w:spacing w:line="240" w:lineRule="auto" w:before="11"/>
        <w:rPr>
          <w:rFonts w:ascii="宋体" w:hAnsi="宋体" w:cs="宋体" w:eastAsia="宋体" w:hint="default"/>
          <w:sz w:val="14"/>
          <w:szCs w:val="14"/>
        </w:rPr>
      </w:pPr>
    </w:p>
    <w:p>
      <w:pPr>
        <w:pStyle w:val="BodyText"/>
        <w:spacing w:line="319" w:lineRule="auto"/>
        <w:ind w:right="982" w:firstLine="360"/>
        <w:jc w:val="left"/>
      </w:pPr>
      <w:r>
        <w:rPr>
          <w:spacing w:val="-2"/>
        </w:rPr>
        <w:t>对合并成本大于合并中取得的被购买方可辨认净资产公允价值份额的差额，确认为商誉，按成本扣除累计减值准备进行</w:t>
      </w:r>
      <w:r>
        <w:rPr/>
        <w:t> 后续计量；对合并成本小于合并中取得的被购买方可辨认净资产公允价值份额的差额，经复核后计入当期损益。</w:t>
      </w:r>
    </w:p>
    <w:p>
      <w:pPr>
        <w:pStyle w:val="BodyText"/>
        <w:spacing w:line="240" w:lineRule="auto" w:before="134"/>
        <w:ind w:left="513" w:right="982"/>
        <w:jc w:val="left"/>
      </w:pPr>
      <w:r>
        <w:rPr/>
        <w:t>通过多次交易分步实现非同一控制下的企业合并</w:t>
      </w:r>
    </w:p>
    <w:p>
      <w:pPr>
        <w:spacing w:line="240" w:lineRule="auto" w:before="1"/>
        <w:rPr>
          <w:rFonts w:ascii="宋体" w:hAnsi="宋体" w:cs="宋体" w:eastAsia="宋体" w:hint="default"/>
          <w:sz w:val="15"/>
          <w:szCs w:val="15"/>
        </w:rPr>
      </w:pPr>
    </w:p>
    <w:p>
      <w:pPr>
        <w:pStyle w:val="BodyText"/>
        <w:spacing w:line="319" w:lineRule="auto"/>
        <w:ind w:right="982" w:firstLine="360"/>
        <w:jc w:val="left"/>
      </w:pPr>
      <w:r>
        <w:rPr>
          <w:spacing w:val="-2"/>
        </w:rPr>
        <w:t>在个别财务报表中，以购买日之前所持被购买方的股权投资的账面价值与购买日新增投资成本之和，作为该项投资的初</w:t>
      </w:r>
      <w:r>
        <w:rPr/>
        <w:t> </w:t>
      </w:r>
      <w:r>
        <w:rPr>
          <w:spacing w:val="-4"/>
        </w:rPr>
        <w:t>始投资成本。购买日之前持有的股权投资因采用权益法核算而确认的其他综合收益，购买日对这部分其他综合收益不作处理，</w:t>
      </w:r>
      <w:r>
        <w:rPr>
          <w:spacing w:val="-44"/>
        </w:rPr>
        <w:t> </w:t>
      </w:r>
      <w:r>
        <w:rPr>
          <w:spacing w:val="-44"/>
        </w:rPr>
      </w:r>
      <w:r>
        <w:rPr>
          <w:spacing w:val="-2"/>
        </w:rPr>
        <w:t>在处置该项投资时采用与被投资单位直接处置相关资产或负债相同的基础进行会计处理；因被投资方除净损益、其他综合收</w:t>
      </w:r>
      <w:r>
        <w:rPr>
          <w:spacing w:val="-64"/>
        </w:rPr>
        <w:t> </w:t>
      </w:r>
      <w:r>
        <w:rPr>
          <w:spacing w:val="-64"/>
        </w:rPr>
      </w:r>
      <w:r>
        <w:rPr>
          <w:spacing w:val="-2"/>
        </w:rPr>
        <w:t>益和利润分配以外的其他所有者权益变动而确认的所有者权益，在处置该项投资时转入处置期间的当期损益。购买日之前持</w:t>
      </w:r>
      <w:r>
        <w:rPr>
          <w:spacing w:val="-64"/>
        </w:rPr>
        <w:t> </w:t>
      </w:r>
      <w:r>
        <w:rPr>
          <w:spacing w:val="-64"/>
        </w:rPr>
      </w:r>
      <w:r>
        <w:rPr/>
        <w:t>有的股权投资采用公允价值计量的，原计入其他综合收益的累计公允价值变动在改按成本法核算时转入当期损益。</w:t>
      </w:r>
    </w:p>
    <w:p>
      <w:pPr>
        <w:pStyle w:val="BodyText"/>
        <w:spacing w:line="319" w:lineRule="auto" w:before="134"/>
        <w:ind w:right="1034" w:firstLine="360"/>
        <w:jc w:val="left"/>
      </w:pPr>
      <w:r>
        <w:rPr/>
        <w:t>在合并财务报表中，合并成本为购买日支付的对价与购买日之前已经持有的被购买方的股权在购买日的公允价值之和。 </w:t>
      </w:r>
      <w:r>
        <w:rPr>
          <w:spacing w:val="-2"/>
        </w:rPr>
        <w:t>对于购买日之前已经持有的被购买方的股权，按照该股权在购买日的公允价值进行重新计量，公允价值与其账面价值之间的</w:t>
      </w:r>
      <w:r>
        <w:rPr>
          <w:spacing w:val="-64"/>
        </w:rPr>
        <w:t> </w:t>
      </w:r>
      <w:r>
        <w:rPr>
          <w:spacing w:val="-64"/>
        </w:rPr>
      </w:r>
      <w:r>
        <w:rPr/>
        <w:t>差额计入当期收益；购买日之前已经持有的被购买方的股权涉及其他综合收益、其他所有者权益变动转为购买日当期收益， 由于被投资方重新计量设定收益计划净负债或净资产变动而产生的其他综合收益除外。</w:t>
      </w:r>
    </w:p>
    <w:p>
      <w:pPr>
        <w:pStyle w:val="BodyText"/>
        <w:spacing w:line="415" w:lineRule="auto" w:before="135"/>
        <w:ind w:left="513" w:right="982"/>
        <w:jc w:val="left"/>
      </w:pPr>
      <w:r>
        <w:rPr/>
        <w:t>（</w:t>
      </w:r>
      <w:r>
        <w:rPr>
          <w:rFonts w:ascii="Times New Roman" w:hAnsi="Times New Roman" w:cs="Times New Roman" w:eastAsia="Times New Roman" w:hint="default"/>
        </w:rPr>
        <w:t>3</w:t>
      </w:r>
      <w:r>
        <w:rPr/>
        <w:t>）企业合并中有关交易费用的处理 </w:t>
      </w:r>
      <w:r>
        <w:rPr>
          <w:spacing w:val="-2"/>
        </w:rPr>
        <w:t>为进行企业合并发生的审计、法律服务、评估咨询等中介费用以及其他相关管理费用，于发生时计入当期损益。作为合</w:t>
      </w:r>
    </w:p>
    <w:p>
      <w:pPr>
        <w:spacing w:after="0" w:line="415"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82"/>
        <w:jc w:val="left"/>
      </w:pPr>
      <w:r>
        <w:rPr/>
        <w:t>并对价发行的权益性证券或债务性证券的交易费用，计入权益性证券或债务性证券的初始确认金额。</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412" w:lineRule="auto"/>
        <w:ind w:left="513" w:right="982"/>
        <w:jc w:val="left"/>
      </w:pPr>
      <w:r>
        <w:rPr/>
        <w:t>（</w:t>
      </w:r>
      <w:r>
        <w:rPr>
          <w:rFonts w:ascii="Times New Roman" w:hAnsi="Times New Roman" w:cs="Times New Roman" w:eastAsia="Times New Roman" w:hint="default"/>
        </w:rPr>
        <w:t>1</w:t>
      </w:r>
      <w:r>
        <w:rPr/>
        <w:t>）合并范围 </w:t>
      </w:r>
      <w:r>
        <w:rPr>
          <w:spacing w:val="-2"/>
        </w:rPr>
        <w:t>合并财务报表的合并范围以控制为基础予以确定。控制，是指本公司拥有对被投资单位的权力，通过参与被投资单位的</w:t>
      </w:r>
    </w:p>
    <w:p>
      <w:pPr>
        <w:pStyle w:val="BodyText"/>
        <w:spacing w:line="185" w:lineRule="exact"/>
        <w:ind w:right="982"/>
        <w:jc w:val="left"/>
      </w:pPr>
      <w:r>
        <w:rPr/>
        <w:t>相关活动而享有可变回报，并且有能力运用对被投资单位的权力影响其回报金额。子公司，是指被本公司控制的主体（含企</w:t>
      </w:r>
    </w:p>
    <w:p>
      <w:pPr>
        <w:pStyle w:val="BodyText"/>
        <w:spacing w:line="240" w:lineRule="auto" w:before="76"/>
        <w:ind w:right="982"/>
        <w:jc w:val="left"/>
      </w:pPr>
      <w:r>
        <w:rPr/>
        <w:t>业、被投资单位中可分割的部分、结构化主体等）。</w:t>
      </w:r>
    </w:p>
    <w:p>
      <w:pPr>
        <w:spacing w:line="240" w:lineRule="auto" w:before="11"/>
        <w:rPr>
          <w:rFonts w:ascii="宋体" w:hAnsi="宋体" w:cs="宋体" w:eastAsia="宋体" w:hint="default"/>
          <w:sz w:val="14"/>
          <w:szCs w:val="14"/>
        </w:rPr>
      </w:pPr>
    </w:p>
    <w:p>
      <w:pPr>
        <w:pStyle w:val="BodyText"/>
        <w:spacing w:line="417" w:lineRule="auto"/>
        <w:ind w:left="513" w:right="982"/>
        <w:jc w:val="left"/>
      </w:pPr>
      <w:r>
        <w:rPr/>
        <w:t>（</w:t>
      </w:r>
      <w:r>
        <w:rPr>
          <w:rFonts w:ascii="Times New Roman" w:hAnsi="Times New Roman" w:cs="Times New Roman" w:eastAsia="Times New Roman" w:hint="default"/>
        </w:rPr>
        <w:t>2</w:t>
      </w:r>
      <w:r>
        <w:rPr/>
        <w:t>）合并财务报表的编制方法 </w:t>
      </w:r>
      <w:r>
        <w:rPr>
          <w:spacing w:val="-2"/>
        </w:rPr>
        <w:t>合并财务报表以本公司和子公司的财务报表为基础，根据其他有关资料，由本公司编制。在编制合并财务报表时，本公</w:t>
      </w:r>
    </w:p>
    <w:p>
      <w:pPr>
        <w:pStyle w:val="BodyText"/>
        <w:spacing w:line="181" w:lineRule="exact"/>
        <w:ind w:right="982"/>
        <w:jc w:val="left"/>
      </w:pPr>
      <w:r>
        <w:rPr/>
        <w:t>司和子公司的会计政策和会计期间要求保持一致，公司间的重大交易和往来余额予以抵销。</w:t>
      </w:r>
    </w:p>
    <w:p>
      <w:pPr>
        <w:spacing w:line="240" w:lineRule="auto" w:before="11"/>
        <w:rPr>
          <w:rFonts w:ascii="宋体" w:hAnsi="宋体" w:cs="宋体" w:eastAsia="宋体" w:hint="default"/>
          <w:sz w:val="14"/>
          <w:szCs w:val="14"/>
        </w:rPr>
      </w:pPr>
    </w:p>
    <w:p>
      <w:pPr>
        <w:pStyle w:val="BodyText"/>
        <w:spacing w:line="319" w:lineRule="auto"/>
        <w:ind w:right="1132" w:firstLine="360"/>
        <w:jc w:val="both"/>
      </w:pPr>
      <w:r>
        <w:rPr>
          <w:spacing w:val="-2"/>
        </w:rPr>
        <w:t>在报告期内因同一控制下企业合并增加的子公司以及业务，视同该子公司以及业务自同受最终控制方控制之日起纳入本</w:t>
      </w:r>
      <w:r>
        <w:rPr/>
        <w:t> 公司的合并范围，将其自同受最终控制方控制之日起的经营成果、现金流量分别纳入合并利润表、合并现金流量表中。</w:t>
      </w:r>
    </w:p>
    <w:p>
      <w:pPr>
        <w:pStyle w:val="BodyText"/>
        <w:spacing w:line="319" w:lineRule="auto" w:before="134"/>
        <w:ind w:right="1051" w:firstLine="360"/>
        <w:jc w:val="both"/>
      </w:pPr>
      <w:r>
        <w:rPr/>
        <w:t>在报告期内因非同一控制下企业合并增加的子公司以及业务，将该子公司以及业务自购买日至报告期末的收入、费用、 利润纳入合并利润表，将其现金流量纳入合并现金流量表。</w:t>
      </w:r>
    </w:p>
    <w:p>
      <w:pPr>
        <w:pStyle w:val="BodyText"/>
        <w:spacing w:line="309" w:lineRule="auto" w:before="134"/>
        <w:ind w:right="1131" w:firstLine="360"/>
        <w:jc w:val="both"/>
      </w:pPr>
      <w:r>
        <w:rPr>
          <w:spacing w:val="-2"/>
        </w:rPr>
        <w:t>子公司的股东权益中不属于本公司所拥有的部分，作为少数股东权益在合并资产负债表中股东权益项下单独列示；子公</w:t>
      </w:r>
      <w:r>
        <w:rPr/>
        <w:t> </w:t>
      </w:r>
      <w:r>
        <w:rPr>
          <w:spacing w:val="-2"/>
        </w:rPr>
        <w:t>司当期净损益中属于少数股东权益的份额，在合并利润表中净利润项目下以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项目列示。少数股东分担的子公</w:t>
      </w:r>
      <w:r>
        <w:rPr>
          <w:spacing w:val="-45"/>
        </w:rPr>
        <w:t> </w:t>
      </w:r>
      <w:r>
        <w:rPr>
          <w:spacing w:val="-45"/>
        </w:rPr>
      </w:r>
      <w:r>
        <w:rPr/>
        <w:t>司的亏损超过了少数股东在该子公司期初所有者权益中所享有的份额，其余额仍冲减少数股东权益。</w:t>
      </w:r>
    </w:p>
    <w:p>
      <w:pPr>
        <w:pStyle w:val="BodyText"/>
        <w:spacing w:line="415" w:lineRule="auto" w:before="142"/>
        <w:ind w:left="513" w:right="982"/>
        <w:jc w:val="left"/>
      </w:pPr>
      <w:r>
        <w:rPr/>
        <w:t>（</w:t>
      </w:r>
      <w:r>
        <w:rPr>
          <w:rFonts w:ascii="Times New Roman" w:hAnsi="Times New Roman" w:cs="Times New Roman" w:eastAsia="Times New Roman" w:hint="default"/>
        </w:rPr>
        <w:t>3</w:t>
      </w:r>
      <w:r>
        <w:rPr/>
        <w:t>）购买子公司少数股东股权 因购买少数股权新取得的长期股权投资成本与按照新增持股比例计算应享有子公司自购买日或合并日开始持续计算的</w:t>
      </w:r>
    </w:p>
    <w:p>
      <w:pPr>
        <w:pStyle w:val="BodyText"/>
        <w:spacing w:line="183" w:lineRule="exact"/>
        <w:ind w:right="982"/>
        <w:jc w:val="left"/>
      </w:pPr>
      <w:r>
        <w:rPr/>
        <w:t>净资产份额之间的差额</w:t>
      </w:r>
      <w:r>
        <w:rPr>
          <w:spacing w:val="-82"/>
        </w:rPr>
        <w:t>，</w:t>
      </w:r>
      <w:r>
        <w:rPr/>
        <w:t>以及在不丧失控制权的情况下因部分处置对子公司的股权投资而取得的处置价款与处置长期股权投</w:t>
      </w:r>
    </w:p>
    <w:p>
      <w:pPr>
        <w:pStyle w:val="BodyText"/>
        <w:spacing w:line="316" w:lineRule="auto" w:before="76"/>
        <w:ind w:right="982"/>
        <w:jc w:val="left"/>
      </w:pPr>
      <w:r>
        <w:rPr>
          <w:spacing w:val="-2"/>
        </w:rPr>
        <w:t>资相对应享有子公司自购买日或合并日开始持续计算的净资产份额之间的差额，均调整合并资产负债表中的资本公积，资本</w:t>
      </w:r>
      <w:r>
        <w:rPr>
          <w:spacing w:val="-63"/>
        </w:rPr>
        <w:t> </w:t>
      </w:r>
      <w:r>
        <w:rPr>
          <w:spacing w:val="-63"/>
        </w:rPr>
      </w:r>
      <w:r>
        <w:rPr/>
        <w:t>公积不足冲减的，调整留存收益。</w:t>
      </w:r>
    </w:p>
    <w:p>
      <w:pPr>
        <w:pStyle w:val="BodyText"/>
        <w:spacing w:line="415" w:lineRule="auto" w:before="136"/>
        <w:ind w:left="513" w:right="982"/>
        <w:jc w:val="left"/>
      </w:pPr>
      <w:r>
        <w:rPr/>
        <w:t>（</w:t>
      </w:r>
      <w:r>
        <w:rPr>
          <w:rFonts w:ascii="Times New Roman" w:hAnsi="Times New Roman" w:cs="Times New Roman" w:eastAsia="Times New Roman" w:hint="default"/>
        </w:rPr>
        <w:t>4</w:t>
      </w:r>
      <w:r>
        <w:rPr/>
        <w:t>）丧失子公司控制权的处理 </w:t>
      </w:r>
      <w:r>
        <w:rPr>
          <w:spacing w:val="-2"/>
        </w:rPr>
        <w:t>因处置部分股权投资或其他原因丧失了对原有子公司控制权的，剩余股权按照其在丧失控制权日的公允价值进行重新计</w:t>
      </w:r>
    </w:p>
    <w:p>
      <w:pPr>
        <w:pStyle w:val="BodyText"/>
        <w:spacing w:line="183" w:lineRule="exact"/>
        <w:ind w:right="982"/>
        <w:jc w:val="left"/>
      </w:pPr>
      <w:r>
        <w:rPr/>
        <w:t>量；处置股权取得的对价与剩余股权公允价值之和，减去按原持股比例计算应享有原有子公司自购买日开始持续计算的净资</w:t>
      </w:r>
    </w:p>
    <w:p>
      <w:pPr>
        <w:pStyle w:val="BodyText"/>
        <w:spacing w:line="240" w:lineRule="auto" w:before="76"/>
        <w:ind w:right="982"/>
        <w:jc w:val="left"/>
      </w:pPr>
      <w:r>
        <w:rPr/>
        <w:t>产账面价值的份额与商誉之和，形成的差额计入丧失控制权当期的投资收益。</w:t>
      </w:r>
    </w:p>
    <w:p>
      <w:pPr>
        <w:spacing w:line="240" w:lineRule="auto" w:before="11"/>
        <w:rPr>
          <w:rFonts w:ascii="宋体" w:hAnsi="宋体" w:cs="宋体" w:eastAsia="宋体" w:hint="default"/>
          <w:sz w:val="14"/>
          <w:szCs w:val="14"/>
        </w:rPr>
      </w:pPr>
    </w:p>
    <w:p>
      <w:pPr>
        <w:pStyle w:val="BodyText"/>
        <w:spacing w:line="319" w:lineRule="auto"/>
        <w:ind w:right="1131" w:firstLine="360"/>
        <w:jc w:val="both"/>
      </w:pPr>
      <w:r>
        <w:rPr>
          <w:spacing w:val="-2"/>
        </w:rPr>
        <w:t>与原有子公司的股权投资相关的其他综合收益等，在丧失控制权时转入当期损益，由于被投资方重新计量设定收益计划</w:t>
      </w:r>
      <w:r>
        <w:rPr/>
        <w:t> 净负债或净资产变动而产生的其他综合收益除外。</w:t>
      </w:r>
    </w:p>
    <w:p>
      <w:pPr>
        <w:spacing w:line="240" w:lineRule="auto" w:before="6"/>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合营安排，是指一项由两个或两个以上的参与方共同控制的安排。本集团合营安排分为共同经营和合营企业。</w:t>
      </w:r>
    </w:p>
    <w:p>
      <w:pPr>
        <w:spacing w:line="240" w:lineRule="auto" w:before="0"/>
        <w:rPr>
          <w:rFonts w:ascii="宋体" w:hAnsi="宋体" w:cs="宋体" w:eastAsia="宋体" w:hint="default"/>
          <w:sz w:val="15"/>
          <w:szCs w:val="15"/>
        </w:rPr>
      </w:pPr>
    </w:p>
    <w:p>
      <w:pPr>
        <w:pStyle w:val="BodyText"/>
        <w:spacing w:line="415" w:lineRule="auto"/>
        <w:ind w:left="513" w:right="4273"/>
        <w:jc w:val="left"/>
      </w:pPr>
      <w:r>
        <w:rPr/>
        <w:t>（</w:t>
      </w:r>
      <w:r>
        <w:rPr>
          <w:rFonts w:ascii="Times New Roman" w:hAnsi="Times New Roman" w:cs="Times New Roman" w:eastAsia="Times New Roman" w:hint="default"/>
        </w:rPr>
        <w:t>1</w:t>
      </w:r>
      <w:r>
        <w:rPr/>
        <w:t>）共同经营 共同经营是指本集团享有该安排相关资产且承担该安排相关负债的合营安排。</w:t>
      </w:r>
    </w:p>
    <w:p>
      <w:pPr>
        <w:pStyle w:val="BodyText"/>
        <w:spacing w:line="427" w:lineRule="auto" w:before="65"/>
        <w:ind w:left="513" w:right="2473"/>
        <w:jc w:val="left"/>
      </w:pPr>
      <w:r>
        <w:rPr/>
        <w:t>本集团确认与共同经营中利益份额相关的下列项目，并按照相关企业会计准则的规定进行会计处理： </w:t>
      </w:r>
      <w:r>
        <w:rPr>
          <w:rFonts w:ascii="Times New Roman" w:hAnsi="Times New Roman" w:cs="Times New Roman" w:eastAsia="Times New Roman" w:hint="default"/>
        </w:rPr>
        <w:t>A</w:t>
      </w:r>
      <w:r>
        <w:rPr/>
        <w:t>、确认单独所持有的资产，以及按其份额确认共同持有的资产； </w:t>
      </w:r>
      <w:r>
        <w:rPr>
          <w:rFonts w:ascii="Times New Roman" w:hAnsi="Times New Roman" w:cs="Times New Roman" w:eastAsia="Times New Roman" w:hint="default"/>
        </w:rPr>
        <w:t>B</w:t>
      </w:r>
      <w:r>
        <w:rPr/>
        <w:t>、确认单独所承担的负债，以及按其份额确认共同承担的负债；</w:t>
      </w:r>
    </w:p>
    <w:p>
      <w:pPr>
        <w:spacing w:after="0" w:line="427"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415" w:lineRule="auto" w:before="44"/>
        <w:ind w:left="513" w:right="4883"/>
        <w:jc w:val="left"/>
      </w:pPr>
      <w:r>
        <w:rPr>
          <w:rFonts w:ascii="Times New Roman" w:hAnsi="Times New Roman" w:cs="Times New Roman" w:eastAsia="Times New Roman" w:hint="default"/>
        </w:rPr>
        <w:t>C</w:t>
      </w:r>
      <w:r>
        <w:rPr/>
        <w:t>、确认出售其享有的共同经营产出份额所产生的收入； </w:t>
      </w:r>
      <w:r>
        <w:rPr>
          <w:rFonts w:ascii="Times New Roman" w:hAnsi="Times New Roman" w:cs="Times New Roman" w:eastAsia="Times New Roman" w:hint="default"/>
        </w:rPr>
        <w:t>D</w:t>
      </w:r>
      <w:r>
        <w:rPr/>
        <w:t>、按其份额确认共同经营因出售产出所产生的收入； </w:t>
      </w:r>
      <w:r>
        <w:rPr>
          <w:rFonts w:ascii="Times New Roman" w:hAnsi="Times New Roman" w:cs="Times New Roman" w:eastAsia="Times New Roman" w:hint="default"/>
        </w:rPr>
        <w:t>E</w:t>
      </w:r>
      <w:r>
        <w:rPr/>
        <w:t>、确认单独所发生的费用，以及按其份额确认共同经营发生的费用。</w:t>
      </w:r>
    </w:p>
    <w:p>
      <w:pPr>
        <w:pStyle w:val="BodyText"/>
        <w:spacing w:line="415" w:lineRule="auto" w:before="37"/>
        <w:ind w:left="513" w:right="5353"/>
        <w:jc w:val="left"/>
      </w:pPr>
      <w:r>
        <w:rPr/>
        <w:t>（</w:t>
      </w:r>
      <w:r>
        <w:rPr>
          <w:rFonts w:ascii="Times New Roman" w:hAnsi="Times New Roman" w:cs="Times New Roman" w:eastAsia="Times New Roman" w:hint="default"/>
        </w:rPr>
        <w:t>2</w:t>
      </w:r>
      <w:r>
        <w:rPr/>
        <w:t>）合营企业 合营企业是指本集团仅对该安排的净资产享有权利的合营安排。</w:t>
      </w:r>
    </w:p>
    <w:p>
      <w:pPr>
        <w:pStyle w:val="BodyText"/>
        <w:spacing w:line="240" w:lineRule="auto" w:before="65"/>
        <w:ind w:left="513" w:right="982"/>
        <w:jc w:val="left"/>
      </w:pPr>
      <w:r>
        <w:rPr/>
        <w:t>本集团按照长期股权投资有关权益法核算的规定对合营企业的投资进行会计处理。</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982" w:firstLine="360"/>
        <w:jc w:val="left"/>
      </w:pPr>
      <w:r>
        <w:rPr>
          <w:spacing w:val="-2"/>
        </w:rPr>
        <w:t>现金是指库存现金以及可以随时用于支付的存款。现金等价物，是指本集团持有的期限短、流动性强、易于转换为已知</w:t>
      </w:r>
      <w:r>
        <w:rPr/>
        <w:t> 金额现金、价值变动风险很小的投资。</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w:t>
      </w:r>
      <w:r>
        <w:rPr>
          <w:b w:val="0"/>
          <w:bCs w:val="0"/>
        </w:rPr>
      </w:r>
    </w:p>
    <w:p>
      <w:pPr>
        <w:pStyle w:val="BodyText"/>
        <w:spacing w:line="430" w:lineRule="atLeast" w:before="150"/>
        <w:ind w:left="513" w:right="982"/>
        <w:jc w:val="left"/>
      </w:pPr>
      <w:r>
        <w:rPr/>
        <w:t>本集团发生外币业务，按照系统合理的方法确定的、与交易发生日即期汇率近似的汇率折算为记账本位币金额。 </w:t>
      </w:r>
      <w:r>
        <w:rPr>
          <w:spacing w:val="-2"/>
        </w:rPr>
        <w:t>资产负债表日，对外币货币性项目，采用资产负债表日即期汇率折算。因资产负债表日即期汇率与初始确认时或者前一</w:t>
      </w:r>
    </w:p>
    <w:p>
      <w:pPr>
        <w:pStyle w:val="BodyText"/>
        <w:spacing w:line="316" w:lineRule="auto" w:before="76"/>
        <w:ind w:right="1130"/>
        <w:jc w:val="both"/>
      </w:pPr>
      <w:r>
        <w:rPr>
          <w:spacing w:val="-2"/>
        </w:rPr>
        <w:t>资产负债表日即期汇率不同而产生的汇兑差额，计入当期损益；对以历史成本计量的外币非货币性项目，仍采用交易发生日</w:t>
      </w:r>
      <w:r>
        <w:rPr>
          <w:spacing w:val="-63"/>
        </w:rPr>
        <w:t> </w:t>
      </w:r>
      <w:r>
        <w:rPr>
          <w:spacing w:val="-63"/>
        </w:rPr>
      </w:r>
      <w:r>
        <w:rPr>
          <w:spacing w:val="-2"/>
        </w:rPr>
        <w:t>的即期汇率折算；对以公允价值计量的外币非货币性项目，采用公允价值确定日的即期汇率折算，折算后的记账本位币金额</w:t>
      </w:r>
      <w:r>
        <w:rPr>
          <w:spacing w:val="-63"/>
        </w:rPr>
        <w:t> </w:t>
      </w:r>
      <w:r>
        <w:rPr>
          <w:spacing w:val="-63"/>
        </w:rPr>
      </w:r>
      <w:r>
        <w:rPr/>
        <w:t>与原记账本位币金额的差额，计入当期损益。</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412" w:lineRule="auto"/>
        <w:ind w:left="513" w:right="3913"/>
        <w:jc w:val="left"/>
      </w:pPr>
      <w:r>
        <w:rPr>
          <w:rFonts w:ascii="Times New Roman" w:hAnsi="Times New Roman" w:cs="Times New Roman" w:eastAsia="Times New Roman" w:hint="default"/>
        </w:rPr>
        <w:t>1</w:t>
      </w:r>
      <w:r>
        <w:rPr/>
        <w:t>、金融工具 金融工具是指形成一方的金融资产，并形成其他方的金融负债或权益工具的合同。</w:t>
      </w:r>
    </w:p>
    <w:p>
      <w:pPr>
        <w:pStyle w:val="BodyText"/>
        <w:spacing w:line="427" w:lineRule="auto" w:before="67"/>
        <w:ind w:left="513" w:right="4993"/>
        <w:jc w:val="left"/>
      </w:pPr>
      <w:r>
        <w:rPr/>
        <w:t>（</w:t>
      </w:r>
      <w:r>
        <w:rPr>
          <w:rFonts w:ascii="Times New Roman" w:hAnsi="Times New Roman" w:cs="Times New Roman" w:eastAsia="Times New Roman"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56"/>
        <w:ind w:left="513" w:right="982"/>
        <w:jc w:val="left"/>
      </w:pPr>
      <w:r>
        <w:rPr/>
        <w:t>①</w:t>
      </w:r>
      <w:r>
        <w:rPr>
          <w:spacing w:val="-18"/>
        </w:rPr>
        <w:t> </w:t>
      </w:r>
      <w:r>
        <w:rPr/>
        <w:t>收取该金融资产现金流量的合同权利终止；</w:t>
      </w:r>
    </w:p>
    <w:p>
      <w:pPr>
        <w:pStyle w:val="BodyText"/>
        <w:spacing w:line="430" w:lineRule="atLeast" w:before="2"/>
        <w:ind w:left="513" w:right="982"/>
        <w:jc w:val="left"/>
      </w:pPr>
      <w:r>
        <w:rPr/>
        <w:t>②</w:t>
      </w:r>
      <w:r>
        <w:rPr>
          <w:spacing w:val="-18"/>
        </w:rPr>
        <w:t> </w:t>
      </w:r>
      <w:r>
        <w:rPr/>
        <w:t>该金融资产已转移，且符合下述金融资产转移的终止确认条件。</w:t>
      </w:r>
      <w:r>
        <w:rPr/>
        <w:t> </w:t>
      </w:r>
      <w:r>
        <w:rPr>
          <w:spacing w:val="-2"/>
        </w:rPr>
        <w:t>金融负债的现时义务全部或部分已经解除的，终止确认该金融负债或其一部分。本集团（债务人）与债权人之间签订协</w:t>
      </w:r>
    </w:p>
    <w:p>
      <w:pPr>
        <w:pStyle w:val="BodyText"/>
        <w:spacing w:line="316" w:lineRule="auto" w:before="79"/>
        <w:ind w:right="982"/>
        <w:jc w:val="left"/>
      </w:pPr>
      <w:r>
        <w:rPr>
          <w:spacing w:val="-2"/>
        </w:rPr>
        <w:t>议，以承担新金融负债方式替换现存金融负债，且新金融负债与现存金融负债的合同条款实质上不同的，终止确认现存金融</w:t>
      </w:r>
      <w:r>
        <w:rPr>
          <w:spacing w:val="-63"/>
        </w:rPr>
        <w:t> </w:t>
      </w:r>
      <w:r>
        <w:rPr>
          <w:spacing w:val="-63"/>
        </w:rPr>
      </w:r>
      <w:r>
        <w:rPr/>
        <w:t>负债，并同时确认新金融负债。</w:t>
      </w:r>
    </w:p>
    <w:p>
      <w:pPr>
        <w:pStyle w:val="BodyText"/>
        <w:spacing w:line="240" w:lineRule="auto" w:before="136"/>
        <w:ind w:left="513" w:right="982"/>
        <w:jc w:val="left"/>
      </w:pPr>
      <w:r>
        <w:rPr/>
        <w:t>以常规方式买卖金融资产，按交易日进行会计确认和终止确认。</w:t>
      </w:r>
    </w:p>
    <w:p>
      <w:pPr>
        <w:spacing w:line="240" w:lineRule="auto" w:before="0"/>
        <w:rPr>
          <w:rFonts w:ascii="宋体" w:hAnsi="宋体" w:cs="宋体" w:eastAsia="宋体" w:hint="default"/>
          <w:sz w:val="15"/>
          <w:szCs w:val="15"/>
        </w:rPr>
      </w:pPr>
    </w:p>
    <w:p>
      <w:pPr>
        <w:pStyle w:val="BodyText"/>
        <w:spacing w:line="415" w:lineRule="auto"/>
        <w:ind w:left="513" w:right="982"/>
        <w:jc w:val="left"/>
      </w:pPr>
      <w:r>
        <w:rPr/>
        <w:t>（</w:t>
      </w:r>
      <w:r>
        <w:rPr>
          <w:rFonts w:ascii="Times New Roman" w:hAnsi="Times New Roman" w:cs="Times New Roman" w:eastAsia="Times New Roman" w:hint="default"/>
        </w:rPr>
        <w:t>2</w:t>
      </w:r>
      <w:r>
        <w:rPr/>
        <w:t>）金融资产分类和计量 </w:t>
      </w:r>
      <w:r>
        <w:rPr>
          <w:spacing w:val="-2"/>
        </w:rPr>
        <w:t>本集团在初始确认时根据管理金融资产的业务模式和金融资产的合同现金流量特征，将金融资产分为以下三类：以摊余</w:t>
      </w:r>
    </w:p>
    <w:p>
      <w:pPr>
        <w:pStyle w:val="BodyText"/>
        <w:spacing w:line="183" w:lineRule="exact"/>
        <w:ind w:right="0"/>
        <w:jc w:val="both"/>
      </w:pPr>
      <w:r>
        <w:rPr/>
        <w:t>成本计量的金融资产、以公允价值计量且其变动计入其他综合收益的金融资产、以公允价值计量且其变动计入当期损益的金</w:t>
      </w:r>
    </w:p>
    <w:p>
      <w:pPr>
        <w:pStyle w:val="BodyText"/>
        <w:spacing w:line="240" w:lineRule="auto" w:before="77"/>
        <w:ind w:right="0"/>
        <w:jc w:val="both"/>
      </w:pPr>
      <w:r>
        <w:rPr/>
        <w:t>融资产。</w:t>
      </w:r>
    </w:p>
    <w:p>
      <w:pPr>
        <w:spacing w:line="240" w:lineRule="auto" w:before="11"/>
        <w:rPr>
          <w:rFonts w:ascii="宋体" w:hAnsi="宋体" w:cs="宋体" w:eastAsia="宋体" w:hint="default"/>
          <w:sz w:val="14"/>
          <w:szCs w:val="14"/>
        </w:rPr>
      </w:pPr>
    </w:p>
    <w:p>
      <w:pPr>
        <w:pStyle w:val="BodyText"/>
        <w:spacing w:line="240" w:lineRule="auto"/>
        <w:ind w:left="513" w:right="982"/>
        <w:jc w:val="left"/>
      </w:pPr>
      <w:r>
        <w:rPr/>
        <w:t>以摊余成本计量的金融资产</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982" w:firstLine="360"/>
        <w:jc w:val="left"/>
      </w:pPr>
      <w:r>
        <w:rPr>
          <w:spacing w:val="-2"/>
        </w:rPr>
        <w:t>本集团将同时符合下列条件且未被指定为以公允价值计量且其变动计入当期损益的金融资产，分类为以摊余成本计量的</w:t>
      </w:r>
      <w:r>
        <w:rPr/>
        <w:t> 金融资产：</w:t>
      </w:r>
    </w:p>
    <w:p>
      <w:pPr>
        <w:pStyle w:val="BodyText"/>
        <w:spacing w:line="432" w:lineRule="exact" w:before="3"/>
        <w:ind w:left="513" w:right="982"/>
        <w:jc w:val="left"/>
      </w:pPr>
      <w:r>
        <w:rPr/>
        <w:t>本集团管理该金融资产的业务模式是以收取合同现金流量为目标； 该金融资产的合同条款规定，在特定日期产生的现金流量，仅为对本金和以未偿付本金金额为基础的利息的支付。 </w:t>
      </w:r>
      <w:r>
        <w:rPr>
          <w:spacing w:val="-2"/>
        </w:rPr>
        <w:t>初始确认后，对于该类金融资产采用实际利率法以摊余成本计量。以摊余成本计量且不属于任何套期关系的一部分的金</w:t>
      </w:r>
    </w:p>
    <w:p>
      <w:pPr>
        <w:pStyle w:val="BodyText"/>
        <w:spacing w:line="439" w:lineRule="auto" w:before="15"/>
        <w:ind w:left="513" w:right="982" w:hanging="361"/>
        <w:jc w:val="left"/>
      </w:pPr>
      <w:r>
        <w:rPr/>
        <w:t>融资产所产生的利得或损失，在终止确认、按照实际利率法摊销或确认减值时，计入当期损益。 以公允价值计量且其变动计入其他综合收益的金融资产</w:t>
      </w:r>
    </w:p>
    <w:p>
      <w:pPr>
        <w:pStyle w:val="BodyText"/>
        <w:spacing w:line="316" w:lineRule="auto" w:before="47"/>
        <w:ind w:right="982" w:firstLine="360"/>
        <w:jc w:val="left"/>
      </w:pPr>
      <w:r>
        <w:rPr>
          <w:spacing w:val="-2"/>
        </w:rPr>
        <w:t>本集团将同时符合下列条件且未被指定为以公允价值计量且其变动计入当期损益的金融资产，分类为以公允价值计量且</w:t>
      </w:r>
      <w:r>
        <w:rPr/>
        <w:t> 其变动计入其他综合收益的金融资产：</w:t>
      </w:r>
    </w:p>
    <w:p>
      <w:pPr>
        <w:pStyle w:val="BodyText"/>
        <w:spacing w:line="432" w:lineRule="exact" w:before="4"/>
        <w:ind w:left="513" w:right="982"/>
        <w:jc w:val="left"/>
      </w:pPr>
      <w:r>
        <w:rPr/>
        <w:t>本集团管理该金融资产的业务模式既以收取合同现金流量为目标又以出售该金融资产为目标； 该金融资产的合同条款规定，在特定日期产生的现金流量，仅为对本金和以未偿付本金金额为基础的利息的支付。 </w:t>
      </w:r>
      <w:r>
        <w:rPr>
          <w:spacing w:val="-2"/>
        </w:rPr>
        <w:t>初始确认后，对于该类金融资产以公允价值进行后续计量。采用实际利率法计算的利息、减值损失或利得及汇兑损益计</w:t>
      </w:r>
    </w:p>
    <w:p>
      <w:pPr>
        <w:pStyle w:val="BodyText"/>
        <w:spacing w:line="316" w:lineRule="auto" w:before="15"/>
        <w:ind w:right="1130"/>
        <w:jc w:val="both"/>
      </w:pPr>
      <w:r>
        <w:rPr>
          <w:spacing w:val="-2"/>
        </w:rPr>
        <w:t>入当期损益，其他利得或损失计入其他综合收益。终止确认时，将之前计入其他综合收益的累计利得或损失从其他综合收益</w:t>
      </w:r>
      <w:r>
        <w:rPr>
          <w:spacing w:val="-63"/>
        </w:rPr>
        <w:t> </w:t>
      </w:r>
      <w:r>
        <w:rPr>
          <w:spacing w:val="-63"/>
        </w:rPr>
      </w:r>
      <w:r>
        <w:rPr/>
        <w:t>中转出，计入当期损益。</w:t>
      </w:r>
    </w:p>
    <w:p>
      <w:pPr>
        <w:pStyle w:val="BodyText"/>
        <w:spacing w:line="432" w:lineRule="exact" w:before="3"/>
        <w:ind w:left="513" w:right="982"/>
        <w:jc w:val="left"/>
      </w:pPr>
      <w:r>
        <w:rPr/>
        <w:t>以公允价值计量且其变动计入当期损益的金融资产 </w:t>
      </w:r>
      <w:r>
        <w:rPr>
          <w:spacing w:val="-2"/>
        </w:rPr>
        <w:t>除上述以摊余成本计量和以公允价值计量且其变动计入其他综合收益的金融资产外，本集团将其余所有的金融资产分类</w:t>
      </w:r>
    </w:p>
    <w:p>
      <w:pPr>
        <w:pStyle w:val="BodyText"/>
        <w:spacing w:line="319" w:lineRule="auto" w:before="15"/>
        <w:ind w:right="1130"/>
        <w:jc w:val="both"/>
      </w:pPr>
      <w:r>
        <w:rPr>
          <w:spacing w:val="-2"/>
        </w:rPr>
        <w:t>为以公允价值计量且其变动计入当期损益的金融资产。在初始确认时，为消除或显著减少会计错配，本集团将部分本应以摊</w:t>
      </w:r>
      <w:r>
        <w:rPr>
          <w:spacing w:val="-63"/>
        </w:rPr>
        <w:t> </w:t>
      </w:r>
      <w:r>
        <w:rPr>
          <w:spacing w:val="-63"/>
        </w:rPr>
      </w:r>
      <w:r>
        <w:rPr/>
        <w:t>余成本计量或以公允价值计量且其变动计入其他综合收益的金融资产不可撤销地指定为以公允价值计量且其变动计入当期</w:t>
      </w:r>
      <w:r>
        <w:rPr>
          <w:spacing w:val="-11"/>
        </w:rPr>
        <w:t> </w:t>
      </w:r>
      <w:r>
        <w:rPr>
          <w:spacing w:val="-11"/>
        </w:rPr>
      </w:r>
      <w:r>
        <w:rPr/>
        <w:t>损益的金融资产。</w:t>
      </w:r>
    </w:p>
    <w:p>
      <w:pPr>
        <w:pStyle w:val="BodyText"/>
        <w:spacing w:line="316" w:lineRule="auto" w:before="137"/>
        <w:ind w:right="1034" w:firstLine="360"/>
        <w:jc w:val="left"/>
      </w:pPr>
      <w:r>
        <w:rPr/>
        <w:t>初始确认后，对于该类金融资产以公允价值进行后续计量，产生的利得或损失（包括利息和股利收入）计入当期损益， 除非该金融资产属于套期关系的一部分。</w:t>
      </w:r>
    </w:p>
    <w:p>
      <w:pPr>
        <w:pStyle w:val="BodyText"/>
        <w:spacing w:line="316" w:lineRule="auto" w:before="139"/>
        <w:ind w:right="1034" w:firstLine="360"/>
        <w:jc w:val="left"/>
      </w:pPr>
      <w:r>
        <w:rPr>
          <w:spacing w:val="-2"/>
        </w:rPr>
        <w:t>但是，对于非交易性权益工具投资，本集团在初始确认时将其不可撤销地指定为以公允价值计量且其变动计入其他综合</w:t>
      </w:r>
      <w:r>
        <w:rPr/>
        <w:t> </w:t>
      </w:r>
      <w:r>
        <w:rPr>
          <w:spacing w:val="-2"/>
        </w:rPr>
        <w:t>收益的金融资产。该指定在单项投资的基础上作出，且相关投资从发行方的角度符合权益工具的定义。初始确认后，对于该</w:t>
      </w:r>
      <w:r>
        <w:rPr>
          <w:spacing w:val="-64"/>
        </w:rPr>
        <w:t> </w:t>
      </w:r>
      <w:r>
        <w:rPr>
          <w:spacing w:val="-64"/>
        </w:rPr>
      </w:r>
      <w:r>
        <w:rPr/>
        <w:t>类金融资产以公允价值进行后续计量。满足条件的股利收入计入损益，其他利得或损失及公允价值变动计入其他综合收益。 终止确认时，将之前计入其他综合收益的累计利得或损失从其他综合收益中转出，计入留存收益。</w:t>
      </w:r>
    </w:p>
    <w:p>
      <w:pPr>
        <w:pStyle w:val="BodyText"/>
        <w:spacing w:line="319" w:lineRule="auto" w:before="139"/>
        <w:ind w:right="1131" w:firstLine="360"/>
        <w:jc w:val="both"/>
      </w:pPr>
      <w:r>
        <w:rPr>
          <w:spacing w:val="-2"/>
        </w:rPr>
        <w:t>管理金融资产的业务模式，是指本集团如何管理金融资产以产生现金流量。业务模式决定本集团所管理金融资产现金流</w:t>
      </w:r>
      <w:r>
        <w:rPr/>
        <w:t> </w:t>
      </w:r>
      <w:r>
        <w:rPr>
          <w:spacing w:val="-2"/>
        </w:rPr>
        <w:t>量的来源是收取合同现金流量、出售金融资产还是两者兼有。本集团以客观事实为依据、以关键管理人员决定的对金融资产</w:t>
      </w:r>
      <w:r>
        <w:rPr>
          <w:spacing w:val="-63"/>
        </w:rPr>
        <w:t> </w:t>
      </w:r>
      <w:r>
        <w:rPr>
          <w:spacing w:val="-63"/>
        </w:rPr>
      </w:r>
      <w:r>
        <w:rPr/>
        <w:t>进行管理的特定业务目标为基础，确定管理金融资产的业务模式。</w:t>
      </w:r>
    </w:p>
    <w:p>
      <w:pPr>
        <w:pStyle w:val="BodyText"/>
        <w:spacing w:line="316" w:lineRule="auto" w:before="137"/>
        <w:ind w:right="1034" w:firstLine="360"/>
        <w:jc w:val="left"/>
      </w:pPr>
      <w:r>
        <w:rPr>
          <w:spacing w:val="-2"/>
        </w:rPr>
        <w:t>本集团对金融资产的合同现金流量特征进行评估，以确定相关金融资产在特定日期产生的合同现金流量是否仅为对本金</w:t>
      </w:r>
      <w:r>
        <w:rPr/>
        <w:t> 和以未偿付本金金额为基础的利息的支付。其中，本金是指金融资产在初始确认时的公允价值；利息包括对货币时间价值、 </w:t>
      </w:r>
      <w:r>
        <w:rPr>
          <w:spacing w:val="-2"/>
        </w:rPr>
        <w:t>与特定时期未偿付本金金额相关的信用风险、以及其他基本借贷风险、成本和利润的对价。此外，本集团对可能导致金融资</w:t>
      </w:r>
      <w:r>
        <w:rPr>
          <w:spacing w:val="-64"/>
        </w:rPr>
        <w:t> </w:t>
      </w:r>
      <w:r>
        <w:rPr>
          <w:spacing w:val="-64"/>
        </w:rPr>
      </w:r>
      <w:r>
        <w:rPr/>
        <w:t>产合同现金流量的时间分布或金额发生变更的合同条款进行评估，以确定其是否满足上述合同现金流量特征的要求。</w:t>
      </w:r>
    </w:p>
    <w:p>
      <w:pPr>
        <w:pStyle w:val="BodyText"/>
        <w:spacing w:line="316" w:lineRule="auto" w:before="139"/>
        <w:ind w:right="982" w:firstLine="360"/>
        <w:jc w:val="left"/>
      </w:pPr>
      <w:r>
        <w:rPr>
          <w:spacing w:val="-2"/>
        </w:rPr>
        <w:t>仅在本集团改变管理金融资产的业务模式时，所有受影响的相关金融资产在业务模式发生变更后的首个报告期间的第一</w:t>
      </w:r>
      <w:r>
        <w:rPr/>
        <w:t> 天进行重分类，否则金融资产在初始确认后不得进行重分类。</w:t>
      </w:r>
    </w:p>
    <w:p>
      <w:pPr>
        <w:pStyle w:val="BodyText"/>
        <w:spacing w:line="319" w:lineRule="auto" w:before="139"/>
        <w:ind w:right="1131" w:firstLine="360"/>
        <w:jc w:val="both"/>
      </w:pPr>
      <w:r>
        <w:rPr>
          <w:spacing w:val="-2"/>
        </w:rPr>
        <w:t>金融资产在初始确认时以公允价值计量。对于以公允价值计量且其变动计入当期损益的金融资产，相关交易费用直接计</w:t>
      </w:r>
      <w:r>
        <w:rPr/>
        <w:t> </w:t>
      </w:r>
      <w:r>
        <w:rPr>
          <w:spacing w:val="-2"/>
        </w:rPr>
        <w:t>入当期损益；对于其他类别的金融资产，相关交易费用计入初始确认金额。因销售产品或提供劳务而产生的、未包含或不考</w:t>
      </w:r>
      <w:r>
        <w:rPr>
          <w:spacing w:val="-65"/>
        </w:rPr>
        <w:t> </w:t>
      </w:r>
      <w:r>
        <w:rPr>
          <w:spacing w:val="-65"/>
        </w:rPr>
      </w:r>
      <w:r>
        <w:rPr/>
        <w:t>虑重大融资成分的应收账款，本集团按照预期有权收取的对价金额作为初始确认金额。</w:t>
      </w:r>
    </w:p>
    <w:p>
      <w:pPr>
        <w:pStyle w:val="BodyText"/>
        <w:spacing w:line="240" w:lineRule="auto" w:before="137"/>
        <w:ind w:left="513" w:right="982"/>
        <w:jc w:val="left"/>
      </w:pPr>
      <w:r>
        <w:rPr/>
        <w:t>（</w:t>
      </w:r>
      <w:r>
        <w:rPr>
          <w:rFonts w:ascii="Times New Roman" w:hAnsi="Times New Roman" w:cs="Times New Roman" w:eastAsia="Times New Roman" w:hint="default"/>
        </w:rPr>
        <w:t>3</w:t>
      </w:r>
      <w:r>
        <w:rPr/>
        <w:t>）金融负债分类和计量</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2" w:firstLine="360"/>
        <w:jc w:val="both"/>
      </w:pPr>
      <w:r>
        <w:rPr>
          <w:spacing w:val="-2"/>
        </w:rPr>
        <w:t>本集团的金融负债于初始确认时分类为：以公允价值计量且其变动计入当期损益的金融负债、以摊余成本计量的金融负</w:t>
      </w:r>
      <w:r>
        <w:rPr/>
        <w:t> 债。对于未划分为以公允价值计量且其变动计入当期损益的金融负债的，相关交易费用计入其初始确认金额。</w:t>
      </w:r>
    </w:p>
    <w:p>
      <w:pPr>
        <w:pStyle w:val="BodyText"/>
        <w:spacing w:line="432" w:lineRule="exact" w:before="3"/>
        <w:ind w:left="513" w:right="982"/>
        <w:jc w:val="left"/>
      </w:pPr>
      <w:r>
        <w:rPr/>
        <w:t>以公允价值计量且其变动计入当期损益的金融负债 </w:t>
      </w:r>
      <w:r>
        <w:rPr>
          <w:spacing w:val="-2"/>
        </w:rPr>
        <w:t>以公允价值计量且其变动计入当期损益的金融负债，包括交易性金融负债和初始确认时指定为以公允价值计量且其变动</w:t>
      </w:r>
    </w:p>
    <w:p>
      <w:pPr>
        <w:pStyle w:val="BodyText"/>
        <w:spacing w:line="316" w:lineRule="auto" w:before="15"/>
        <w:ind w:right="982"/>
        <w:jc w:val="left"/>
      </w:pPr>
      <w:r>
        <w:rPr>
          <w:spacing w:val="-2"/>
        </w:rPr>
        <w:t>计入当期损益的金融负债。对于此类金融负债，按照公允价值进行后续计量，公允价值变动形成的利得或损失以及与该等金</w:t>
      </w:r>
      <w:r>
        <w:rPr>
          <w:spacing w:val="-63"/>
        </w:rPr>
        <w:t> </w:t>
      </w:r>
      <w:r>
        <w:rPr>
          <w:spacing w:val="-63"/>
        </w:rPr>
      </w:r>
      <w:r>
        <w:rPr/>
        <w:t>融负债相关的股利和利息支出计入当期损益。</w:t>
      </w:r>
    </w:p>
    <w:p>
      <w:pPr>
        <w:pStyle w:val="BodyText"/>
        <w:spacing w:line="439" w:lineRule="auto" w:before="139"/>
        <w:ind w:left="513" w:right="1753"/>
        <w:jc w:val="left"/>
      </w:pPr>
      <w:r>
        <w:rPr/>
        <w:t>以摊余成本计量的金融负债 其他金融负债采用实际利率法，按摊余成本进行后续计量，终止确认或摊销产生的利得或损失计入当期损益。 金融负债与权益工具的区分</w:t>
      </w:r>
    </w:p>
    <w:p>
      <w:pPr>
        <w:pStyle w:val="BodyText"/>
        <w:spacing w:line="240" w:lineRule="auto" w:before="47"/>
        <w:ind w:left="513" w:right="982"/>
        <w:jc w:val="left"/>
      </w:pPr>
      <w:r>
        <w:rPr/>
        <w:t>金融负债，是指符合下列条件之一的负债：</w:t>
      </w:r>
    </w:p>
    <w:p>
      <w:pPr>
        <w:spacing w:line="240" w:lineRule="auto" w:before="0"/>
        <w:rPr>
          <w:rFonts w:ascii="宋体" w:hAnsi="宋体" w:cs="宋体" w:eastAsia="宋体" w:hint="default"/>
          <w:sz w:val="15"/>
          <w:szCs w:val="15"/>
        </w:rPr>
      </w:pPr>
    </w:p>
    <w:p>
      <w:pPr>
        <w:pStyle w:val="BodyText"/>
        <w:spacing w:line="240" w:lineRule="auto"/>
        <w:ind w:left="513" w:right="982"/>
        <w:jc w:val="left"/>
      </w:pPr>
      <w:r>
        <w:rPr/>
        <w:t>①向其他方交付现金或其他金融资产的合同义务。</w:t>
      </w:r>
    </w:p>
    <w:p>
      <w:pPr>
        <w:spacing w:line="240" w:lineRule="auto" w:before="0"/>
        <w:rPr>
          <w:rFonts w:ascii="宋体" w:hAnsi="宋体" w:cs="宋体" w:eastAsia="宋体" w:hint="default"/>
          <w:sz w:val="15"/>
          <w:szCs w:val="15"/>
        </w:rPr>
      </w:pPr>
    </w:p>
    <w:p>
      <w:pPr>
        <w:pStyle w:val="BodyText"/>
        <w:spacing w:line="240" w:lineRule="auto"/>
        <w:ind w:left="513" w:right="982"/>
        <w:jc w:val="left"/>
      </w:pPr>
      <w:r>
        <w:rPr/>
        <w:t>②在潜在不利条件下，与其他方交换金融资产或金融负债的合同义务。</w:t>
      </w:r>
    </w:p>
    <w:p>
      <w:pPr>
        <w:spacing w:line="240" w:lineRule="auto" w:before="0"/>
        <w:rPr>
          <w:rFonts w:ascii="宋体" w:hAnsi="宋体" w:cs="宋体" w:eastAsia="宋体" w:hint="default"/>
          <w:sz w:val="15"/>
          <w:szCs w:val="15"/>
        </w:rPr>
      </w:pPr>
    </w:p>
    <w:p>
      <w:pPr>
        <w:pStyle w:val="BodyText"/>
        <w:spacing w:line="240" w:lineRule="auto"/>
        <w:ind w:left="513" w:right="982"/>
        <w:jc w:val="left"/>
      </w:pPr>
      <w:r>
        <w:rPr/>
        <w:t>③将来须用或可用企业自身权益工具进行结算的非衍生工具合同，且企业根据该合同将交付可变数量的自身权益工具。</w:t>
      </w:r>
    </w:p>
    <w:p>
      <w:pPr>
        <w:spacing w:line="240" w:lineRule="auto" w:before="0"/>
        <w:rPr>
          <w:rFonts w:ascii="宋体" w:hAnsi="宋体" w:cs="宋体" w:eastAsia="宋体" w:hint="default"/>
          <w:sz w:val="15"/>
          <w:szCs w:val="15"/>
        </w:rPr>
      </w:pPr>
    </w:p>
    <w:p>
      <w:pPr>
        <w:pStyle w:val="BodyText"/>
        <w:spacing w:line="316" w:lineRule="auto"/>
        <w:ind w:right="1132" w:firstLine="360"/>
        <w:jc w:val="both"/>
      </w:pPr>
      <w:r>
        <w:rPr>
          <w:spacing w:val="-2"/>
        </w:rPr>
        <w:t>④将来须用或可用企业自身权益工具进行结算的衍生工具合同，但以固定数量的自身权益工具交换固定金额的现金或其</w:t>
      </w:r>
      <w:r>
        <w:rPr/>
        <w:t> 他金融资产的衍生工具合同除外。</w:t>
      </w:r>
    </w:p>
    <w:p>
      <w:pPr>
        <w:pStyle w:val="BodyText"/>
        <w:spacing w:line="432" w:lineRule="exact" w:before="3"/>
        <w:ind w:left="513" w:right="982"/>
        <w:jc w:val="left"/>
      </w:pPr>
      <w:r>
        <w:rPr/>
        <w:t>权益工具，是指能证明拥有某个企业在扣除所有负债后的资产中剩余权益的合同。 如果本集团不能无条件地避免以交付现金或其他金融资产来履行一项合同义务，则该合同义务符合金融负债的定义。 </w:t>
      </w:r>
      <w:r>
        <w:rPr>
          <w:spacing w:val="-2"/>
        </w:rPr>
        <w:t>如果一项金融工具须用或可用本集团自身权益工具进行结算，需要考虑用于结算该工具的本集团自身权益工具，是作为</w:t>
      </w:r>
    </w:p>
    <w:p>
      <w:pPr>
        <w:pStyle w:val="BodyText"/>
        <w:spacing w:line="316" w:lineRule="auto" w:before="15"/>
        <w:ind w:right="1034"/>
        <w:jc w:val="left"/>
      </w:pPr>
      <w:r>
        <w:rPr/>
        <w:t>现金或其他金融资产的替代品，还是为了使该工具持有方享有在发行方扣除所有负债后的资产中的剩余权益。如果是前者， 该工具是本集团的金融负债；如果是后者，该工具是本集团的权益工具。</w:t>
      </w:r>
    </w:p>
    <w:p>
      <w:pPr>
        <w:pStyle w:val="BodyText"/>
        <w:spacing w:line="432" w:lineRule="exact" w:before="3"/>
        <w:ind w:left="513" w:right="982"/>
        <w:jc w:val="left"/>
      </w:pPr>
      <w:r>
        <w:rPr/>
        <w:t>（</w:t>
      </w:r>
      <w:r>
        <w:rPr>
          <w:rFonts w:ascii="Times New Roman" w:hAnsi="Times New Roman" w:cs="Times New Roman" w:eastAsia="Times New Roman" w:hint="default"/>
        </w:rPr>
        <w:t>4</w:t>
      </w:r>
      <w:r>
        <w:rPr/>
        <w:t>）衍生金融工具及嵌入衍生工具 </w:t>
      </w:r>
      <w:r>
        <w:rPr>
          <w:spacing w:val="-2"/>
        </w:rPr>
        <w:t>本集团衍生金融工具包括远期外汇合约、货币汇率互换合同、利率互换合同及外汇期权合同等。初始以衍生交易合同签</w:t>
      </w:r>
    </w:p>
    <w:p>
      <w:pPr>
        <w:pStyle w:val="BodyText"/>
        <w:spacing w:line="316" w:lineRule="auto" w:before="15"/>
        <w:ind w:right="982"/>
        <w:jc w:val="left"/>
      </w:pPr>
      <w:r>
        <w:rPr>
          <w:spacing w:val="-2"/>
        </w:rPr>
        <w:t>订当日的公允价值进行计量，并以其公允价值进行后续计量。公允价值为正数的衍生金融工具确认为一项资产，公允价值为</w:t>
      </w:r>
      <w:r>
        <w:rPr>
          <w:spacing w:val="-63"/>
        </w:rPr>
        <w:t> </w:t>
      </w:r>
      <w:r>
        <w:rPr>
          <w:spacing w:val="-63"/>
        </w:rPr>
      </w:r>
      <w:r>
        <w:rPr/>
        <w:t>负数的确认为一项负债。因公允价值变动而产生的任何不符合套期会计规定的利得或损失，直接计入当期损益。</w:t>
      </w:r>
    </w:p>
    <w:p>
      <w:pPr>
        <w:pStyle w:val="BodyText"/>
        <w:spacing w:line="319" w:lineRule="auto" w:before="139"/>
        <w:ind w:right="1129" w:firstLine="360"/>
        <w:jc w:val="both"/>
      </w:pPr>
      <w:r>
        <w:rPr>
          <w:spacing w:val="-2"/>
        </w:rPr>
        <w:t>对包含嵌入衍生工具的混合工具，如主合同为金融资产的，混合工具作为一个整体适用金融资产分类的相关规定。如主</w:t>
      </w:r>
      <w:r>
        <w:rPr/>
        <w:t> </w:t>
      </w:r>
      <w:r>
        <w:rPr>
          <w:spacing w:val="-2"/>
        </w:rPr>
        <w:t>合同并非金融资产，且该混合工具不是以公允价值计量且其变动计入当期损益进行会计处理，嵌入衍生工具与该主合同在经</w:t>
      </w:r>
      <w:r>
        <w:rPr>
          <w:spacing w:val="-64"/>
        </w:rPr>
        <w:t> </w:t>
      </w:r>
      <w:r>
        <w:rPr>
          <w:spacing w:val="-64"/>
        </w:rPr>
      </w:r>
      <w:r>
        <w:rPr>
          <w:spacing w:val="-2"/>
        </w:rPr>
        <w:t>济特征及风险方面不存在紧密关系，且与嵌入衍生工具条件相同，单独存在的工具符合衍生工具定义的，嵌入衍生工具从混</w:t>
      </w:r>
      <w:r>
        <w:rPr>
          <w:spacing w:val="-62"/>
        </w:rPr>
        <w:t> </w:t>
      </w:r>
      <w:r>
        <w:rPr>
          <w:spacing w:val="-62"/>
        </w:rPr>
      </w:r>
      <w:r>
        <w:rPr>
          <w:spacing w:val="-2"/>
        </w:rPr>
        <w:t>合工具中分拆，作为单独的衍生金融工具处理。如果无法在取得时或后续的资产负债表日对嵌入衍生工具进行单独计量，则</w:t>
      </w:r>
      <w:r>
        <w:rPr>
          <w:spacing w:val="-63"/>
        </w:rPr>
        <w:t> </w:t>
      </w:r>
      <w:r>
        <w:rPr>
          <w:spacing w:val="-63"/>
        </w:rPr>
      </w:r>
      <w:r>
        <w:rPr/>
        <w:t>将混合工具整体指定为以公允价值计量且其变动计入当期损益的金融资产或金融负债。</w:t>
      </w:r>
    </w:p>
    <w:p>
      <w:pPr>
        <w:pStyle w:val="BodyText"/>
        <w:spacing w:line="415" w:lineRule="auto" w:before="137"/>
        <w:ind w:left="657" w:right="1249" w:hanging="144"/>
        <w:jc w:val="left"/>
      </w:pPr>
      <w:r>
        <w:rPr/>
        <w:t>（</w:t>
      </w:r>
      <w:r>
        <w:rPr>
          <w:rFonts w:ascii="Times New Roman" w:hAnsi="Times New Roman" w:cs="Times New Roman" w:eastAsia="Times New Roman" w:hint="default"/>
        </w:rPr>
        <w:t>5</w:t>
      </w:r>
      <w:r>
        <w:rPr/>
        <w:t>）金融工具的公允价值 公允价值是指市场参与者在计量日发生的有序交易中，出售一项资产所能收到或者转移一项负债所需支付的价格。</w:t>
      </w:r>
    </w:p>
    <w:p>
      <w:pPr>
        <w:pStyle w:val="BodyText"/>
        <w:spacing w:line="316" w:lineRule="auto" w:before="65"/>
        <w:ind w:right="1131" w:firstLine="360"/>
        <w:jc w:val="both"/>
      </w:pPr>
      <w:r>
        <w:rPr>
          <w:spacing w:val="-2"/>
        </w:rPr>
        <w:t>本集团以公允价值计量相关资产或负债，假定出售资产或者转移负债的有序交易在相关资产或负债的主要市场进行；不</w:t>
      </w:r>
      <w:r>
        <w:rPr/>
        <w:t> </w:t>
      </w:r>
      <w:r>
        <w:rPr>
          <w:spacing w:val="-2"/>
        </w:rPr>
        <w:t>存在主要市场的，本集团假定该交易在相关资产或负债的最有利市场进行。主要市场（或最有利市场）是本集团在计量日能</w:t>
      </w:r>
      <w:r>
        <w:rPr>
          <w:spacing w:val="-64"/>
        </w:rPr>
        <w:t> </w:t>
      </w:r>
      <w:r>
        <w:rPr>
          <w:spacing w:val="-64"/>
        </w:rPr>
      </w:r>
      <w:r>
        <w:rPr/>
        <w:t>够进入的交易市场。本集团采用市场参与者在对该资产或负债定价时为实现其经济利益最大化所使用的假设。</w:t>
      </w:r>
    </w:p>
    <w:p>
      <w:pPr>
        <w:pStyle w:val="BodyText"/>
        <w:spacing w:line="316" w:lineRule="auto" w:before="139"/>
        <w:ind w:right="1130" w:firstLine="360"/>
        <w:jc w:val="both"/>
      </w:pPr>
      <w:r>
        <w:rPr>
          <w:spacing w:val="-2"/>
        </w:rPr>
        <w:t>存在活跃市场的金融资产或金融负债，本集团采用活跃市场中的报价确定其公允价值。金融工具不存在活跃市场的，本</w:t>
      </w:r>
      <w:r>
        <w:rPr/>
        <w:t> 集团采用估值技术确定其公允价值。</w:t>
      </w:r>
    </w:p>
    <w:p>
      <w:pPr>
        <w:spacing w:after="0" w:line="316"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2" w:firstLine="360"/>
        <w:jc w:val="both"/>
      </w:pPr>
      <w:r>
        <w:rPr>
          <w:spacing w:val="-2"/>
        </w:rPr>
        <w:t>本集团采用在当前情况下适用并且有足够可利用数据和其他信息支持的估值技术，优先使用相关可观察输入值，只有在</w:t>
      </w:r>
      <w:r>
        <w:rPr/>
        <w:t> 可观察输入值无法取得或取得不切实可行的情况下，才使用不可观察输入值。</w:t>
      </w:r>
    </w:p>
    <w:p>
      <w:pPr>
        <w:pStyle w:val="BodyText"/>
        <w:spacing w:line="316" w:lineRule="auto" w:before="139"/>
        <w:ind w:right="1130" w:firstLine="360"/>
        <w:jc w:val="both"/>
      </w:pPr>
      <w:r>
        <w:rPr>
          <w:spacing w:val="-2"/>
        </w:rPr>
        <w:t>在财务报表中以公允价值计量或披露的资产和负债，根据对公允价值计量整体而言具有重要意义的最低层次输入值，确</w:t>
      </w:r>
      <w:r>
        <w:rPr/>
        <w:t> </w:t>
      </w:r>
      <w:r>
        <w:rPr>
          <w:spacing w:val="-2"/>
        </w:rPr>
        <w:t>定所属的公允价值层次：第一层次输入值，是在计量日能够取得的相同资产或负债在活跃市场上未经调整的报价；第二层次</w:t>
      </w:r>
      <w:r>
        <w:rPr>
          <w:spacing w:val="-63"/>
        </w:rPr>
        <w:t> </w:t>
      </w:r>
      <w:r>
        <w:rPr>
          <w:spacing w:val="-63"/>
        </w:rPr>
      </w:r>
      <w:r>
        <w:rPr>
          <w:spacing w:val="-2"/>
        </w:rPr>
        <w:t>输入值，是除第一层次输入值外相关资产或负债直接或间接可观察的输入值；第三层次输入值，是相关资产或负债的不可观</w:t>
      </w:r>
      <w:r>
        <w:rPr>
          <w:spacing w:val="-63"/>
        </w:rPr>
        <w:t> </w:t>
      </w:r>
      <w:r>
        <w:rPr>
          <w:spacing w:val="-63"/>
        </w:rPr>
      </w:r>
      <w:r>
        <w:rPr/>
        <w:t>察输入值。</w:t>
      </w:r>
    </w:p>
    <w:p>
      <w:pPr>
        <w:pStyle w:val="BodyText"/>
        <w:spacing w:line="316" w:lineRule="auto" w:before="139"/>
        <w:ind w:right="1132" w:firstLine="360"/>
        <w:jc w:val="both"/>
      </w:pPr>
      <w:r>
        <w:rPr>
          <w:spacing w:val="-2"/>
        </w:rPr>
        <w:t>每个资产负债表日，本集团对在财务报表中确认的持续以公允价值计量的资产和负债进行重新评估，以确定是否在公允</w:t>
      </w:r>
      <w:r>
        <w:rPr/>
        <w:t> 价值计量层次之间发生转换。</w:t>
      </w:r>
    </w:p>
    <w:p>
      <w:pPr>
        <w:pStyle w:val="BodyText"/>
        <w:spacing w:line="432" w:lineRule="auto" w:before="139"/>
        <w:ind w:left="513" w:right="4093"/>
        <w:jc w:val="left"/>
      </w:pPr>
      <w:r>
        <w:rPr/>
        <w:t>（</w:t>
      </w:r>
      <w:r>
        <w:rPr>
          <w:rFonts w:ascii="Times New Roman" w:hAnsi="Times New Roman" w:cs="Times New Roman" w:eastAsia="Times New Roman" w:hint="default"/>
        </w:rPr>
        <w:t>6</w:t>
      </w:r>
      <w:r>
        <w:rPr/>
        <w:t>）金融资产减值 本集团以预期信用损失为基础，对下列项目进行减值会计处理并确认损失准备： 以摊余成本计量的金融资产； 以公允价值计量且其变动计入其他综合收益的债权投资；</w:t>
      </w:r>
    </w:p>
    <w:p>
      <w:pPr>
        <w:pStyle w:val="BodyText"/>
        <w:spacing w:line="439" w:lineRule="auto" w:before="52"/>
        <w:ind w:left="513" w:right="8773"/>
        <w:jc w:val="left"/>
      </w:pPr>
      <w:r>
        <w:rPr/>
        <w:t>租赁应收款； 预期信用损失的计量</w:t>
      </w:r>
    </w:p>
    <w:p>
      <w:pPr>
        <w:pStyle w:val="BodyText"/>
        <w:spacing w:line="316" w:lineRule="auto" w:before="47"/>
        <w:ind w:right="1130" w:firstLine="360"/>
        <w:jc w:val="both"/>
      </w:pPr>
      <w:r>
        <w:rPr>
          <w:spacing w:val="-2"/>
        </w:rPr>
        <w:t>预期信用损失，是指以发生违约的风险为权重的金融工具信用损失的加权平均值。信用损失，是指本集团按照原实际利</w:t>
      </w:r>
      <w:r>
        <w:rPr/>
        <w:t> 率折现的、根据合同应收的所有合同现金流量与预期收取的所有现金流量之间的差额，即全部现金短缺的现值。</w:t>
      </w:r>
    </w:p>
    <w:p>
      <w:pPr>
        <w:pStyle w:val="BodyText"/>
        <w:spacing w:line="312" w:lineRule="auto" w:before="139"/>
        <w:ind w:right="1130" w:firstLine="360"/>
        <w:jc w:val="both"/>
      </w:pPr>
      <w:r>
        <w:rPr>
          <w:spacing w:val="-2"/>
        </w:rPr>
        <w:t>本集团对于处于不同阶段的金融工具的预期信用损失分别进行计量。金融工具自初始确认后信用风险未显著增加的，处</w:t>
      </w:r>
      <w:r>
        <w:rPr/>
        <w:t> </w:t>
      </w:r>
      <w:r>
        <w:rPr>
          <w:spacing w:val="-2"/>
        </w:rPr>
        <w:t>于第一阶段，本集团按照未来</w:t>
      </w:r>
      <w:r>
        <w:rPr>
          <w:rFonts w:ascii="Times New Roman" w:hAnsi="Times New Roman" w:cs="Times New Roman" w:eastAsia="Times New Roman" w:hint="default"/>
          <w:spacing w:val="-2"/>
        </w:rPr>
        <w:t>12</w:t>
      </w:r>
      <w:r>
        <w:rPr>
          <w:spacing w:val="-2"/>
        </w:rPr>
        <w:t>个月内的预期信用损失计量损失准备；金融工具自初始确认后信用风险已显著增加但尚未发</w:t>
      </w:r>
      <w:r>
        <w:rPr>
          <w:spacing w:val="-63"/>
        </w:rPr>
        <w:t> </w:t>
      </w:r>
      <w:r>
        <w:rPr>
          <w:spacing w:val="-63"/>
        </w:rPr>
      </w:r>
      <w:r>
        <w:rPr>
          <w:spacing w:val="-2"/>
        </w:rPr>
        <w:t>生信用减值的，处于第二阶段，本集团按照该工具整个存续期的预期信用损失计量损失准备；金融工具自初始确认后已经发</w:t>
      </w:r>
      <w:r>
        <w:rPr>
          <w:spacing w:val="-63"/>
        </w:rPr>
        <w:t> </w:t>
      </w:r>
      <w:r>
        <w:rPr>
          <w:spacing w:val="-63"/>
        </w:rPr>
      </w:r>
      <w:r>
        <w:rPr/>
        <w:t>生信用减值的，处于第三阶段，本集团按照该工具整个存续期的预期信用损失计量损失准备。</w:t>
      </w:r>
    </w:p>
    <w:p>
      <w:pPr>
        <w:pStyle w:val="BodyText"/>
        <w:spacing w:line="300" w:lineRule="auto" w:before="142"/>
        <w:ind w:right="1128" w:firstLine="360"/>
        <w:jc w:val="both"/>
      </w:pPr>
      <w:r>
        <w:rPr/>
        <w:t>对于在资产负债表日具有较低信用风险的金融工具，本集团假设其信用风险自初始确认后并未显著增加，按照未来</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个月内的预期信用损失计量损失准备。</w:t>
      </w:r>
    </w:p>
    <w:p>
      <w:pPr>
        <w:pStyle w:val="BodyText"/>
        <w:spacing w:line="316" w:lineRule="auto" w:before="151"/>
        <w:ind w:right="1132" w:firstLine="360"/>
        <w:jc w:val="both"/>
      </w:pPr>
      <w:r>
        <w:rPr>
          <w:spacing w:val="-2"/>
        </w:rPr>
        <w:t>如果金融工具的违约风险较低，借款人在短期内履行其合同现金流量义务的能力很强，并且即便较长时期内经济形势和</w:t>
      </w:r>
      <w:r>
        <w:rPr/>
        <w:t> 经营环境存在不利变化但未必一定降低借款人履行其合同现金流量义务的能力，该金融工具被视为具有较低的信用风险。</w:t>
      </w:r>
    </w:p>
    <w:p>
      <w:pPr>
        <w:pStyle w:val="BodyText"/>
        <w:spacing w:line="300" w:lineRule="auto" w:before="139"/>
        <w:ind w:right="1128" w:firstLine="360"/>
        <w:jc w:val="both"/>
      </w:pPr>
      <w:r>
        <w:rPr>
          <w:spacing w:val="-2"/>
        </w:rPr>
        <w:t>整个存续期预期信用损失，是指因金融工具整个预计存续期内所有可能发生的违约事件而导致的预期信用损失。未来</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1"/>
        </w:rPr>
        <w:t> </w:t>
      </w:r>
      <w:r>
        <w:rPr>
          <w:spacing w:val="-2"/>
        </w:rPr>
        <w:t>个月内预期信用损失，是指因资产负债表日后</w:t>
      </w:r>
      <w:r>
        <w:rPr>
          <w:rFonts w:ascii="Times New Roman" w:hAnsi="Times New Roman" w:cs="Times New Roman" w:eastAsia="Times New Roman" w:hint="default"/>
          <w:spacing w:val="-2"/>
        </w:rPr>
        <w:t>12</w:t>
      </w:r>
      <w:r>
        <w:rPr>
          <w:spacing w:val="-2"/>
        </w:rPr>
        <w:t>个月内（若金融工具的预计存续期少于</w:t>
      </w:r>
      <w:r>
        <w:rPr>
          <w:rFonts w:ascii="Times New Roman" w:hAnsi="Times New Roman" w:cs="Times New Roman" w:eastAsia="Times New Roman" w:hint="default"/>
          <w:spacing w:val="-2"/>
        </w:rPr>
        <w:t>12</w:t>
      </w:r>
      <w:r>
        <w:rPr>
          <w:spacing w:val="-2"/>
        </w:rPr>
        <w:t>个月，则为预计存续期）可能发生</w:t>
      </w:r>
      <w:r>
        <w:rPr>
          <w:spacing w:val="-60"/>
        </w:rPr>
        <w:t> </w:t>
      </w:r>
      <w:r>
        <w:rPr>
          <w:spacing w:val="-60"/>
        </w:rPr>
      </w:r>
      <w:r>
        <w:rPr/>
        <w:t>的金融工具违约事件而导致的预期信用损失，是整个存续期预期信用损失的一部分。</w:t>
      </w:r>
    </w:p>
    <w:p>
      <w:pPr>
        <w:pStyle w:val="BodyText"/>
        <w:spacing w:line="432" w:lineRule="exact" w:before="16"/>
        <w:ind w:left="513" w:right="982"/>
        <w:jc w:val="left"/>
      </w:pPr>
      <w:r>
        <w:rPr/>
        <w:t>在计量预期信用损失时，本集团需考虑的最长期限为企业面临信用风险的最长合同期限（包括考虑续约选择权）。 </w:t>
      </w:r>
      <w:r>
        <w:rPr>
          <w:spacing w:val="-2"/>
        </w:rPr>
        <w:t>本集团对于处于第一阶段和第二阶段、以及较低信用风险的金融工具，按照其未扣除减值准备的账面余额和实际利率计</w:t>
      </w:r>
    </w:p>
    <w:p>
      <w:pPr>
        <w:pStyle w:val="BodyText"/>
        <w:spacing w:line="439" w:lineRule="auto" w:before="15"/>
        <w:ind w:left="513" w:right="982" w:hanging="361"/>
        <w:jc w:val="left"/>
      </w:pPr>
      <w:r>
        <w:rPr/>
        <w:t>算利息收入。对于处于第三阶段的金融工具，按照其账面余额减已计提减值准备后的摊余成本和实际利率计算利息收入。 应收票据</w:t>
      </w:r>
    </w:p>
    <w:p>
      <w:pPr>
        <w:pStyle w:val="BodyText"/>
        <w:spacing w:line="316" w:lineRule="auto" w:before="47"/>
        <w:ind w:right="982" w:firstLine="360"/>
        <w:jc w:val="left"/>
      </w:pPr>
      <w:r>
        <w:rPr>
          <w:spacing w:val="-4"/>
        </w:rPr>
        <w:t>对于应收票据，无论是否存在重大融资成分，本集团始终按照相当于整个存续期内预期信用损失的金额计量其损失准备。</w:t>
      </w:r>
      <w:r>
        <w:rPr/>
        <w:t> </w:t>
      </w:r>
      <w:r>
        <w:rPr>
          <w:spacing w:val="-2"/>
        </w:rPr>
        <w:t>本集团在每个资产负债表日重新计量预期信用损失，由此形成的损失准备的增加或转回金额，应当作为减值损失或利得计入</w:t>
      </w:r>
      <w:r>
        <w:rPr>
          <w:spacing w:val="-64"/>
        </w:rPr>
        <w:t> </w:t>
      </w:r>
      <w:r>
        <w:rPr>
          <w:spacing w:val="-64"/>
        </w:rPr>
      </w:r>
      <w:r>
        <w:rPr/>
        <w:t>当期损益。</w:t>
      </w:r>
    </w:p>
    <w:p>
      <w:pPr>
        <w:pStyle w:val="BodyText"/>
        <w:spacing w:line="319" w:lineRule="auto" w:before="139"/>
        <w:ind w:right="1128" w:firstLine="360"/>
        <w:jc w:val="both"/>
      </w:pPr>
      <w:r>
        <w:rPr>
          <w:spacing w:val="-2"/>
        </w:rPr>
        <w:t>本集团基于应收票据的承兑人信用风险作为共同风险特征，将其划分为不同组合，在组合基础上计算预期信用损失。本</w:t>
      </w:r>
      <w:r>
        <w:rPr/>
        <w:t> 集团确定的应收票据组合、依据和以组合为基础评估预期信用的组合方法等如下：</w:t>
      </w:r>
    </w:p>
    <w:p>
      <w:pPr>
        <w:spacing w:line="240" w:lineRule="auto" w:before="8"/>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1858"/>
        <w:gridCol w:w="2269"/>
        <w:gridCol w:w="5670"/>
      </w:tblGrid>
      <w:tr>
        <w:trPr>
          <w:trHeight w:val="42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24" w:right="0"/>
              <w:jc w:val="center"/>
              <w:rPr>
                <w:rFonts w:ascii="宋体" w:hAnsi="宋体" w:cs="宋体" w:eastAsia="宋体" w:hint="default"/>
                <w:sz w:val="18"/>
                <w:szCs w:val="18"/>
              </w:rPr>
            </w:pPr>
            <w:r>
              <w:rPr>
                <w:rFonts w:ascii="宋体" w:hAnsi="宋体" w:cs="宋体" w:eastAsia="宋体" w:hint="default"/>
                <w:sz w:val="18"/>
                <w:szCs w:val="18"/>
              </w:rPr>
              <w:t>组合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01"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5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1841" w:right="0"/>
              <w:jc w:val="left"/>
              <w:rPr>
                <w:rFonts w:ascii="宋体" w:hAnsi="宋体" w:cs="宋体" w:eastAsia="宋体" w:hint="default"/>
                <w:sz w:val="18"/>
                <w:szCs w:val="18"/>
              </w:rPr>
            </w:pPr>
            <w:r>
              <w:rPr>
                <w:rFonts w:ascii="宋体" w:hAnsi="宋体" w:cs="宋体" w:eastAsia="宋体" w:hint="default"/>
                <w:sz w:val="18"/>
                <w:szCs w:val="18"/>
              </w:rPr>
              <w:t>评估预期信用的组合方法</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1858"/>
        <w:gridCol w:w="2269"/>
        <w:gridCol w:w="5670"/>
      </w:tblGrid>
      <w:tr>
        <w:trPr>
          <w:trHeight w:val="735"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票据承兑人为银行</w:t>
            </w:r>
          </w:p>
        </w:tc>
        <w:tc>
          <w:tcPr>
            <w:tcW w:w="567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61"/>
              <w:ind w:left="7" w:right="1"/>
              <w:jc w:val="left"/>
              <w:rPr>
                <w:rFonts w:ascii="宋体" w:hAnsi="宋体" w:cs="宋体" w:eastAsia="宋体" w:hint="default"/>
                <w:sz w:val="18"/>
                <w:szCs w:val="18"/>
              </w:rPr>
            </w:pPr>
            <w:r>
              <w:rPr>
                <w:rFonts w:ascii="宋体" w:hAnsi="宋体" w:cs="宋体" w:eastAsia="宋体" w:hint="default"/>
                <w:sz w:val="18"/>
                <w:szCs w:val="18"/>
              </w:rPr>
              <w:t>管理层评价该类款项具有较低的信用风险，预期信用损失率较低，不计</w:t>
            </w:r>
            <w:r>
              <w:rPr>
                <w:rFonts w:ascii="宋体" w:hAnsi="宋体" w:cs="宋体" w:eastAsia="宋体" w:hint="default"/>
                <w:spacing w:val="-29"/>
                <w:sz w:val="18"/>
                <w:szCs w:val="18"/>
              </w:rPr>
              <w:t> </w:t>
            </w:r>
            <w:r>
              <w:rPr>
                <w:rFonts w:ascii="宋体" w:hAnsi="宋体" w:cs="宋体" w:eastAsia="宋体" w:hint="default"/>
                <w:sz w:val="18"/>
                <w:szCs w:val="18"/>
              </w:rPr>
              <w:t>提减值准备</w:t>
            </w:r>
          </w:p>
        </w:tc>
      </w:tr>
      <w:tr>
        <w:trPr>
          <w:trHeight w:val="42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24" w:right="0"/>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其他承兑汇票</w:t>
            </w:r>
          </w:p>
        </w:tc>
        <w:tc>
          <w:tcPr>
            <w:tcW w:w="5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按照整个存续期预期信用损失率计提减值准备</w:t>
            </w:r>
          </w:p>
        </w:tc>
      </w:tr>
    </w:tbl>
    <w:p>
      <w:pPr>
        <w:spacing w:line="240" w:lineRule="auto" w:before="8"/>
        <w:rPr>
          <w:rFonts w:ascii="宋体" w:hAnsi="宋体" w:cs="宋体" w:eastAsia="宋体" w:hint="default"/>
          <w:sz w:val="6"/>
          <w:szCs w:val="6"/>
        </w:rPr>
      </w:pPr>
    </w:p>
    <w:p>
      <w:pPr>
        <w:pStyle w:val="BodyText"/>
        <w:spacing w:line="316" w:lineRule="auto" w:before="44"/>
        <w:ind w:right="982" w:firstLine="360"/>
        <w:jc w:val="left"/>
      </w:pPr>
      <w:r>
        <w:rPr>
          <w:spacing w:val="-2"/>
        </w:rPr>
        <w:t>对于划分为组合的应收票据，本集团参考历史信用损失经验，结合当前状况以及对未来经济状况的预测，通过违约风险</w:t>
      </w:r>
      <w:r>
        <w:rPr/>
        <w:t> 敞口和整个存续期预期信用损失率，计算预期信用损失。</w:t>
      </w:r>
    </w:p>
    <w:p>
      <w:pPr>
        <w:pStyle w:val="BodyText"/>
        <w:spacing w:line="432" w:lineRule="exact" w:before="1"/>
        <w:ind w:left="513" w:right="982"/>
        <w:jc w:val="left"/>
      </w:pPr>
      <w:r>
        <w:rPr/>
        <w:t>应收账款 </w:t>
      </w:r>
      <w:r>
        <w:rPr>
          <w:spacing w:val="-4"/>
        </w:rPr>
        <w:t>对于应收账款，无论是否包含重大融资成分，本集团始终按照相当于整个存续期内预期信用损失的金额计量其损失准备。</w:t>
      </w:r>
    </w:p>
    <w:p>
      <w:pPr>
        <w:pStyle w:val="BodyText"/>
        <w:spacing w:line="316" w:lineRule="auto" w:before="17"/>
        <w:ind w:right="982"/>
        <w:jc w:val="left"/>
      </w:pPr>
      <w:r>
        <w:rPr>
          <w:spacing w:val="-2"/>
        </w:rPr>
        <w:t>本集团在每个资产负债表日重新计量预期信用损失，由此形成的损失准备的增加或转回金额，应当作为减值损失或利得计入</w:t>
      </w:r>
      <w:r>
        <w:rPr>
          <w:spacing w:val="-64"/>
        </w:rPr>
        <w:t> </w:t>
      </w:r>
      <w:r>
        <w:rPr>
          <w:spacing w:val="-64"/>
        </w:rPr>
      </w:r>
      <w:r>
        <w:rPr/>
        <w:t>当期损益。</w:t>
      </w:r>
    </w:p>
    <w:p>
      <w:pPr>
        <w:pStyle w:val="BodyText"/>
        <w:spacing w:line="319" w:lineRule="auto" w:before="137"/>
        <w:ind w:right="982" w:firstLine="360"/>
        <w:jc w:val="left"/>
      </w:pPr>
      <w:r>
        <w:rPr>
          <w:spacing w:val="-2"/>
        </w:rPr>
        <w:t>本集团对信用风险显著不同的应收账款单项评价信用风险，如：与对方存在争议或涉及诉讼、仲裁的应收款项、已有明</w:t>
      </w:r>
      <w:r>
        <w:rPr/>
        <w:t> 显迹象表明债务人很可能无法履行还款义务的应收款项等。</w:t>
      </w:r>
    </w:p>
    <w:p>
      <w:pPr>
        <w:pStyle w:val="BodyText"/>
        <w:spacing w:line="319" w:lineRule="auto" w:before="134"/>
        <w:ind w:right="982" w:firstLine="360"/>
        <w:jc w:val="left"/>
      </w:pPr>
      <w:r>
        <w:rPr>
          <w:spacing w:val="-2"/>
        </w:rPr>
        <w:t>除了单项评估信用风险的应收账款外，本集团基于应收账款交易对象关系作为共同风险特征，将其划分为不同组合，在</w:t>
      </w:r>
      <w:r>
        <w:rPr/>
        <w:t> 组合基础上计算预期信用损失，本集团确定的应收账款组合、依据和以组合为基础评估预期信用的组合方法等如下：</w:t>
      </w:r>
    </w:p>
    <w:p>
      <w:pPr>
        <w:spacing w:line="240" w:lineRule="auto" w:before="6"/>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1541"/>
        <w:gridCol w:w="2835"/>
        <w:gridCol w:w="5279"/>
      </w:tblGrid>
      <w:tr>
        <w:trPr>
          <w:trHeight w:val="42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24" w:right="0"/>
              <w:jc w:val="center"/>
              <w:rPr>
                <w:rFonts w:ascii="宋体" w:hAnsi="宋体" w:cs="宋体" w:eastAsia="宋体" w:hint="default"/>
                <w:sz w:val="18"/>
                <w:szCs w:val="18"/>
              </w:rPr>
            </w:pPr>
            <w:r>
              <w:rPr>
                <w:rFonts w:ascii="宋体" w:hAnsi="宋体" w:cs="宋体" w:eastAsia="宋体" w:hint="default"/>
                <w:sz w:val="18"/>
                <w:szCs w:val="18"/>
              </w:rPr>
              <w:t>组合</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5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评估预期信用的组合方法</w:t>
            </w:r>
          </w:p>
        </w:tc>
      </w:tr>
      <w:tr>
        <w:trPr>
          <w:trHeight w:val="734"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关联组合</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合并报表范围之内的客户</w:t>
            </w:r>
          </w:p>
        </w:tc>
        <w:tc>
          <w:tcPr>
            <w:tcW w:w="5279"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63"/>
              <w:ind w:left="7" w:right="10"/>
              <w:jc w:val="left"/>
              <w:rPr>
                <w:rFonts w:ascii="宋体" w:hAnsi="宋体" w:cs="宋体" w:eastAsia="宋体" w:hint="default"/>
                <w:sz w:val="18"/>
                <w:szCs w:val="18"/>
              </w:rPr>
            </w:pPr>
            <w:r>
              <w:rPr>
                <w:rFonts w:ascii="宋体" w:hAnsi="宋体" w:cs="宋体" w:eastAsia="宋体" w:hint="default"/>
                <w:sz w:val="18"/>
                <w:szCs w:val="18"/>
              </w:rPr>
              <w:t>管理层评价该类款项具有较低的信用风险，预期信用损失率较低，</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不计提减值准备</w:t>
            </w:r>
          </w:p>
        </w:tc>
      </w:tr>
      <w:tr>
        <w:trPr>
          <w:trHeight w:val="42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24" w:right="0"/>
              <w:jc w:val="center"/>
              <w:rPr>
                <w:rFonts w:ascii="宋体" w:hAnsi="宋体" w:cs="宋体" w:eastAsia="宋体" w:hint="default"/>
                <w:sz w:val="18"/>
                <w:szCs w:val="18"/>
              </w:rPr>
            </w:pPr>
            <w:r>
              <w:rPr>
                <w:rFonts w:ascii="宋体" w:hAnsi="宋体" w:cs="宋体" w:eastAsia="宋体" w:hint="default"/>
                <w:sz w:val="18"/>
                <w:szCs w:val="18"/>
              </w:rPr>
              <w:t>其他客户组合</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合并报表范围之外的客户</w:t>
            </w:r>
          </w:p>
        </w:tc>
        <w:tc>
          <w:tcPr>
            <w:tcW w:w="5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按照整个存续期预期信用损失率计提减值准备</w:t>
            </w:r>
          </w:p>
        </w:tc>
      </w:tr>
    </w:tbl>
    <w:p>
      <w:pPr>
        <w:spacing w:line="240" w:lineRule="auto" w:before="8"/>
        <w:rPr>
          <w:rFonts w:ascii="宋体" w:hAnsi="宋体" w:cs="宋体" w:eastAsia="宋体" w:hint="default"/>
          <w:sz w:val="6"/>
          <w:szCs w:val="6"/>
        </w:rPr>
      </w:pPr>
    </w:p>
    <w:p>
      <w:pPr>
        <w:pStyle w:val="BodyText"/>
        <w:spacing w:line="316" w:lineRule="auto" w:before="44"/>
        <w:ind w:right="982" w:firstLine="360"/>
        <w:jc w:val="left"/>
      </w:pPr>
      <w:r>
        <w:rPr>
          <w:spacing w:val="-2"/>
        </w:rPr>
        <w:t>对于划分为其他客户组合的应收账款，本集团参考历史信用损失经验，结合当前状况以及对未来经济状况的预测，编制</w:t>
      </w:r>
      <w:r>
        <w:rPr/>
        <w:t> 应收账款账龄与整个存续期预期信用损失率对照表，计算预期信用损失。</w:t>
      </w:r>
    </w:p>
    <w:p>
      <w:pPr>
        <w:pStyle w:val="BodyText"/>
        <w:spacing w:line="432" w:lineRule="exact" w:before="3"/>
        <w:ind w:left="513" w:right="982"/>
        <w:jc w:val="left"/>
      </w:pPr>
      <w:r>
        <w:rPr/>
        <w:t>其他应收款 </w:t>
      </w:r>
      <w:r>
        <w:rPr>
          <w:spacing w:val="-2"/>
        </w:rPr>
        <w:t>对于其他应收款，本集团对于处于不同阶段的其他应收款的预期信用损失分别进行计量，即</w:t>
      </w:r>
      <w:r>
        <w:rPr>
          <w:rFonts w:ascii="Times New Roman" w:hAnsi="Times New Roman" w:cs="Times New Roman" w:eastAsia="Times New Roman" w:hint="default"/>
          <w:spacing w:val="-2"/>
        </w:rPr>
        <w:t>“</w:t>
      </w:r>
      <w:r>
        <w:rPr>
          <w:spacing w:val="-2"/>
        </w:rPr>
        <w:t>三阶段</w:t>
      </w:r>
      <w:r>
        <w:rPr>
          <w:rFonts w:ascii="Times New Roman" w:hAnsi="Times New Roman" w:cs="Times New Roman" w:eastAsia="Times New Roman" w:hint="default"/>
          <w:spacing w:val="-2"/>
        </w:rPr>
        <w:t>”</w:t>
      </w:r>
      <w:r>
        <w:rPr>
          <w:spacing w:val="-2"/>
        </w:rPr>
        <w:t>模型计量，通过违</w:t>
      </w:r>
    </w:p>
    <w:p>
      <w:pPr>
        <w:pStyle w:val="BodyText"/>
        <w:spacing w:line="300" w:lineRule="auto" w:before="15"/>
        <w:ind w:right="982"/>
        <w:jc w:val="left"/>
      </w:pPr>
      <w:r>
        <w:rPr>
          <w:spacing w:val="-2"/>
        </w:rPr>
        <w:t>约风险敞口和未来</w:t>
      </w:r>
      <w:r>
        <w:rPr>
          <w:rFonts w:ascii="Times New Roman" w:hAnsi="Times New Roman" w:cs="Times New Roman" w:eastAsia="Times New Roman" w:hint="default"/>
          <w:spacing w:val="-2"/>
        </w:rPr>
        <w:t>12</w:t>
      </w:r>
      <w:r>
        <w:rPr>
          <w:spacing w:val="-2"/>
        </w:rPr>
        <w:t>个月内或整个存续期预期信用损失率，计算预期信用损失。本集团在每个资产负债表日重新计量预期信</w:t>
      </w:r>
      <w:r>
        <w:rPr>
          <w:spacing w:val="-63"/>
        </w:rPr>
        <w:t> </w:t>
      </w:r>
      <w:r>
        <w:rPr>
          <w:spacing w:val="-63"/>
        </w:rPr>
      </w:r>
      <w:r>
        <w:rPr/>
        <w:t>用损失，由此形成的损失准备的增加或转回金额，作为减值损失或利得计入当期损益。</w:t>
      </w:r>
    </w:p>
    <w:p>
      <w:pPr>
        <w:pStyle w:val="BodyText"/>
        <w:spacing w:line="316" w:lineRule="auto" w:before="151"/>
        <w:ind w:right="982" w:firstLine="360"/>
        <w:jc w:val="left"/>
      </w:pPr>
      <w:r>
        <w:rPr>
          <w:spacing w:val="-2"/>
        </w:rPr>
        <w:t>本集团基于其他应收款交易对象关系作为共同风险特征将其他应收款划分为不同的组合，在组合基础上计算预期信用损</w:t>
      </w:r>
      <w:r>
        <w:rPr/>
        <w:t> 失，本集团确定的其他应收款组合、依据和以组合为基础评估预期信用的组合方法等如下：</w:t>
      </w:r>
    </w:p>
    <w:p>
      <w:pPr>
        <w:spacing w:line="240" w:lineRule="auto" w:before="10"/>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1400"/>
        <w:gridCol w:w="2977"/>
        <w:gridCol w:w="5279"/>
      </w:tblGrid>
      <w:tr>
        <w:trPr>
          <w:trHeight w:val="423"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22" w:right="0"/>
              <w:jc w:val="center"/>
              <w:rPr>
                <w:rFonts w:ascii="宋体" w:hAnsi="宋体" w:cs="宋体" w:eastAsia="宋体" w:hint="default"/>
                <w:sz w:val="18"/>
                <w:szCs w:val="18"/>
              </w:rPr>
            </w:pPr>
            <w:r>
              <w:rPr>
                <w:rFonts w:ascii="宋体" w:hAnsi="宋体" w:cs="宋体" w:eastAsia="宋体" w:hint="default"/>
                <w:sz w:val="18"/>
                <w:szCs w:val="18"/>
              </w:rPr>
              <w:t>组合分类</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5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评估预期信用的组合方法</w:t>
            </w:r>
          </w:p>
        </w:tc>
      </w:tr>
      <w:tr>
        <w:trPr>
          <w:trHeight w:val="732"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关联组合</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合并报表范围之内的客户</w:t>
            </w:r>
          </w:p>
        </w:tc>
        <w:tc>
          <w:tcPr>
            <w:tcW w:w="5279"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61"/>
              <w:ind w:left="7" w:right="10"/>
              <w:jc w:val="left"/>
              <w:rPr>
                <w:rFonts w:ascii="宋体" w:hAnsi="宋体" w:cs="宋体" w:eastAsia="宋体" w:hint="default"/>
                <w:sz w:val="18"/>
                <w:szCs w:val="18"/>
              </w:rPr>
            </w:pPr>
            <w:r>
              <w:rPr>
                <w:rFonts w:ascii="宋体" w:hAnsi="宋体" w:cs="宋体" w:eastAsia="宋体" w:hint="default"/>
                <w:sz w:val="18"/>
                <w:szCs w:val="18"/>
              </w:rPr>
              <w:t>管理层评价该类款项具有较低的信用风险，预期信用损失率较低，</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不计提减值准备</w:t>
            </w:r>
          </w:p>
        </w:tc>
      </w:tr>
      <w:tr>
        <w:trPr>
          <w:trHeight w:val="422"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22" w:right="0"/>
              <w:jc w:val="center"/>
              <w:rPr>
                <w:rFonts w:ascii="宋体" w:hAnsi="宋体" w:cs="宋体" w:eastAsia="宋体" w:hint="default"/>
                <w:sz w:val="18"/>
                <w:szCs w:val="18"/>
              </w:rPr>
            </w:pPr>
            <w:r>
              <w:rPr>
                <w:rFonts w:ascii="宋体" w:hAnsi="宋体" w:cs="宋体" w:eastAsia="宋体" w:hint="default"/>
                <w:sz w:val="18"/>
                <w:szCs w:val="18"/>
              </w:rPr>
              <w:t>其他客户组合</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合并报表范围之外的客户</w:t>
            </w:r>
          </w:p>
        </w:tc>
        <w:tc>
          <w:tcPr>
            <w:tcW w:w="5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按照未来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个月内或整个存续期预期信用损失率计提减值准备</w:t>
            </w:r>
          </w:p>
        </w:tc>
      </w:tr>
    </w:tbl>
    <w:p>
      <w:pPr>
        <w:spacing w:line="240" w:lineRule="auto" w:before="8"/>
        <w:rPr>
          <w:rFonts w:ascii="宋体" w:hAnsi="宋体" w:cs="宋体" w:eastAsia="宋体" w:hint="default"/>
          <w:sz w:val="6"/>
          <w:szCs w:val="6"/>
        </w:rPr>
      </w:pPr>
    </w:p>
    <w:p>
      <w:pPr>
        <w:pStyle w:val="BodyText"/>
        <w:spacing w:line="240" w:lineRule="auto" w:before="44"/>
        <w:ind w:left="513" w:right="982"/>
        <w:jc w:val="left"/>
      </w:pPr>
      <w:r>
        <w:rPr/>
        <w:t>债权投资、其他债权投资</w:t>
      </w:r>
    </w:p>
    <w:p>
      <w:pPr>
        <w:spacing w:line="240" w:lineRule="auto" w:before="0"/>
        <w:rPr>
          <w:rFonts w:ascii="宋体" w:hAnsi="宋体" w:cs="宋体" w:eastAsia="宋体" w:hint="default"/>
          <w:sz w:val="15"/>
          <w:szCs w:val="15"/>
        </w:rPr>
      </w:pPr>
    </w:p>
    <w:p>
      <w:pPr>
        <w:pStyle w:val="BodyText"/>
        <w:spacing w:line="316" w:lineRule="auto"/>
        <w:ind w:right="982" w:firstLine="360"/>
        <w:jc w:val="left"/>
      </w:pPr>
      <w:r>
        <w:rPr>
          <w:spacing w:val="-2"/>
        </w:rPr>
        <w:t>对于债权投资和其他债权投资，本集团按照投资的性质，根据交易对手和风险敞口的各种类型，通过违约风险敞口和未</w:t>
      </w:r>
      <w:r>
        <w:rPr/>
        <w:t> 来</w:t>
      </w:r>
      <w:r>
        <w:rPr>
          <w:rFonts w:ascii="Times New Roman" w:hAnsi="Times New Roman" w:cs="Times New Roman" w:eastAsia="Times New Roman" w:hint="default"/>
        </w:rPr>
        <w:t>12</w:t>
      </w:r>
      <w:r>
        <w:rPr/>
        <w:t>个月内或整个存续期预期信用损失率，计算预期信用损失。</w:t>
      </w:r>
    </w:p>
    <w:p>
      <w:pPr>
        <w:pStyle w:val="BodyText"/>
        <w:spacing w:line="240" w:lineRule="auto" w:before="119"/>
        <w:ind w:left="513" w:right="982"/>
        <w:jc w:val="left"/>
      </w:pPr>
      <w:r>
        <w:rPr/>
        <w:t>信用风险显著增加的评估</w:t>
      </w:r>
    </w:p>
    <w:p>
      <w:pPr>
        <w:spacing w:line="240" w:lineRule="auto" w:before="0"/>
        <w:rPr>
          <w:rFonts w:ascii="宋体" w:hAnsi="宋体" w:cs="宋体" w:eastAsia="宋体" w:hint="default"/>
          <w:sz w:val="15"/>
          <w:szCs w:val="15"/>
        </w:rPr>
      </w:pPr>
    </w:p>
    <w:p>
      <w:pPr>
        <w:pStyle w:val="BodyText"/>
        <w:spacing w:line="319" w:lineRule="auto"/>
        <w:ind w:right="982" w:firstLine="360"/>
        <w:jc w:val="left"/>
      </w:pPr>
      <w:r>
        <w:rPr>
          <w:spacing w:val="-2"/>
        </w:rPr>
        <w:t>本集团通过比较金融工具在资产负债表日发生违约的风险与在初始确认日发生违约的风险，以确定金融工具预计存续期</w:t>
      </w:r>
      <w:r>
        <w:rPr/>
        <w:t> 内发生违约风险的相对变化，以评估金融工具的信用风险自初始确认后是否已显著增加。</w:t>
      </w:r>
    </w:p>
    <w:p>
      <w:pPr>
        <w:pStyle w:val="BodyText"/>
        <w:spacing w:line="240" w:lineRule="auto" w:before="137"/>
        <w:ind w:left="513" w:right="982"/>
        <w:jc w:val="left"/>
      </w:pPr>
      <w:r>
        <w:rPr/>
        <w:t>在确定信用风险自初始确认后是否显著增加时</w:t>
      </w:r>
      <w:r>
        <w:rPr>
          <w:spacing w:val="-82"/>
        </w:rPr>
        <w:t>，</w:t>
      </w:r>
      <w:r>
        <w:rPr/>
        <w:t>本集团考虑无须付出不必要的额外成本或努力即可获得的合理且有依据</w:t>
      </w:r>
    </w:p>
    <w:p>
      <w:pPr>
        <w:spacing w:after="0" w:line="240" w:lineRule="auto"/>
        <w:jc w:val="left"/>
        <w:sectPr>
          <w:footerReference w:type="default" r:id="rId15"/>
          <w:pgSz w:w="11910" w:h="16840"/>
          <w:pgMar w:footer="979" w:header="748" w:top="1060" w:bottom="1160" w:left="980" w:right="0"/>
        </w:sectPr>
      </w:pPr>
    </w:p>
    <w:p>
      <w:pPr>
        <w:spacing w:line="240" w:lineRule="auto" w:before="10"/>
        <w:rPr>
          <w:rFonts w:ascii="宋体" w:hAnsi="宋体" w:cs="宋体" w:eastAsia="宋体" w:hint="default"/>
          <w:sz w:val="25"/>
          <w:szCs w:val="25"/>
        </w:rPr>
      </w:pPr>
    </w:p>
    <w:p>
      <w:pPr>
        <w:pStyle w:val="BodyText"/>
        <w:spacing w:line="439" w:lineRule="auto" w:before="44"/>
        <w:ind w:left="513" w:right="4633" w:hanging="361"/>
        <w:jc w:val="left"/>
      </w:pPr>
      <w:r>
        <w:rPr/>
        <w:t>的信息，包括前瞻性信息。本集团考虑的信息包括： 债务人未能按合同到期日支付本金和利息的情况； 已发生的或预期的金融工具的外部或内部信用评级（如有）的严重恶化； 已发生的或预期的债务人经营成果的严重恶化；</w:t>
      </w:r>
    </w:p>
    <w:p>
      <w:pPr>
        <w:pStyle w:val="BodyText"/>
        <w:spacing w:line="240" w:lineRule="auto" w:before="47"/>
        <w:ind w:left="513" w:right="982"/>
        <w:jc w:val="left"/>
      </w:pPr>
      <w:r>
        <w:rPr/>
        <w:t>现存的或预期的技术、市场、经济或法律环境变化，并将对债务人对本集团的还款能力产生重大不利影响。</w:t>
      </w:r>
    </w:p>
    <w:p>
      <w:pPr>
        <w:spacing w:line="240" w:lineRule="auto" w:before="0"/>
        <w:rPr>
          <w:rFonts w:ascii="宋体" w:hAnsi="宋体" w:cs="宋体" w:eastAsia="宋体" w:hint="default"/>
          <w:sz w:val="15"/>
          <w:szCs w:val="15"/>
        </w:rPr>
      </w:pPr>
    </w:p>
    <w:p>
      <w:pPr>
        <w:pStyle w:val="BodyText"/>
        <w:spacing w:line="316" w:lineRule="auto"/>
        <w:ind w:right="1132" w:firstLine="360"/>
        <w:jc w:val="both"/>
      </w:pPr>
      <w:r>
        <w:rPr>
          <w:spacing w:val="-2"/>
        </w:rPr>
        <w:t>根据金融工具的性质，本集团以单项金融工具或金融工具组合为基础评估信用风险是否显著增加。以金融工具组合为基</w:t>
      </w:r>
      <w:r>
        <w:rPr/>
        <w:t> 础进行评估时，本集团可基于共同信用风险特征对金融工具进行分类，例如逾期信息和信用风险评级。</w:t>
      </w:r>
    </w:p>
    <w:p>
      <w:pPr>
        <w:pStyle w:val="BodyText"/>
        <w:spacing w:line="432" w:lineRule="exact" w:before="3"/>
        <w:ind w:left="513" w:right="982"/>
        <w:jc w:val="left"/>
      </w:pPr>
      <w:r>
        <w:rPr/>
        <w:t>已发生信用减值的金融资产 本集团在资产负债表日评估以摊余成本计量的金融资产和以公允价值计量且其变动计入其他综合收益的债权投资是否</w:t>
      </w:r>
    </w:p>
    <w:p>
      <w:pPr>
        <w:pStyle w:val="BodyText"/>
        <w:spacing w:line="316" w:lineRule="auto" w:before="15"/>
        <w:ind w:right="982"/>
        <w:jc w:val="left"/>
      </w:pPr>
      <w:r>
        <w:rPr>
          <w:spacing w:val="-2"/>
        </w:rPr>
        <w:t>已发生信用减值。当对金融资产预期未来现金流量具有不利影响的一项或多项事件发生时，该金融资产成为已发生信用减值</w:t>
      </w:r>
      <w:r>
        <w:rPr>
          <w:spacing w:val="-64"/>
        </w:rPr>
        <w:t> </w:t>
      </w:r>
      <w:r>
        <w:rPr>
          <w:spacing w:val="-64"/>
        </w:rPr>
      </w:r>
      <w:r>
        <w:rPr/>
        <w:t>的金融资产。金融资产已发生信用减值的证据包括下列可观察信息：</w:t>
      </w:r>
    </w:p>
    <w:p>
      <w:pPr>
        <w:pStyle w:val="BodyText"/>
        <w:spacing w:line="439" w:lineRule="auto" w:before="139"/>
        <w:ind w:left="513" w:right="6253"/>
        <w:jc w:val="left"/>
      </w:pPr>
      <w:r>
        <w:rPr/>
        <w:t>发行方或债务人发生重大财务困难； 债务人违反合同，如偿付利息或本金违约或逾期等；</w:t>
      </w:r>
    </w:p>
    <w:p>
      <w:pPr>
        <w:pStyle w:val="BodyText"/>
        <w:spacing w:line="439" w:lineRule="auto" w:before="47"/>
        <w:ind w:left="513" w:right="2113"/>
        <w:jc w:val="left"/>
      </w:pPr>
      <w:r>
        <w:rPr/>
        <w:t>本集团出于与债务人财务困难有关的经济或合同考虑，给予债务人在任何其他情况下都不会做出的让步； 债务人很可能破产或进行其他财务重组；</w:t>
      </w:r>
    </w:p>
    <w:p>
      <w:pPr>
        <w:pStyle w:val="BodyText"/>
        <w:spacing w:line="441" w:lineRule="auto" w:before="47"/>
        <w:ind w:left="513" w:right="5713"/>
        <w:jc w:val="left"/>
      </w:pPr>
      <w:r>
        <w:rPr/>
        <w:t>发行方或债务人财务困难导致该金融资产的活跃市场消失。 预期信用损失准备的列报</w:t>
      </w:r>
    </w:p>
    <w:p>
      <w:pPr>
        <w:pStyle w:val="BodyText"/>
        <w:spacing w:line="316" w:lineRule="auto" w:before="45"/>
        <w:ind w:right="1130" w:firstLine="360"/>
        <w:jc w:val="both"/>
      </w:pPr>
      <w:r>
        <w:rPr>
          <w:spacing w:val="-2"/>
        </w:rPr>
        <w:t>为反映金融工具的信用风险自初始确认后的变化，本集团在每个资产负债表日重新计量预期信用损失，由此形成的损失</w:t>
      </w:r>
      <w:r>
        <w:rPr/>
        <w:t> </w:t>
      </w:r>
      <w:r>
        <w:rPr>
          <w:spacing w:val="-2"/>
        </w:rPr>
        <w:t>准备的增加或转回金额，应当作为减值损失或利得计入当期损益。对于以摊余成本计量的金融资产，损失准备抵减该金融资</w:t>
      </w:r>
      <w:r>
        <w:rPr>
          <w:spacing w:val="-63"/>
        </w:rPr>
        <w:t> </w:t>
      </w:r>
      <w:r>
        <w:rPr>
          <w:spacing w:val="-63"/>
        </w:rPr>
      </w:r>
      <w:r>
        <w:rPr>
          <w:spacing w:val="-2"/>
        </w:rPr>
        <w:t>产在资产负债表中列示的账面价值；对于以公允价值计量且其变动计入其他综合收益的债权投资，本集团在其他综合收益中</w:t>
      </w:r>
      <w:r>
        <w:rPr>
          <w:spacing w:val="-63"/>
        </w:rPr>
        <w:t> </w:t>
      </w:r>
      <w:r>
        <w:rPr>
          <w:spacing w:val="-63"/>
        </w:rPr>
      </w:r>
      <w:r>
        <w:rPr/>
        <w:t>确认其损失准备，不抵减该金融资产的账面价值。</w:t>
      </w:r>
    </w:p>
    <w:p>
      <w:pPr>
        <w:pStyle w:val="BodyText"/>
        <w:spacing w:line="432" w:lineRule="exact" w:before="3"/>
        <w:ind w:left="513" w:right="982"/>
        <w:jc w:val="left"/>
      </w:pPr>
      <w:r>
        <w:rPr/>
        <w:t>核销 </w:t>
      </w:r>
      <w:r>
        <w:rPr>
          <w:spacing w:val="-2"/>
        </w:rPr>
        <w:t>如果本集团不再合理预期金融资产合同现金流量能够全部或部分收回，则直接减记该金融资产的账面余额。这种减记构</w:t>
      </w:r>
    </w:p>
    <w:p>
      <w:pPr>
        <w:pStyle w:val="BodyText"/>
        <w:spacing w:line="316" w:lineRule="auto" w:before="15"/>
        <w:ind w:right="982"/>
        <w:jc w:val="left"/>
      </w:pPr>
      <w:r>
        <w:rPr>
          <w:spacing w:val="-2"/>
        </w:rPr>
        <w:t>成相关金融资产的终止确认。这种情况通常发生在本集团确定债务人没有资产或收入来源可产生足够的现金流量以偿还将被</w:t>
      </w:r>
      <w:r>
        <w:rPr>
          <w:spacing w:val="-64"/>
        </w:rPr>
        <w:t> </w:t>
      </w:r>
      <w:r>
        <w:rPr>
          <w:spacing w:val="-64"/>
        </w:rPr>
      </w:r>
      <w:r>
        <w:rPr/>
        <w:t>减记的金额。但是，按照本集团收回到期款项的程序，被减记的金融资产仍可能受到执行活动的影响。</w:t>
      </w:r>
    </w:p>
    <w:p>
      <w:pPr>
        <w:pStyle w:val="BodyText"/>
        <w:spacing w:line="240" w:lineRule="auto" w:before="139"/>
        <w:ind w:left="513" w:right="982"/>
        <w:jc w:val="left"/>
      </w:pPr>
      <w:r>
        <w:rPr/>
        <w:t>已减记的金融资产以后又收回的，作为减值损失的转回计入收回当期的损益。</w:t>
      </w:r>
    </w:p>
    <w:p>
      <w:pPr>
        <w:spacing w:line="240" w:lineRule="auto" w:before="0"/>
        <w:rPr>
          <w:rFonts w:ascii="宋体" w:hAnsi="宋体" w:cs="宋体" w:eastAsia="宋体" w:hint="default"/>
          <w:sz w:val="15"/>
          <w:szCs w:val="15"/>
        </w:rPr>
      </w:pPr>
    </w:p>
    <w:p>
      <w:pPr>
        <w:pStyle w:val="BodyText"/>
        <w:spacing w:line="415" w:lineRule="auto"/>
        <w:ind w:left="513" w:right="3193"/>
        <w:jc w:val="left"/>
      </w:pPr>
      <w:r>
        <w:rPr/>
        <w:t>（</w:t>
      </w:r>
      <w:r>
        <w:rPr>
          <w:rFonts w:ascii="Times New Roman" w:hAnsi="Times New Roman" w:cs="Times New Roman" w:eastAsia="Times New Roman" w:hint="default"/>
        </w:rPr>
        <w:t>7</w:t>
      </w:r>
      <w:r>
        <w:rPr/>
        <w:t>）金融资产转移 金融资产转移，是指将金融资产让与或交付给该金融资产发行方以外的另一方（转入方）。</w:t>
      </w:r>
    </w:p>
    <w:p>
      <w:pPr>
        <w:pStyle w:val="BodyText"/>
        <w:spacing w:line="316" w:lineRule="auto" w:before="65"/>
        <w:ind w:right="1132" w:firstLine="360"/>
        <w:jc w:val="both"/>
      </w:pPr>
      <w:r>
        <w:rPr>
          <w:spacing w:val="-2"/>
        </w:rPr>
        <w:t>本集团已将金融资产所有权上几乎所有的风险和报酬转移给转入方的，终止确认该金融资产；保留了金融资产所有权上</w:t>
      </w:r>
      <w:r>
        <w:rPr/>
        <w:t> 几乎所有的风险和报酬的，不终止确认该金融资产。</w:t>
      </w:r>
    </w:p>
    <w:p>
      <w:pPr>
        <w:pStyle w:val="BodyText"/>
        <w:spacing w:line="316" w:lineRule="auto" w:before="139"/>
        <w:ind w:right="1130" w:firstLine="360"/>
        <w:jc w:val="both"/>
      </w:pPr>
      <w:r>
        <w:rPr>
          <w:spacing w:val="-2"/>
        </w:rPr>
        <w:t>本集团既没有转移也没有保留金融资产所有权上几乎所有的风险和报酬的，分别下列情况处理：放弃了对该金融资产控</w:t>
      </w:r>
      <w:r>
        <w:rPr/>
        <w:t> </w:t>
      </w:r>
      <w:r>
        <w:rPr>
          <w:spacing w:val="-2"/>
        </w:rPr>
        <w:t>制的，终止确认该金融资产并确认产生的资产和负债；未放弃对该金融资产控制的，按照其继续涉入所转移金融资产的程度</w:t>
      </w:r>
      <w:r>
        <w:rPr>
          <w:spacing w:val="-63"/>
        </w:rPr>
        <w:t> </w:t>
      </w:r>
      <w:r>
        <w:rPr>
          <w:spacing w:val="-63"/>
        </w:rPr>
      </w:r>
      <w:r>
        <w:rPr/>
        <w:t>确认有关金融资产，并相应确认有关负债。</w:t>
      </w:r>
    </w:p>
    <w:p>
      <w:pPr>
        <w:pStyle w:val="BodyText"/>
        <w:spacing w:line="432" w:lineRule="exact" w:before="3"/>
        <w:ind w:left="513" w:right="982"/>
        <w:jc w:val="left"/>
      </w:pPr>
      <w:r>
        <w:rPr/>
        <w:t>（</w:t>
      </w:r>
      <w:r>
        <w:rPr>
          <w:rFonts w:ascii="Times New Roman" w:hAnsi="Times New Roman" w:cs="Times New Roman" w:eastAsia="Times New Roman" w:hint="default"/>
        </w:rPr>
        <w:t>8</w:t>
      </w:r>
      <w:r>
        <w:rPr/>
        <w:t>）金融资产和金融负债的抵销 </w:t>
      </w:r>
      <w:r>
        <w:rPr>
          <w:spacing w:val="-2"/>
        </w:rPr>
        <w:t>当本集团具有抵销已确认金融资产和金融负债的法定权利，且目前可执行该种法定权利，同时本集团计划以净额结算或</w:t>
      </w:r>
    </w:p>
    <w:p>
      <w:pPr>
        <w:pStyle w:val="BodyText"/>
        <w:spacing w:line="240" w:lineRule="auto" w:before="15"/>
        <w:ind w:right="982"/>
        <w:jc w:val="left"/>
      </w:pPr>
      <w:r>
        <w:rPr/>
        <w:t>同时变现该金融资产和清偿该金融负债时，金融资产和金融负债以相互抵销后的金额在资产负债表内列示。除此以外，金融</w:t>
      </w:r>
    </w:p>
    <w:p>
      <w:pPr>
        <w:spacing w:after="0" w:line="240" w:lineRule="auto"/>
        <w:jc w:val="left"/>
        <w:sectPr>
          <w:footerReference w:type="default" r:id="rId16"/>
          <w:pgSz w:w="11910" w:h="16840"/>
          <w:pgMar w:footer="979" w:header="748" w:top="1060" w:bottom="1160" w:left="980" w:right="0"/>
          <w:pgNumType w:start="101"/>
        </w:sectPr>
      </w:pPr>
    </w:p>
    <w:p>
      <w:pPr>
        <w:spacing w:line="240" w:lineRule="auto" w:before="10"/>
        <w:rPr>
          <w:rFonts w:ascii="宋体" w:hAnsi="宋体" w:cs="宋体" w:eastAsia="宋体" w:hint="default"/>
          <w:sz w:val="25"/>
          <w:szCs w:val="25"/>
        </w:rPr>
      </w:pPr>
    </w:p>
    <w:p>
      <w:pPr>
        <w:pStyle w:val="BodyText"/>
        <w:spacing w:line="240" w:lineRule="auto" w:before="44"/>
        <w:ind w:right="982"/>
        <w:jc w:val="left"/>
      </w:pPr>
      <w:r>
        <w:rPr/>
        <w:t>资产和金融负债在资产负债表内分别列示，不予相互抵销。</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详见附注</w:t>
      </w:r>
      <w:r>
        <w:rPr>
          <w:rFonts w:ascii="Times New Roman" w:hAnsi="Times New Roman" w:cs="Times New Roman" w:eastAsia="Times New Roman" w:hint="default"/>
        </w:rPr>
        <w:t>10</w:t>
      </w:r>
      <w:r>
        <w:rPr/>
        <w:t>、金融工具的相关内容。</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详见附注</w:t>
      </w:r>
      <w:r>
        <w:rPr>
          <w:rFonts w:ascii="Times New Roman" w:hAnsi="Times New Roman" w:cs="Times New Roman" w:eastAsia="Times New Roman" w:hint="default"/>
        </w:rPr>
        <w:t>10</w:t>
      </w:r>
      <w:r>
        <w:rPr/>
        <w:t>、金融工具的相关内容。</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13</w:t>
      </w:r>
      <w:r>
        <w:rPr/>
        <w:t>、其他应收款</w:t>
      </w:r>
      <w:r>
        <w:rPr>
          <w:b w:val="0"/>
          <w:bCs w:val="0"/>
        </w:rPr>
      </w:r>
    </w:p>
    <w:p>
      <w:pPr>
        <w:spacing w:line="240" w:lineRule="auto" w:before="5"/>
        <w:rPr>
          <w:rFonts w:ascii="宋体" w:hAnsi="宋体" w:cs="宋体" w:eastAsia="宋体" w:hint="default"/>
          <w:b/>
          <w:bCs/>
          <w:sz w:val="26"/>
          <w:szCs w:val="26"/>
        </w:rPr>
      </w:pPr>
    </w:p>
    <w:p>
      <w:pPr>
        <w:pStyle w:val="BodyText"/>
        <w:spacing w:line="436" w:lineRule="auto"/>
        <w:ind w:left="513" w:right="6073"/>
        <w:jc w:val="left"/>
      </w:pPr>
      <w:r>
        <w:rPr/>
        <w:t>其他应收款的预期信用损失的确定方法及会计处理方法 详见附注</w:t>
      </w:r>
      <w:r>
        <w:rPr>
          <w:rFonts w:ascii="Times New Roman" w:hAnsi="Times New Roman" w:cs="Times New Roman" w:eastAsia="Times New Roman" w:hint="default"/>
        </w:rPr>
        <w:t>10</w:t>
      </w:r>
      <w:r>
        <w:rPr/>
        <w:t>、金融工具的相关内容。</w:t>
      </w:r>
    </w:p>
    <w:p>
      <w:pPr>
        <w:spacing w:line="240" w:lineRule="auto" w:before="9"/>
        <w:rPr>
          <w:rFonts w:ascii="宋体" w:hAnsi="宋体" w:cs="宋体" w:eastAsia="宋体" w:hint="default"/>
          <w:sz w:val="13"/>
          <w:szCs w:val="13"/>
        </w:rPr>
      </w:pPr>
    </w:p>
    <w:p>
      <w:pPr>
        <w:pStyle w:val="Heading3"/>
        <w:spacing w:line="240" w:lineRule="auto"/>
        <w:ind w:right="982"/>
        <w:jc w:val="left"/>
        <w:rPr>
          <w:b w:val="0"/>
          <w:bCs w:val="0"/>
        </w:rPr>
      </w:pPr>
      <w:r>
        <w:rPr>
          <w:rFonts w:ascii="Times New Roman" w:hAnsi="Times New Roman" w:cs="Times New Roman" w:eastAsia="Times New Roman" w:hint="default"/>
        </w:rPr>
        <w:t>14</w:t>
      </w:r>
      <w:r>
        <w:rPr/>
        <w:t>、存货</w:t>
      </w:r>
      <w:r>
        <w:rPr>
          <w:b w:val="0"/>
          <w:bCs w:val="0"/>
        </w:rPr>
      </w:r>
    </w:p>
    <w:p>
      <w:pPr>
        <w:pStyle w:val="BodyText"/>
        <w:spacing w:line="420" w:lineRule="atLeast" w:before="173"/>
        <w:ind w:left="513" w:right="982"/>
        <w:jc w:val="left"/>
      </w:pPr>
      <w:r>
        <w:rPr/>
        <w:t>（</w:t>
      </w:r>
      <w:r>
        <w:rPr>
          <w:rFonts w:ascii="Times New Roman" w:hAnsi="Times New Roman" w:cs="Times New Roman" w:eastAsia="Times New Roman" w:hint="default"/>
        </w:rPr>
        <w:t>1</w:t>
      </w:r>
      <w:r>
        <w:rPr/>
        <w:t>）存货的分类 </w:t>
      </w:r>
      <w:r>
        <w:rPr>
          <w:spacing w:val="-2"/>
        </w:rPr>
        <w:t>本集团存货分为原材料、库存商品、周转材料、项目开发成本等。项目开发成本核算的是已运送至客户指定场所的系统</w:t>
      </w:r>
    </w:p>
    <w:p>
      <w:pPr>
        <w:pStyle w:val="BodyText"/>
        <w:spacing w:line="316" w:lineRule="auto" w:before="76"/>
        <w:ind w:right="982"/>
        <w:jc w:val="left"/>
      </w:pPr>
      <w:r>
        <w:rPr>
          <w:spacing w:val="-2"/>
        </w:rPr>
        <w:t>硬件成本、尚在进行中的系统安装成本或系统整合成本、正在履行的其他义务所发生的成本，及可归集到合同的已发生的直</w:t>
      </w:r>
      <w:r>
        <w:rPr>
          <w:spacing w:val="-63"/>
        </w:rPr>
        <w:t> </w:t>
      </w:r>
      <w:r>
        <w:rPr>
          <w:spacing w:val="-63"/>
        </w:rPr>
      </w:r>
      <w:r>
        <w:rPr/>
        <w:t>接人工和直接费用。</w:t>
      </w:r>
    </w:p>
    <w:p>
      <w:pPr>
        <w:pStyle w:val="BodyText"/>
        <w:spacing w:line="415" w:lineRule="auto" w:before="139"/>
        <w:ind w:left="513" w:right="3553"/>
        <w:jc w:val="left"/>
      </w:pPr>
      <w:r>
        <w:rPr/>
        <w:t>（</w:t>
      </w:r>
      <w:r>
        <w:rPr>
          <w:rFonts w:ascii="Times New Roman" w:hAnsi="Times New Roman" w:cs="Times New Roman" w:eastAsia="Times New Roman" w:hint="default"/>
        </w:rPr>
        <w:t>2</w:t>
      </w:r>
      <w:r>
        <w:rPr/>
        <w:t>）发出存货的计价方法 本集团存货取得时按实际成本计价。原材料、库存商品等发出时采用加权平均法计价。</w:t>
      </w:r>
    </w:p>
    <w:p>
      <w:pPr>
        <w:pStyle w:val="BodyText"/>
        <w:spacing w:line="240" w:lineRule="auto" w:before="65"/>
        <w:ind w:left="513" w:right="982"/>
        <w:jc w:val="left"/>
      </w:pPr>
      <w:r>
        <w:rPr/>
        <w:t>（</w:t>
      </w:r>
      <w:r>
        <w:rPr>
          <w:rFonts w:ascii="Times New Roman" w:hAnsi="Times New Roman" w:cs="Times New Roman" w:eastAsia="Times New Roman" w:hint="default"/>
        </w:rPr>
        <w:t>3</w:t>
      </w:r>
      <w:r>
        <w:rPr/>
        <w:t>）存货可变现净值的确定依据及存货跌价准备的计提方法</w:t>
      </w:r>
    </w:p>
    <w:p>
      <w:pPr>
        <w:spacing w:line="240" w:lineRule="auto" w:before="13"/>
        <w:rPr>
          <w:rFonts w:ascii="宋体" w:hAnsi="宋体" w:cs="宋体" w:eastAsia="宋体" w:hint="default"/>
          <w:sz w:val="13"/>
          <w:szCs w:val="13"/>
        </w:rPr>
      </w:pPr>
    </w:p>
    <w:p>
      <w:pPr>
        <w:pStyle w:val="BodyText"/>
        <w:spacing w:line="316" w:lineRule="auto"/>
        <w:ind w:right="982" w:firstLine="360"/>
        <w:jc w:val="left"/>
      </w:pPr>
      <w:r>
        <w:rPr>
          <w:spacing w:val="-2"/>
        </w:rPr>
        <w:t>存货可变现净值是按存货的估计售价减去至完工时估计将要发生的成本、估计的销售费用以及相关税费后的金额。在确</w:t>
      </w:r>
      <w:r>
        <w:rPr/>
        <w:t> 定存货的可变现净值时，以取得的确凿证据为基础，同时考虑持有存货的目的以及资产负债表日后事项的影响。</w:t>
      </w:r>
    </w:p>
    <w:p>
      <w:pPr>
        <w:pStyle w:val="BodyText"/>
        <w:spacing w:line="316" w:lineRule="auto" w:before="139"/>
        <w:ind w:right="1034" w:firstLine="360"/>
        <w:jc w:val="left"/>
      </w:pPr>
      <w:r>
        <w:rPr/>
        <w:t>资产负债表日，存货成本高于其可变现净值的，计提存货跌价准备。本集团通常按照单个存货项目计提存货跌价准备， 资产负债表日，以前减记存货价值的影响因素已经消失的，存货跌价准备在原已计提的金额内转回。</w:t>
      </w:r>
    </w:p>
    <w:p>
      <w:pPr>
        <w:pStyle w:val="BodyText"/>
        <w:spacing w:line="417" w:lineRule="auto" w:before="139"/>
        <w:ind w:left="513" w:right="7333"/>
        <w:jc w:val="left"/>
      </w:pPr>
      <w:r>
        <w:rPr/>
        <w:t>（</w:t>
      </w:r>
      <w:r>
        <w:rPr>
          <w:rFonts w:ascii="Times New Roman" w:hAnsi="Times New Roman" w:cs="Times New Roman" w:eastAsia="Times New Roman" w:hint="default"/>
        </w:rPr>
        <w:t>4</w:t>
      </w:r>
      <w:r>
        <w:rPr/>
        <w:t>）存货的盘存制度 本集团存货盘存制度采用永续盘存制。</w:t>
      </w:r>
    </w:p>
    <w:p>
      <w:pPr>
        <w:pStyle w:val="BodyText"/>
        <w:spacing w:line="340" w:lineRule="auto" w:before="63"/>
        <w:ind w:right="7154" w:firstLine="360"/>
        <w:jc w:val="left"/>
      </w:pPr>
      <w:r>
        <w:rPr/>
        <w:t>（</w:t>
      </w:r>
      <w:r>
        <w:rPr>
          <w:rFonts w:ascii="Times New Roman" w:hAnsi="Times New Roman" w:cs="Times New Roman" w:eastAsia="Times New Roman" w:hint="default"/>
        </w:rPr>
        <w:t>5</w:t>
      </w:r>
      <w:r>
        <w:rPr/>
        <w:t>）周转材料的摊销方法 本集团周转材料领用时采用一次转销法摊销。</w:t>
      </w:r>
    </w:p>
    <w:p>
      <w:pPr>
        <w:spacing w:line="240" w:lineRule="auto" w:before="3"/>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2" w:firstLine="360"/>
        <w:jc w:val="left"/>
      </w:pPr>
      <w:r>
        <w:rPr>
          <w:spacing w:val="-2"/>
        </w:rPr>
        <w:t>长期股权投资包括对子公司、合营企业和联营企业的权益性投资。本集团能够对被投资单位施加重大影响的，为本集团</w:t>
      </w:r>
      <w:r>
        <w:rPr/>
        <w:t> 的联营企业。</w:t>
      </w:r>
    </w:p>
    <w:p>
      <w:pPr>
        <w:pStyle w:val="BodyText"/>
        <w:spacing w:line="432" w:lineRule="exact" w:before="3"/>
        <w:ind w:left="513" w:right="982"/>
        <w:jc w:val="left"/>
      </w:pPr>
      <w:r>
        <w:rPr/>
        <w:t>（</w:t>
      </w:r>
      <w:r>
        <w:rPr>
          <w:rFonts w:ascii="Times New Roman" w:hAnsi="Times New Roman" w:cs="Times New Roman" w:eastAsia="Times New Roman" w:hint="default"/>
        </w:rPr>
        <w:t>1</w:t>
      </w:r>
      <w:r>
        <w:rPr/>
        <w:t>）初始投资成本确定 </w:t>
      </w:r>
      <w:r>
        <w:rPr>
          <w:spacing w:val="-2"/>
        </w:rPr>
        <w:t>形成企业合并的长期股权投资：同一控制下企业合并取得的长期股权投资，在合并日按照取得被合并方所有者权益在最</w:t>
      </w:r>
    </w:p>
    <w:p>
      <w:pPr>
        <w:pStyle w:val="BodyText"/>
        <w:spacing w:line="240" w:lineRule="auto" w:before="15"/>
        <w:ind w:right="982"/>
        <w:jc w:val="left"/>
      </w:pPr>
      <w:r>
        <w:rPr/>
        <w:t>终控制方合并财务报表中的账面价值份额作为投资成本；非同一控制下企业合并取得的长期股权投资，按照合并成本作为长</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期股权投资的投资成本。</w:t>
      </w:r>
    </w:p>
    <w:p>
      <w:pPr>
        <w:spacing w:line="240" w:lineRule="auto" w:before="0"/>
        <w:rPr>
          <w:rFonts w:ascii="宋体" w:hAnsi="宋体" w:cs="宋体" w:eastAsia="宋体" w:hint="default"/>
          <w:sz w:val="15"/>
          <w:szCs w:val="15"/>
        </w:rPr>
      </w:pPr>
    </w:p>
    <w:p>
      <w:pPr>
        <w:pStyle w:val="BodyText"/>
        <w:spacing w:line="316" w:lineRule="auto"/>
        <w:ind w:right="1130" w:firstLine="360"/>
        <w:jc w:val="both"/>
      </w:pPr>
      <w:r>
        <w:rPr>
          <w:spacing w:val="-2"/>
        </w:rPr>
        <w:t>对于其他方式取得的长期股权投资：支付现金取得的长期股权投资，按照实际支付的购买价款作为初始投资成本；发行</w:t>
      </w:r>
      <w:r>
        <w:rPr/>
        <w:t> 权益性证券取得的长期股权投资，以发行权益性证券的公允价值作为初始投资成本。</w:t>
      </w:r>
    </w:p>
    <w:p>
      <w:pPr>
        <w:pStyle w:val="BodyText"/>
        <w:spacing w:line="432" w:lineRule="exact" w:before="3"/>
        <w:ind w:left="513" w:right="1033"/>
        <w:jc w:val="left"/>
      </w:pPr>
      <w:r>
        <w:rPr/>
        <w:t>（</w:t>
      </w:r>
      <w:r>
        <w:rPr>
          <w:rFonts w:ascii="Times New Roman" w:hAnsi="Times New Roman" w:cs="Times New Roman" w:eastAsia="Times New Roman" w:hint="default"/>
        </w:rPr>
        <w:t>2</w:t>
      </w:r>
      <w:r>
        <w:rPr/>
        <w:t>）后续计量及损益确认方法 对子公司的投资，采用成本法核算，除非投资符合持有待售的条件；对联营企业和合营企业的投资，采用权益法核算。 采用成本法核算的长期股权投资，除取得投资时实际支付的价款或对价中包含的已宣告但尚未发放的现金股利或利润</w:t>
      </w:r>
    </w:p>
    <w:p>
      <w:pPr>
        <w:pStyle w:val="BodyText"/>
        <w:spacing w:line="240" w:lineRule="auto" w:before="15"/>
        <w:ind w:right="0"/>
        <w:jc w:val="both"/>
      </w:pPr>
      <w:r>
        <w:rPr/>
        <w:t>外，被投资单位宣告分派的现金股利或利润，确认为投资收益计入当期损益。</w:t>
      </w:r>
    </w:p>
    <w:p>
      <w:pPr>
        <w:spacing w:line="240" w:lineRule="auto" w:before="0"/>
        <w:rPr>
          <w:rFonts w:ascii="宋体" w:hAnsi="宋体" w:cs="宋体" w:eastAsia="宋体" w:hint="default"/>
          <w:sz w:val="15"/>
          <w:szCs w:val="15"/>
        </w:rPr>
      </w:pPr>
    </w:p>
    <w:p>
      <w:pPr>
        <w:pStyle w:val="BodyText"/>
        <w:spacing w:line="319" w:lineRule="auto"/>
        <w:ind w:right="1132" w:firstLine="360"/>
        <w:jc w:val="both"/>
      </w:pPr>
      <w:r>
        <w:rPr>
          <w:spacing w:val="-2"/>
        </w:rPr>
        <w:t>采用权益法核算的长期股权投资，初始投资成本大于投资时应享有被投资单位可辨认净资产公允价值份额的，不调整长</w:t>
      </w:r>
      <w:r>
        <w:rPr/>
        <w:t> </w:t>
      </w:r>
      <w:r>
        <w:rPr>
          <w:spacing w:val="-2"/>
        </w:rPr>
        <w:t>期股权投资的投资成本；初始投资成本小于投资时应享有被投资单位可辨认净资产公允价值份额的，对长期股权投资的账面</w:t>
      </w:r>
      <w:r>
        <w:rPr>
          <w:spacing w:val="-64"/>
        </w:rPr>
        <w:t> </w:t>
      </w:r>
      <w:r>
        <w:rPr>
          <w:spacing w:val="-64"/>
        </w:rPr>
      </w:r>
      <w:r>
        <w:rPr/>
        <w:t>价值进行调整，差额计入投资当期的损益。</w:t>
      </w:r>
    </w:p>
    <w:p>
      <w:pPr>
        <w:pStyle w:val="BodyText"/>
        <w:spacing w:line="316" w:lineRule="auto" w:before="137"/>
        <w:ind w:right="1130" w:firstLine="360"/>
        <w:jc w:val="both"/>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3"/>
        </w:rPr>
        <w:t> </w:t>
      </w:r>
      <w:r>
        <w:rPr>
          <w:spacing w:val="-63"/>
        </w:rPr>
      </w:r>
      <w:r>
        <w:rPr>
          <w:spacing w:val="-2"/>
        </w:rPr>
        <w:t>期股权投资的账面价值；被投资单位除净损益、其他综合收益和利润分配以外所有者权益的其他变动，调整长期股权投资的</w:t>
      </w:r>
      <w:r>
        <w:rPr>
          <w:spacing w:val="-63"/>
        </w:rPr>
        <w:t> </w:t>
      </w:r>
      <w:r>
        <w:rPr>
          <w:spacing w:val="-63"/>
        </w:rPr>
      </w:r>
      <w:r>
        <w:rPr>
          <w:spacing w:val="-2"/>
        </w:rPr>
        <w:t>账面价值并计入资本公积（其他资本公积）。在确认应享有被投资单位净损益的份额时，以取得投资时被投资单位各项可辨</w:t>
      </w:r>
      <w:r>
        <w:rPr>
          <w:spacing w:val="-64"/>
        </w:rPr>
        <w:t> </w:t>
      </w:r>
      <w:r>
        <w:rPr>
          <w:spacing w:val="-64"/>
        </w:rPr>
      </w:r>
      <w:r>
        <w:rPr/>
        <w:t>认资产等的公允价值为基础，并按照本集团的会计政策及会计期间，对被投资单位的净利润进行调整后确认。</w:t>
      </w:r>
    </w:p>
    <w:p>
      <w:pPr>
        <w:pStyle w:val="BodyText"/>
        <w:spacing w:line="316" w:lineRule="auto" w:before="139"/>
        <w:ind w:right="1130" w:firstLine="360"/>
        <w:jc w:val="both"/>
      </w:pPr>
      <w:r>
        <w:rPr>
          <w:spacing w:val="-2"/>
        </w:rPr>
        <w:t>因追加投资等原因能够对被投资单位施加重大影响或实施共同控制但不构成控制的，在转换日，按照原股权的公允价值</w:t>
      </w:r>
      <w:r>
        <w:rPr/>
        <w:t> </w:t>
      </w:r>
      <w:r>
        <w:rPr>
          <w:spacing w:val="-2"/>
        </w:rPr>
        <w:t>加上新增投资成本之和，作为改按权益法核算的初始投资成本。原股权于转换日的公允价值与账面价值之间的差额，以及原</w:t>
      </w:r>
      <w:r>
        <w:rPr>
          <w:spacing w:val="-63"/>
        </w:rPr>
        <w:t> </w:t>
      </w:r>
      <w:r>
        <w:rPr>
          <w:spacing w:val="-63"/>
        </w:rPr>
      </w:r>
      <w:r>
        <w:rPr/>
        <w:t>计入其他综合收益的累计公允价值变动转入改按权益法核算的当期损益。</w:t>
      </w:r>
    </w:p>
    <w:p>
      <w:pPr>
        <w:pStyle w:val="BodyText"/>
        <w:spacing w:line="312" w:lineRule="auto" w:before="139"/>
        <w:ind w:right="1034" w:firstLine="360"/>
        <w:jc w:val="left"/>
      </w:pPr>
      <w:r>
        <w:rPr>
          <w:spacing w:val="-2"/>
        </w:rPr>
        <w:t>因处置部分股权投资等原因丧失了对被投资单位的共同控制或重大影响的，处置后的剩余股权在丧失共同控制或重大影</w:t>
      </w:r>
      <w:r>
        <w:rPr/>
        <w:t> 响之日改按《企业会计准则第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金融工具确认和计量》进行会计处理，公允价值与账面价值之间的差额计入当期损益。</w:t>
      </w:r>
      <w:r>
        <w:rPr>
          <w:spacing w:val="-87"/>
        </w:rPr>
        <w:t> </w:t>
      </w:r>
      <w:r>
        <w:rPr>
          <w:spacing w:val="-87"/>
        </w:rPr>
      </w:r>
      <w:r>
        <w:rPr>
          <w:spacing w:val="-2"/>
        </w:rPr>
        <w:t>原股权投资因采用权益法核算而确认的其他综合收益，在终止采用权益法核算时采用与被投资单位直接处置相关资产或负债</w:t>
      </w:r>
      <w:r>
        <w:rPr>
          <w:spacing w:val="-64"/>
        </w:rPr>
        <w:t> </w:t>
      </w:r>
      <w:r>
        <w:rPr>
          <w:spacing w:val="-64"/>
        </w:rPr>
      </w:r>
      <w:r>
        <w:rPr/>
        <w:t>相同的基础进行会计处理；原股权投资相关的其他所有者权益变动转入当期损益。</w:t>
      </w:r>
    </w:p>
    <w:p>
      <w:pPr>
        <w:pStyle w:val="BodyText"/>
        <w:spacing w:line="312" w:lineRule="auto" w:before="142"/>
        <w:ind w:right="1132" w:firstLine="360"/>
        <w:jc w:val="both"/>
      </w:pPr>
      <w:r>
        <w:rPr>
          <w:spacing w:val="-2"/>
        </w:rPr>
        <w:t>因处置部分股权投资等原因丧失了对被投资单位的控制的，处置后的剩余股权能够对被投资单位实施共同控制或施加重</w:t>
      </w:r>
      <w:r>
        <w:rPr/>
        <w:t> </w:t>
      </w:r>
      <w:r>
        <w:rPr>
          <w:spacing w:val="-2"/>
        </w:rPr>
        <w:t>大影响的，改按权益法核算，并对该剩余股权视同自取得时即采用权益法核算进行调整；处置后的剩余股权不能对被投资单</w:t>
      </w:r>
      <w:r>
        <w:rPr>
          <w:spacing w:val="-65"/>
        </w:rPr>
        <w:t> </w:t>
      </w:r>
      <w:r>
        <w:rPr>
          <w:spacing w:val="-65"/>
        </w:rPr>
      </w:r>
      <w:r>
        <w:rPr>
          <w:spacing w:val="-2"/>
        </w:rPr>
        <w:t>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w:t>
      </w:r>
      <w:r>
        <w:rPr>
          <w:spacing w:val="-63"/>
        </w:rPr>
        <w:t> </w:t>
      </w:r>
      <w:r>
        <w:rPr>
          <w:spacing w:val="-63"/>
        </w:rPr>
      </w:r>
      <w:r>
        <w:rPr/>
        <w:t>失控制之日的公允价值与账面价值之间的差额计入当期损益。</w:t>
      </w:r>
    </w:p>
    <w:p>
      <w:pPr>
        <w:pStyle w:val="BodyText"/>
        <w:spacing w:line="319" w:lineRule="auto" w:before="142"/>
        <w:ind w:right="1132" w:firstLine="360"/>
        <w:jc w:val="both"/>
      </w:pPr>
      <w:r>
        <w:rPr>
          <w:spacing w:val="-2"/>
        </w:rPr>
        <w:t>因其他投资方增资而导致本公司持股比例下降、从而丧失控制权但能对被投资单位实施共同控制或施加重大影响的，按</w:t>
      </w:r>
      <w:r>
        <w:rPr/>
        <w:t> </w:t>
      </w:r>
      <w:r>
        <w:rPr>
          <w:spacing w:val="-2"/>
        </w:rPr>
        <w:t>照新的持股比例确认本公司应享有的被投资单位因增资扩股而增加净资产的份额，与应结转持股比例下降部分所对应的长期</w:t>
      </w:r>
      <w:r>
        <w:rPr>
          <w:spacing w:val="-64"/>
        </w:rPr>
        <w:t> </w:t>
      </w:r>
      <w:r>
        <w:rPr>
          <w:spacing w:val="-64"/>
        </w:rPr>
      </w:r>
      <w:r>
        <w:rPr/>
        <w:t>股权投资原账面价值之间的差额计入当期损益；然后，按照新的持股比例视同自取得投资时即采用权益法核算进行调整。</w:t>
      </w:r>
    </w:p>
    <w:p>
      <w:pPr>
        <w:pStyle w:val="BodyText"/>
        <w:spacing w:line="316" w:lineRule="auto" w:before="137"/>
        <w:ind w:right="1132" w:firstLine="360"/>
        <w:jc w:val="both"/>
      </w:pPr>
      <w:r>
        <w:rPr>
          <w:spacing w:val="-2"/>
        </w:rPr>
        <w:t>本集团与联营企业及合营企业之间发生的未实现内部交易损益按照持股比例计算归属于本集团的部分，在抵销基础上确</w:t>
      </w:r>
      <w:r>
        <w:rPr/>
        <w:t> 认投资损益。但本集团与被投资单位发生的未实现内部交易损失，属于所转让资产减值损失的，不予以抵销。</w:t>
      </w:r>
    </w:p>
    <w:p>
      <w:pPr>
        <w:pStyle w:val="BodyText"/>
        <w:spacing w:line="432" w:lineRule="exact" w:before="3"/>
        <w:ind w:left="513" w:right="982"/>
        <w:jc w:val="left"/>
      </w:pPr>
      <w:r>
        <w:rPr/>
        <w:t>（</w:t>
      </w:r>
      <w:r>
        <w:rPr>
          <w:rFonts w:ascii="Times New Roman" w:hAnsi="Times New Roman" w:cs="Times New Roman" w:eastAsia="Times New Roman" w:hint="default"/>
        </w:rPr>
        <w:t>3</w:t>
      </w:r>
      <w:r>
        <w:rPr/>
        <w:t>）确定对被投资单位具有共同控制、重大影响的依据 </w:t>
      </w:r>
      <w:r>
        <w:rPr>
          <w:spacing w:val="-2"/>
        </w:rPr>
        <w:t>共同控制，是指按照相关约定对某项安排所共有的控制，并且该安排的相关活动必须经过分享控制权的参与方一致同意</w:t>
      </w:r>
    </w:p>
    <w:p>
      <w:pPr>
        <w:pStyle w:val="BodyText"/>
        <w:spacing w:line="316" w:lineRule="auto" w:before="15"/>
        <w:ind w:right="1130"/>
        <w:jc w:val="both"/>
      </w:pPr>
      <w:r>
        <w:rPr>
          <w:spacing w:val="-2"/>
        </w:rPr>
        <w:t>后才能决策。在判断是否存在共同控制时，首先判断是否由所有参与方或参与方组合集体控制该安排，其次再判断该安排相</w:t>
      </w:r>
      <w:r>
        <w:rPr>
          <w:spacing w:val="-63"/>
        </w:rPr>
        <w:t> </w:t>
      </w:r>
      <w:r>
        <w:rPr>
          <w:spacing w:val="-63"/>
        </w:rPr>
      </w:r>
      <w:r>
        <w:rPr>
          <w:spacing w:val="-2"/>
        </w:rPr>
        <w:t>关活动的决策是否必须经过这些集体控制该安排的参与方一致同意。如果所有参与方或一组参与方必须一致行动才能决定某</w:t>
      </w:r>
      <w:r>
        <w:rPr>
          <w:spacing w:val="-64"/>
        </w:rPr>
        <w:t> </w:t>
      </w:r>
      <w:r>
        <w:rPr>
          <w:spacing w:val="-64"/>
        </w:rPr>
      </w:r>
      <w:r>
        <w:rPr>
          <w:spacing w:val="-2"/>
        </w:rPr>
        <w:t>项安排的相关活动，则认为所有参与方或一组参与方集体控制该安排；如果存在两个或两个以上的参与方组合能够集体控制</w:t>
      </w:r>
      <w:r>
        <w:rPr>
          <w:spacing w:val="-63"/>
        </w:rPr>
        <w:t> </w:t>
      </w:r>
      <w:r>
        <w:rPr>
          <w:spacing w:val="-63"/>
        </w:rPr>
      </w:r>
      <w:r>
        <w:rPr/>
        <w:t>某项安排的，不构成共同控制。判断是否存在共同控制时，不考虑享有的保护性权利。</w:t>
      </w:r>
    </w:p>
    <w:p>
      <w:pPr>
        <w:pStyle w:val="BodyText"/>
        <w:spacing w:line="316" w:lineRule="auto" w:before="139"/>
        <w:ind w:right="1132" w:firstLine="360"/>
        <w:jc w:val="both"/>
      </w:pPr>
      <w:r>
        <w:rPr>
          <w:spacing w:val="-2"/>
        </w:rPr>
        <w:t>重大影响，是指投资方对被投资单位的财务和经营政策有参与决策的权力，但并不能够控制或者与其他方一起共同控制</w:t>
      </w:r>
      <w:r>
        <w:rPr/>
        <w:t> </w:t>
      </w:r>
      <w:r>
        <w:rPr>
          <w:spacing w:val="-2"/>
        </w:rPr>
        <w:t>这些政策的制定。在确定能否对被投资单位施加重大影响时，考虑投资方直接或间接持有被投资单位的表决权股份以及投资</w:t>
      </w:r>
    </w:p>
    <w:p>
      <w:pPr>
        <w:spacing w:after="0" w:line="316"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982"/>
        <w:jc w:val="left"/>
      </w:pPr>
      <w:r>
        <w:rPr>
          <w:spacing w:val="-2"/>
        </w:rPr>
        <w:t>方及其他方持有的当期可执行潜在表决权在假定转换为对被投资方单位的股权后产生的影响，包括被投资单位发行的当期可</w:t>
      </w:r>
      <w:r>
        <w:rPr>
          <w:spacing w:val="-64"/>
        </w:rPr>
        <w:t> </w:t>
      </w:r>
      <w:r>
        <w:rPr>
          <w:spacing w:val="-64"/>
        </w:rPr>
      </w:r>
      <w:r>
        <w:rPr/>
        <w:t>转换的认股权证、股份期权及可转换公司债券等的影响。</w:t>
      </w:r>
    </w:p>
    <w:p>
      <w:pPr>
        <w:pStyle w:val="BodyText"/>
        <w:spacing w:line="307" w:lineRule="auto" w:before="139"/>
        <w:ind w:right="1130" w:firstLine="360"/>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的表决权股份时，一般认为对被投资单 </w:t>
      </w:r>
      <w:r>
        <w:rPr>
          <w:spacing w:val="-2"/>
        </w:rPr>
        <w:t>位具有重大影响，除非有明确证据表明该种情况下不能参与被投资单位的生产经营决策，不形成重大影响；本集团拥有被投</w:t>
      </w:r>
      <w:r>
        <w:rPr>
          <w:spacing w:val="-63"/>
        </w:rPr>
        <w:t> </w:t>
      </w:r>
      <w:r>
        <w:rPr>
          <w:spacing w:val="-63"/>
        </w:rPr>
      </w:r>
      <w:r>
        <w:rPr>
          <w:spacing w:val="-1"/>
        </w:rPr>
        <w:t>资单位</w:t>
      </w:r>
      <w:r>
        <w:rPr>
          <w:rFonts w:ascii="Times New Roman" w:hAnsi="Times New Roman" w:cs="Times New Roman" w:eastAsia="Times New Roman" w:hint="default"/>
          <w:spacing w:val="-1"/>
        </w:rPr>
        <w:t>20%</w:t>
      </w:r>
      <w:r>
        <w:rPr>
          <w:spacing w:val="-1"/>
        </w:rPr>
        <w:t>（不含）以下的表决权股份时，一般不认为对被投资单位具有重大影响，除非有明确证据表明该种情况下能够参</w:t>
      </w:r>
      <w:r>
        <w:rPr/>
        <w:t> 与被投资单位的生产经营决策，形成重大影响。</w:t>
      </w:r>
    </w:p>
    <w:p>
      <w:pPr>
        <w:pStyle w:val="BodyText"/>
        <w:spacing w:line="415" w:lineRule="auto" w:before="146"/>
        <w:ind w:left="513" w:right="4453"/>
        <w:jc w:val="left"/>
      </w:pPr>
      <w:r>
        <w:rPr/>
        <w:t>（</w:t>
      </w:r>
      <w:r>
        <w:rPr>
          <w:rFonts w:ascii="Times New Roman" w:hAnsi="Times New Roman" w:cs="Times New Roman" w:eastAsia="Times New Roman" w:hint="default"/>
        </w:rPr>
        <w:t>4</w:t>
      </w:r>
      <w:r>
        <w:rPr/>
        <w:t>）持有待售的权益性投资 对于未划分为持有待售资产的剩余权益性投资，采用权益法进行会计处理。</w:t>
      </w:r>
    </w:p>
    <w:p>
      <w:pPr>
        <w:pStyle w:val="BodyText"/>
        <w:spacing w:line="319" w:lineRule="auto" w:before="65"/>
        <w:ind w:right="1131" w:firstLine="360"/>
        <w:jc w:val="both"/>
      </w:pPr>
      <w:r>
        <w:rPr>
          <w:spacing w:val="-2"/>
        </w:rPr>
        <w:t>已划分为持有待售的对联营企业或合营企业的权益性投资，不再符合持有待售资产分类条件的，从被分类为持有待售资</w:t>
      </w:r>
      <w:r>
        <w:rPr/>
        <w:t> 产之日起采用权益法进行追溯调整。</w:t>
      </w:r>
    </w:p>
    <w:p>
      <w:pPr>
        <w:pStyle w:val="BodyText"/>
        <w:spacing w:line="415" w:lineRule="auto" w:before="137"/>
        <w:ind w:left="513" w:right="4273"/>
        <w:jc w:val="left"/>
      </w:pPr>
      <w:r>
        <w:rPr/>
        <w:t>（</w:t>
      </w:r>
      <w:r>
        <w:rPr>
          <w:rFonts w:ascii="Times New Roman" w:hAnsi="Times New Roman" w:cs="Times New Roman" w:eastAsia="Times New Roman" w:hint="default"/>
        </w:rPr>
        <w:t>5</w:t>
      </w:r>
      <w:r>
        <w:rPr/>
        <w:t>）减值测试方法及减值准备计提方法 对子公司、联营企业及合营企业的投资，计提资产减值的方法见附注五、</w:t>
      </w:r>
      <w:r>
        <w:rPr>
          <w:rFonts w:ascii="Times New Roman" w:hAnsi="Times New Roman" w:cs="Times New Roman" w:eastAsia="Times New Roman" w:hint="default"/>
        </w:rPr>
        <w:t>20</w:t>
      </w:r>
      <w:r>
        <w:rPr/>
        <w:t>。</w:t>
      </w:r>
    </w:p>
    <w:p>
      <w:pPr>
        <w:spacing w:line="240" w:lineRule="auto" w:before="0"/>
        <w:rPr>
          <w:rFonts w:ascii="宋体" w:hAnsi="宋体" w:cs="宋体" w:eastAsia="宋体" w:hint="default"/>
          <w:sz w:val="15"/>
          <w:szCs w:val="15"/>
        </w:rPr>
      </w:pPr>
    </w:p>
    <w:p>
      <w:pPr>
        <w:pStyle w:val="Heading3"/>
        <w:spacing w:line="240" w:lineRule="auto"/>
        <w:ind w:right="982"/>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30" w:firstLine="360"/>
        <w:jc w:val="both"/>
      </w:pPr>
      <w:r>
        <w:rPr>
          <w:spacing w:val="-2"/>
        </w:rPr>
        <w:t>本集团固定资产是指为生产商品、提供劳务、出租或经营管理而持有的，使用寿命超过一个会计年度的有形资产。与该</w:t>
      </w:r>
      <w:r>
        <w:rPr/>
        <w:t> </w:t>
      </w:r>
      <w:r>
        <w:rPr>
          <w:spacing w:val="-2"/>
        </w:rPr>
        <w:t>固定资产有关的经济利益很可能流入企业，并且该固定资产的成本能够可靠地计量时，固定资产才能予以确认。本集团固定</w:t>
      </w:r>
      <w:r>
        <w:rPr>
          <w:spacing w:val="-63"/>
        </w:rPr>
        <w:t> </w:t>
      </w:r>
      <w:r>
        <w:rPr>
          <w:spacing w:val="-63"/>
        </w:rPr>
      </w:r>
      <w:r>
        <w:rPr/>
        <w:t>资产按照取得时的实际成本进行初始计量。</w:t>
      </w:r>
    </w:p>
    <w:p>
      <w:pPr>
        <w:spacing w:line="240" w:lineRule="auto" w:before="9"/>
        <w:rPr>
          <w:rFonts w:ascii="宋体" w:hAnsi="宋体" w:cs="宋体" w:eastAsia="宋体" w:hint="default"/>
          <w:sz w:val="22"/>
          <w:szCs w:val="22"/>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电子及办公设备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w:t>
            </w:r>
          </w:p>
        </w:tc>
      </w:tr>
    </w:tbl>
    <w:p>
      <w:pPr>
        <w:spacing w:line="240" w:lineRule="auto" w:before="6"/>
        <w:rPr>
          <w:rFonts w:ascii="宋体" w:hAnsi="宋体" w:cs="宋体" w:eastAsia="宋体" w:hint="default"/>
          <w:b/>
          <w:bCs/>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82"/>
        <w:jc w:val="left"/>
      </w:pPr>
      <w:r>
        <w:rPr/>
        <w:t>当本集团租入的固定资产符合下列一项或数项标准时，确认为融资租入固定资产：</w:t>
      </w:r>
    </w:p>
    <w:p>
      <w:pPr>
        <w:spacing w:line="240" w:lineRule="auto" w:before="0"/>
        <w:rPr>
          <w:rFonts w:ascii="宋体" w:hAnsi="宋体" w:cs="宋体" w:eastAsia="宋体" w:hint="default"/>
          <w:sz w:val="15"/>
          <w:szCs w:val="15"/>
        </w:rPr>
      </w:pPr>
    </w:p>
    <w:p>
      <w:pPr>
        <w:pStyle w:val="BodyText"/>
        <w:spacing w:line="240" w:lineRule="auto"/>
        <w:ind w:left="513" w:right="982"/>
        <w:jc w:val="left"/>
      </w:pPr>
      <w:r>
        <w:rPr/>
        <w:t>①在租赁期届满时，租赁资产的所有权转移给本集团。</w:t>
      </w:r>
    </w:p>
    <w:p>
      <w:pPr>
        <w:spacing w:line="240" w:lineRule="auto" w:before="0"/>
        <w:rPr>
          <w:rFonts w:ascii="宋体" w:hAnsi="宋体" w:cs="宋体" w:eastAsia="宋体" w:hint="default"/>
          <w:sz w:val="15"/>
          <w:szCs w:val="15"/>
        </w:rPr>
      </w:pPr>
    </w:p>
    <w:p>
      <w:pPr>
        <w:pStyle w:val="BodyText"/>
        <w:spacing w:line="316" w:lineRule="auto"/>
        <w:ind w:right="982" w:firstLine="360"/>
        <w:jc w:val="left"/>
      </w:pPr>
      <w:r>
        <w:rPr>
          <w:spacing w:val="-2"/>
        </w:rPr>
        <w:t>②本集团有购买租赁资产的选择权，所订立的购买价款预计将远低于行使选择权时租赁资产的公允价值，因而在租赁开</w:t>
      </w:r>
      <w:r>
        <w:rPr/>
        <w:t> 始日就可以合理确定本集团将会行使这种选择权。</w:t>
      </w:r>
    </w:p>
    <w:p>
      <w:pPr>
        <w:pStyle w:val="BodyText"/>
        <w:spacing w:line="240" w:lineRule="auto" w:before="139"/>
        <w:ind w:left="513" w:right="982"/>
        <w:jc w:val="left"/>
      </w:pPr>
      <w:r>
        <w:rPr/>
        <w:t>③即使资产的所有权不转移，但租赁期占租赁资产使用寿命的大部分。</w:t>
      </w:r>
    </w:p>
    <w:p>
      <w:pPr>
        <w:spacing w:line="240" w:lineRule="auto" w:before="0"/>
        <w:rPr>
          <w:rFonts w:ascii="宋体" w:hAnsi="宋体" w:cs="宋体" w:eastAsia="宋体" w:hint="default"/>
          <w:sz w:val="15"/>
          <w:szCs w:val="15"/>
        </w:rPr>
      </w:pPr>
    </w:p>
    <w:p>
      <w:pPr>
        <w:pStyle w:val="BodyText"/>
        <w:spacing w:line="240" w:lineRule="auto"/>
        <w:ind w:left="513" w:right="982"/>
        <w:jc w:val="left"/>
      </w:pPr>
      <w:r>
        <w:rPr/>
        <w:t>④本集团在租赁开始日的最低租赁付款额现值，几乎相当于租赁开始日租赁资产公允价值。</w:t>
      </w:r>
    </w:p>
    <w:p>
      <w:pPr>
        <w:pStyle w:val="BodyText"/>
        <w:spacing w:line="432" w:lineRule="exact" w:before="61"/>
        <w:ind w:left="513" w:right="982"/>
        <w:jc w:val="left"/>
      </w:pPr>
      <w:r>
        <w:rPr/>
        <w:t>⑤租赁资产性质特殊，如果不作较大改造，只有本集团才能使用。 </w:t>
      </w:r>
      <w:r>
        <w:rPr>
          <w:spacing w:val="-2"/>
        </w:rPr>
        <w:t>融资租赁租入的固定资产，按租赁开始日租赁资产公允价值与最低租赁付款额的现值两者中较低者，作为入账价值。最</w:t>
      </w:r>
    </w:p>
    <w:p>
      <w:pPr>
        <w:pStyle w:val="BodyText"/>
        <w:spacing w:line="240" w:lineRule="auto" w:before="15"/>
        <w:ind w:right="982"/>
        <w:jc w:val="left"/>
      </w:pPr>
      <w:r>
        <w:rPr/>
        <w:t>低租赁付款额作为长期应付款的入账价值，其差额作为未确认融资费用。在租赁谈判和签订租赁合同过程中发生的，可归属</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2"/>
        <w:jc w:val="both"/>
      </w:pPr>
      <w:r>
        <w:rPr>
          <w:spacing w:val="-2"/>
        </w:rPr>
        <w:t>于租赁项目的手续费、律师费、差旅费、印花税等初始直接费用，计入租入资产价值。未确认融资费用在租赁期内各个期间</w:t>
      </w:r>
      <w:r>
        <w:rPr>
          <w:spacing w:val="-67"/>
        </w:rPr>
        <w:t> </w:t>
      </w:r>
      <w:r>
        <w:rPr>
          <w:spacing w:val="-67"/>
        </w:rPr>
      </w:r>
      <w:r>
        <w:rPr>
          <w:spacing w:val="-2"/>
        </w:rPr>
        <w:t>采用实际利率法进行分摊。融资租入的固定资产采用与自有固定资产一致的政策计提租赁资产折旧。能够合理确定租赁期届</w:t>
      </w:r>
      <w:r>
        <w:rPr>
          <w:spacing w:val="-63"/>
        </w:rPr>
        <w:t> </w:t>
      </w:r>
      <w:r>
        <w:rPr>
          <w:spacing w:val="-63"/>
        </w:rPr>
      </w:r>
      <w:r>
        <w:rPr>
          <w:spacing w:val="-2"/>
        </w:rPr>
        <w:t>满时将会取得租赁资产所有权的，在租赁资产尚可使用年限内计提折旧；无法合理确定租赁期届满时能够取得租赁资产所有</w:t>
      </w:r>
      <w:r>
        <w:rPr>
          <w:spacing w:val="-64"/>
        </w:rPr>
        <w:t> </w:t>
      </w:r>
      <w:r>
        <w:rPr>
          <w:spacing w:val="-64"/>
        </w:rPr>
      </w:r>
      <w:r>
        <w:rPr/>
        <w:t>权的，在租赁期与租赁资产尚可使用年限两者中较短的期间内计提折旧。</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2" w:firstLine="360"/>
        <w:jc w:val="left"/>
      </w:pPr>
      <w:r>
        <w:rPr>
          <w:spacing w:val="-2"/>
        </w:rPr>
        <w:t>本集团在建工程成本按实际工程支出确定，包括在建期间发生的各项必要工程支出、工程达到预定可使用状态前的应予</w:t>
      </w:r>
      <w:r>
        <w:rPr/>
        <w:t> 资本化的借款费用以及其他相关费用等。</w:t>
      </w:r>
    </w:p>
    <w:p>
      <w:pPr>
        <w:pStyle w:val="BodyText"/>
        <w:spacing w:line="441" w:lineRule="auto" w:before="136"/>
        <w:ind w:left="513" w:right="6433"/>
        <w:jc w:val="left"/>
      </w:pPr>
      <w:r>
        <w:rPr/>
        <w:t>在建工程在达到预定可使用状态时转入固定资产。 在建工程计提资产减值方法见附注五、</w:t>
      </w:r>
      <w:r>
        <w:rPr>
          <w:rFonts w:ascii="Times New Roman" w:hAnsi="Times New Roman" w:cs="Times New Roman" w:eastAsia="Times New Roman" w:hint="default"/>
        </w:rPr>
        <w:t>20</w:t>
      </w:r>
      <w:r>
        <w:rPr/>
        <w:t>。</w:t>
      </w:r>
    </w:p>
    <w:p>
      <w:pPr>
        <w:spacing w:line="240" w:lineRule="auto" w:before="5"/>
        <w:rPr>
          <w:rFonts w:ascii="宋体" w:hAnsi="宋体" w:cs="宋体" w:eastAsia="宋体" w:hint="default"/>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18</w:t>
      </w:r>
      <w:r>
        <w:rPr/>
        <w:t>、借款费用</w:t>
      </w:r>
      <w:r>
        <w:rPr>
          <w:b w:val="0"/>
          <w:bCs w:val="0"/>
        </w:rPr>
      </w:r>
    </w:p>
    <w:p>
      <w:pPr>
        <w:pStyle w:val="BodyText"/>
        <w:spacing w:line="420" w:lineRule="atLeast" w:before="173"/>
        <w:ind w:left="513" w:right="982"/>
        <w:jc w:val="left"/>
      </w:pPr>
      <w:r>
        <w:rPr/>
        <w:t>（</w:t>
      </w:r>
      <w:r>
        <w:rPr>
          <w:rFonts w:ascii="Times New Roman" w:hAnsi="Times New Roman" w:cs="Times New Roman" w:eastAsia="Times New Roman" w:hint="default"/>
        </w:rPr>
        <w:t>1</w:t>
      </w:r>
      <w:r>
        <w:rPr/>
        <w:t>）借款费用资本化的确认原则 </w:t>
      </w:r>
      <w:r>
        <w:rPr>
          <w:spacing w:val="-2"/>
        </w:rPr>
        <w:t>本集团发生的借款费用，可直接归属于符合资本化条件的资产的购建或者生产的，予以资本化，计入相关资产成本；其</w:t>
      </w:r>
    </w:p>
    <w:p>
      <w:pPr>
        <w:pStyle w:val="BodyText"/>
        <w:spacing w:line="240" w:lineRule="auto" w:before="76"/>
        <w:ind w:right="0"/>
        <w:jc w:val="both"/>
      </w:pPr>
      <w:r>
        <w:rPr/>
        <w:t>他借款费用，在发生时根据其发生额确认为费用，计入当期损益。借款费用同时满足下列条件的，开始资本化：</w:t>
      </w:r>
    </w:p>
    <w:p>
      <w:pPr>
        <w:spacing w:line="240" w:lineRule="auto" w:before="0"/>
        <w:rPr>
          <w:rFonts w:ascii="宋体" w:hAnsi="宋体" w:cs="宋体" w:eastAsia="宋体" w:hint="default"/>
          <w:sz w:val="15"/>
          <w:szCs w:val="15"/>
        </w:rPr>
      </w:pPr>
    </w:p>
    <w:p>
      <w:pPr>
        <w:pStyle w:val="BodyText"/>
        <w:spacing w:line="316" w:lineRule="auto"/>
        <w:ind w:right="1125" w:firstLine="360"/>
        <w:jc w:val="left"/>
      </w:pPr>
      <w:r>
        <w:rPr/>
        <w:t>①</w:t>
      </w:r>
      <w:r>
        <w:rPr>
          <w:spacing w:val="-1"/>
        </w:rPr>
        <w:t> </w:t>
      </w:r>
      <w:r>
        <w:rPr/>
        <w:t>资产支出已经发生，资产支出包括为购建或者生产符合资本化条件的资产而以支付现金、转移非现金资产或者承担</w:t>
      </w:r>
      <w:r>
        <w:rPr/>
        <w:t> 带息债务形式发生的支出；</w:t>
      </w:r>
    </w:p>
    <w:p>
      <w:pPr>
        <w:pStyle w:val="BodyText"/>
        <w:spacing w:line="240" w:lineRule="auto" w:before="139"/>
        <w:ind w:left="513" w:right="982"/>
        <w:jc w:val="left"/>
      </w:pPr>
      <w:r>
        <w:rPr/>
        <w:t>②</w:t>
      </w:r>
      <w:r>
        <w:rPr>
          <w:spacing w:val="-18"/>
        </w:rPr>
        <w:t> </w:t>
      </w:r>
      <w:r>
        <w:rPr/>
        <w:t>借款费用已经发生；</w:t>
      </w:r>
    </w:p>
    <w:p>
      <w:pPr>
        <w:spacing w:line="240" w:lineRule="auto" w:before="0"/>
        <w:rPr>
          <w:rFonts w:ascii="宋体" w:hAnsi="宋体" w:cs="宋体" w:eastAsia="宋体" w:hint="default"/>
          <w:sz w:val="15"/>
          <w:szCs w:val="15"/>
        </w:rPr>
      </w:pPr>
    </w:p>
    <w:p>
      <w:pPr>
        <w:pStyle w:val="BodyText"/>
        <w:spacing w:line="240" w:lineRule="auto"/>
        <w:ind w:left="513" w:right="982"/>
        <w:jc w:val="left"/>
      </w:pPr>
      <w:r>
        <w:rPr/>
        <w:t>③</w:t>
      </w:r>
      <w:r>
        <w:rPr>
          <w:spacing w:val="-18"/>
        </w:rPr>
        <w:t> </w:t>
      </w:r>
      <w:r>
        <w:rPr/>
        <w:t>为使资产达到预定可使用或者可销售状态所必要的购建或者生产活动已经开始。</w:t>
      </w:r>
    </w:p>
    <w:p>
      <w:pPr>
        <w:pStyle w:val="BodyText"/>
        <w:spacing w:line="420" w:lineRule="atLeast" w:before="25"/>
        <w:ind w:left="513" w:right="982"/>
        <w:jc w:val="left"/>
      </w:pPr>
      <w:r>
        <w:rPr/>
        <w:t>（</w:t>
      </w:r>
      <w:r>
        <w:rPr>
          <w:rFonts w:ascii="Times New Roman" w:hAnsi="Times New Roman" w:cs="Times New Roman" w:eastAsia="Times New Roman" w:hint="default"/>
        </w:rPr>
        <w:t>2</w:t>
      </w:r>
      <w:r>
        <w:rPr/>
        <w:t>）借款费用资本化期间 </w:t>
      </w:r>
      <w:r>
        <w:rPr>
          <w:spacing w:val="-2"/>
        </w:rPr>
        <w:t>本集团购建或者生产符合资本化条件的资产达到预定可使用或者可销售状态时，借款费用停止资本化。在符合资本化条</w:t>
      </w:r>
    </w:p>
    <w:p>
      <w:pPr>
        <w:pStyle w:val="BodyText"/>
        <w:spacing w:line="240" w:lineRule="auto" w:before="76"/>
        <w:ind w:right="0"/>
        <w:jc w:val="both"/>
      </w:pPr>
      <w:r>
        <w:rPr/>
        <w:t>件的资产达到预定可使用或者可销售状态之后所发生的借款费用，在发生时根据其发生额确认为费用，计入当期损益。</w:t>
      </w:r>
    </w:p>
    <w:p>
      <w:pPr>
        <w:spacing w:line="240" w:lineRule="auto" w:before="0"/>
        <w:rPr>
          <w:rFonts w:ascii="宋体" w:hAnsi="宋体" w:cs="宋体" w:eastAsia="宋体" w:hint="default"/>
          <w:sz w:val="15"/>
          <w:szCs w:val="15"/>
        </w:rPr>
      </w:pPr>
    </w:p>
    <w:p>
      <w:pPr>
        <w:pStyle w:val="BodyText"/>
        <w:spacing w:line="300" w:lineRule="auto"/>
        <w:ind w:right="982" w:firstLine="360"/>
        <w:jc w:val="left"/>
      </w:pPr>
      <w:r>
        <w:rPr>
          <w:spacing w:val="-2"/>
        </w:rPr>
        <w:t>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个月的，暂停借款费用的资本化；</w:t>
      </w:r>
      <w:r>
        <w:rPr/>
        <w:t> 正常中断期间的借款费用继续资本化。</w:t>
      </w:r>
    </w:p>
    <w:p>
      <w:pPr>
        <w:pStyle w:val="BodyText"/>
        <w:spacing w:line="432" w:lineRule="exact" w:before="16"/>
        <w:ind w:left="513" w:right="982"/>
        <w:jc w:val="left"/>
      </w:pPr>
      <w:r>
        <w:rPr/>
        <w:t>（</w:t>
      </w:r>
      <w:r>
        <w:rPr>
          <w:rFonts w:ascii="Times New Roman" w:hAnsi="Times New Roman" w:cs="Times New Roman" w:eastAsia="Times New Roman" w:hint="default"/>
        </w:rPr>
        <w:t>3</w:t>
      </w:r>
      <w:r>
        <w:rPr/>
        <w:t>）借款费用资本化率以及资本化金额的计算方法 </w:t>
      </w:r>
      <w:r>
        <w:rPr>
          <w:spacing w:val="-2"/>
        </w:rPr>
        <w:t>专门借款当期实际发生的利息费用，减去尚未动用的借款资金存入银行取得的利息收入或进行暂时性投资取得的投资收</w:t>
      </w:r>
    </w:p>
    <w:p>
      <w:pPr>
        <w:pStyle w:val="BodyText"/>
        <w:spacing w:line="316" w:lineRule="auto" w:before="15"/>
        <w:ind w:right="982"/>
        <w:jc w:val="left"/>
      </w:pP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240" w:lineRule="auto" w:before="139"/>
        <w:ind w:left="513" w:right="982"/>
        <w:jc w:val="left"/>
      </w:pPr>
      <w:r>
        <w:rPr/>
        <w:t>资本化期间内，外币专门借款的汇兑差额全部予以资本化；外币一般借款的汇兑差额计入当期损益。</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0"/>
        <w:jc w:val="both"/>
      </w:pPr>
      <w:r>
        <w:rPr/>
        <w:t>软件与信息技术服务业</w:t>
      </w:r>
    </w:p>
    <w:p>
      <w:pPr>
        <w:spacing w:after="0" w:line="240"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982"/>
        <w:jc w:val="left"/>
      </w:pPr>
      <w:r>
        <w:rPr/>
        <w:t>本集团无形资产为外购软件、土地使用权等。</w:t>
      </w:r>
    </w:p>
    <w:p>
      <w:pPr>
        <w:spacing w:line="240" w:lineRule="auto" w:before="0"/>
        <w:rPr>
          <w:rFonts w:ascii="宋体" w:hAnsi="宋体" w:cs="宋体" w:eastAsia="宋体" w:hint="default"/>
          <w:sz w:val="15"/>
          <w:szCs w:val="15"/>
        </w:rPr>
      </w:pPr>
    </w:p>
    <w:p>
      <w:pPr>
        <w:pStyle w:val="BodyText"/>
        <w:spacing w:line="316" w:lineRule="auto"/>
        <w:ind w:right="1130" w:firstLine="360"/>
        <w:jc w:val="both"/>
      </w:pPr>
      <w:r>
        <w:rPr>
          <w:spacing w:val="-2"/>
        </w:rPr>
        <w:t>无形资产按照成本进行初始计量，并于取得无形资产时分析判断其使用寿命。使用寿命为有限的，自无形资产可供使用</w:t>
      </w:r>
      <w:r>
        <w:rPr/>
        <w:t> </w:t>
      </w:r>
      <w:r>
        <w:rPr>
          <w:spacing w:val="-2"/>
        </w:rPr>
        <w:t>时起，采用能反映与该资产有关的经济利益的预期实现方式的摊销方法，在预计使用年限内摊销；无法可靠确定预期实现方</w:t>
      </w:r>
      <w:r>
        <w:rPr>
          <w:spacing w:val="-63"/>
        </w:rPr>
        <w:t> </w:t>
      </w:r>
      <w:r>
        <w:rPr>
          <w:spacing w:val="-63"/>
        </w:rPr>
      </w:r>
      <w:r>
        <w:rPr/>
        <w:t>式的，采用直线法摊销；使用寿命不确定的无形资产，不作摊销。</w:t>
      </w:r>
    </w:p>
    <w:p>
      <w:pPr>
        <w:pStyle w:val="BodyText"/>
        <w:spacing w:line="240" w:lineRule="auto" w:before="139"/>
        <w:ind w:left="513" w:right="982"/>
        <w:jc w:val="left"/>
      </w:pPr>
      <w:r>
        <w:rPr/>
        <w:t>使用寿命有限的无形资产摊销方法如下：</w:t>
      </w:r>
    </w:p>
    <w:p>
      <w:pPr>
        <w:spacing w:line="240" w:lineRule="auto" w:before="2"/>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460"/>
        <w:gridCol w:w="2446"/>
        <w:gridCol w:w="2444"/>
        <w:gridCol w:w="2446"/>
      </w:tblGrid>
      <w:tr>
        <w:trPr>
          <w:trHeight w:val="420" w:hRule="exact"/>
        </w:trPr>
        <w:tc>
          <w:tcPr>
            <w:tcW w:w="2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2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使用寿命</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2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22" w:hRule="exact"/>
        </w:trPr>
        <w:tc>
          <w:tcPr>
            <w:tcW w:w="2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22"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2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w:t>
            </w:r>
          </w:p>
        </w:tc>
      </w:tr>
      <w:tr>
        <w:trPr>
          <w:trHeight w:val="422" w:hRule="exact"/>
        </w:trPr>
        <w:tc>
          <w:tcPr>
            <w:tcW w:w="2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9"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2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6"/>
          <w:szCs w:val="6"/>
        </w:rPr>
      </w:pPr>
    </w:p>
    <w:p>
      <w:pPr>
        <w:pStyle w:val="BodyText"/>
        <w:spacing w:line="316" w:lineRule="auto" w:before="44"/>
        <w:ind w:right="982" w:firstLine="360"/>
        <w:jc w:val="left"/>
      </w:pPr>
      <w:r>
        <w:rPr>
          <w:spacing w:val="-2"/>
        </w:rPr>
        <w:t>本集团于每年年度终了，对使用寿命有限的无形资产的使用寿命及摊销方法进行复核，与以前估计不同的，调整原先估</w:t>
      </w:r>
      <w:r>
        <w:rPr/>
        <w:t> 计数，并按会计估计变更处理。</w:t>
      </w:r>
    </w:p>
    <w:p>
      <w:pPr>
        <w:pStyle w:val="BodyText"/>
        <w:spacing w:line="439" w:lineRule="auto" w:before="139"/>
        <w:ind w:left="513" w:right="1033"/>
        <w:jc w:val="left"/>
      </w:pPr>
      <w:r>
        <w:rPr/>
        <w:t>资产负债表日预计某项无形资产已经不能给企业带来未来经济利益的，将该项无形资产的账面价值全部转入当期损益。 无形资产计提资产减值方法见附注五、</w:t>
      </w:r>
      <w:r>
        <w:rPr>
          <w:rFonts w:ascii="Times New Roman" w:hAnsi="Times New Roman" w:cs="Times New Roman" w:eastAsia="Times New Roman" w:hint="default"/>
        </w:rPr>
        <w:t>20</w:t>
      </w:r>
      <w:r>
        <w:rPr/>
        <w:t>。</w:t>
      </w:r>
    </w:p>
    <w:p>
      <w:pPr>
        <w:spacing w:line="240" w:lineRule="auto" w:before="7"/>
        <w:rPr>
          <w:rFonts w:ascii="宋体" w:hAnsi="宋体" w:cs="宋体" w:eastAsia="宋体" w:hint="default"/>
          <w:sz w:val="13"/>
          <w:szCs w:val="13"/>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3"/>
        <w:rPr>
          <w:rFonts w:ascii="宋体" w:hAnsi="宋体" w:cs="宋体" w:eastAsia="宋体" w:hint="default"/>
          <w:b/>
          <w:bCs/>
          <w:sz w:val="15"/>
          <w:szCs w:val="15"/>
        </w:rPr>
      </w:pPr>
    </w:p>
    <w:p>
      <w:pPr>
        <w:pStyle w:val="BodyText"/>
        <w:spacing w:line="432" w:lineRule="exact"/>
        <w:ind w:left="513" w:right="1129"/>
        <w:jc w:val="left"/>
      </w:pPr>
      <w:r>
        <w:rPr/>
        <w:t>本集团将内部研究开发项目的支出，区分为研究阶段支出和开发阶段支出。 研究阶段的支出，于发生时计入当期损益。 </w:t>
      </w:r>
      <w:r>
        <w:rPr>
          <w:spacing w:val="-2"/>
        </w:rPr>
        <w:t>开发阶段的支出，同时满足下列条件的，才能予以资本化，即：完成该无形资产以使其能够使用或出售在技术上具有可</w:t>
      </w:r>
    </w:p>
    <w:p>
      <w:pPr>
        <w:pStyle w:val="BodyText"/>
        <w:spacing w:line="316" w:lineRule="auto" w:before="15"/>
        <w:ind w:right="1129"/>
        <w:jc w:val="both"/>
      </w:pPr>
      <w:r>
        <w:rPr>
          <w:spacing w:val="-2"/>
        </w:rPr>
        <w:t>行性；具有完成该无形资产并使用或出售的意图；无形资产产生经济利益的方式，包括能够证明运用该无形资产生产的产品</w:t>
      </w:r>
      <w:r>
        <w:rPr>
          <w:spacing w:val="-63"/>
        </w:rPr>
        <w:t> </w:t>
      </w:r>
      <w:r>
        <w:rPr>
          <w:spacing w:val="-63"/>
        </w:rPr>
      </w:r>
      <w:r>
        <w:rPr>
          <w:spacing w:val="-2"/>
        </w:rPr>
        <w:t>存在市场或无形资产自身存在市场，无形资产将在内部使用的，能够证明其有用性；有足够的技术、财务资源和其他资源支</w:t>
      </w:r>
      <w:r>
        <w:rPr>
          <w:spacing w:val="-62"/>
        </w:rPr>
        <w:t> </w:t>
      </w:r>
      <w:r>
        <w:rPr>
          <w:spacing w:val="-62"/>
        </w:rPr>
      </w:r>
      <w:r>
        <w:rPr>
          <w:spacing w:val="-2"/>
        </w:rPr>
        <w:t>持，以完成该无形资产的开发，并有能力使用或出售该无形资产；归属于该无形资产开发阶段的支出能够可靠地计量。不满</w:t>
      </w:r>
      <w:r>
        <w:rPr>
          <w:spacing w:val="-65"/>
        </w:rPr>
        <w:t> </w:t>
      </w:r>
      <w:r>
        <w:rPr>
          <w:spacing w:val="-65"/>
        </w:rPr>
      </w:r>
      <w:r>
        <w:rPr/>
        <w:t>足上述条件的开发支出计入当期损益。</w:t>
      </w:r>
    </w:p>
    <w:p>
      <w:pPr>
        <w:pStyle w:val="BodyText"/>
        <w:spacing w:line="439" w:lineRule="auto" w:before="139"/>
        <w:ind w:left="513" w:right="1753"/>
        <w:jc w:val="left"/>
      </w:pPr>
      <w:r>
        <w:rPr/>
        <w:t>本集团研究开发项目在满足上述条件，通过技术可行性及经济可行性研究，形成项目立项后，进入开发阶段。 已资本化的开发阶段的支出在资产负债表上列示为开发支出，自该项目达到预定用途之日转为无形资产。</w:t>
      </w:r>
    </w:p>
    <w:p>
      <w:pPr>
        <w:spacing w:line="240" w:lineRule="auto" w:before="10"/>
        <w:rPr>
          <w:rFonts w:ascii="宋体" w:hAnsi="宋体" w:cs="宋体" w:eastAsia="宋体" w:hint="default"/>
          <w:sz w:val="15"/>
          <w:szCs w:val="15"/>
        </w:rPr>
      </w:pPr>
    </w:p>
    <w:p>
      <w:pPr>
        <w:pStyle w:val="Heading3"/>
        <w:spacing w:line="240" w:lineRule="auto"/>
        <w:ind w:right="0"/>
        <w:jc w:val="both"/>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82" w:firstLine="360"/>
        <w:jc w:val="left"/>
      </w:pPr>
      <w:r>
        <w:rPr>
          <w:spacing w:val="-2"/>
        </w:rPr>
        <w:t>对子公司、联营企业和合营企业的长期股权投资、固定资产、无形资产等（存货、递延所得税资产、金融资产除外）的</w:t>
      </w:r>
      <w:r>
        <w:rPr/>
        <w:t> 资产减值，按以下方法确定：</w:t>
      </w:r>
    </w:p>
    <w:p>
      <w:pPr>
        <w:pStyle w:val="BodyText"/>
        <w:spacing w:line="316" w:lineRule="auto" w:before="139"/>
        <w:ind w:right="982" w:firstLine="360"/>
        <w:jc w:val="left"/>
      </w:pPr>
      <w:r>
        <w:rPr>
          <w:spacing w:val="-4"/>
        </w:rPr>
        <w:t>于资产负债表日判断资产是否存在可能发生减值的迹象，存在减值迹象的，本集团将估计其可收回金额，进行减值测试。</w:t>
      </w:r>
      <w:r>
        <w:rPr/>
        <w:t> </w:t>
      </w:r>
      <w:r>
        <w:rPr>
          <w:spacing w:val="-2"/>
        </w:rPr>
        <w:t>对因企业合并所形成的商誉、使用寿命不确定的无形资产和尚未达到可使用状态的无形资产无论是否存在减值迹象，每年都</w:t>
      </w:r>
      <w:r>
        <w:rPr>
          <w:spacing w:val="-64"/>
        </w:rPr>
        <w:t> </w:t>
      </w:r>
      <w:r>
        <w:rPr>
          <w:spacing w:val="-64"/>
        </w:rPr>
      </w:r>
      <w:r>
        <w:rPr/>
        <w:t>进行减值测试。</w:t>
      </w:r>
    </w:p>
    <w:p>
      <w:pPr>
        <w:pStyle w:val="BodyText"/>
        <w:spacing w:line="316" w:lineRule="auto" w:before="139"/>
        <w:ind w:right="1132" w:firstLine="360"/>
        <w:jc w:val="both"/>
      </w:pPr>
      <w:r>
        <w:rPr>
          <w:spacing w:val="-2"/>
        </w:rPr>
        <w:t>可收回金额根据资产的公允价值减去处置费用后的净额与资产预计未来现金流量的现值两者之间较高者确定。本集团以</w:t>
      </w:r>
      <w:r>
        <w:rPr/>
        <w:t> </w:t>
      </w:r>
      <w:r>
        <w:rPr>
          <w:spacing w:val="-2"/>
        </w:rPr>
        <w:t>单项资产为基础估计其可收回金额；难以对单项资产的可收回金额进行估计的，以该资产所属的资产组为基础确定资产组的</w:t>
      </w:r>
      <w:r>
        <w:rPr>
          <w:spacing w:val="-64"/>
        </w:rPr>
        <w:t> </w:t>
      </w:r>
      <w:r>
        <w:rPr>
          <w:spacing w:val="-64"/>
        </w:rPr>
      </w:r>
      <w:r>
        <w:rPr/>
        <w:t>可收回金额。资产组的认定，以资产组产生的主要现金流入是否独立于其他资产或者资产组的现金流入为依据。</w:t>
      </w:r>
    </w:p>
    <w:p>
      <w:pPr>
        <w:pStyle w:val="BodyText"/>
        <w:spacing w:line="319" w:lineRule="auto" w:before="139"/>
        <w:ind w:right="1034" w:firstLine="360"/>
        <w:jc w:val="left"/>
      </w:pPr>
      <w:r>
        <w:rPr/>
        <w:t>当资产或资产组的可收回金额低于其账面价值时，本集团将其账面价值减记至可收回金额，减记的金额计入当期损益， 同时计提相应的资产减值准备。</w:t>
      </w:r>
    </w:p>
    <w:p>
      <w:pPr>
        <w:pStyle w:val="BodyText"/>
        <w:spacing w:line="240" w:lineRule="auto" w:before="137"/>
        <w:ind w:left="513" w:right="982"/>
        <w:jc w:val="left"/>
      </w:pPr>
      <w:r>
        <w:rPr/>
        <w:t>就商誉的减值测试而言，对于因企业合并形成的商誉的账面价值，自购买日起按照合理的方法分摊至相关的资产组；难</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982"/>
        <w:jc w:val="left"/>
      </w:pPr>
      <w:r>
        <w:rPr>
          <w:spacing w:val="-2"/>
        </w:rPr>
        <w:t>以分摊至相关的资产组的，将其分摊至相关的资产组组合。相关的资产组或资产组组合，是能够从企业合并的协同效应中受</w:t>
      </w:r>
      <w:r>
        <w:rPr>
          <w:spacing w:val="-63"/>
        </w:rPr>
        <w:t> </w:t>
      </w:r>
      <w:r>
        <w:rPr>
          <w:spacing w:val="-63"/>
        </w:rPr>
      </w:r>
      <w:r>
        <w:rPr/>
        <w:t>益的资产组或者资产组组合，且不大于本集团确定的报告分部。</w:t>
      </w:r>
    </w:p>
    <w:p>
      <w:pPr>
        <w:pStyle w:val="BodyText"/>
        <w:spacing w:line="316" w:lineRule="auto" w:before="139"/>
        <w:ind w:right="1131" w:firstLine="360"/>
        <w:jc w:val="both"/>
      </w:pPr>
      <w:r>
        <w:rPr>
          <w:spacing w:val="-2"/>
        </w:rPr>
        <w:t>减值测试时，如与商誉相关的资产组或者资产组组合存在减值迹象的，首先对不包含商誉的资产组或者资产组组合进行</w:t>
      </w:r>
      <w:r>
        <w:rPr/>
        <w:t> </w:t>
      </w:r>
      <w:r>
        <w:rPr>
          <w:spacing w:val="-2"/>
        </w:rPr>
        <w:t>减值测试，计算可收回金额，确认相应的减值损失。然后对包含商誉的资产组或者资产组组合进行减值测试，比较其账面价</w:t>
      </w:r>
      <w:r>
        <w:rPr>
          <w:spacing w:val="-64"/>
        </w:rPr>
        <w:t> </w:t>
      </w:r>
      <w:r>
        <w:rPr>
          <w:spacing w:val="-64"/>
        </w:rPr>
      </w:r>
      <w:r>
        <w:rPr/>
        <w:t>值与可收回金额，如可收回金额低于账面价值的，确认商誉的减值损失。</w:t>
      </w:r>
    </w:p>
    <w:p>
      <w:pPr>
        <w:pStyle w:val="BodyText"/>
        <w:spacing w:line="240" w:lineRule="auto" w:before="59"/>
        <w:ind w:right="982"/>
        <w:jc w:val="left"/>
      </w:pPr>
      <w:r>
        <w:rPr/>
        <w:t>资产减值损失一经确认，在以后会计期间不再转回。</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2" w:firstLine="360"/>
        <w:jc w:val="both"/>
      </w:pPr>
      <w:r>
        <w:rPr>
          <w:spacing w:val="-2"/>
        </w:rPr>
        <w:t>本集团发生的长期待摊费用按实际成本计价，并按预计受益期限平均摊销。对不能使以后会计期间受益的长期待摊费用</w:t>
      </w:r>
      <w:r>
        <w:rPr/>
        <w:t> 项目，其摊余价值全部计入当期损益。</w:t>
      </w:r>
    </w:p>
    <w:p>
      <w:pPr>
        <w:spacing w:line="240" w:lineRule="auto" w:before="9"/>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360"/>
        <w:jc w:val="both"/>
      </w:pPr>
      <w:r>
        <w:rPr>
          <w:spacing w:val="-2"/>
        </w:rPr>
        <w:t>本集团在职工提供服务的会计期间，将实际发生的职工工资、奖金、按规定的基准和比例为职工缴纳的医疗保险费、工</w:t>
      </w:r>
      <w:r>
        <w:rPr/>
        <w:t> </w:t>
      </w:r>
      <w:r>
        <w:rPr>
          <w:spacing w:val="-2"/>
        </w:rPr>
        <w:t>伤保险费和生育保险费等社会保险费和住房公积金，确认为负债，并计入当期损益或相关资产成本。如果该负债预期在职工</w:t>
      </w:r>
      <w:r>
        <w:rPr>
          <w:spacing w:val="-63"/>
        </w:rPr>
        <w:t> </w:t>
      </w:r>
      <w:r>
        <w:rPr>
          <w:spacing w:val="-63"/>
        </w:rPr>
      </w:r>
      <w:r>
        <w:rPr/>
        <w:t>提供相关服务的年度报告期结束后十二个月内不能完全支付，且财务影响重大的，则该负债将以折现后的金额计量。</w:t>
      </w:r>
    </w:p>
    <w:p>
      <w:pPr>
        <w:spacing w:line="240" w:lineRule="auto" w:before="10"/>
        <w:rPr>
          <w:rFonts w:ascii="宋体" w:hAnsi="宋体" w:cs="宋体" w:eastAsia="宋体" w:hint="default"/>
          <w:sz w:val="22"/>
          <w:szCs w:val="22"/>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3" w:firstLine="360"/>
        <w:jc w:val="both"/>
      </w:pPr>
      <w:r>
        <w:rPr>
          <w:spacing w:val="-2"/>
        </w:rPr>
        <w:t>离职后福利计划包括设定提存计划和设定受益计划。其中，设定提存计划，是指向独立的基金缴存固定费用后，企业不</w:t>
      </w:r>
      <w:r>
        <w:rPr/>
        <w:t> 再承担进一步支付义务的离职后福利计划；设定受益计划，是指除设定提存计划以外的离职后福利计划。</w:t>
      </w:r>
    </w:p>
    <w:p>
      <w:pPr>
        <w:pStyle w:val="BodyText"/>
        <w:spacing w:line="439" w:lineRule="auto" w:before="136"/>
        <w:ind w:left="513" w:right="6613"/>
        <w:jc w:val="left"/>
      </w:pPr>
      <w:r>
        <w:rPr/>
        <w:t>设定提存计划 设定提存计划包括基本养老保险、失业保险等。</w:t>
      </w:r>
    </w:p>
    <w:p>
      <w:pPr>
        <w:pStyle w:val="BodyText"/>
        <w:spacing w:line="439" w:lineRule="auto" w:before="47"/>
        <w:ind w:left="513" w:right="982"/>
        <w:jc w:val="left"/>
      </w:pPr>
      <w:r>
        <w:rPr/>
        <w:t>在职工提供服务的会计期间，根据设定提存计划计算的应缴存金额确认为负债，并计入当期损益或相关资产成本。 设定受益计划</w:t>
      </w:r>
    </w:p>
    <w:p>
      <w:pPr>
        <w:pStyle w:val="BodyText"/>
        <w:spacing w:line="321" w:lineRule="auto" w:before="47"/>
        <w:ind w:right="1130" w:firstLine="360"/>
        <w:jc w:val="both"/>
      </w:pPr>
      <w:r>
        <w:rPr>
          <w:spacing w:val="-2"/>
        </w:rPr>
        <w:t>对于设定受益计划，在年度资产负债表日由独立精算师进行精算估值，以预期累积福利单位法确定提供福利的成本。本</w:t>
      </w:r>
      <w:r>
        <w:rPr/>
        <w:t> 集团设定受益计划导致的职工薪酬成本包括下列组成部分：</w:t>
      </w:r>
    </w:p>
    <w:p>
      <w:pPr>
        <w:pStyle w:val="BodyText"/>
        <w:spacing w:line="319" w:lineRule="auto" w:before="133"/>
        <w:ind w:right="1133" w:firstLine="360"/>
        <w:jc w:val="both"/>
      </w:pPr>
      <w:r>
        <w:rPr>
          <w:spacing w:val="-2"/>
        </w:rPr>
        <w:t>①服务成本，包括当期服务成本、过去服务成本和结算利得或损失。其中，当期服务成本，是指职工当期提供服务所导</w:t>
      </w:r>
      <w:r>
        <w:rPr/>
        <w:t> </w:t>
      </w:r>
      <w:r>
        <w:rPr>
          <w:spacing w:val="-2"/>
        </w:rPr>
        <w:t>致的设定受益计划义务现值的增加额；过去服务成本，是指设定受益计划修改所导致的与以前期间职工服务相关的设定受益</w:t>
      </w:r>
      <w:r>
        <w:rPr>
          <w:spacing w:val="-64"/>
        </w:rPr>
        <w:t> </w:t>
      </w:r>
      <w:r>
        <w:rPr>
          <w:spacing w:val="-64"/>
        </w:rPr>
      </w:r>
      <w:r>
        <w:rPr/>
        <w:t>计划义务现值的增加或减少。</w:t>
      </w:r>
    </w:p>
    <w:p>
      <w:pPr>
        <w:pStyle w:val="BodyText"/>
        <w:spacing w:line="319" w:lineRule="auto" w:before="134"/>
        <w:ind w:right="1132" w:firstLine="360"/>
        <w:jc w:val="both"/>
      </w:pPr>
      <w:r>
        <w:rPr>
          <w:spacing w:val="-2"/>
        </w:rPr>
        <w:t>②设定受益计划净负债或净资产的利息净额，包括计划资产的利息收益、设定受益计划义务的利息费用以及资产上限影</w:t>
      </w:r>
      <w:r>
        <w:rPr/>
        <w:t> 响的利息。</w:t>
      </w:r>
    </w:p>
    <w:p>
      <w:pPr>
        <w:pStyle w:val="BodyText"/>
        <w:spacing w:line="240" w:lineRule="auto" w:before="134"/>
        <w:ind w:left="513" w:right="982"/>
        <w:jc w:val="left"/>
      </w:pPr>
      <w:r>
        <w:rPr/>
        <w:t>③重新计量设定受益计划净负债或净资产所产生的变动。</w:t>
      </w:r>
    </w:p>
    <w:p>
      <w:pPr>
        <w:spacing w:line="240" w:lineRule="auto" w:before="0"/>
        <w:rPr>
          <w:rFonts w:ascii="宋体" w:hAnsi="宋体" w:cs="宋体" w:eastAsia="宋体" w:hint="default"/>
          <w:sz w:val="15"/>
          <w:szCs w:val="15"/>
        </w:rPr>
      </w:pPr>
    </w:p>
    <w:p>
      <w:pPr>
        <w:pStyle w:val="BodyText"/>
        <w:spacing w:line="319" w:lineRule="auto"/>
        <w:ind w:right="1132" w:firstLine="360"/>
        <w:jc w:val="both"/>
      </w:pPr>
      <w:r>
        <w:rPr>
          <w:spacing w:val="-2"/>
        </w:rPr>
        <w:t>除非其他会计准则要求或允许职工福利成本计入资产成本，本集团将上述第①和②项计入当期损益；第③项计入其他综</w:t>
      </w:r>
      <w:r>
        <w:rPr/>
        <w:t> </w:t>
      </w:r>
      <w:r>
        <w:rPr>
          <w:spacing w:val="-2"/>
        </w:rPr>
        <w:t>合收益且不会在后续会计期间转回至损益，在原设定受益计划终止时在权益范围内将原计入其他综合收益的部分全部结转至</w:t>
      </w:r>
      <w:r>
        <w:rPr>
          <w:spacing w:val="-64"/>
        </w:rPr>
        <w:t> </w:t>
      </w:r>
      <w:r>
        <w:rPr>
          <w:spacing w:val="-64"/>
        </w:rPr>
      </w:r>
      <w:r>
        <w:rPr/>
        <w:t>未分配利润。</w:t>
      </w:r>
    </w:p>
    <w:p>
      <w:pPr>
        <w:spacing w:after="0" w:line="319" w:lineRule="auto"/>
        <w:jc w:val="both"/>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both"/>
      </w:pPr>
      <w:r>
        <w:rPr>
          <w:spacing w:val="-2"/>
        </w:rPr>
        <w:t>本集团向职工提供辞退福利的，在下列两者孰早日确认辞退福利产生的职工薪酬负债，并计入当期损益：本集团不能单</w:t>
      </w:r>
      <w:r>
        <w:rPr/>
        <w:t> 方面撤回因解除劳动关系计划或裁减建议所提供的辞退福利时；本集团确认与涉及支付辞退福利的重组相关的成本或费用</w:t>
      </w:r>
      <w:r>
        <w:rPr>
          <w:spacing w:val="-11"/>
        </w:rPr>
        <w:t> </w:t>
      </w:r>
      <w:r>
        <w:rPr>
          <w:spacing w:val="-11"/>
        </w:rPr>
      </w:r>
      <w:r>
        <w:rPr/>
        <w:t>时。</w:t>
      </w:r>
    </w:p>
    <w:p>
      <w:pPr>
        <w:pStyle w:val="BodyText"/>
        <w:spacing w:line="319" w:lineRule="auto" w:before="136"/>
        <w:ind w:right="1051" w:firstLine="360"/>
        <w:jc w:val="both"/>
      </w:pPr>
      <w:r>
        <w:rPr/>
        <w:t>实行职工内部退休计划的，在正式退休日之前的经济补偿，属于辞退福利，自职工停止提供服务日至正常退休日期间， 拟支付的内退职工工资和缴纳的社会保险费等一次性计入当期损益。正式退休日期之后的经济补偿（如正常养老退休金）， 按照离职后福利处理。</w:t>
      </w:r>
    </w:p>
    <w:p>
      <w:pPr>
        <w:spacing w:line="240" w:lineRule="auto" w:before="6"/>
        <w:rPr>
          <w:rFonts w:ascii="宋体" w:hAnsi="宋体" w:cs="宋体" w:eastAsia="宋体" w:hint="default"/>
          <w:sz w:val="22"/>
          <w:szCs w:val="22"/>
        </w:rPr>
      </w:pPr>
    </w:p>
    <w:p>
      <w:pPr>
        <w:pStyle w:val="Heading3"/>
        <w:spacing w:line="240" w:lineRule="auto"/>
        <w:ind w:right="982"/>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09" w:lineRule="auto"/>
        <w:ind w:right="1034" w:firstLine="360"/>
        <w:jc w:val="left"/>
      </w:pPr>
      <w:r>
        <w:rPr/>
        <w:t>本集团向职工提供的其他长期职工福利，符合设定提存计划条件的，按照上述关于设定提存计划的有关规定进行处理。 符合设定受益计划的，按照上述关于设定受益计划的有关规定进行处理，但相关职工薪酬成本中</w:t>
      </w:r>
      <w:r>
        <w:rPr>
          <w:rFonts w:ascii="Times New Roman" w:hAnsi="Times New Roman" w:cs="Times New Roman" w:eastAsia="Times New Roman" w:hint="default"/>
        </w:rPr>
        <w:t>“</w:t>
      </w:r>
      <w:r>
        <w:rPr/>
        <w:t>重新计量设定受益计划净</w:t>
      </w:r>
      <w:r>
        <w:rPr>
          <w:spacing w:val="-74"/>
        </w:rPr>
        <w:t> </w:t>
      </w:r>
      <w:r>
        <w:rPr>
          <w:spacing w:val="-74"/>
        </w:rPr>
      </w:r>
      <w:r>
        <w:rPr/>
        <w:t>负债或净资产所产生的变动</w:t>
      </w:r>
      <w:r>
        <w:rPr>
          <w:rFonts w:ascii="Times New Roman" w:hAnsi="Times New Roman" w:cs="Times New Roman" w:eastAsia="Times New Roman" w:hint="default"/>
        </w:rPr>
        <w:t>”</w:t>
      </w:r>
      <w:r>
        <w:rPr/>
        <w:t>部分计入当期损益或相关资产成本。</w:t>
      </w:r>
    </w:p>
    <w:p>
      <w:pPr>
        <w:spacing w:line="240" w:lineRule="auto" w:before="10"/>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如果与或有事项相关的义务同时符合以下条件，本集团将其确认为预计负债：</w:t>
      </w:r>
    </w:p>
    <w:p>
      <w:pPr>
        <w:spacing w:line="240" w:lineRule="auto" w:before="11"/>
        <w:rPr>
          <w:rFonts w:ascii="宋体" w:hAnsi="宋体" w:cs="宋体" w:eastAsia="宋体" w:hint="default"/>
          <w:sz w:val="14"/>
          <w:szCs w:val="14"/>
        </w:rPr>
      </w:pPr>
    </w:p>
    <w:p>
      <w:pPr>
        <w:pStyle w:val="BodyText"/>
        <w:spacing w:line="240" w:lineRule="auto"/>
        <w:ind w:left="513" w:right="982"/>
        <w:jc w:val="left"/>
      </w:pPr>
      <w:r>
        <w:rPr/>
        <w:t>（</w:t>
      </w:r>
      <w:r>
        <w:rPr>
          <w:rFonts w:ascii="Times New Roman" w:hAnsi="Times New Roman" w:cs="Times New Roman" w:eastAsia="Times New Roman" w:hint="default"/>
        </w:rPr>
        <w:t>1</w:t>
      </w:r>
      <w:r>
        <w:rPr/>
        <w:t>）该义务是本集团承担的现时义务；</w:t>
      </w:r>
    </w:p>
    <w:p>
      <w:pPr>
        <w:spacing w:line="240" w:lineRule="auto" w:before="13"/>
        <w:rPr>
          <w:rFonts w:ascii="宋体" w:hAnsi="宋体" w:cs="宋体" w:eastAsia="宋体" w:hint="default"/>
          <w:sz w:val="13"/>
          <w:szCs w:val="13"/>
        </w:rPr>
      </w:pPr>
    </w:p>
    <w:p>
      <w:pPr>
        <w:pStyle w:val="BodyText"/>
        <w:spacing w:line="240" w:lineRule="auto"/>
        <w:ind w:left="513" w:right="982"/>
        <w:jc w:val="left"/>
      </w:pPr>
      <w:r>
        <w:rPr/>
        <w:t>（</w:t>
      </w:r>
      <w:r>
        <w:rPr>
          <w:rFonts w:ascii="Times New Roman" w:hAnsi="Times New Roman" w:cs="Times New Roman" w:eastAsia="Times New Roman" w:hint="default"/>
        </w:rPr>
        <w:t>2</w:t>
      </w:r>
      <w:r>
        <w:rPr/>
        <w:t>）该义务的履行很可能导致经济利益流出本集团；</w:t>
      </w:r>
    </w:p>
    <w:p>
      <w:pPr>
        <w:spacing w:line="240" w:lineRule="auto" w:before="0"/>
        <w:rPr>
          <w:rFonts w:ascii="宋体" w:hAnsi="宋体" w:cs="宋体" w:eastAsia="宋体" w:hint="default"/>
          <w:sz w:val="14"/>
          <w:szCs w:val="14"/>
        </w:rPr>
      </w:pPr>
    </w:p>
    <w:p>
      <w:pPr>
        <w:pStyle w:val="BodyText"/>
        <w:spacing w:line="415" w:lineRule="auto"/>
        <w:ind w:left="513" w:right="982"/>
        <w:jc w:val="left"/>
      </w:pPr>
      <w:r>
        <w:rPr/>
        <w:t>（</w:t>
      </w:r>
      <w:r>
        <w:rPr>
          <w:rFonts w:ascii="Times New Roman" w:hAnsi="Times New Roman" w:cs="Times New Roman" w:eastAsia="Times New Roman" w:hint="default"/>
        </w:rPr>
        <w:t>3</w:t>
      </w:r>
      <w:r>
        <w:rPr/>
        <w:t>）该义务的金额能够可靠地计量。 </w:t>
      </w:r>
      <w:r>
        <w:rPr>
          <w:spacing w:val="-2"/>
        </w:rPr>
        <w:t>预计负债按照履行相关现时义务所需支出的最佳估计数进行初始计量，并综合考虑与或有事项有关的风险、不确定性和</w:t>
      </w:r>
    </w:p>
    <w:p>
      <w:pPr>
        <w:pStyle w:val="BodyText"/>
        <w:spacing w:line="183" w:lineRule="exact"/>
        <w:ind w:right="982"/>
        <w:jc w:val="left"/>
      </w:pPr>
      <w:r>
        <w:rPr/>
        <w:t>货币时间价值等因素。货币时间价值影响重大的，通过对相关未来现金流出进行折现后确定最佳估计数。本集团于资产负债</w:t>
      </w:r>
    </w:p>
    <w:p>
      <w:pPr>
        <w:pStyle w:val="BodyText"/>
        <w:spacing w:line="240" w:lineRule="auto" w:before="76"/>
        <w:ind w:right="982"/>
        <w:jc w:val="left"/>
      </w:pPr>
      <w:r>
        <w:rPr/>
        <w:t>表日对预计负债的账面价值进行复核，并对账面价值进行调整以反映当前最佳估计数。</w:t>
      </w:r>
    </w:p>
    <w:p>
      <w:pPr>
        <w:spacing w:line="240" w:lineRule="auto" w:before="11"/>
        <w:rPr>
          <w:rFonts w:ascii="宋体" w:hAnsi="宋体" w:cs="宋体" w:eastAsia="宋体" w:hint="default"/>
          <w:sz w:val="14"/>
          <w:szCs w:val="14"/>
        </w:rPr>
      </w:pPr>
    </w:p>
    <w:p>
      <w:pPr>
        <w:pStyle w:val="BodyText"/>
        <w:spacing w:line="319" w:lineRule="auto"/>
        <w:ind w:right="1132" w:firstLine="360"/>
        <w:jc w:val="both"/>
      </w:pPr>
      <w:r>
        <w:rPr>
          <w:spacing w:val="-2"/>
        </w:rPr>
        <w:t>如果清偿已确认预计负债所需支出全部或部分预期由第三方或其他方补偿，则补偿金额只能在基本确定能收到时，作为</w:t>
      </w:r>
      <w:r>
        <w:rPr/>
        <w:t> 资产单独确认。确认的补偿金额不超过所确认负债的账面价值。</w:t>
      </w:r>
    </w:p>
    <w:p>
      <w:pPr>
        <w:spacing w:line="240" w:lineRule="auto" w:before="6"/>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5"/>
        <w:rPr>
          <w:rFonts w:ascii="宋体" w:hAnsi="宋体" w:cs="宋体" w:eastAsia="宋体" w:hint="default"/>
          <w:b/>
          <w:bCs/>
          <w:sz w:val="26"/>
          <w:szCs w:val="26"/>
        </w:rPr>
      </w:pPr>
    </w:p>
    <w:p>
      <w:pPr>
        <w:pStyle w:val="BodyText"/>
        <w:spacing w:line="415" w:lineRule="auto"/>
        <w:ind w:left="513" w:right="4813"/>
        <w:jc w:val="left"/>
      </w:pPr>
      <w:r>
        <w:rPr/>
        <w:t>（</w:t>
      </w:r>
      <w:r>
        <w:rPr>
          <w:rFonts w:ascii="Times New Roman" w:hAnsi="Times New Roman" w:cs="Times New Roman" w:eastAsia="Times New Roman" w:hint="default"/>
        </w:rPr>
        <w:t>1</w:t>
      </w:r>
      <w:r>
        <w:rPr/>
        <w:t>）股份支付的种类 本集团股份支付分为以权益结算的股份支付和以现金结算的股份支付。</w:t>
      </w:r>
    </w:p>
    <w:p>
      <w:pPr>
        <w:pStyle w:val="BodyText"/>
        <w:spacing w:line="415" w:lineRule="auto" w:before="65"/>
        <w:ind w:left="513" w:right="982"/>
        <w:jc w:val="left"/>
      </w:pPr>
      <w:r>
        <w:rPr/>
        <w:t>（</w:t>
      </w:r>
      <w:r>
        <w:rPr>
          <w:rFonts w:ascii="Times New Roman" w:hAnsi="Times New Roman" w:cs="Times New Roman" w:eastAsia="Times New Roman" w:hint="default"/>
        </w:rPr>
        <w:t>2</w:t>
      </w:r>
      <w:r>
        <w:rPr/>
        <w:t>）权益工具公允价值的确定方法 </w:t>
      </w:r>
      <w:r>
        <w:rPr>
          <w:spacing w:val="-2"/>
        </w:rPr>
        <w:t>本集团对于授予的存在活跃市场的期权等权益工具，按照活跃市场中的报价确定其公允价值。对于授予的不存在活跃市</w:t>
      </w:r>
    </w:p>
    <w:p>
      <w:pPr>
        <w:pStyle w:val="BodyText"/>
        <w:spacing w:line="194" w:lineRule="exact"/>
        <w:ind w:right="0"/>
        <w:jc w:val="left"/>
      </w:pPr>
      <w:r>
        <w:rPr/>
        <w:t>场的期权等权益工具，采用期权定价模型等确定其公允价值。选用的期权定价模型考虑以下因素：</w:t>
      </w:r>
      <w:r>
        <w:rPr>
          <w:rFonts w:ascii="Times New Roman" w:hAnsi="Times New Roman" w:cs="Times New Roman" w:eastAsia="Times New Roman" w:hint="default"/>
        </w:rPr>
        <w:t>A</w:t>
      </w:r>
      <w:r>
        <w:rPr/>
        <w:t>、期权的行权价格；</w:t>
      </w:r>
      <w:r>
        <w:rPr>
          <w:rFonts w:ascii="Times New Roman" w:hAnsi="Times New Roman" w:cs="Times New Roman" w:eastAsia="Times New Roman" w:hint="default"/>
        </w:rPr>
        <w:t>B</w:t>
      </w:r>
      <w:r>
        <w:rPr/>
        <w:t>、</w:t>
      </w:r>
    </w:p>
    <w:p>
      <w:pPr>
        <w:pStyle w:val="BodyText"/>
        <w:spacing w:line="240" w:lineRule="auto" w:before="63"/>
        <w:ind w:right="982"/>
        <w:jc w:val="left"/>
      </w:pPr>
      <w:r>
        <w:rPr/>
        <w:t>期权的有效期；</w:t>
      </w:r>
      <w:r>
        <w:rPr>
          <w:rFonts w:ascii="Times New Roman" w:hAnsi="Times New Roman" w:cs="Times New Roman" w:eastAsia="Times New Roman" w:hint="default"/>
        </w:rPr>
        <w:t>C</w:t>
      </w:r>
      <w:r>
        <w:rPr/>
        <w:t>、标的股份的现行价格；</w:t>
      </w:r>
      <w:r>
        <w:rPr>
          <w:rFonts w:ascii="Times New Roman" w:hAnsi="Times New Roman" w:cs="Times New Roman" w:eastAsia="Times New Roman" w:hint="default"/>
        </w:rPr>
        <w:t>D</w:t>
      </w:r>
      <w:r>
        <w:rPr/>
        <w:t>、股价预计波动率；</w:t>
      </w:r>
      <w:r>
        <w:rPr>
          <w:rFonts w:ascii="Times New Roman" w:hAnsi="Times New Roman" w:cs="Times New Roman" w:eastAsia="Times New Roman" w:hint="default"/>
        </w:rPr>
        <w:t>E</w:t>
      </w:r>
      <w:r>
        <w:rPr/>
        <w:t>、股份的预计股利；</w:t>
      </w:r>
      <w:r>
        <w:rPr>
          <w:rFonts w:ascii="Times New Roman" w:hAnsi="Times New Roman" w:cs="Times New Roman" w:eastAsia="Times New Roman" w:hint="default"/>
        </w:rPr>
        <w:t>F</w:t>
      </w:r>
      <w:r>
        <w:rPr/>
        <w:t>、期权有效期内的无风险利率。</w:t>
      </w:r>
    </w:p>
    <w:p>
      <w:pPr>
        <w:pStyle w:val="BodyText"/>
        <w:spacing w:line="420" w:lineRule="atLeast" w:before="12"/>
        <w:ind w:left="513" w:right="982"/>
        <w:jc w:val="left"/>
      </w:pPr>
      <w:r>
        <w:rPr/>
        <w:t>（</w:t>
      </w:r>
      <w:r>
        <w:rPr>
          <w:rFonts w:ascii="Times New Roman" w:hAnsi="Times New Roman" w:cs="Times New Roman" w:eastAsia="Times New Roman" w:hint="default"/>
        </w:rPr>
        <w:t>3</w:t>
      </w:r>
      <w:r>
        <w:rPr/>
        <w:t>）确认可行权权益工具最佳估计的依据 </w:t>
      </w:r>
      <w:r>
        <w:rPr>
          <w:spacing w:val="-2"/>
        </w:rPr>
        <w:t>等待期内每个资产负债表日，本集团根据最新取得的可行权职工人数变动等后续信息作出最佳估计，修正预计可行权的</w:t>
      </w:r>
    </w:p>
    <w:p>
      <w:pPr>
        <w:pStyle w:val="BodyText"/>
        <w:spacing w:line="240" w:lineRule="auto" w:before="76"/>
        <w:ind w:right="982"/>
        <w:jc w:val="left"/>
      </w:pPr>
      <w:r>
        <w:rPr/>
        <w:t>权益工具数量。在可行权日，最终预计可行权权益工具的数量应当与实际可行权数量一致。</w:t>
      </w:r>
    </w:p>
    <w:p>
      <w:pPr>
        <w:spacing w:line="240" w:lineRule="auto" w:before="1"/>
        <w:rPr>
          <w:rFonts w:ascii="宋体" w:hAnsi="宋体" w:cs="宋体" w:eastAsia="宋体" w:hint="default"/>
          <w:sz w:val="15"/>
          <w:szCs w:val="15"/>
        </w:rPr>
      </w:pPr>
    </w:p>
    <w:p>
      <w:pPr>
        <w:pStyle w:val="BodyText"/>
        <w:spacing w:line="415" w:lineRule="auto"/>
        <w:ind w:left="513" w:right="982"/>
        <w:jc w:val="left"/>
      </w:pPr>
      <w:r>
        <w:rPr/>
        <w:t>（</w:t>
      </w:r>
      <w:r>
        <w:rPr>
          <w:rFonts w:ascii="Times New Roman" w:hAnsi="Times New Roman" w:cs="Times New Roman" w:eastAsia="Times New Roman" w:hint="default"/>
        </w:rPr>
        <w:t>4</w:t>
      </w:r>
      <w:r>
        <w:rPr/>
        <w:t>）实施、修改、终止股份支付计划的相关会计处理 </w:t>
      </w:r>
      <w:r>
        <w:rPr>
          <w:spacing w:val="-2"/>
        </w:rPr>
        <w:t>以权益结算的股份支付，按授予职工权益工具的公允价值计量。授予后立即可行权的，在授予日按照权益工具的公允价</w:t>
      </w:r>
    </w:p>
    <w:p>
      <w:pPr>
        <w:spacing w:after="0" w:line="415"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0"/>
        <w:jc w:val="both"/>
      </w:pPr>
      <w:r>
        <w:rPr>
          <w:spacing w:val="-2"/>
        </w:rPr>
        <w:t>值计入相关成本或费用，相应增加资本公积。在完成等待期内的服务或达到规定业绩条件才可行权的，在等待期内的每个资</w:t>
      </w:r>
      <w:r>
        <w:rPr>
          <w:spacing w:val="-63"/>
        </w:rPr>
        <w:t> </w:t>
      </w:r>
      <w:r>
        <w:rPr>
          <w:spacing w:val="-63"/>
        </w:rPr>
      </w:r>
      <w:r>
        <w:rPr>
          <w:spacing w:val="-2"/>
        </w:rPr>
        <w:t>产负债表日，以对可行权权益工具数量的最佳估计为基础，按照权益工具授予日的公允价值，将当期取得的服务计入相关成</w:t>
      </w:r>
      <w:r>
        <w:rPr>
          <w:spacing w:val="-63"/>
        </w:rPr>
        <w:t> </w:t>
      </w:r>
      <w:r>
        <w:rPr>
          <w:spacing w:val="-63"/>
        </w:rPr>
      </w:r>
      <w:r>
        <w:rPr/>
        <w:t>本或费用和资本公积。在可行权日之后不再对已确认的相关成本或费用和所有者权益总额进行调整。</w:t>
      </w:r>
    </w:p>
    <w:p>
      <w:pPr>
        <w:pStyle w:val="BodyText"/>
        <w:spacing w:line="316" w:lineRule="auto" w:before="139"/>
        <w:ind w:right="1130" w:firstLine="360"/>
        <w:jc w:val="both"/>
      </w:pPr>
      <w:r>
        <w:rPr>
          <w:spacing w:val="-2"/>
        </w:rPr>
        <w:t>以现金结算的股份支付，按照本集团承担的以股份或其他权益工具为基础计算确定的负债的公允价值计量。授予后立即</w:t>
      </w:r>
      <w:r>
        <w:rPr/>
        <w:t> </w:t>
      </w:r>
      <w:r>
        <w:rPr>
          <w:spacing w:val="-2"/>
        </w:rPr>
        <w:t>可行权的，在授予日以本集团承担负债的公允价值计入相关成本或费用，相应增加负债。在完成等待期内的服务或达到规定</w:t>
      </w:r>
      <w:r>
        <w:rPr>
          <w:spacing w:val="-65"/>
        </w:rPr>
        <w:t> </w:t>
      </w:r>
      <w:r>
        <w:rPr>
          <w:spacing w:val="-65"/>
        </w:rPr>
      </w:r>
      <w:r>
        <w:rPr>
          <w:spacing w:val="-2"/>
        </w:rPr>
        <w:t>业绩条件以后才可行权的以现金结算的股份支付，在等待期内的每个资产负债表日，以对可行权情况的最佳估计为基础，按</w:t>
      </w:r>
      <w:r>
        <w:rPr>
          <w:spacing w:val="-63"/>
        </w:rPr>
        <w:t> </w:t>
      </w:r>
      <w:r>
        <w:rPr>
          <w:spacing w:val="-63"/>
        </w:rPr>
      </w:r>
      <w:r>
        <w:rPr>
          <w:spacing w:val="-2"/>
        </w:rPr>
        <w:t>照本集团承担负债的公允价值金额，将当期取得的服务计入成本或费用和相应的负债。在相关负债结算前的每个资产负债表</w:t>
      </w:r>
      <w:r>
        <w:rPr>
          <w:spacing w:val="-64"/>
        </w:rPr>
        <w:t> </w:t>
      </w:r>
      <w:r>
        <w:rPr>
          <w:spacing w:val="-64"/>
        </w:rPr>
      </w:r>
      <w:r>
        <w:rPr/>
        <w:t>日以及结算日，对负债的公允价值重新计量，其变动计入当期损益。</w:t>
      </w:r>
    </w:p>
    <w:p>
      <w:pPr>
        <w:pStyle w:val="BodyText"/>
        <w:spacing w:line="319" w:lineRule="auto" w:before="139"/>
        <w:ind w:right="1034" w:firstLine="360"/>
        <w:jc w:val="left"/>
      </w:pPr>
      <w:r>
        <w:rPr>
          <w:spacing w:val="-2"/>
        </w:rPr>
        <w:t>本集团对股份支付计划进行修改时，若修改增加了所授予权益工具的公允价值，按照权益工具公允价值的增加相应地确</w:t>
      </w:r>
      <w:r>
        <w:rPr/>
        <w:t> 认取得服务的增加；若修改增加了所授予权益工具的数量，则将增加的权益工具的公允价值相应地确认为取得服务的增加。 </w:t>
      </w:r>
      <w:r>
        <w:rPr>
          <w:spacing w:val="-2"/>
        </w:rPr>
        <w:t>权益工具公允价值的增加是指修改前后的权益工具在修改日的公允价值之间的差额。若修改减少了股份支付公允价值总额或</w:t>
      </w:r>
      <w:r>
        <w:rPr>
          <w:spacing w:val="-64"/>
        </w:rPr>
        <w:t> </w:t>
      </w:r>
      <w:r>
        <w:rPr>
          <w:spacing w:val="-64"/>
        </w:rPr>
      </w:r>
      <w:r>
        <w:rPr>
          <w:spacing w:val="-4"/>
        </w:rPr>
        <w:t>采用了其他不利于职工的方式修改股份支付计划的条款和条件，则仍继续对取得的服务进行会计处理，视同该变更从未发生，</w:t>
      </w:r>
      <w:r>
        <w:rPr>
          <w:spacing w:val="-44"/>
        </w:rPr>
        <w:t> </w:t>
      </w:r>
      <w:r>
        <w:rPr>
          <w:spacing w:val="-44"/>
        </w:rPr>
      </w:r>
      <w:r>
        <w:rPr/>
        <w:t>除非本集团取消了部分或全部已授予的权益工具。</w:t>
      </w:r>
    </w:p>
    <w:p>
      <w:pPr>
        <w:pStyle w:val="BodyText"/>
        <w:spacing w:line="316" w:lineRule="auto" w:before="137"/>
        <w:ind w:right="1130" w:firstLine="360"/>
        <w:jc w:val="both"/>
      </w:pPr>
      <w:r>
        <w:rPr>
          <w:spacing w:val="-2"/>
        </w:rPr>
        <w:t>在等待期内，如果取消了授予的权益工具（因未满足可行权条件的非市场条件而被取消的除外），本集团对取消所授予</w:t>
      </w:r>
      <w:r>
        <w:rPr/>
        <w:t> </w:t>
      </w:r>
      <w:r>
        <w:rPr>
          <w:spacing w:val="-2"/>
        </w:rPr>
        <w:t>的权益性工具作为加速行权处理，将剩余等待期内应确认的金额立即计入当期损益，同时确认资本公积。职工或其他方能够</w:t>
      </w:r>
      <w:r>
        <w:rPr>
          <w:spacing w:val="-63"/>
        </w:rPr>
        <w:t> </w:t>
      </w:r>
      <w:r>
        <w:rPr>
          <w:spacing w:val="-63"/>
        </w:rPr>
      </w:r>
      <w:r>
        <w:rPr/>
        <w:t>选择满足非可行权条件但在等待期内未满足的，本集团将其作为授予权益工具的取消处理。</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25</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1"/>
        <w:rPr>
          <w:rFonts w:ascii="宋体" w:hAnsi="宋体" w:cs="宋体" w:eastAsia="宋体" w:hint="default"/>
          <w:sz w:val="13"/>
          <w:szCs w:val="13"/>
        </w:rPr>
      </w:pPr>
    </w:p>
    <w:p>
      <w:pPr>
        <w:pStyle w:val="BodyText"/>
        <w:spacing w:line="240" w:lineRule="auto"/>
        <w:ind w:left="513" w:right="982"/>
        <w:jc w:val="left"/>
      </w:pPr>
      <w:r>
        <w:rPr/>
        <w:t>（</w:t>
      </w:r>
      <w:r>
        <w:rPr>
          <w:rFonts w:ascii="Times New Roman" w:hAnsi="Times New Roman" w:cs="Times New Roman" w:eastAsia="Times New Roman" w:hint="default"/>
        </w:rPr>
        <w:t>1</w:t>
      </w:r>
      <w:r>
        <w:rPr/>
        <w:t>）一般原则</w:t>
      </w:r>
    </w:p>
    <w:p>
      <w:pPr>
        <w:pStyle w:val="BodyText"/>
        <w:spacing w:line="432" w:lineRule="exact" w:before="47"/>
        <w:ind w:left="513" w:right="982"/>
        <w:jc w:val="left"/>
      </w:pPr>
      <w:r>
        <w:rPr/>
        <w:t>①销售商品 </w:t>
      </w:r>
      <w:r>
        <w:rPr>
          <w:spacing w:val="-2"/>
        </w:rPr>
        <w:t>在已将商品所有权上的主要风险和报酬转移给购货方，既没有保留通常与所有权相联系的继续管理权，也没有对已售商</w:t>
      </w:r>
    </w:p>
    <w:p>
      <w:pPr>
        <w:pStyle w:val="BodyText"/>
        <w:spacing w:line="316" w:lineRule="auto" w:before="17"/>
        <w:ind w:right="1128"/>
        <w:jc w:val="both"/>
      </w:pPr>
      <w:r>
        <w:rPr>
          <w:spacing w:val="-2"/>
        </w:rPr>
        <w:t>品实施有效控制，收入的金额能够可靠地计量，相关的经济利益很可能流入企业，相关的已发生或将发生的成本能够可靠地</w:t>
      </w:r>
      <w:r>
        <w:rPr>
          <w:spacing w:val="-61"/>
        </w:rPr>
        <w:t> </w:t>
      </w:r>
      <w:r>
        <w:rPr>
          <w:spacing w:val="-61"/>
        </w:rPr>
      </w:r>
      <w:r>
        <w:rPr/>
        <w:t>计量时，确认商品销售收入的实现。</w:t>
      </w:r>
    </w:p>
    <w:p>
      <w:pPr>
        <w:pStyle w:val="BodyText"/>
        <w:spacing w:line="439" w:lineRule="auto" w:before="136"/>
        <w:ind w:left="513" w:right="2473"/>
        <w:jc w:val="left"/>
      </w:pPr>
      <w:r>
        <w:rPr/>
        <w:t>②提供劳务 对在提供劳务交易的结果能够可靠估计的情况下，本集团于资产负债表日按完工百分比法确认收入。 劳务交易的完工进度按已经提供的劳务占应提供劳务总量的比例确定。</w:t>
      </w:r>
    </w:p>
    <w:p>
      <w:pPr>
        <w:pStyle w:val="BodyText"/>
        <w:spacing w:line="302" w:lineRule="auto" w:before="47"/>
        <w:ind w:right="1134" w:firstLine="360"/>
        <w:jc w:val="both"/>
      </w:pPr>
      <w:r>
        <w:rPr/>
        <w:t>提供劳务交易的结果能够可靠估计是指同时满足：</w:t>
      </w:r>
      <w:r>
        <w:rPr>
          <w:rFonts w:ascii="Times New Roman" w:hAnsi="Times New Roman" w:cs="Times New Roman" w:eastAsia="Times New Roman" w:hint="default"/>
        </w:rPr>
        <w:t>A</w:t>
      </w:r>
      <w:r>
        <w:rPr/>
        <w:t>、收入的金额能够可靠地计量；</w:t>
      </w:r>
      <w:r>
        <w:rPr>
          <w:rFonts w:ascii="Times New Roman" w:hAnsi="Times New Roman" w:cs="Times New Roman" w:eastAsia="Times New Roman" w:hint="default"/>
        </w:rPr>
        <w:t>B</w:t>
      </w:r>
      <w:r>
        <w:rPr/>
        <w:t>、相关的经济利益很可能流入企 业；</w:t>
      </w:r>
      <w:r>
        <w:rPr>
          <w:rFonts w:ascii="Times New Roman" w:hAnsi="Times New Roman" w:cs="Times New Roman" w:eastAsia="Times New Roman" w:hint="default"/>
        </w:rPr>
        <w:t>C</w:t>
      </w:r>
      <w:r>
        <w:rPr/>
        <w:t>、交易的完工程度能够可靠地确定；</w:t>
      </w:r>
      <w:r>
        <w:rPr>
          <w:rFonts w:ascii="Times New Roman" w:hAnsi="Times New Roman" w:cs="Times New Roman" w:eastAsia="Times New Roman" w:hint="default"/>
        </w:rPr>
        <w:t>D</w:t>
      </w:r>
      <w:r>
        <w:rPr/>
        <w:t>、交易中已发生和将发生的成本能够可靠地计量。</w:t>
      </w:r>
    </w:p>
    <w:p>
      <w:pPr>
        <w:pStyle w:val="BodyText"/>
        <w:spacing w:line="319" w:lineRule="auto" w:before="128"/>
        <w:ind w:right="1132" w:firstLine="360"/>
        <w:jc w:val="both"/>
      </w:pPr>
      <w:r>
        <w:rPr>
          <w:spacing w:val="-2"/>
        </w:rPr>
        <w:t>如果提供劳务交易的结果不能够可靠估计，则按已经发生并预计能够得到补偿的劳务成本金额确认提供的劳务收入，并</w:t>
      </w:r>
      <w:r>
        <w:rPr/>
        <w:t> 将已发生的劳务成本作为当期费用。已经发生的劳务成本如预计不能得到补偿的，则不确认收入。</w:t>
      </w:r>
    </w:p>
    <w:p>
      <w:pPr>
        <w:pStyle w:val="BodyText"/>
        <w:spacing w:line="240" w:lineRule="auto" w:before="134"/>
        <w:ind w:left="513" w:right="982"/>
        <w:jc w:val="left"/>
      </w:pPr>
      <w:r>
        <w:rPr/>
        <w:t>对签订的合同或协议中既包括销售商品又包括提供劳务的，分别按以下情况进行处理：</w:t>
      </w:r>
    </w:p>
    <w:p>
      <w:pPr>
        <w:spacing w:line="240" w:lineRule="auto" w:before="0"/>
        <w:rPr>
          <w:rFonts w:ascii="宋体" w:hAnsi="宋体" w:cs="宋体" w:eastAsia="宋体" w:hint="default"/>
          <w:sz w:val="15"/>
          <w:szCs w:val="15"/>
        </w:rPr>
      </w:pPr>
    </w:p>
    <w:p>
      <w:pPr>
        <w:pStyle w:val="BodyText"/>
        <w:spacing w:line="302" w:lineRule="auto"/>
        <w:ind w:right="1133" w:firstLine="360"/>
        <w:jc w:val="both"/>
      </w:pPr>
      <w:r>
        <w:rPr/>
        <w:t>（</w:t>
      </w:r>
      <w:r>
        <w:rPr>
          <w:rFonts w:ascii="Times New Roman" w:hAnsi="Times New Roman" w:cs="Times New Roman" w:eastAsia="Times New Roman" w:hint="default"/>
        </w:rPr>
        <w:t>1</w:t>
      </w:r>
      <w:r>
        <w:rPr/>
        <w:t>）销售商品部分和提供劳务部分能够区分且能够单独计量的，分别核算销售商品部分和提供劳务部分，将销售商品 的部分作为销售商品处理，将提供劳务的部分作为提供劳务处理。</w:t>
      </w:r>
    </w:p>
    <w:p>
      <w:pPr>
        <w:pStyle w:val="BodyText"/>
        <w:spacing w:line="300" w:lineRule="auto" w:before="147"/>
        <w:ind w:right="1133" w:firstLine="360"/>
        <w:jc w:val="both"/>
      </w:pPr>
      <w:r>
        <w:rPr/>
        <w:t>（</w:t>
      </w:r>
      <w:r>
        <w:rPr>
          <w:rFonts w:ascii="Times New Roman" w:hAnsi="Times New Roman" w:cs="Times New Roman" w:eastAsia="Times New Roman" w:hint="default"/>
        </w:rPr>
        <w:t>2</w:t>
      </w:r>
      <w:r>
        <w:rPr/>
        <w:t>）销售商品部分和提供劳务部分不能够区分，或虽能区分但不能够单独计量的，销售商品部分和提供劳务部分全部 作为销售商品部分进行处理。</w:t>
      </w:r>
    </w:p>
    <w:p>
      <w:pPr>
        <w:pStyle w:val="BodyText"/>
        <w:spacing w:line="240" w:lineRule="auto" w:before="152"/>
        <w:ind w:left="513" w:right="982"/>
        <w:jc w:val="left"/>
      </w:pPr>
      <w:r>
        <w:rPr/>
        <w:t>③让渡资产使用权</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982"/>
        <w:jc w:val="left"/>
      </w:pPr>
      <w:r>
        <w:rPr/>
        <w:t>与资产使用权让渡相关的经济利益能够流入及收入的金额能够可靠地计量时，本集团确认收入。</w:t>
      </w:r>
    </w:p>
    <w:p>
      <w:pPr>
        <w:spacing w:line="240" w:lineRule="auto" w:before="0"/>
        <w:rPr>
          <w:rFonts w:ascii="宋体" w:hAnsi="宋体" w:cs="宋体" w:eastAsia="宋体" w:hint="default"/>
          <w:sz w:val="15"/>
          <w:szCs w:val="15"/>
        </w:rPr>
      </w:pPr>
    </w:p>
    <w:p>
      <w:pPr>
        <w:pStyle w:val="BodyText"/>
        <w:spacing w:line="415" w:lineRule="auto"/>
        <w:ind w:left="513" w:right="3013"/>
        <w:jc w:val="left"/>
      </w:pPr>
      <w:r>
        <w:rPr/>
        <w:t>（</w:t>
      </w:r>
      <w:r>
        <w:rPr>
          <w:rFonts w:ascii="Times New Roman" w:hAnsi="Times New Roman" w:cs="Times New Roman" w:eastAsia="Times New Roman" w:hint="default"/>
        </w:rPr>
        <w:t>2</w:t>
      </w:r>
      <w:r>
        <w:rPr/>
        <w:t>）收入确认的具体方法 本集团的营业收入分为电子认证服务收入、安全集成收入和安全咨询与运维服务收入等三类。</w:t>
      </w:r>
    </w:p>
    <w:p>
      <w:pPr>
        <w:pStyle w:val="BodyText"/>
        <w:spacing w:line="316" w:lineRule="auto" w:before="65"/>
        <w:ind w:right="1132" w:firstLine="360"/>
        <w:jc w:val="both"/>
      </w:pPr>
      <w:r>
        <w:rPr>
          <w:spacing w:val="-2"/>
        </w:rPr>
        <w:t>①电子认证服务收入主要包括数字证书收入、电子签名服务收入和证书介质收入，其中数字证书收入在数字证书签发或</w:t>
      </w:r>
      <w:r>
        <w:rPr/>
        <w:t> </w:t>
      </w:r>
      <w:r>
        <w:rPr>
          <w:spacing w:val="-2"/>
        </w:rPr>
        <w:t>更新生效当月开始在数字证书的有效期内分期确认收入；电子签名服务收入按照约定的服务期限分期确认收入，约定电子签</w:t>
      </w:r>
      <w:r>
        <w:rPr>
          <w:spacing w:val="-64"/>
        </w:rPr>
        <w:t> </w:t>
      </w:r>
      <w:r>
        <w:rPr>
          <w:spacing w:val="-64"/>
        </w:rPr>
      </w:r>
      <w:r>
        <w:rPr/>
        <w:t>名服务单价的则按照双方确认的服务量及单价确认收入；证书介质收入在移交给客户并经客户验收后一次性确认收入。</w:t>
      </w:r>
    </w:p>
    <w:p>
      <w:pPr>
        <w:pStyle w:val="BodyText"/>
        <w:spacing w:line="240" w:lineRule="auto" w:before="139"/>
        <w:ind w:left="513" w:right="982"/>
        <w:jc w:val="left"/>
      </w:pPr>
      <w:r>
        <w:rPr/>
        <w:t>②对于安全集成，本集团根据合同的约定，在取得了客户的初步验收确认时，按照合同约定的金额确认收入。</w:t>
      </w:r>
    </w:p>
    <w:p>
      <w:pPr>
        <w:spacing w:line="240" w:lineRule="auto" w:before="0"/>
        <w:rPr>
          <w:rFonts w:ascii="宋体" w:hAnsi="宋体" w:cs="宋体" w:eastAsia="宋体" w:hint="default"/>
          <w:sz w:val="15"/>
          <w:szCs w:val="15"/>
        </w:rPr>
      </w:pPr>
    </w:p>
    <w:p>
      <w:pPr>
        <w:pStyle w:val="BodyText"/>
        <w:spacing w:line="316" w:lineRule="auto"/>
        <w:ind w:right="1051" w:firstLine="360"/>
        <w:jc w:val="both"/>
      </w:pPr>
      <w:r>
        <w:rPr/>
        <w:t>③安全咨询与运维服务在资产负债表日按完工百分比法确认收入。对于提供专业咨询研究并编制报告的咨询研究业务， 在提交咨询研究报告且通过相关评审验收时一次性确认收入。</w:t>
      </w:r>
    </w:p>
    <w:p>
      <w:pPr>
        <w:pStyle w:val="BodyText"/>
        <w:spacing w:line="240" w:lineRule="auto" w:before="139"/>
        <w:ind w:left="513" w:right="982"/>
        <w:jc w:val="left"/>
        <w:rPr>
          <w:rFonts w:ascii="Times New Roman" w:hAnsi="Times New Roman" w:cs="Times New Roman" w:eastAsia="Times New Roman" w:hint="default"/>
        </w:rPr>
      </w:pPr>
      <w:r>
        <w:rPr/>
        <w:t>完工百分比</w:t>
      </w:r>
      <w:r>
        <w:rPr>
          <w:rFonts w:ascii="Times New Roman" w:hAnsi="Times New Roman" w:cs="Times New Roman" w:eastAsia="Times New Roman" w:hint="default"/>
        </w:rPr>
        <w:t>=</w:t>
      </w:r>
      <w:r>
        <w:rPr/>
        <w:t>（已发生工时</w:t>
      </w:r>
      <w:r>
        <w:rPr>
          <w:rFonts w:ascii="Times New Roman" w:hAnsi="Times New Roman" w:cs="Times New Roman" w:eastAsia="Times New Roman" w:hint="default"/>
        </w:rPr>
        <w:t>÷</w:t>
      </w:r>
      <w:r>
        <w:rPr/>
        <w:t>项目总工时）</w:t>
      </w:r>
      <w:r>
        <w:rPr>
          <w:rFonts w:ascii="Times New Roman" w:hAnsi="Times New Roman" w:cs="Times New Roman" w:eastAsia="Times New Roman" w:hint="default"/>
        </w:rPr>
        <w:t>×100%</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982"/>
        <w:jc w:val="left"/>
        <w:rPr>
          <w:b w:val="0"/>
          <w:bCs w:val="0"/>
        </w:rPr>
      </w:pPr>
      <w:r>
        <w:rPr>
          <w:rFonts w:ascii="Times New Roman" w:hAnsi="Times New Roman" w:cs="Times New Roman" w:eastAsia="Times New Roman" w:hint="default"/>
        </w:rPr>
        <w:t>26</w:t>
      </w:r>
      <w:r>
        <w:rPr/>
        <w:t>、政府补助</w:t>
      </w:r>
      <w:r>
        <w:rPr>
          <w:b w:val="0"/>
          <w:bCs w:val="0"/>
        </w:rPr>
      </w:r>
    </w:p>
    <w:p>
      <w:pPr>
        <w:pStyle w:val="BodyText"/>
        <w:spacing w:line="430" w:lineRule="atLeast" w:before="150"/>
        <w:ind w:left="513" w:right="982"/>
        <w:jc w:val="left"/>
      </w:pPr>
      <w:r>
        <w:rPr/>
        <w:t>政府补助在满足政府补助所附条件并能够收到时确认。 </w:t>
      </w:r>
      <w:r>
        <w:rPr>
          <w:spacing w:val="-2"/>
        </w:rPr>
        <w:t>对于货币性资产的政府补助，按照收到或应收的金额计量。对于非货币性资产的政府补助，按照公允价值计量；公允价</w:t>
      </w:r>
    </w:p>
    <w:p>
      <w:pPr>
        <w:pStyle w:val="BodyText"/>
        <w:spacing w:line="412" w:lineRule="auto" w:before="79"/>
        <w:ind w:left="513" w:right="982" w:hanging="361"/>
        <w:jc w:val="left"/>
      </w:pPr>
      <w:r>
        <w:rPr/>
        <w:t>值不能够可靠取得的，按照名义金额</w:t>
      </w:r>
      <w:r>
        <w:rPr>
          <w:rFonts w:ascii="Times New Roman" w:hAnsi="Times New Roman" w:cs="Times New Roman" w:eastAsia="Times New Roman" w:hint="default"/>
        </w:rPr>
        <w:t>1</w:t>
      </w:r>
      <w:r>
        <w:rPr/>
        <w:t>元计量。 </w:t>
      </w:r>
      <w:r>
        <w:rPr>
          <w:spacing w:val="-2"/>
        </w:rPr>
        <w:t>与资产相关的政府补助，是指本集团取得的、用于购建或以其他方式形成长期资产的政府补助；除此之外，作为与收益</w:t>
      </w:r>
    </w:p>
    <w:p>
      <w:pPr>
        <w:pStyle w:val="BodyText"/>
        <w:spacing w:line="185" w:lineRule="exact"/>
        <w:ind w:right="982"/>
        <w:jc w:val="left"/>
      </w:pPr>
      <w:r>
        <w:rPr/>
        <w:t>相关的政府补助。</w:t>
      </w:r>
    </w:p>
    <w:p>
      <w:pPr>
        <w:spacing w:line="240" w:lineRule="auto" w:before="11"/>
        <w:rPr>
          <w:rFonts w:ascii="宋体" w:hAnsi="宋体" w:cs="宋体" w:eastAsia="宋体" w:hint="default"/>
          <w:sz w:val="14"/>
          <w:szCs w:val="14"/>
        </w:rPr>
      </w:pPr>
    </w:p>
    <w:p>
      <w:pPr>
        <w:pStyle w:val="BodyText"/>
        <w:spacing w:line="319" w:lineRule="auto"/>
        <w:ind w:right="1132" w:firstLine="360"/>
        <w:jc w:val="both"/>
      </w:pPr>
      <w:r>
        <w:rPr>
          <w:spacing w:val="-2"/>
        </w:rPr>
        <w:t>对于政府文件未明确规定补助对象的，能够形成长期资产的，与资产价值相对应的政府补助部分作为与资产相关的政府</w:t>
      </w:r>
      <w:r>
        <w:rPr/>
        <w:t> 补助，其余部分作为与收益相关的政府补助；难以区分的，将政府补助整体作为与收益相关的政府补助。</w:t>
      </w:r>
    </w:p>
    <w:p>
      <w:pPr>
        <w:pStyle w:val="BodyText"/>
        <w:spacing w:line="319" w:lineRule="auto" w:before="134"/>
        <w:ind w:right="1130" w:firstLine="360"/>
        <w:jc w:val="both"/>
      </w:pPr>
      <w:r>
        <w:rPr>
          <w:spacing w:val="-2"/>
        </w:rPr>
        <w:t>与资产相关的政府补助，确认为递延收益在相关资产使用期限内按照合理、系统的方法分期计入损益。与收益相关的政</w:t>
      </w:r>
      <w:r>
        <w:rPr/>
        <w:t> </w:t>
      </w:r>
      <w:r>
        <w:rPr>
          <w:spacing w:val="-2"/>
        </w:rPr>
        <w:t>府补助，用于补偿已发生的相关成本费用或损失的，计入当期损益；用于补偿以后期间的相关成本费用或损失的，则计入递</w:t>
      </w:r>
      <w:r>
        <w:rPr>
          <w:spacing w:val="-65"/>
        </w:rPr>
        <w:t> </w:t>
      </w:r>
      <w:r>
        <w:rPr>
          <w:spacing w:val="-65"/>
        </w:rPr>
      </w:r>
      <w:r>
        <w:rPr>
          <w:spacing w:val="-2"/>
        </w:rPr>
        <w:t>延收益，于相关成本费用或损失确认期间计入当期损益。按照名义金额计量的政府补助，直接计入当期损益。本集团对相同</w:t>
      </w:r>
      <w:r>
        <w:rPr>
          <w:spacing w:val="-65"/>
        </w:rPr>
        <w:t> </w:t>
      </w:r>
      <w:r>
        <w:rPr>
          <w:spacing w:val="-65"/>
        </w:rPr>
      </w:r>
      <w:r>
        <w:rPr/>
        <w:t>或类似的政府补助业务，采用一致的方法处理。</w:t>
      </w:r>
    </w:p>
    <w:p>
      <w:pPr>
        <w:pStyle w:val="BodyText"/>
        <w:spacing w:line="240" w:lineRule="auto" w:before="134"/>
        <w:ind w:left="513" w:right="982"/>
        <w:jc w:val="left"/>
      </w:pPr>
      <w:r>
        <w:rPr/>
        <w:t>与日常活动相关的政府补助，按照经济业务实质，计入其他收益。与日常活动无关的政府补助，计入营业外收支。</w:t>
      </w:r>
    </w:p>
    <w:p>
      <w:pPr>
        <w:spacing w:line="240" w:lineRule="auto" w:before="0"/>
        <w:rPr>
          <w:rFonts w:ascii="宋体" w:hAnsi="宋体" w:cs="宋体" w:eastAsia="宋体" w:hint="default"/>
          <w:sz w:val="15"/>
          <w:szCs w:val="15"/>
        </w:rPr>
      </w:pPr>
    </w:p>
    <w:p>
      <w:pPr>
        <w:pStyle w:val="BodyText"/>
        <w:spacing w:line="319" w:lineRule="auto"/>
        <w:ind w:right="1051" w:firstLine="360"/>
        <w:jc w:val="both"/>
      </w:pPr>
      <w:r>
        <w:rPr/>
        <w:t>已确认的政府补助需要返还时，初始确认时冲减相关资产账面价值的，调整资产账面价值；存在相关递延收益余额的， 冲减相关递延收益账面余额，超出部分计入当期损益；属于其他情况的，直接计入当期损益。</w:t>
      </w:r>
    </w:p>
    <w:p>
      <w:pPr>
        <w:spacing w:line="240" w:lineRule="auto" w:before="7"/>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所得税包括当期所得税和递延所得税。除由于企业合并产生的调整商誉，或与直接计入所有者权益的交易或者事项相关</w:t>
      </w:r>
      <w:r>
        <w:rPr/>
        <w:t> 的递延所得税计入所有者权益外，均作为所得税费用计入当期损益。</w:t>
      </w:r>
    </w:p>
    <w:p>
      <w:pPr>
        <w:pStyle w:val="BodyText"/>
        <w:spacing w:line="240" w:lineRule="auto" w:before="139"/>
        <w:ind w:left="513" w:right="982"/>
        <w:jc w:val="left"/>
      </w:pPr>
      <w:r>
        <w:rPr/>
        <w:t>本集团根据资产、负债于资产负债表日的账面价值与计税基础之间的暂时性差异，采用资产负债表债务法确认递延所得</w:t>
      </w:r>
    </w:p>
    <w:p>
      <w:pPr>
        <w:pStyle w:val="BodyText"/>
        <w:spacing w:line="240" w:lineRule="auto" w:before="76"/>
        <w:ind w:right="982"/>
        <w:jc w:val="left"/>
      </w:pPr>
      <w:r>
        <w:rPr/>
        <w:t>税。</w:t>
      </w:r>
    </w:p>
    <w:p>
      <w:pPr>
        <w:spacing w:line="240" w:lineRule="auto" w:before="8"/>
        <w:rPr>
          <w:rFonts w:ascii="宋体" w:hAnsi="宋体" w:cs="宋体" w:eastAsia="宋体" w:hint="default"/>
          <w:sz w:val="11"/>
          <w:szCs w:val="11"/>
        </w:rPr>
      </w:pPr>
    </w:p>
    <w:p>
      <w:pPr>
        <w:pStyle w:val="BodyText"/>
        <w:spacing w:line="240" w:lineRule="auto" w:before="44"/>
        <w:ind w:left="513" w:right="982"/>
        <w:jc w:val="left"/>
      </w:pPr>
      <w:r>
        <w:rPr/>
        <w:t>各项应纳税暂时性差异均确认相关的递延所得税负债，除非该应纳税暂时性差异是在以下交易中产生的：</w:t>
      </w:r>
    </w:p>
    <w:p>
      <w:pPr>
        <w:spacing w:line="240" w:lineRule="auto" w:before="0"/>
        <w:rPr>
          <w:rFonts w:ascii="宋体" w:hAnsi="宋体" w:cs="宋体" w:eastAsia="宋体" w:hint="default"/>
          <w:sz w:val="15"/>
          <w:szCs w:val="15"/>
        </w:rPr>
      </w:pPr>
    </w:p>
    <w:p>
      <w:pPr>
        <w:pStyle w:val="BodyText"/>
        <w:spacing w:line="300" w:lineRule="auto"/>
        <w:ind w:right="1124" w:firstLine="360"/>
        <w:jc w:val="left"/>
      </w:pPr>
      <w:r>
        <w:rPr/>
        <w:t>（</w:t>
      </w:r>
      <w:r>
        <w:rPr>
          <w:rFonts w:ascii="Times New Roman" w:hAnsi="Times New Roman" w:cs="Times New Roman" w:eastAsia="Times New Roman" w:hint="default"/>
        </w:rPr>
        <w:t>1</w:t>
      </w:r>
      <w:r>
        <w:rPr/>
        <w:t>）商誉的初始确认，或者具有以下特征的交易中产生的资产或负债的初始确认：该交易不是企业合并，并且交易发 生时既不影响会计利润也不影响应纳税所得额；</w:t>
      </w:r>
    </w:p>
    <w:p>
      <w:pPr>
        <w:pStyle w:val="BodyText"/>
        <w:spacing w:line="240" w:lineRule="auto" w:before="151"/>
        <w:ind w:left="513" w:right="982"/>
        <w:jc w:val="left"/>
      </w:pPr>
      <w:r>
        <w:rPr/>
        <w:t>（</w:t>
      </w:r>
      <w:r>
        <w:rPr>
          <w:rFonts w:ascii="Times New Roman" w:hAnsi="Times New Roman" w:cs="Times New Roman" w:eastAsia="Times New Roman" w:hint="default"/>
        </w:rPr>
        <w:t>2</w:t>
      </w:r>
      <w:r>
        <w:rPr/>
        <w:t>）对于与子公司、合营企业及联营企业投资相关的应纳税暂时性差异，该暂时性差异转回的时间能够控制并且该暂</w:t>
      </w:r>
    </w:p>
    <w:p>
      <w:pPr>
        <w:spacing w:after="0" w:line="240" w:lineRule="auto"/>
        <w:jc w:val="left"/>
        <w:sectPr>
          <w:footerReference w:type="default" r:id="rId17"/>
          <w:pgSz w:w="11910" w:h="16840"/>
          <w:pgMar w:footer="979" w:header="748" w:top="1060" w:bottom="1160" w:left="980" w:right="0"/>
          <w:pgNumType w:start="110"/>
        </w:sectPr>
      </w:pPr>
    </w:p>
    <w:p>
      <w:pPr>
        <w:spacing w:line="240" w:lineRule="auto" w:before="10"/>
        <w:rPr>
          <w:rFonts w:ascii="宋体" w:hAnsi="宋体" w:cs="宋体" w:eastAsia="宋体" w:hint="default"/>
          <w:sz w:val="25"/>
          <w:szCs w:val="25"/>
        </w:rPr>
      </w:pPr>
    </w:p>
    <w:p>
      <w:pPr>
        <w:pStyle w:val="BodyText"/>
        <w:spacing w:line="240" w:lineRule="auto" w:before="44"/>
        <w:ind w:right="982"/>
        <w:jc w:val="left"/>
      </w:pPr>
      <w:r>
        <w:rPr/>
        <w:t>时性差异在可预见的未来很可能不会转回。</w:t>
      </w:r>
    </w:p>
    <w:p>
      <w:pPr>
        <w:spacing w:line="240" w:lineRule="auto" w:before="0"/>
        <w:rPr>
          <w:rFonts w:ascii="宋体" w:hAnsi="宋体" w:cs="宋体" w:eastAsia="宋体" w:hint="default"/>
          <w:sz w:val="15"/>
          <w:szCs w:val="15"/>
        </w:rPr>
      </w:pPr>
    </w:p>
    <w:p>
      <w:pPr>
        <w:pStyle w:val="BodyText"/>
        <w:spacing w:line="316" w:lineRule="auto"/>
        <w:ind w:right="982" w:firstLine="360"/>
        <w:jc w:val="left"/>
      </w:pPr>
      <w:r>
        <w:rPr>
          <w:spacing w:val="-4"/>
        </w:rPr>
        <w:t>对于可抵扣暂时性差异、能够结转以后年度的可抵扣亏损和税款抵减，本集团以很可能取得用来抵扣可抵扣暂时性差异、</w:t>
      </w:r>
      <w:r>
        <w:rPr/>
        <w:t> </w:t>
      </w:r>
      <w:r>
        <w:rPr>
          <w:spacing w:val="-2"/>
        </w:rPr>
        <w:t>可抵扣亏损和税款抵减的未来应纳税所得额为限，确认由此产生的递延所得税资产，除非该可抵扣暂时性差异是在以下交易</w:t>
      </w:r>
      <w:r>
        <w:rPr>
          <w:spacing w:val="-64"/>
        </w:rPr>
        <w:t> </w:t>
      </w:r>
      <w:r>
        <w:rPr>
          <w:spacing w:val="-64"/>
        </w:rPr>
      </w:r>
      <w:r>
        <w:rPr/>
        <w:t>中产生的：</w:t>
      </w:r>
    </w:p>
    <w:p>
      <w:pPr>
        <w:pStyle w:val="BodyText"/>
        <w:spacing w:line="240" w:lineRule="auto" w:before="139"/>
        <w:ind w:left="513" w:right="982"/>
        <w:jc w:val="left"/>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spacing w:line="240" w:lineRule="auto" w:before="13"/>
        <w:rPr>
          <w:rFonts w:ascii="宋体" w:hAnsi="宋体" w:cs="宋体" w:eastAsia="宋体" w:hint="default"/>
          <w:sz w:val="13"/>
          <w:szCs w:val="13"/>
        </w:rPr>
      </w:pPr>
    </w:p>
    <w:p>
      <w:pPr>
        <w:pStyle w:val="BodyText"/>
        <w:spacing w:line="300" w:lineRule="auto"/>
        <w:ind w:right="1124" w:firstLine="360"/>
        <w:jc w:val="left"/>
      </w:pPr>
      <w:r>
        <w:rPr/>
        <w:t>（</w:t>
      </w:r>
      <w:r>
        <w:rPr>
          <w:rFonts w:ascii="Times New Roman" w:hAnsi="Times New Roman" w:cs="Times New Roman" w:eastAsia="Times New Roman" w:hint="default"/>
        </w:rPr>
        <w:t>2</w:t>
      </w:r>
      <w:r>
        <w:rPr/>
        <w:t>）对于与子公司、合营企业及联营企业投资相关的可抵扣暂时性差异，同时满足下列条件的，确认相应的递延所得 税资产：暂时性差异在可预见的未来很可能转回，且未来很可能获得用来抵扣可抵扣暂时性差异的应纳税所得额。</w:t>
      </w:r>
    </w:p>
    <w:p>
      <w:pPr>
        <w:pStyle w:val="BodyText"/>
        <w:spacing w:line="316" w:lineRule="auto" w:before="151"/>
        <w:ind w:right="982" w:firstLine="360"/>
        <w:jc w:val="left"/>
      </w:pPr>
      <w:r>
        <w:rPr>
          <w:spacing w:val="-4"/>
        </w:rPr>
        <w:t>于资产负债表日，本集团对递延所得税资产和递延所得税负债，按照预期收回该资产或清偿该负债期间的适用税率计量，</w:t>
      </w:r>
      <w:r>
        <w:rPr/>
        <w:t> 并反映资产负债表日预期收回资产或清偿负债方式的所得税影响。</w:t>
      </w:r>
    </w:p>
    <w:p>
      <w:pPr>
        <w:pStyle w:val="BodyText"/>
        <w:spacing w:line="316" w:lineRule="auto" w:before="139"/>
        <w:ind w:right="1130" w:firstLine="360"/>
        <w:jc w:val="both"/>
      </w:pPr>
      <w:r>
        <w:rPr>
          <w:spacing w:val="-2"/>
        </w:rPr>
        <w:t>于资产负债表日，本集团对递延所得税资产的账面价值进行复核。如果未来期间很可能无法获得足够的应纳税所得额用</w:t>
      </w:r>
      <w:r>
        <w:rPr/>
        <w:t> </w:t>
      </w:r>
      <w:r>
        <w:rPr>
          <w:spacing w:val="-2"/>
        </w:rPr>
        <w:t>以抵扣递延所得税资产的利益，减记递延所得税资产的账面价值。在很可能获得足够的应纳税所得额时，减记的金额予以转</w:t>
      </w:r>
      <w:r>
        <w:rPr>
          <w:spacing w:val="-63"/>
        </w:rPr>
        <w:t> </w:t>
      </w:r>
      <w:r>
        <w:rPr>
          <w:spacing w:val="-63"/>
        </w:rPr>
      </w:r>
      <w:r>
        <w:rPr/>
        <w:t>回。</w:t>
      </w:r>
    </w:p>
    <w:p>
      <w:pPr>
        <w:spacing w:line="240" w:lineRule="auto" w:before="10"/>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82" w:firstLine="360"/>
        <w:jc w:val="left"/>
      </w:pPr>
      <w:r>
        <w:rPr>
          <w:spacing w:val="-2"/>
        </w:rPr>
        <w:t>本集团将实质上转移了与资产所有权有关的全部风险和报酬的租赁确认为融资租赁，除融资租赁之外的其他租赁确认为</w:t>
      </w:r>
      <w:r>
        <w:rPr/>
        <w:t> 经营租赁。</w:t>
      </w:r>
    </w:p>
    <w:p>
      <w:pPr>
        <w:pStyle w:val="BodyText"/>
        <w:spacing w:line="415" w:lineRule="auto" w:before="139"/>
        <w:ind w:left="513" w:right="1393"/>
        <w:jc w:val="left"/>
      </w:pPr>
      <w:r>
        <w:rPr/>
        <w:t>（</w:t>
      </w:r>
      <w:r>
        <w:rPr>
          <w:rFonts w:ascii="Times New Roman" w:hAnsi="Times New Roman" w:cs="Times New Roman" w:eastAsia="Times New Roman" w:hint="default"/>
        </w:rPr>
        <w:t>1</w:t>
      </w:r>
      <w:r>
        <w:rPr/>
        <w:t>）本集团作为出租人 经营租赁中的租金，本集团在租赁期内各个期间按照直线法确认当期损益。发生的初始直接费用，计入当期损益。</w:t>
      </w:r>
    </w:p>
    <w:p>
      <w:pPr>
        <w:pStyle w:val="BodyText"/>
        <w:spacing w:line="240" w:lineRule="auto" w:before="65"/>
        <w:ind w:left="513" w:right="982"/>
        <w:jc w:val="left"/>
      </w:pPr>
      <w:r>
        <w:rPr/>
        <w:t>（</w:t>
      </w:r>
      <w:r>
        <w:rPr>
          <w:rFonts w:ascii="Times New Roman" w:hAnsi="Times New Roman" w:cs="Times New Roman" w:eastAsia="Times New Roman" w:hint="default"/>
        </w:rPr>
        <w:t>2</w:t>
      </w:r>
      <w:r>
        <w:rPr/>
        <w:t>）本集团作为承租人</w:t>
      </w:r>
    </w:p>
    <w:p>
      <w:pPr>
        <w:spacing w:line="240" w:lineRule="auto" w:before="13"/>
        <w:rPr>
          <w:rFonts w:ascii="宋体" w:hAnsi="宋体" w:cs="宋体" w:eastAsia="宋体" w:hint="default"/>
          <w:sz w:val="13"/>
          <w:szCs w:val="13"/>
        </w:rPr>
      </w:pPr>
    </w:p>
    <w:p>
      <w:pPr>
        <w:pStyle w:val="BodyText"/>
        <w:spacing w:line="316" w:lineRule="auto"/>
        <w:ind w:right="982" w:firstLine="360"/>
        <w:jc w:val="left"/>
      </w:pPr>
      <w:r>
        <w:rPr>
          <w:spacing w:val="-2"/>
        </w:rPr>
        <w:t>经营租赁中的租金，本集团在租赁期内各个期间按照直线法计入相关资产成本或当期损益；发生的初始直接费用，计入</w:t>
      </w:r>
      <w:r>
        <w:rPr/>
        <w:t> 当期损益。</w:t>
      </w:r>
    </w:p>
    <w:p>
      <w:pPr>
        <w:spacing w:line="240" w:lineRule="auto" w:before="10"/>
        <w:rPr>
          <w:rFonts w:ascii="宋体" w:hAnsi="宋体" w:cs="宋体" w:eastAsia="宋体" w:hint="default"/>
          <w:sz w:val="22"/>
          <w:szCs w:val="22"/>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415" w:lineRule="auto"/>
        <w:ind w:left="513" w:right="982"/>
        <w:jc w:val="left"/>
      </w:pPr>
      <w:r>
        <w:rPr/>
        <w:t>（</w:t>
      </w:r>
      <w:r>
        <w:rPr>
          <w:rFonts w:ascii="Times New Roman" w:hAnsi="Times New Roman" w:cs="Times New Roman" w:eastAsia="Times New Roman" w:hint="default"/>
        </w:rPr>
        <w:t>1</w:t>
      </w:r>
      <w:r>
        <w:rPr/>
        <w:t>）本集团作为出租人 </w:t>
      </w:r>
      <w:r>
        <w:rPr>
          <w:spacing w:val="-2"/>
        </w:rPr>
        <w:t>融资租赁中，在租赁开始日本集团按最低租赁收款额与初始直接费用之和作为应收融资租赁款的入账价值，同时记录未</w:t>
      </w:r>
    </w:p>
    <w:p>
      <w:pPr>
        <w:pStyle w:val="BodyText"/>
        <w:spacing w:line="183" w:lineRule="exact"/>
        <w:ind w:right="982"/>
        <w:jc w:val="left"/>
      </w:pPr>
      <w:r>
        <w:rPr/>
        <w:t>担保余值；将最低租赁收款额、初始直接费用及未担保余值之和与其现值之和的差额确认为未实现融资收益。未实现融资收</w:t>
      </w:r>
    </w:p>
    <w:p>
      <w:pPr>
        <w:pStyle w:val="BodyText"/>
        <w:spacing w:line="240" w:lineRule="auto" w:before="76"/>
        <w:ind w:right="982"/>
        <w:jc w:val="left"/>
      </w:pPr>
      <w:r>
        <w:rPr/>
        <w:t>益在租赁期内各个期间采用实际利率法计算确认当期的融资收入。</w:t>
      </w:r>
    </w:p>
    <w:p>
      <w:pPr>
        <w:spacing w:line="240" w:lineRule="auto" w:before="11"/>
        <w:rPr>
          <w:rFonts w:ascii="宋体" w:hAnsi="宋体" w:cs="宋体" w:eastAsia="宋体" w:hint="default"/>
          <w:sz w:val="14"/>
          <w:szCs w:val="14"/>
        </w:rPr>
      </w:pPr>
    </w:p>
    <w:p>
      <w:pPr>
        <w:pStyle w:val="BodyText"/>
        <w:spacing w:line="415" w:lineRule="auto"/>
        <w:ind w:left="513" w:right="1033"/>
        <w:jc w:val="left"/>
      </w:pPr>
      <w:r>
        <w:rPr/>
        <w:t>（</w:t>
      </w:r>
      <w:r>
        <w:rPr>
          <w:rFonts w:ascii="Times New Roman" w:hAnsi="Times New Roman" w:cs="Times New Roman" w:eastAsia="Times New Roman" w:hint="default"/>
        </w:rPr>
        <w:t>2</w:t>
      </w:r>
      <w:r>
        <w:rPr/>
        <w:t>）本集团作为承租人 融资租赁中，在租赁开始日本集团将租赁资产公允价值与最低租赁付款额现值两者中较低者作为租入资产的入账价值，</w:t>
      </w:r>
    </w:p>
    <w:p>
      <w:pPr>
        <w:pStyle w:val="BodyText"/>
        <w:spacing w:line="183" w:lineRule="exact"/>
        <w:ind w:right="982"/>
        <w:jc w:val="left"/>
      </w:pPr>
      <w:r>
        <w:rPr/>
        <w:t>将最低租赁付款额作为长期应付款的入账价值，其差额作为未确认融资费用。初始直接费用计入租入资产价值。未确认融资</w:t>
      </w:r>
    </w:p>
    <w:p>
      <w:pPr>
        <w:pStyle w:val="BodyText"/>
        <w:spacing w:line="316" w:lineRule="auto" w:before="76"/>
        <w:ind w:right="982"/>
        <w:jc w:val="left"/>
      </w:pPr>
      <w:r>
        <w:rPr>
          <w:spacing w:val="-2"/>
        </w:rPr>
        <w:t>费用在租赁期内各个期间采用实际利率法计算确认当期的融资费用。本集团采用与自有固定资产相一致的折旧政策计提租赁</w:t>
      </w:r>
      <w:r>
        <w:rPr>
          <w:spacing w:val="-63"/>
        </w:rPr>
        <w:t> </w:t>
      </w:r>
      <w:r>
        <w:rPr>
          <w:spacing w:val="-63"/>
        </w:rPr>
      </w:r>
      <w:r>
        <w:rPr/>
        <w:t>资产折旧。</w:t>
      </w:r>
    </w:p>
    <w:p>
      <w:pPr>
        <w:spacing w:line="240" w:lineRule="auto" w:before="8"/>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29</w:t>
      </w:r>
      <w:r>
        <w:rPr/>
        <w:t>、其他重要的会计政策和会计估计</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982"/>
        <w:jc w:val="left"/>
      </w:pPr>
      <w:r>
        <w:rPr/>
        <w:t>本集团根据历史经验和其它因素，包括对未来事项的合理预期，对所采用的重要会计估计和关键假设进行持续的评价。</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r>
        <w:rPr/>
        <w:pict>
          <v:shape style="position:absolute;margin-left:398.350006pt;margin-top:728.135986pt;width:76.350pt;height:35.2pt;mso-position-horizontal-relative:page;mso-position-vertical-relative:page;z-index:-883288"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404.350006pt;margin-top:728.135986pt;width:70.350pt;height:35.2pt;mso-position-horizontal-relative:page;mso-position-vertical-relative:page;z-index:-883264" coordorigin="8087,14563" coordsize="1407,704">
            <v:group style="position:absolute;left:8087;top:14563;width:1407;height:704" coordorigin="8087,14563" coordsize="1407,704">
              <v:shape style="position:absolute;left:8087;top:14563;width:1407;height:704" coordorigin="8087,14563" coordsize="1407,704" path="m8087,15266l9494,15266,9494,14563,8087,14563,8087,15266xe" filled="true" fillcolor="#ffffff" stroked="false">
                <v:path arrowok="t"/>
                <v:fill type="solid"/>
              </v:shape>
            </v:group>
            <v:group style="position:absolute;left:8109;top:14719;width:1364;height:392" coordorigin="8109,14719" coordsize="1364,392">
              <v:shape style="position:absolute;left:8109;top:14719;width:1364;height:392" coordorigin="8109,14719" coordsize="1364,392" path="m8109,15110l9472,15110,9472,14719,8109,14719,8109,15110xe" filled="true" fillcolor="#ffffff" stroked="false">
                <v:path arrowok="t"/>
                <v:fill type="solid"/>
              </v:shape>
            </v:group>
            <w10:wrap type="none"/>
          </v:group>
        </w:pict>
      </w:r>
    </w:p>
    <w:p>
      <w:pPr>
        <w:pStyle w:val="BodyText"/>
        <w:spacing w:line="439" w:lineRule="auto" w:before="44"/>
        <w:ind w:left="513" w:right="1129"/>
        <w:jc w:val="left"/>
      </w:pPr>
      <w:r>
        <w:rPr/>
        <w:t>很可能导致下一会计年度资产和负债的账面价值出现重大调整风险的重要会计估计和关键假设列示如下： 坏账准备计提</w:t>
      </w:r>
    </w:p>
    <w:p>
      <w:pPr>
        <w:pStyle w:val="BodyText"/>
        <w:spacing w:line="316" w:lineRule="auto" w:before="47"/>
        <w:ind w:right="1130" w:firstLine="360"/>
        <w:jc w:val="both"/>
      </w:pPr>
      <w:r>
        <w:rPr>
          <w:spacing w:val="-2"/>
        </w:rPr>
        <w:t>本集团根据应收款项的会计政策，采用备抵法核算坏账损失。应收款项减值是基于评估应收款项的可收回性。鉴定应收</w:t>
      </w:r>
      <w:r>
        <w:rPr/>
        <w:t> </w:t>
      </w:r>
      <w:r>
        <w:rPr>
          <w:spacing w:val="-2"/>
        </w:rPr>
        <w:t>款项减值要求管理层的判断和估计，实际的结果与原先估计的差异将在估计被改变的期间影响应收款项的账面价值及应收款</w:t>
      </w:r>
      <w:r>
        <w:rPr>
          <w:spacing w:val="-63"/>
        </w:rPr>
        <w:t> </w:t>
      </w:r>
      <w:r>
        <w:rPr>
          <w:spacing w:val="-63"/>
        </w:rPr>
      </w:r>
      <w:r>
        <w:rPr/>
        <w:t>项坏账准备的计提或转回。</w:t>
      </w:r>
    </w:p>
    <w:p>
      <w:pPr>
        <w:pStyle w:val="BodyText"/>
        <w:spacing w:line="432" w:lineRule="exact" w:before="3"/>
        <w:ind w:left="513" w:right="982"/>
        <w:jc w:val="left"/>
      </w:pPr>
      <w:r>
        <w:rPr/>
        <w:t>存货跌价准备计提 </w:t>
      </w:r>
      <w:r>
        <w:rPr>
          <w:spacing w:val="-2"/>
        </w:rPr>
        <w:t>本集团根据存货会计政策，按照成本与可变现净值孰低计量，对成本高于可变现净值及陈旧和滞销的存货，计提存货跌</w:t>
      </w:r>
    </w:p>
    <w:p>
      <w:pPr>
        <w:pStyle w:val="BodyText"/>
        <w:spacing w:line="319" w:lineRule="auto" w:before="15"/>
        <w:ind w:right="1130"/>
        <w:jc w:val="both"/>
      </w:pPr>
      <w:r>
        <w:rPr>
          <w:spacing w:val="-2"/>
        </w:rPr>
        <w:t>价准备。存货减值至可变现净值是基于评估存货的可售性及其可变现净值。鉴定存货减值要求管理层取得确凿证据，并且考</w:t>
      </w:r>
      <w:r>
        <w:rPr>
          <w:spacing w:val="-63"/>
        </w:rPr>
        <w:t> </w:t>
      </w:r>
      <w:r>
        <w:rPr>
          <w:spacing w:val="-63"/>
        </w:rPr>
      </w:r>
      <w:r>
        <w:rPr>
          <w:spacing w:val="-2"/>
        </w:rPr>
        <w:t>虑持有存货的目的、资产负债表日后事项的影响等因素的基础上作出判断和估计。实际的结果与原先的估计的差异将在估计</w:t>
      </w:r>
      <w:r>
        <w:rPr>
          <w:spacing w:val="-64"/>
        </w:rPr>
        <w:t> </w:t>
      </w:r>
      <w:r>
        <w:rPr>
          <w:spacing w:val="-64"/>
        </w:rPr>
      </w:r>
      <w:r>
        <w:rPr/>
        <w:t>被改变的期间影响存货的账面价值及存货跌价准备的计提或转回。</w:t>
      </w:r>
    </w:p>
    <w:p>
      <w:pPr>
        <w:pStyle w:val="BodyText"/>
        <w:spacing w:line="432" w:lineRule="exact" w:before="1"/>
        <w:ind w:left="513" w:right="982"/>
        <w:jc w:val="left"/>
      </w:pPr>
      <w:r>
        <w:rPr/>
        <w:t>折旧和摊销 </w:t>
      </w:r>
      <w:r>
        <w:rPr>
          <w:spacing w:val="-4"/>
        </w:rPr>
        <w:t>本集团对固定资产和无形资产在考虑其残值后，在预计使用寿命内按直线法计提折旧和摊销，本集团定期复核使用寿命，</w:t>
      </w:r>
    </w:p>
    <w:p>
      <w:pPr>
        <w:pStyle w:val="BodyText"/>
        <w:spacing w:line="316" w:lineRule="auto" w:before="15"/>
        <w:ind w:right="1133"/>
        <w:jc w:val="both"/>
      </w:pPr>
      <w:r>
        <w:rPr>
          <w:spacing w:val="-2"/>
        </w:rPr>
        <w:t>以决定将计入每个期间的折旧和摊销费用金额。使用寿命是根据以往经验并结合预期的技术确定的。如果以前的估计发生重</w:t>
      </w:r>
      <w:r>
        <w:rPr>
          <w:spacing w:val="-64"/>
        </w:rPr>
        <w:t> </w:t>
      </w:r>
      <w:r>
        <w:rPr>
          <w:spacing w:val="-64"/>
        </w:rPr>
      </w:r>
      <w:r>
        <w:rPr/>
        <w:t>大变化，则会在未来期间对折旧和摊销费用进行调整。</w:t>
      </w:r>
    </w:p>
    <w:p>
      <w:pPr>
        <w:pStyle w:val="BodyText"/>
        <w:spacing w:line="432" w:lineRule="exact" w:before="3"/>
        <w:ind w:left="513" w:right="982"/>
        <w:jc w:val="left"/>
      </w:pPr>
      <w:r>
        <w:rPr/>
        <w:t>递延所得税资产 </w:t>
      </w:r>
      <w:r>
        <w:rPr>
          <w:spacing w:val="-2"/>
        </w:rPr>
        <w:t>在很有可能有足够的应纳税利润来抵扣亏损的限度内，应就所有未利用的税务亏损确认递延所得税资产。这需要管理层</w:t>
      </w:r>
    </w:p>
    <w:p>
      <w:pPr>
        <w:pStyle w:val="BodyText"/>
        <w:spacing w:line="439" w:lineRule="auto" w:before="15"/>
        <w:ind w:left="513" w:right="982" w:hanging="361"/>
        <w:jc w:val="left"/>
      </w:pPr>
      <w:r>
        <w:rPr/>
        <w:t>运用大量的判断来估计未来应纳税利润发生的时间和金额，结合纳税筹划策略，以决定应确认的递延所得税资产的金额。 所得税费用</w:t>
      </w:r>
    </w:p>
    <w:p>
      <w:pPr>
        <w:pStyle w:val="BodyText"/>
        <w:spacing w:line="316" w:lineRule="auto" w:before="47"/>
        <w:ind w:right="1131" w:firstLine="360"/>
        <w:jc w:val="both"/>
      </w:pPr>
      <w:r>
        <w:rPr>
          <w:spacing w:val="-2"/>
        </w:rPr>
        <w:t>本集团在正常的经营活动中，有部分交易其最终的税务处理和计算存在一定的不确定性，部分项目是否能够在税前列支</w:t>
      </w:r>
      <w:r>
        <w:rPr/>
        <w:t> </w:t>
      </w:r>
      <w:r>
        <w:rPr>
          <w:spacing w:val="-2"/>
        </w:rPr>
        <w:t>需要税收主管机关的审批。如果这些税务事项的最终认定结果同原先估计的金额存在差异，则该差异将对其认定期间的当期</w:t>
      </w:r>
      <w:r>
        <w:rPr>
          <w:spacing w:val="-64"/>
        </w:rPr>
        <w:t> </w:t>
      </w:r>
      <w:r>
        <w:rPr>
          <w:spacing w:val="-64"/>
        </w:rPr>
      </w:r>
      <w:r>
        <w:rPr/>
        <w:t>所得税和递延所得税资产产生影响。</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30</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947"/>
        <w:gridCol w:w="1419"/>
        <w:gridCol w:w="1205"/>
      </w:tblGrid>
      <w:tr>
        <w:trPr>
          <w:trHeight w:val="401" w:hRule="exact"/>
        </w:trPr>
        <w:tc>
          <w:tcPr>
            <w:tcW w:w="6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9"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年颁布</w:t>
            </w:r>
            <w:r>
              <w:rPr>
                <w:rFonts w:ascii="宋体" w:hAnsi="宋体" w:cs="宋体" w:eastAsia="宋体" w:hint="default"/>
                <w:spacing w:val="-15"/>
                <w:sz w:val="18"/>
                <w:szCs w:val="18"/>
              </w:rPr>
              <w:t>了</w:t>
            </w:r>
            <w:r>
              <w:rPr>
                <w:rFonts w:ascii="宋体" w:hAnsi="宋体" w:cs="宋体" w:eastAsia="宋体" w:hint="default"/>
                <w:sz w:val="18"/>
                <w:szCs w:val="18"/>
              </w:rPr>
              <w:t>《企</w:t>
            </w:r>
            <w:r>
              <w:rPr>
                <w:rFonts w:ascii="宋体" w:hAnsi="宋体" w:cs="宋体" w:eastAsia="宋体" w:hint="default"/>
                <w:spacing w:val="-3"/>
                <w:sz w:val="18"/>
                <w:szCs w:val="18"/>
              </w:rPr>
              <w:t>业</w:t>
            </w:r>
            <w:r>
              <w:rPr>
                <w:rFonts w:ascii="宋体" w:hAnsi="宋体" w:cs="宋体" w:eastAsia="宋体" w:hint="default"/>
                <w:sz w:val="18"/>
                <w:szCs w:val="18"/>
              </w:rPr>
              <w:t>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w:t>
            </w:r>
            <w:r>
              <w:rPr>
                <w:rFonts w:ascii="宋体" w:hAnsi="宋体" w:cs="宋体" w:eastAsia="宋体" w:hint="default"/>
                <w:spacing w:val="-3"/>
                <w:sz w:val="18"/>
                <w:szCs w:val="18"/>
              </w:rPr>
              <w:t>具</w:t>
            </w:r>
            <w:r>
              <w:rPr>
                <w:rFonts w:ascii="宋体" w:hAnsi="宋体" w:cs="宋体" w:eastAsia="宋体" w:hint="default"/>
                <w:sz w:val="18"/>
                <w:szCs w:val="18"/>
              </w:rPr>
              <w:t>确认和计</w:t>
            </w:r>
            <w:r>
              <w:rPr>
                <w:rFonts w:ascii="宋体" w:hAnsi="宋体" w:cs="宋体" w:eastAsia="宋体" w:hint="default"/>
                <w:spacing w:val="-15"/>
                <w:sz w:val="18"/>
                <w:szCs w:val="18"/>
              </w:rPr>
              <w:t>量</w:t>
            </w:r>
            <w:r>
              <w:rPr>
                <w:rFonts w:ascii="宋体" w:hAnsi="宋体" w:cs="宋体" w:eastAsia="宋体" w:hint="default"/>
                <w:sz w:val="18"/>
                <w:szCs w:val="18"/>
              </w:rPr>
              <w:t>（修订</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宋体" w:hAnsi="宋体" w:cs="宋体" w:eastAsia="宋体" w:hint="default"/>
                <w:spacing w:val="-3"/>
                <w:sz w:val="18"/>
                <w:szCs w:val="18"/>
              </w:rPr>
              <w:t>资</w:t>
            </w:r>
            <w:r>
              <w:rPr>
                <w:rFonts w:ascii="宋体" w:hAnsi="宋体" w:cs="宋体" w:eastAsia="宋体" w:hint="default"/>
                <w:sz w:val="18"/>
                <w:szCs w:val="18"/>
              </w:rPr>
              <w:t>产转</w:t>
            </w:r>
            <w:r>
              <w:rPr>
                <w:rFonts w:ascii="宋体" w:hAnsi="宋体" w:cs="宋体" w:eastAsia="宋体" w:hint="default"/>
                <w:spacing w:val="-75"/>
                <w:sz w:val="18"/>
                <w:szCs w:val="18"/>
              </w:rPr>
              <w:t>移</w:t>
            </w:r>
            <w:r>
              <w:rPr>
                <w:rFonts w:ascii="宋体" w:hAnsi="宋体" w:cs="宋体" w:eastAsia="宋体" w:hint="default"/>
                <w:sz w:val="18"/>
                <w:szCs w:val="18"/>
              </w:rPr>
              <w:t>（修订</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pacing w:val="-166"/>
                <w:sz w:val="18"/>
                <w:szCs w:val="18"/>
              </w:rPr>
              <w:t>、</w:t>
            </w:r>
            <w:r>
              <w:rPr>
                <w:rFonts w:ascii="宋体" w:hAnsi="宋体" w:cs="宋体" w:eastAsia="宋体" w:hint="default"/>
                <w:sz w:val="18"/>
                <w:szCs w:val="18"/>
              </w:rPr>
              <w:t>《企业会计</w:t>
            </w:r>
            <w:r>
              <w:rPr>
                <w:rFonts w:ascii="宋体" w:hAnsi="宋体" w:cs="宋体" w:eastAsia="宋体" w:hint="default"/>
                <w:spacing w:val="2"/>
                <w:sz w:val="18"/>
                <w:szCs w:val="18"/>
              </w:rPr>
              <w:t>准</w:t>
            </w:r>
            <w:r>
              <w:rPr>
                <w:rFonts w:ascii="宋体" w:hAnsi="宋体" w:cs="宋体" w:eastAsia="宋体" w:hint="default"/>
                <w:sz w:val="18"/>
                <w:szCs w:val="18"/>
              </w:rPr>
              <w:t>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w:t>
            </w:r>
            <w:r>
              <w:rPr>
                <w:rFonts w:ascii="宋体" w:hAnsi="宋体" w:cs="宋体" w:eastAsia="宋体" w:hint="default"/>
                <w:spacing w:val="-75"/>
                <w:sz w:val="18"/>
                <w:szCs w:val="18"/>
              </w:rPr>
              <w:t>计</w:t>
            </w:r>
            <w:r>
              <w:rPr>
                <w:rFonts w:ascii="宋体" w:hAnsi="宋体" w:cs="宋体" w:eastAsia="宋体" w:hint="default"/>
                <w:sz w:val="18"/>
                <w:szCs w:val="18"/>
              </w:rPr>
              <w:t>（修</w:t>
            </w:r>
          </w:p>
          <w:p>
            <w:pPr>
              <w:pStyle w:val="TableParagraph"/>
              <w:spacing w:line="300" w:lineRule="auto" w:before="63"/>
              <w:ind w:left="24" w:right="95"/>
              <w:jc w:val="left"/>
              <w:rPr>
                <w:rFonts w:ascii="宋体" w:hAnsi="宋体" w:cs="宋体" w:eastAsia="宋体" w:hint="default"/>
                <w:sz w:val="18"/>
                <w:szCs w:val="18"/>
              </w:rPr>
            </w:pPr>
            <w:r>
              <w:rPr>
                <w:rFonts w:ascii="宋体" w:hAnsi="宋体" w:cs="宋体" w:eastAsia="宋体" w:hint="default"/>
                <w:spacing w:val="-8"/>
                <w:sz w:val="18"/>
                <w:szCs w:val="18"/>
              </w:rPr>
              <w:t>订）》及《企业会计准则第</w:t>
            </w:r>
            <w:r>
              <w:rPr>
                <w:rFonts w:ascii="宋体" w:hAnsi="宋体" w:cs="宋体" w:eastAsia="宋体" w:hint="default"/>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20"/>
                <w:sz w:val="18"/>
                <w:szCs w:val="18"/>
              </w:rPr>
              <w:t> </w:t>
            </w:r>
            <w:r>
              <w:rPr>
                <w:rFonts w:ascii="宋体" w:hAnsi="宋体" w:cs="宋体" w:eastAsia="宋体" w:hint="default"/>
                <w:spacing w:val="-14"/>
                <w:w w:val="100"/>
                <w:sz w:val="18"/>
                <w:szCs w:val="18"/>
              </w:rPr>
              <w:t>号</w:t>
            </w:r>
            <w:r>
              <w:rPr>
                <w:rFonts w:ascii="Times New Roman" w:hAnsi="Times New Roman" w:cs="Times New Roman" w:eastAsia="Times New Roman" w:hint="default"/>
                <w:spacing w:val="-14"/>
                <w:w w:val="100"/>
                <w:sz w:val="18"/>
                <w:szCs w:val="18"/>
              </w:rPr>
              <w:t>——</w:t>
            </w:r>
            <w:r>
              <w:rPr>
                <w:rFonts w:ascii="宋体" w:hAnsi="宋体" w:cs="宋体" w:eastAsia="宋体" w:hint="default"/>
                <w:spacing w:val="-14"/>
                <w:w w:val="100"/>
                <w:sz w:val="18"/>
                <w:szCs w:val="18"/>
              </w:rPr>
              <w:t>金融工具列报（修订）》（统称</w:t>
            </w:r>
            <w:r>
              <w:rPr>
                <w:rFonts w:ascii="Times New Roman" w:hAnsi="Times New Roman" w:cs="Times New Roman" w:eastAsia="Times New Roman" w:hint="default"/>
                <w:spacing w:val="-14"/>
                <w:w w:val="100"/>
                <w:sz w:val="18"/>
                <w:szCs w:val="18"/>
              </w:rPr>
              <w:t>“</w:t>
            </w:r>
            <w:r>
              <w:rPr>
                <w:rFonts w:ascii="宋体" w:hAnsi="宋体" w:cs="宋体" w:eastAsia="宋体" w:hint="default"/>
                <w:spacing w:val="-14"/>
                <w:w w:val="100"/>
                <w:sz w:val="18"/>
                <w:szCs w:val="18"/>
              </w:rPr>
              <w:t>新金融工具准则</w:t>
            </w:r>
            <w:r>
              <w:rPr>
                <w:rFonts w:ascii="Times New Roman" w:hAnsi="Times New Roman" w:cs="Times New Roman" w:eastAsia="Times New Roman" w:hint="default"/>
                <w:spacing w:val="-14"/>
                <w:w w:val="100"/>
                <w:sz w:val="18"/>
                <w:szCs w:val="18"/>
              </w:rPr>
              <w:t>”</w:t>
            </w:r>
            <w:r>
              <w:rPr>
                <w:rFonts w:ascii="宋体" w:hAnsi="宋体" w:cs="宋体" w:eastAsia="宋体" w:hint="default"/>
                <w:spacing w:val="-14"/>
                <w:w w:val="100"/>
                <w:sz w:val="18"/>
                <w:szCs w:val="18"/>
              </w:rPr>
              <w:t>），</w:t>
            </w:r>
            <w:r>
              <w:rPr>
                <w:rFonts w:ascii="宋体" w:hAnsi="宋体" w:cs="宋体" w:eastAsia="宋体" w:hint="default"/>
                <w:spacing w:val="-86"/>
                <w:w w:val="100"/>
                <w:sz w:val="18"/>
                <w:szCs w:val="18"/>
              </w:rPr>
              <w:t> </w:t>
            </w:r>
            <w:r>
              <w:rPr>
                <w:rFonts w:ascii="宋体" w:hAnsi="宋体" w:cs="宋体" w:eastAsia="宋体" w:hint="default"/>
                <w:sz w:val="18"/>
                <w:szCs w:val="18"/>
              </w:rPr>
              <w:t>本公司对会计政策相关内容进行了变更。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董事会审议批准</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影响见说明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1025"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月颁布</w:t>
            </w:r>
            <w:r>
              <w:rPr>
                <w:rFonts w:ascii="宋体" w:hAnsi="宋体" w:cs="宋体" w:eastAsia="宋体" w:hint="default"/>
                <w:spacing w:val="-92"/>
                <w:sz w:val="18"/>
                <w:szCs w:val="18"/>
              </w:rPr>
              <w:t>了</w:t>
            </w:r>
            <w:r>
              <w:rPr>
                <w:rFonts w:ascii="宋体" w:hAnsi="宋体" w:cs="宋体" w:eastAsia="宋体" w:hint="default"/>
                <w:sz w:val="18"/>
                <w:szCs w:val="18"/>
              </w:rPr>
              <w:t>《关于修订印发</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年度一般</w:t>
            </w:r>
            <w:r>
              <w:rPr>
                <w:rFonts w:ascii="宋体" w:hAnsi="宋体" w:cs="宋体" w:eastAsia="宋体" w:hint="default"/>
                <w:spacing w:val="-3"/>
                <w:sz w:val="18"/>
                <w:szCs w:val="18"/>
              </w:rPr>
              <w:t>企</w:t>
            </w:r>
            <w:r>
              <w:rPr>
                <w:rFonts w:ascii="宋体" w:hAnsi="宋体" w:cs="宋体" w:eastAsia="宋体" w:hint="default"/>
                <w:sz w:val="18"/>
                <w:szCs w:val="18"/>
              </w:rPr>
              <w:t>业财务报表格式的通</w:t>
            </w:r>
            <w:r>
              <w:rPr>
                <w:rFonts w:ascii="宋体" w:hAnsi="宋体" w:cs="宋体" w:eastAsia="宋体" w:hint="default"/>
                <w:spacing w:val="-3"/>
                <w:sz w:val="18"/>
                <w:szCs w:val="18"/>
              </w:rPr>
              <w:t>知</w:t>
            </w:r>
            <w:r>
              <w:rPr>
                <w:rFonts w:ascii="宋体" w:hAnsi="宋体" w:cs="宋体" w:eastAsia="宋体" w:hint="default"/>
                <w:spacing w:val="-178"/>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财</w:t>
            </w:r>
          </w:p>
          <w:p>
            <w:pPr>
              <w:pStyle w:val="TableParagraph"/>
              <w:spacing w:line="300" w:lineRule="auto" w:before="63"/>
              <w:ind w:left="24" w:right="174"/>
              <w:jc w:val="left"/>
              <w:rPr>
                <w:rFonts w:ascii="宋体" w:hAnsi="宋体" w:cs="宋体" w:eastAsia="宋体" w:hint="default"/>
                <w:sz w:val="18"/>
                <w:szCs w:val="18"/>
              </w:rPr>
            </w:pPr>
            <w:r>
              <w:rPr>
                <w:rFonts w:ascii="宋体" w:hAnsi="宋体" w:cs="宋体" w:eastAsia="宋体" w:hint="default"/>
                <w:sz w:val="18"/>
                <w:szCs w:val="18"/>
              </w:rPr>
              <w:t>会</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w:t>
            </w:r>
            <w:r>
              <w:rPr>
                <w:rFonts w:ascii="宋体" w:hAnsi="宋体" w:cs="宋体" w:eastAsia="宋体" w:hint="default"/>
                <w:sz w:val="18"/>
                <w:szCs w:val="18"/>
              </w:rPr>
              <w:t>颁布了《财政部关于修订印发合并财务报表格式（</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z w:val="18"/>
                <w:szCs w:val="18"/>
              </w:rPr>
              <w:t> </w:t>
            </w:r>
            <w:r>
              <w:rPr>
                <w:rFonts w:ascii="宋体" w:hAnsi="宋体" w:cs="宋体" w:eastAsia="宋体" w:hint="default"/>
                <w:sz w:val="18"/>
                <w:szCs w:val="18"/>
              </w:rPr>
              <w:t>版）的通知</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本公司对会计政策相关内容进行了变更。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董事会审议批准</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影响见说明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715"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8"/>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月颁布</w:t>
            </w:r>
            <w:r>
              <w:rPr>
                <w:rFonts w:ascii="宋体" w:hAnsi="宋体" w:cs="宋体" w:eastAsia="宋体" w:hint="default"/>
                <w:spacing w:val="-82"/>
                <w:sz w:val="18"/>
                <w:szCs w:val="18"/>
              </w:rPr>
              <w:t>了</w:t>
            </w:r>
            <w:r>
              <w:rPr>
                <w:rFonts w:ascii="宋体" w:hAnsi="宋体" w:cs="宋体" w:eastAsia="宋体" w:hint="default"/>
                <w:spacing w:val="-3"/>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w:t>
            </w:r>
            <w:r>
              <w:rPr>
                <w:rFonts w:ascii="宋体" w:hAnsi="宋体" w:cs="宋体" w:eastAsia="宋体" w:hint="default"/>
                <w:spacing w:val="-3"/>
                <w:sz w:val="18"/>
                <w:szCs w:val="18"/>
              </w:rPr>
              <w:t>货</w:t>
            </w:r>
            <w:r>
              <w:rPr>
                <w:rFonts w:ascii="宋体" w:hAnsi="宋体" w:cs="宋体" w:eastAsia="宋体" w:hint="default"/>
                <w:sz w:val="18"/>
                <w:szCs w:val="18"/>
              </w:rPr>
              <w:t>币性资产交换</w:t>
            </w:r>
            <w:r>
              <w:rPr>
                <w:rFonts w:ascii="宋体" w:hAnsi="宋体" w:cs="宋体" w:eastAsia="宋体" w:hint="default"/>
                <w:spacing w:val="-171"/>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新非货币性</w:t>
            </w:r>
            <w:r>
              <w:rPr>
                <w:rFonts w:ascii="宋体" w:hAnsi="宋体" w:cs="宋体" w:eastAsia="宋体" w:hint="default"/>
                <w:spacing w:val="2"/>
                <w:sz w:val="18"/>
                <w:szCs w:val="18"/>
              </w:rPr>
              <w:t>交</w:t>
            </w:r>
            <w:r>
              <w:rPr>
                <w:rFonts w:ascii="宋体" w:hAnsi="宋体" w:cs="宋体" w:eastAsia="宋体" w:hint="default"/>
                <w:sz w:val="18"/>
                <w:szCs w:val="18"/>
              </w:rPr>
              <w:t>换准则</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，本公司对会计政</w:t>
            </w:r>
            <w:r>
              <w:rPr>
                <w:rFonts w:ascii="宋体" w:hAnsi="宋体" w:cs="宋体" w:eastAsia="宋体" w:hint="default"/>
                <w:spacing w:val="2"/>
                <w:sz w:val="18"/>
                <w:szCs w:val="18"/>
              </w:rPr>
              <w:t>策</w:t>
            </w:r>
            <w:r>
              <w:rPr>
                <w:rFonts w:ascii="宋体" w:hAnsi="宋体" w:cs="宋体" w:eastAsia="宋体" w:hint="default"/>
                <w:sz w:val="18"/>
                <w:szCs w:val="18"/>
              </w:rPr>
              <w:t>相关内容进行了变更。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董事会审议批准</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影响见说明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r>
        <w:trPr>
          <w:trHeight w:val="713"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月颁发布</w:t>
            </w:r>
            <w:r>
              <w:rPr>
                <w:rFonts w:ascii="宋体" w:hAnsi="宋体" w:cs="宋体" w:eastAsia="宋体" w:hint="default"/>
                <w:spacing w:val="-15"/>
                <w:sz w:val="18"/>
                <w:szCs w:val="18"/>
              </w:rPr>
              <w:t>了</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pacing w:val="-3"/>
                <w:sz w:val="18"/>
                <w:szCs w:val="18"/>
              </w:rPr>
              <w:t>债</w:t>
            </w:r>
            <w:r>
              <w:rPr>
                <w:rFonts w:ascii="宋体" w:hAnsi="宋体" w:cs="宋体" w:eastAsia="宋体" w:hint="default"/>
                <w:sz w:val="18"/>
                <w:szCs w:val="18"/>
              </w:rPr>
              <w:t>务重组</w:t>
            </w:r>
            <w:r>
              <w:rPr>
                <w:rFonts w:ascii="宋体" w:hAnsi="宋体" w:cs="宋体" w:eastAsia="宋体" w:hint="default"/>
                <w:spacing w:val="-104"/>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新债务重组准则</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，本公司对会计政策相关内容进行了变更。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董事会审议批准</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影响见说明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415" w:lineRule="auto" w:before="44"/>
        <w:ind w:left="513" w:right="1933"/>
        <w:jc w:val="left"/>
      </w:pPr>
      <w:r>
        <w:rPr/>
        <w:pict>
          <v:shape style="position:absolute;margin-left:56.399994pt;margin-top:40.911705pt;width:493.55pt;height:137.3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6"/>
                    <w:gridCol w:w="1133"/>
                    <w:gridCol w:w="1419"/>
                    <w:gridCol w:w="1416"/>
                    <w:gridCol w:w="3546"/>
                    <w:gridCol w:w="1207"/>
                  </w:tblGrid>
                  <w:tr>
                    <w:trPr>
                      <w:trHeight w:val="341" w:hRule="exact"/>
                    </w:trPr>
                    <w:tc>
                      <w:tcPr>
                        <w:tcW w:w="3687"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14" w:right="0"/>
                          <w:jc w:val="left"/>
                          <w:rPr>
                            <w:rFonts w:ascii="宋体" w:hAnsi="宋体" w:cs="宋体" w:eastAsia="宋体" w:hint="default"/>
                            <w:sz w:val="18"/>
                            <w:szCs w:val="18"/>
                          </w:rPr>
                        </w:pPr>
                        <w:r>
                          <w:rPr>
                            <w:rFonts w:ascii="宋体" w:hAnsi="宋体" w:cs="宋体" w:eastAsia="宋体" w:hint="default"/>
                            <w:sz w:val="18"/>
                            <w:szCs w:val="18"/>
                          </w:rPr>
                          <w:t>原金融工具准则</w:t>
                        </w:r>
                      </w:p>
                    </w:tc>
                    <w:tc>
                      <w:tcPr>
                        <w:tcW w:w="616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3" w:hRule="exact"/>
                    </w:trPr>
                    <w:tc>
                      <w:tcPr>
                        <w:tcW w:w="1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1" w:hRule="exact"/>
                    </w:trPr>
                    <w:tc>
                      <w:tcPr>
                        <w:tcW w:w="1136"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368,303.38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368,303.38</w:t>
                        </w:r>
                      </w:p>
                    </w:tc>
                  </w:tr>
                  <w:tr>
                    <w:trPr>
                      <w:trHeight w:val="343" w:hRule="exact"/>
                    </w:trPr>
                    <w:tc>
                      <w:tcPr>
                        <w:tcW w:w="1136" w:type="dxa"/>
                        <w:vMerge/>
                        <w:tcBorders>
                          <w:left w:val="nil" w:sz="6" w:space="0" w:color="auto"/>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以公允价值计量且其变动计入其他综合收益</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1136"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178,589,035.30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178,589,035.30</w:t>
                        </w:r>
                      </w:p>
                    </w:tc>
                  </w:tr>
                  <w:tr>
                    <w:trPr>
                      <w:trHeight w:val="343" w:hRule="exact"/>
                    </w:trPr>
                    <w:tc>
                      <w:tcPr>
                        <w:tcW w:w="1136" w:type="dxa"/>
                        <w:vMerge/>
                        <w:tcBorders>
                          <w:left w:val="nil" w:sz="6" w:space="0" w:color="auto"/>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以公允价值计量且其变动计入其他综合收益</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1136"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22,880,774.49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4" w:hRule="exact"/>
                    </w:trPr>
                    <w:tc>
                      <w:tcPr>
                        <w:tcW w:w="1136" w:type="dxa"/>
                        <w:vMerge/>
                        <w:tcBorders>
                          <w:left w:val="nil" w:sz="6" w:space="0" w:color="auto"/>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5"/>
                          <w:jc w:val="right"/>
                          <w:rPr>
                            <w:rFonts w:ascii="Times New Roman" w:hAnsi="Times New Roman" w:cs="Times New Roman" w:eastAsia="Times New Roman" w:hint="default"/>
                            <w:sz w:val="18"/>
                            <w:szCs w:val="18"/>
                          </w:rPr>
                        </w:pPr>
                        <w:r>
                          <w:rPr>
                            <w:rFonts w:ascii="Times New Roman"/>
                            <w:spacing w:val="-1"/>
                            <w:sz w:val="18"/>
                          </w:rPr>
                          <w:t>22,880,774.49</w:t>
                        </w:r>
                      </w:p>
                    </w:tc>
                  </w:tr>
                </w:tbl>
                <w:p>
                  <w:pPr/>
                </w:p>
              </w:txbxContent>
            </v:textbox>
            <w10:wrap type="none"/>
          </v:shape>
        </w:pict>
      </w:r>
      <w:r>
        <w:rPr/>
        <w:t>说明</w:t>
      </w:r>
      <w:r>
        <w:rPr>
          <w:rFonts w:ascii="Times New Roman" w:hAnsi="Times New Roman" w:cs="Times New Roman" w:eastAsia="Times New Roman" w:hint="default"/>
        </w:rPr>
        <w:t>1</w:t>
      </w:r>
      <w:r>
        <w:rPr/>
        <w:t>：新金融工具准则的影响 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日，金融资产按照原金融工具准则和新金融工具准则的规定进行分类和计量的结果对比如下：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513" w:right="982"/>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日，执行新金融工具准则时金融工具分类和账面价值调节表如下：</w:t>
      </w:r>
    </w:p>
    <w:p>
      <w:pPr>
        <w:spacing w:line="240" w:lineRule="auto" w:before="1"/>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947"/>
        <w:gridCol w:w="2458"/>
        <w:gridCol w:w="1145"/>
        <w:gridCol w:w="1966"/>
        <w:gridCol w:w="2355"/>
      </w:tblGrid>
      <w:tr>
        <w:trPr>
          <w:trHeight w:val="653"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9"/>
                <w:sz w:val="18"/>
                <w:szCs w:val="18"/>
              </w:rPr>
              <w:t> </w:t>
            </w:r>
            <w:r>
              <w:rPr>
                <w:rFonts w:ascii="宋体" w:hAnsi="宋体" w:cs="宋体" w:eastAsia="宋体" w:hint="default"/>
                <w:sz w:val="18"/>
                <w:szCs w:val="18"/>
              </w:rPr>
              <w:t>目</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调整前账面金额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16"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543" w:right="0"/>
              <w:jc w:val="left"/>
              <w:rPr>
                <w:rFonts w:ascii="宋体" w:hAnsi="宋体" w:cs="宋体" w:eastAsia="宋体" w:hint="default"/>
                <w:sz w:val="18"/>
                <w:szCs w:val="18"/>
              </w:rPr>
            </w:pPr>
            <w:r>
              <w:rPr>
                <w:rFonts w:ascii="宋体" w:hAnsi="宋体" w:cs="宋体" w:eastAsia="宋体" w:hint="default"/>
                <w:sz w:val="18"/>
                <w:szCs w:val="18"/>
              </w:rPr>
              <w:t>调整后账面金额</w:t>
            </w:r>
          </w:p>
          <w:p>
            <w:pPr>
              <w:pStyle w:val="TableParagraph"/>
              <w:spacing w:line="240" w:lineRule="auto" w:before="76"/>
              <w:ind w:left="4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1"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8"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nil" w:sz="6" w:space="0" w:color="auto"/>
            </w:tcBorders>
          </w:tcPr>
          <w:p>
            <w:pPr/>
          </w:p>
        </w:tc>
      </w:tr>
      <w:tr>
        <w:trPr>
          <w:trHeight w:val="343"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178,589,035.30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-7,426,410.37</w:t>
            </w:r>
          </w:p>
        </w:tc>
        <w:tc>
          <w:tcPr>
            <w:tcW w:w="2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spacing w:val="-1"/>
                <w:sz w:val="18"/>
              </w:rPr>
              <w:t>171,162,624.93</w:t>
            </w:r>
          </w:p>
        </w:tc>
      </w:tr>
      <w:tr>
        <w:trPr>
          <w:trHeight w:val="343"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22,880,774.49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-489,975.21</w:t>
            </w:r>
          </w:p>
        </w:tc>
        <w:tc>
          <w:tcPr>
            <w:tcW w:w="2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22,390,799.28</w:t>
            </w:r>
          </w:p>
        </w:tc>
      </w:tr>
    </w:tbl>
    <w:p>
      <w:pPr>
        <w:spacing w:line="240" w:lineRule="auto" w:before="8"/>
        <w:rPr>
          <w:rFonts w:ascii="宋体" w:hAnsi="宋体" w:cs="宋体" w:eastAsia="宋体" w:hint="default"/>
          <w:sz w:val="6"/>
          <w:szCs w:val="6"/>
        </w:rPr>
      </w:pPr>
    </w:p>
    <w:p>
      <w:pPr>
        <w:pStyle w:val="BodyText"/>
        <w:spacing w:line="300" w:lineRule="auto" w:before="44"/>
        <w:ind w:right="982" w:firstLine="360"/>
        <w:jc w:val="left"/>
      </w:pPr>
      <w:r>
        <w:rPr/>
        <w:t>本集团将根据原金融工具准则计量的</w:t>
      </w:r>
      <w:r>
        <w:rPr>
          <w:rFonts w:ascii="Times New Roman" w:hAnsi="Times New Roman" w:cs="Times New Roman" w:eastAsia="Times New Roman" w:hint="default"/>
        </w:rPr>
        <w:t>2018</w:t>
      </w:r>
      <w:r>
        <w:rPr/>
        <w:t>年年末损失准备与根据新金融工具准则确定的</w:t>
      </w:r>
      <w:r>
        <w:rPr>
          <w:rFonts w:ascii="Times New Roman" w:hAnsi="Times New Roman" w:cs="Times New Roman" w:eastAsia="Times New Roman" w:hint="default"/>
        </w:rPr>
        <w:t>2019</w:t>
      </w:r>
      <w:r>
        <w:rPr/>
        <w:t>年年初损失准备之间的调 节表列示如下：</w:t>
      </w:r>
    </w:p>
    <w:p>
      <w:pPr>
        <w:spacing w:line="240" w:lineRule="auto" w:before="7"/>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2554"/>
        <w:gridCol w:w="2343"/>
        <w:gridCol w:w="819"/>
        <w:gridCol w:w="1637"/>
        <w:gridCol w:w="2518"/>
      </w:tblGrid>
      <w:tr>
        <w:trPr>
          <w:trHeight w:val="656" w:hRule="exact"/>
        </w:trPr>
        <w:tc>
          <w:tcPr>
            <w:tcW w:w="2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18"/>
                <w:szCs w:val="18"/>
              </w:rPr>
            </w:pPr>
            <w:r>
              <w:rPr>
                <w:rFonts w:ascii="宋体" w:hAnsi="宋体" w:cs="宋体" w:eastAsia="宋体" w:hint="default"/>
                <w:sz w:val="18"/>
                <w:szCs w:val="18"/>
              </w:rPr>
              <w:t>调整前账面金额</w:t>
            </w:r>
          </w:p>
          <w:p>
            <w:pPr>
              <w:pStyle w:val="TableParagraph"/>
              <w:spacing w:line="240" w:lineRule="auto" w:before="76"/>
              <w:ind w:left="5"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624" w:right="0"/>
              <w:jc w:val="left"/>
              <w:rPr>
                <w:rFonts w:ascii="宋体" w:hAnsi="宋体" w:cs="宋体" w:eastAsia="宋体" w:hint="default"/>
                <w:sz w:val="18"/>
                <w:szCs w:val="18"/>
              </w:rPr>
            </w:pPr>
            <w:r>
              <w:rPr>
                <w:rFonts w:ascii="宋体" w:hAnsi="宋体" w:cs="宋体" w:eastAsia="宋体" w:hint="default"/>
                <w:sz w:val="18"/>
                <w:szCs w:val="18"/>
              </w:rPr>
              <w:t>调整后账面金额</w:t>
            </w:r>
          </w:p>
          <w:p>
            <w:pPr>
              <w:pStyle w:val="TableParagraph"/>
              <w:spacing w:line="240" w:lineRule="auto" w:before="76"/>
              <w:ind w:left="5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1" w:hRule="exact"/>
        </w:trPr>
        <w:tc>
          <w:tcPr>
            <w:tcW w:w="2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54,067,477.91</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7,426,410.37</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61,493,888.28</w:t>
            </w:r>
          </w:p>
        </w:tc>
      </w:tr>
      <w:tr>
        <w:trPr>
          <w:trHeight w:val="343" w:hRule="exact"/>
        </w:trPr>
        <w:tc>
          <w:tcPr>
            <w:tcW w:w="2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8,707,313.05</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489,975.21</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spacing w:val="-1"/>
                <w:sz w:val="18"/>
              </w:rPr>
              <w:t>9,197,288.26</w:t>
            </w:r>
          </w:p>
        </w:tc>
      </w:tr>
    </w:tbl>
    <w:p>
      <w:pPr>
        <w:spacing w:line="240" w:lineRule="auto" w:before="8"/>
        <w:rPr>
          <w:rFonts w:ascii="宋体" w:hAnsi="宋体" w:cs="宋体" w:eastAsia="宋体" w:hint="default"/>
          <w:sz w:val="6"/>
          <w:szCs w:val="6"/>
        </w:rPr>
      </w:pPr>
    </w:p>
    <w:p>
      <w:pPr>
        <w:pStyle w:val="BodyText"/>
        <w:spacing w:line="240" w:lineRule="auto" w:before="44"/>
        <w:ind w:left="513" w:right="982"/>
        <w:jc w:val="left"/>
      </w:pPr>
      <w:r>
        <w:rPr/>
        <w:t>上述会计政策的累积影响数如下：</w:t>
      </w:r>
    </w:p>
    <w:p>
      <w:pPr>
        <w:spacing w:line="240" w:lineRule="auto" w:before="2"/>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064"/>
        <w:gridCol w:w="2876"/>
        <w:gridCol w:w="2931"/>
      </w:tblGrid>
      <w:tr>
        <w:trPr>
          <w:trHeight w:val="341" w:hRule="exact"/>
        </w:trPr>
        <w:tc>
          <w:tcPr>
            <w:tcW w:w="4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1" w:right="0"/>
              <w:jc w:val="center"/>
              <w:rPr>
                <w:rFonts w:ascii="宋体" w:hAnsi="宋体" w:cs="宋体" w:eastAsia="宋体" w:hint="default"/>
                <w:sz w:val="18"/>
                <w:szCs w:val="18"/>
              </w:rPr>
            </w:pPr>
            <w:r>
              <w:rPr>
                <w:rFonts w:ascii="宋体" w:hAnsi="宋体" w:cs="宋体" w:eastAsia="宋体" w:hint="default"/>
                <w:sz w:val="18"/>
                <w:szCs w:val="18"/>
              </w:rPr>
              <w:t>受影响的项目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22" w:hRule="exact"/>
        </w:trPr>
        <w:tc>
          <w:tcPr>
            <w:tcW w:w="4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期初净资产</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-7,916,385.58</w:t>
            </w:r>
          </w:p>
        </w:tc>
        <w:tc>
          <w:tcPr>
            <w:tcW w:w="29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22" w:hRule="exact"/>
        </w:trPr>
        <w:tc>
          <w:tcPr>
            <w:tcW w:w="4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其中：留存收益</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-7,916,385.58</w:t>
            </w:r>
          </w:p>
        </w:tc>
        <w:tc>
          <w:tcPr>
            <w:tcW w:w="29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23" w:hRule="exact"/>
        </w:trPr>
        <w:tc>
          <w:tcPr>
            <w:tcW w:w="4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0" w:hRule="exact"/>
        </w:trPr>
        <w:tc>
          <w:tcPr>
            <w:tcW w:w="4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2" w:hRule="exact"/>
        </w:trPr>
        <w:tc>
          <w:tcPr>
            <w:tcW w:w="4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2" w:hRule="exact"/>
        </w:trPr>
        <w:tc>
          <w:tcPr>
            <w:tcW w:w="4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2" w:hRule="exact"/>
        </w:trPr>
        <w:tc>
          <w:tcPr>
            <w:tcW w:w="4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22" w:hRule="exact"/>
        </w:trPr>
        <w:tc>
          <w:tcPr>
            <w:tcW w:w="4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其中：留存收益</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8"/>
        <w:rPr>
          <w:rFonts w:ascii="宋体" w:hAnsi="宋体" w:cs="宋体" w:eastAsia="宋体" w:hint="default"/>
          <w:sz w:val="6"/>
          <w:szCs w:val="6"/>
        </w:rPr>
      </w:pPr>
    </w:p>
    <w:p>
      <w:pPr>
        <w:pStyle w:val="BodyText"/>
        <w:spacing w:line="240" w:lineRule="auto" w:before="44"/>
        <w:ind w:left="513" w:right="982"/>
        <w:jc w:val="left"/>
      </w:pPr>
      <w:r>
        <w:rPr/>
        <w:t>说明</w:t>
      </w:r>
      <w:r>
        <w:rPr>
          <w:rFonts w:ascii="Times New Roman" w:hAnsi="Times New Roman" w:cs="Times New Roman" w:eastAsia="Times New Roman" w:hint="default"/>
        </w:rPr>
        <w:t>2</w:t>
      </w:r>
      <w:r>
        <w:rPr/>
        <w:t>：财务报表格式的主要影响</w:t>
      </w:r>
    </w:p>
    <w:p>
      <w:pPr>
        <w:spacing w:line="240" w:lineRule="auto" w:before="13"/>
        <w:rPr>
          <w:rFonts w:ascii="宋体" w:hAnsi="宋体" w:cs="宋体" w:eastAsia="宋体" w:hint="default"/>
          <w:sz w:val="13"/>
          <w:szCs w:val="13"/>
        </w:rPr>
      </w:pPr>
    </w:p>
    <w:p>
      <w:pPr>
        <w:pStyle w:val="BodyText"/>
        <w:spacing w:line="240" w:lineRule="auto"/>
        <w:ind w:left="513" w:right="982"/>
        <w:jc w:val="left"/>
      </w:pPr>
      <w:r>
        <w:rPr/>
        <w:t>（</w:t>
      </w:r>
      <w:r>
        <w:rPr>
          <w:rFonts w:ascii="Times New Roman" w:hAnsi="Times New Roman" w:cs="Times New Roman" w:eastAsia="Times New Roman" w:hint="default"/>
        </w:rPr>
        <w:t>1</w:t>
      </w:r>
      <w:r>
        <w:rPr/>
        <w:t>）资产负债表原</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项目拆分为</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应收款项融资</w:t>
      </w:r>
      <w:r>
        <w:rPr>
          <w:rFonts w:ascii="Times New Roman" w:hAnsi="Times New Roman" w:cs="Times New Roman" w:eastAsia="Times New Roman" w:hint="default"/>
        </w:rPr>
        <w:t>”</w:t>
      </w:r>
      <w:r>
        <w:rPr/>
        <w:t>项目；</w:t>
      </w:r>
    </w:p>
    <w:p>
      <w:pPr>
        <w:spacing w:line="240" w:lineRule="auto" w:before="0"/>
        <w:rPr>
          <w:rFonts w:ascii="宋体" w:hAnsi="宋体" w:cs="宋体" w:eastAsia="宋体" w:hint="default"/>
          <w:sz w:val="14"/>
          <w:szCs w:val="14"/>
        </w:rPr>
      </w:pPr>
    </w:p>
    <w:p>
      <w:pPr>
        <w:pStyle w:val="BodyText"/>
        <w:spacing w:line="240" w:lineRule="auto"/>
        <w:ind w:left="513" w:right="982"/>
        <w:jc w:val="left"/>
      </w:pPr>
      <w:r>
        <w:rPr/>
        <w:t>（</w:t>
      </w:r>
      <w:r>
        <w:rPr>
          <w:rFonts w:ascii="Times New Roman" w:hAnsi="Times New Roman" w:cs="Times New Roman" w:eastAsia="Times New Roman" w:hint="default"/>
        </w:rPr>
        <w:t>2</w:t>
      </w:r>
      <w:r>
        <w:rPr/>
        <w:t>）资产负债表原</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项目拆分为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项目；</w:t>
      </w:r>
    </w:p>
    <w:p>
      <w:pPr>
        <w:spacing w:line="240" w:lineRule="auto" w:before="13"/>
        <w:rPr>
          <w:rFonts w:ascii="宋体" w:hAnsi="宋体" w:cs="宋体" w:eastAsia="宋体" w:hint="default"/>
          <w:sz w:val="13"/>
          <w:szCs w:val="13"/>
        </w:rPr>
      </w:pPr>
    </w:p>
    <w:p>
      <w:pPr>
        <w:pStyle w:val="BodyText"/>
        <w:spacing w:line="240" w:lineRule="auto"/>
        <w:ind w:left="513" w:right="982"/>
        <w:jc w:val="left"/>
      </w:pPr>
      <w:r>
        <w:rPr/>
        <w:t>（</w:t>
      </w:r>
      <w:r>
        <w:rPr>
          <w:rFonts w:ascii="Times New Roman" w:hAnsi="Times New Roman" w:cs="Times New Roman" w:eastAsia="Times New Roman" w:hint="default"/>
        </w:rPr>
        <w:t>3</w:t>
      </w:r>
      <w:r>
        <w:rPr/>
        <w:t>）将利润表</w:t>
      </w:r>
      <w:r>
        <w:rPr>
          <w:rFonts w:ascii="Times New Roman" w:hAnsi="Times New Roman" w:cs="Times New Roman" w:eastAsia="Times New Roman" w:hint="default"/>
        </w:rPr>
        <w:t>“</w:t>
      </w:r>
      <w:r>
        <w:rPr/>
        <w:t>减：资产减值损失</w:t>
      </w:r>
      <w:r>
        <w:rPr>
          <w:rFonts w:ascii="Times New Roman" w:hAnsi="Times New Roman" w:cs="Times New Roman" w:eastAsia="Times New Roman" w:hint="default"/>
        </w:rPr>
        <w:t>”</w:t>
      </w:r>
      <w:r>
        <w:rPr/>
        <w:t>调整为</w:t>
      </w:r>
      <w:r>
        <w:rPr>
          <w:rFonts w:ascii="Times New Roman" w:hAnsi="Times New Roman" w:cs="Times New Roman" w:eastAsia="Times New Roman" w:hint="default"/>
        </w:rPr>
        <w:t>“</w:t>
      </w:r>
      <w:r>
        <w:rPr/>
        <w:t>加：资产减值损失（损失以</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表示）</w:t>
      </w:r>
      <w:r>
        <w:rPr>
          <w:rFonts w:ascii="Times New Roman" w:hAnsi="Times New Roman" w:cs="Times New Roman" w:eastAsia="Times New Roman" w:hint="default"/>
        </w:rPr>
        <w:t>”</w:t>
      </w:r>
      <w:r>
        <w:rPr/>
        <w:t>；</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28" w:firstLine="360"/>
        <w:jc w:val="both"/>
      </w:pPr>
      <w:r>
        <w:rPr>
          <w:spacing w:val="-2"/>
        </w:rPr>
        <w:t>（</w:t>
      </w:r>
      <w:r>
        <w:rPr>
          <w:rFonts w:ascii="Times New Roman" w:hAnsi="Times New Roman" w:cs="Times New Roman" w:eastAsia="Times New Roman" w:hint="default"/>
          <w:spacing w:val="-2"/>
        </w:rPr>
        <w:t>4</w:t>
      </w:r>
      <w:r>
        <w:rPr>
          <w:spacing w:val="-2"/>
        </w:rPr>
        <w:t>）现金流量表明确了政府补助的填列口径，企业实际收到政府补助，无论是与资产相关还是与收益相关，均在</w:t>
      </w:r>
      <w:r>
        <w:rPr>
          <w:rFonts w:ascii="Times New Roman" w:hAnsi="Times New Roman" w:cs="Times New Roman" w:eastAsia="Times New Roman" w:hint="default"/>
          <w:spacing w:val="-2"/>
        </w:rPr>
        <w:t>“</w:t>
      </w:r>
      <w:r>
        <w:rPr>
          <w:spacing w:val="-2"/>
        </w:rPr>
        <w:t>收到</w:t>
      </w:r>
      <w:r>
        <w:rPr/>
        <w:t> 的其他的经营活动有关的现金</w:t>
      </w:r>
      <w:r>
        <w:rPr>
          <w:rFonts w:ascii="Times New Roman" w:hAnsi="Times New Roman" w:cs="Times New Roman" w:eastAsia="Times New Roman" w:hint="default"/>
        </w:rPr>
        <w:t>”</w:t>
      </w:r>
      <w:r>
        <w:rPr/>
        <w:t>项目填列。</w:t>
      </w:r>
    </w:p>
    <w:p>
      <w:pPr>
        <w:pStyle w:val="BodyText"/>
        <w:spacing w:line="427" w:lineRule="auto" w:before="133"/>
        <w:ind w:left="513" w:right="4123"/>
        <w:jc w:val="left"/>
      </w:pPr>
      <w:r>
        <w:rPr/>
        <w:t>本集团对可比期间的比较数据按照财会</w:t>
      </w:r>
      <w:r>
        <w:rPr>
          <w:rFonts w:ascii="Times New Roman" w:hAnsi="Times New Roman" w:cs="Times New Roman" w:eastAsia="Times New Roman" w:hint="default"/>
        </w:rPr>
        <w:t>[2019]6</w:t>
      </w:r>
      <w:r>
        <w:rPr/>
        <w:t>号和财会</w:t>
      </w:r>
      <w:r>
        <w:rPr>
          <w:rFonts w:ascii="Times New Roman" w:hAnsi="Times New Roman" w:cs="Times New Roman" w:eastAsia="Times New Roman" w:hint="default"/>
        </w:rPr>
        <w:t>[2019]16</w:t>
      </w:r>
      <w:r>
        <w:rPr/>
        <w:t>号文进行调整。 财务报表格式的修订对本集团财务状况和经营成果无重大影响。 说明</w:t>
      </w:r>
      <w:r>
        <w:rPr>
          <w:rFonts w:ascii="Times New Roman" w:hAnsi="Times New Roman" w:cs="Times New Roman" w:eastAsia="Times New Roman" w:hint="default"/>
        </w:rPr>
        <w:t>3</w:t>
      </w:r>
      <w:r>
        <w:rPr/>
        <w:t>：新非货币性交换准则的影响</w:t>
      </w:r>
    </w:p>
    <w:p>
      <w:pPr>
        <w:pStyle w:val="BodyText"/>
        <w:spacing w:line="316" w:lineRule="auto" w:before="27"/>
        <w:ind w:right="1125" w:firstLine="360"/>
        <w:jc w:val="both"/>
      </w:pPr>
      <w:r>
        <w:rPr/>
        <w:t>新非货币性交换准则明确了货币性资产和非货币性资产的概念和准则的适用范围，明确了非货币性资产交换的确认时</w:t>
      </w:r>
      <w:r>
        <w:rPr>
          <w:spacing w:val="2"/>
        </w:rPr>
        <w:t> </w:t>
      </w:r>
      <w:r>
        <w:rPr/>
        <w:t>点，明确了不同条件下非货币性资产交换的价值计量基础和核算方法，同时完善了相关信息披露要求等。</w:t>
      </w:r>
    </w:p>
    <w:p>
      <w:pPr>
        <w:pStyle w:val="BodyText"/>
        <w:spacing w:line="300" w:lineRule="auto" w:before="139"/>
        <w:ind w:right="1128" w:firstLine="360"/>
        <w:jc w:val="both"/>
      </w:pPr>
      <w:r>
        <w:rPr>
          <w:spacing w:val="-2"/>
        </w:rPr>
        <w:t>本集团对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日以后新发生的非货币性资产交换交易采用未来适用法处理，对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日以前发生的非货币性</w:t>
      </w:r>
      <w:r>
        <w:rPr/>
        <w:t> 资产交换交易不进行追溯调整。</w:t>
      </w:r>
    </w:p>
    <w:p>
      <w:pPr>
        <w:pStyle w:val="BodyText"/>
        <w:spacing w:line="439" w:lineRule="auto" w:before="152"/>
        <w:ind w:left="513" w:right="4813"/>
        <w:jc w:val="left"/>
      </w:pPr>
      <w:r>
        <w:rPr/>
        <w:t>新非货币性交换准则的执行对本集团财务状况和经营成果无重大影响。 说明</w:t>
      </w:r>
      <w:r>
        <w:rPr>
          <w:rFonts w:ascii="Times New Roman" w:hAnsi="Times New Roman" w:cs="Times New Roman" w:eastAsia="Times New Roman" w:hint="default"/>
        </w:rPr>
        <w:t>4</w:t>
      </w:r>
      <w:r>
        <w:rPr/>
        <w:t>：新债务重组准则的影响</w:t>
      </w:r>
    </w:p>
    <w:p>
      <w:pPr>
        <w:pStyle w:val="BodyText"/>
        <w:spacing w:line="309" w:lineRule="auto" w:before="17"/>
        <w:ind w:right="1131" w:firstLine="360"/>
        <w:jc w:val="both"/>
      </w:pPr>
      <w:r>
        <w:rPr/>
        <w:t>新债务重组准则修改了债务重组的定义，明确了债务重组中涉及金融工具的适用《企业会计准则第</w:t>
      </w:r>
      <w:r>
        <w:rPr>
          <w:spacing w:val="-40"/>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金融工具 </w:t>
      </w:r>
      <w:r>
        <w:rPr>
          <w:spacing w:val="-2"/>
        </w:rPr>
        <w:t>确认和计量》等准则，明确了债权人受让金融资产以外的资产初始按成本计量，明确债务人以资产清偿债务时不再区分资产</w:t>
      </w:r>
      <w:r>
        <w:rPr>
          <w:spacing w:val="-66"/>
        </w:rPr>
        <w:t> </w:t>
      </w:r>
      <w:r>
        <w:rPr>
          <w:spacing w:val="-66"/>
        </w:rPr>
      </w:r>
      <w:r>
        <w:rPr/>
        <w:t>处置损益与债务重组损益等。</w:t>
      </w:r>
    </w:p>
    <w:p>
      <w:pPr>
        <w:pStyle w:val="BodyText"/>
        <w:spacing w:line="300" w:lineRule="auto" w:before="144"/>
        <w:ind w:right="1131" w:firstLine="360"/>
        <w:jc w:val="both"/>
      </w:pPr>
      <w:r>
        <w:rPr>
          <w:spacing w:val="-2"/>
          <w:w w:val="100"/>
        </w:rPr>
        <w:t>根据财会</w:t>
      </w:r>
      <w:r>
        <w:rPr>
          <w:rFonts w:ascii="Times New Roman" w:hAnsi="Times New Roman" w:cs="Times New Roman" w:eastAsia="Times New Roman" w:hint="default"/>
          <w:spacing w:val="-2"/>
          <w:w w:val="100"/>
        </w:rPr>
        <w:t>[2019]6</w:t>
      </w:r>
      <w:r>
        <w:rPr>
          <w:spacing w:val="-2"/>
          <w:w w:val="100"/>
        </w:rPr>
        <w:t>号文件的规定，</w:t>
      </w:r>
      <w:r>
        <w:rPr>
          <w:rFonts w:ascii="Times New Roman" w:hAnsi="Times New Roman" w:cs="Times New Roman" w:eastAsia="Times New Roman" w:hint="default"/>
          <w:spacing w:val="-2"/>
          <w:w w:val="100"/>
        </w:rPr>
        <w:t>“</w:t>
      </w:r>
      <w:r>
        <w:rPr>
          <w:spacing w:val="-2"/>
          <w:w w:val="100"/>
        </w:rPr>
        <w:t>营业外收入</w:t>
      </w:r>
      <w:r>
        <w:rPr>
          <w:rFonts w:ascii="Times New Roman" w:hAnsi="Times New Roman" w:cs="Times New Roman" w:eastAsia="Times New Roman" w:hint="default"/>
          <w:spacing w:val="-2"/>
          <w:w w:val="100"/>
        </w:rPr>
        <w:t>”</w:t>
      </w:r>
      <w:r>
        <w:rPr>
          <w:spacing w:val="-2"/>
          <w:w w:val="100"/>
        </w:rPr>
        <w:t>和</w:t>
      </w:r>
      <w:r>
        <w:rPr>
          <w:rFonts w:ascii="Times New Roman" w:hAnsi="Times New Roman" w:cs="Times New Roman" w:eastAsia="Times New Roman" w:hint="default"/>
          <w:spacing w:val="-2"/>
          <w:w w:val="100"/>
        </w:rPr>
        <w:t>“</w:t>
      </w:r>
      <w:r>
        <w:rPr>
          <w:spacing w:val="-2"/>
          <w:w w:val="100"/>
        </w:rPr>
        <w:t>营业外支出</w:t>
      </w:r>
      <w:r>
        <w:rPr>
          <w:rFonts w:ascii="Times New Roman" w:hAnsi="Times New Roman" w:cs="Times New Roman" w:eastAsia="Times New Roman" w:hint="default"/>
          <w:spacing w:val="-2"/>
          <w:w w:val="100"/>
        </w:rPr>
        <w:t>”</w:t>
      </w:r>
      <w:r>
        <w:rPr>
          <w:spacing w:val="-2"/>
          <w:w w:val="100"/>
        </w:rPr>
        <w:t>项目不再包含债务重组中因处置非流动资产产生的利得或</w:t>
      </w:r>
      <w:r>
        <w:rPr/>
        <w:t> 损失。</w:t>
      </w:r>
    </w:p>
    <w:p>
      <w:pPr>
        <w:pStyle w:val="BodyText"/>
        <w:spacing w:line="417" w:lineRule="auto" w:before="151"/>
        <w:ind w:left="513" w:right="1033"/>
        <w:jc w:val="left"/>
      </w:pPr>
      <w:r>
        <w:rPr/>
        <w:t>本集团对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日新发生的债务重组采用未来适用法处理，对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日以前发生的债务重组不进行追溯调整。 新债务重组准则的执行对本集团财务状况和经营成果无重大影响。</w:t>
      </w:r>
    </w:p>
    <w:p>
      <w:pPr>
        <w:spacing w:line="240" w:lineRule="auto" w:before="0"/>
        <w:rPr>
          <w:rFonts w:ascii="宋体" w:hAnsi="宋体" w:cs="宋体" w:eastAsia="宋体" w:hint="default"/>
          <w:sz w:val="17"/>
          <w:szCs w:val="17"/>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9" w:top="1060" w:bottom="1160" w:left="980" w:right="0"/>
        </w:sect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2244"/>
        <w:gridCol w:w="2244"/>
        <w:gridCol w:w="2245"/>
      </w:tblGrid>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29"/>
              <w:jc w:val="right"/>
              <w:rPr>
                <w:rFonts w:ascii="宋体" w:hAnsi="宋体" w:cs="宋体" w:eastAsia="宋体" w:hint="default"/>
                <w:sz w:val="18"/>
                <w:szCs w:val="18"/>
              </w:rPr>
            </w:pPr>
            <w:r>
              <w:rPr>
                <w:rFonts w:ascii="宋体" w:hAnsi="宋体" w:cs="宋体" w:eastAsia="宋体" w:hint="default"/>
                <w:sz w:val="18"/>
                <w:szCs w:val="18"/>
              </w:rPr>
              <w:t>项目</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7" w:right="0"/>
              <w:jc w:val="left"/>
              <w:rPr>
                <w:rFonts w:ascii="Times New Roman" w:hAnsi="Times New Roman" w:cs="Times New Roman" w:eastAsia="Times New Roman" w:hint="default"/>
                <w:sz w:val="18"/>
                <w:szCs w:val="18"/>
              </w:rPr>
            </w:pPr>
            <w:r>
              <w:rPr>
                <w:rFonts w:ascii="Times New Roman"/>
                <w:sz w:val="18"/>
              </w:rPr>
              <w:t>675,685,333.13</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7" w:right="0"/>
              <w:jc w:val="left"/>
              <w:rPr>
                <w:rFonts w:ascii="Times New Roman" w:hAnsi="Times New Roman" w:cs="Times New Roman" w:eastAsia="Times New Roman" w:hint="default"/>
                <w:sz w:val="18"/>
                <w:szCs w:val="18"/>
              </w:rPr>
            </w:pPr>
            <w:r>
              <w:rPr>
                <w:rFonts w:ascii="Times New Roman"/>
                <w:sz w:val="18"/>
              </w:rPr>
              <w:t>675,685,333.13</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79"/>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2244" w:type="dxa"/>
            <w:tcBorders>
              <w:top w:val="single" w:sz="4" w:space="0" w:color="000000"/>
              <w:left w:val="single" w:sz="10" w:space="0" w:color="D2D2D2"/>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5"/>
        <w:gridCol w:w="2244"/>
        <w:gridCol w:w="2244"/>
        <w:gridCol w:w="2245"/>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368,303.38</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368,303.38</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178,589,035.30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171,162,624.93</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-7,426,410.37</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33,237,919.75</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33,237,919.75</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22,880,774.49</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22,390,799.28</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-489,975.21</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124,314,909.58</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124,314,909.58</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8,089,176.68</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8,089,176.68</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1,043,165,452.31</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1,035,249,066.73</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-7,916,385.58</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16,418,491.64</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16,418,491.64</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21,147,473.93</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21,147,473.93</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283,018.87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283,018.87</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9,908,134.61</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9,908,134.61</w:t>
            </w:r>
          </w:p>
        </w:tc>
        <w:tc>
          <w:tcPr>
            <w:tcW w:w="22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5"/>
        <w:gridCol w:w="2244"/>
        <w:gridCol w:w="2244"/>
        <w:gridCol w:w="2245"/>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253,404.99</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253,404.99</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33,565,663.14</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33,565,663.14</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666,700.00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666,700.00</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82,242,887.18</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82,242,887.18</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1,125,408,339.49</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1,117,491,953.91</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7" w:right="0"/>
              <w:jc w:val="left"/>
              <w:rPr>
                <w:rFonts w:ascii="Times New Roman" w:hAnsi="Times New Roman" w:cs="Times New Roman" w:eastAsia="Times New Roman" w:hint="default"/>
                <w:sz w:val="18"/>
                <w:szCs w:val="18"/>
              </w:rPr>
            </w:pPr>
            <w:r>
              <w:rPr>
                <w:rFonts w:ascii="Times New Roman"/>
                <w:sz w:val="18"/>
              </w:rPr>
              <w:t>-7,916,385.58</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2244" w:type="dxa"/>
            <w:tcBorders>
              <w:top w:val="single" w:sz="4" w:space="0" w:color="000000"/>
              <w:left w:val="single" w:sz="10" w:space="0" w:color="D2D2D2"/>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78,219,206.83</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78,219,206.83</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301,962,290.50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301,962,290.50</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85,904,845.56</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85,904,845.56</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85,904,845.56</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25,512,026.50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25,512,026.50</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8,235,995.87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8,235,995.87</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499,834,365.26</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499,834,365.26</w:t>
            </w:r>
          </w:p>
        </w:tc>
        <w:tc>
          <w:tcPr>
            <w:tcW w:w="22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5"/>
        <w:gridCol w:w="2244"/>
        <w:gridCol w:w="2244"/>
        <w:gridCol w:w="2245"/>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13,256,986.48</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13,256,986.48</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13,256,986.48</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13,256,986.48</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513,091,351.74</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513,091,351.74</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206,686,143.36</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206,686,143.36</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32,150,975.42</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32,150,975.42</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253,479,868.97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245,563,483.39</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-7,916,385.58</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612,316,987.75</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-7,916,385.58</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612,316,987.75</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604,400,602.17</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-7,916,385.58</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1,125,408,339.49</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1,117,491,953.91</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-7,916,385.58</w:t>
            </w:r>
          </w:p>
        </w:tc>
      </w:tr>
    </w:tbl>
    <w:p>
      <w:pPr>
        <w:pStyle w:val="BodyText"/>
        <w:spacing w:line="240" w:lineRule="auto" w:before="49"/>
        <w:ind w:right="982"/>
        <w:jc w:val="left"/>
      </w:pPr>
      <w:r>
        <w:rPr/>
        <w:t>调整情况说明</w:t>
      </w:r>
    </w:p>
    <w:p>
      <w:pPr>
        <w:spacing w:line="240" w:lineRule="auto" w:before="1"/>
        <w:rPr>
          <w:rFonts w:ascii="宋体" w:hAnsi="宋体" w:cs="宋体" w:eastAsia="宋体" w:hint="default"/>
          <w:sz w:val="15"/>
          <w:szCs w:val="15"/>
        </w:rPr>
      </w:pPr>
    </w:p>
    <w:p>
      <w:pPr>
        <w:pStyle w:val="BodyText"/>
        <w:spacing w:line="240" w:lineRule="auto"/>
        <w:ind w:left="513" w:right="982"/>
        <w:jc w:val="left"/>
        <w:rPr>
          <w:rFonts w:ascii="Times New Roman" w:hAnsi="Times New Roman" w:cs="Times New Roman" w:eastAsia="Times New Roman" w:hint="default"/>
        </w:rPr>
      </w:pPr>
      <w:r>
        <w:rPr/>
        <w:t>财政部于 </w:t>
      </w:r>
      <w:r>
        <w:rPr>
          <w:rFonts w:ascii="Times New Roman" w:hAnsi="Times New Roman" w:cs="Times New Roman" w:eastAsia="Times New Roman" w:hint="default"/>
        </w:rPr>
        <w:t>2017 </w:t>
      </w:r>
      <w:r>
        <w:rPr/>
        <w:t>年颁布了《企业会计准则第 </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金融工具确认和计量（修订）》、《企业会计准则第 </w:t>
      </w:r>
      <w:r>
        <w:rPr>
          <w:rFonts w:ascii="Times New Roman" w:hAnsi="Times New Roman" w:cs="Times New Roman" w:eastAsia="Times New Roman" w:hint="default"/>
        </w:rPr>
        <w:t>23</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p>
    <w:p>
      <w:pPr>
        <w:pStyle w:val="BodyText"/>
        <w:spacing w:line="240" w:lineRule="auto" w:before="63"/>
        <w:ind w:right="982"/>
        <w:jc w:val="left"/>
      </w:pPr>
      <w:r>
        <w:rPr/>
        <w:t>金融资产转移（修订）》、《企业会计准则第 </w:t>
      </w:r>
      <w:r>
        <w:rPr>
          <w:rFonts w:ascii="Times New Roman" w:hAnsi="Times New Roman" w:cs="Times New Roman" w:eastAsia="Times New Roman" w:hint="default"/>
        </w:rPr>
        <w:t>24 </w:t>
      </w:r>
      <w:r>
        <w:rPr/>
        <w:t>号</w:t>
      </w:r>
      <w:r>
        <w:rPr>
          <w:rFonts w:ascii="Times New Roman" w:hAnsi="Times New Roman" w:cs="Times New Roman" w:eastAsia="Times New Roman" w:hint="default"/>
        </w:rPr>
        <w:t>——</w:t>
      </w:r>
      <w:r>
        <w:rPr/>
        <w:t>套期会计（修订）》及《企业会计准则第 </w:t>
      </w:r>
      <w:r>
        <w:rPr>
          <w:rFonts w:ascii="Times New Roman" w:hAnsi="Times New Roman" w:cs="Times New Roman" w:eastAsia="Times New Roman" w:hint="default"/>
        </w:rPr>
        <w:t>37</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金融工具列报</w:t>
      </w:r>
    </w:p>
    <w:p>
      <w:pPr>
        <w:pStyle w:val="BodyText"/>
        <w:spacing w:line="240" w:lineRule="auto" w:before="63"/>
        <w:ind w:right="982"/>
        <w:jc w:val="left"/>
      </w:pPr>
      <w:r>
        <w:rPr/>
        <w:t>（修订）》（统称</w:t>
      </w:r>
      <w:r>
        <w:rPr>
          <w:rFonts w:ascii="Times New Roman" w:hAnsi="Times New Roman" w:cs="Times New Roman" w:eastAsia="Times New Roman" w:hint="default"/>
        </w:rPr>
        <w:t>“</w:t>
      </w:r>
      <w:r>
        <w:rPr/>
        <w:t>新金融工具准则</w:t>
      </w:r>
      <w:r>
        <w:rPr>
          <w:rFonts w:ascii="Times New Roman" w:hAnsi="Times New Roman" w:cs="Times New Roman" w:eastAsia="Times New Roman" w:hint="default"/>
        </w:rPr>
        <w:t>”</w:t>
      </w:r>
      <w:r>
        <w:rPr/>
        <w:t>），本集团经第三届董事会第十五次会议审议批准，自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 </w:t>
      </w:r>
      <w:r>
        <w:rPr>
          <w:rFonts w:ascii="Times New Roman" w:hAnsi="Times New Roman" w:cs="Times New Roman" w:eastAsia="Times New Roman" w:hint="default"/>
          <w:spacing w:val="21"/>
        </w:rPr>
        <w:t> </w:t>
      </w:r>
      <w:r>
        <w:rPr/>
        <w:t>日起执行新金</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982"/>
        <w:jc w:val="left"/>
      </w:pPr>
      <w:r>
        <w:rPr>
          <w:spacing w:val="-2"/>
        </w:rPr>
        <w:t>融工具准则，根据衔接规定，对可比期间信息不予调整，首日执行新准则与原准则的差异追溯调整本报告期期初未分配利润</w:t>
      </w:r>
      <w:r>
        <w:rPr>
          <w:spacing w:val="-65"/>
        </w:rPr>
        <w:t> </w:t>
      </w:r>
      <w:r>
        <w:rPr>
          <w:spacing w:val="-65"/>
        </w:rPr>
      </w:r>
      <w:r>
        <w:rPr/>
        <w:t>或其他综合收益。</w:t>
      </w:r>
    </w:p>
    <w:p>
      <w:pPr>
        <w:pStyle w:val="BodyText"/>
        <w:spacing w:line="240" w:lineRule="auto" w:before="59"/>
        <w:ind w:right="982"/>
        <w:jc w:val="left"/>
      </w:pPr>
      <w:r>
        <w:rPr/>
        <w:t>母公司资产负债表</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2244"/>
        <w:gridCol w:w="2244"/>
        <w:gridCol w:w="2245"/>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494,611,466.53</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494,611,466.53</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2244" w:type="dxa"/>
            <w:tcBorders>
              <w:top w:val="single" w:sz="4" w:space="0" w:color="000000"/>
              <w:left w:val="single" w:sz="10" w:space="0" w:color="D2D2D2"/>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145,570,300.25</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140,288,113.52</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-5,282,186.73</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3,354,543.37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3,354,543.37</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52,619,181.06</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52,803,959.03</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184,777.97</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50,265,342.11</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50,265,342.11</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746,420,833.32</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741,323,424.56</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-5,097,408.76</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64,186,460.94</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64,186,460.94</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13,404,218.94</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13,404,218.94</w:t>
            </w:r>
          </w:p>
        </w:tc>
        <w:tc>
          <w:tcPr>
            <w:tcW w:w="22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5"/>
        <w:gridCol w:w="2244"/>
        <w:gridCol w:w="2244"/>
        <w:gridCol w:w="2245"/>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4,410,167.90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4,410,167.90</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30,659,119.97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30,659,119.97</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666,700.00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666,700.00</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113,326,667.75</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113,326,667.75</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859,747,501.07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854,650,092.31</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07" w:right="0"/>
              <w:jc w:val="left"/>
              <w:rPr>
                <w:rFonts w:ascii="Times New Roman" w:hAnsi="Times New Roman" w:cs="Times New Roman" w:eastAsia="Times New Roman" w:hint="default"/>
                <w:sz w:val="18"/>
                <w:szCs w:val="18"/>
              </w:rPr>
            </w:pPr>
            <w:r>
              <w:rPr>
                <w:rFonts w:ascii="Times New Roman"/>
                <w:sz w:val="18"/>
              </w:rPr>
              <w:t>-5,097,408.76</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2244" w:type="dxa"/>
            <w:tcBorders>
              <w:top w:val="single" w:sz="4" w:space="0" w:color="000000"/>
              <w:left w:val="single" w:sz="10" w:space="0" w:color="D2D2D2"/>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65,295,525.57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65,295,525.57</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147,097,237.24</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147,097,237.24</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59,867,196.53</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59,867,196.53</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20,117,024.14</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20,117,024.14</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7,234,760.27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7,234,760.27</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299,611,743.75</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299,611,743.75</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5"/>
        <w:gridCol w:w="2244"/>
        <w:gridCol w:w="2244"/>
        <w:gridCol w:w="2245"/>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11,196,700.57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11,196,700.57</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11,196,700.57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11,196,700.57</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310,808,444.32</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310,808,444.32</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206,700,460.52</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206,700,460.52</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32,150,975.42</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32,150,975.42</w:t>
            </w:r>
          </w:p>
        </w:tc>
        <w:tc>
          <w:tcPr>
            <w:tcW w:w="22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190,087,620.81</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184,990,212.05</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-5,097,408.76</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548,939,056.75</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543,841,647.99</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-5,097,408.76</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859,747,501.07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854,650,092.31</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-5,097,408.76</w:t>
            </w:r>
          </w:p>
        </w:tc>
      </w:tr>
    </w:tbl>
    <w:p>
      <w:pPr>
        <w:pStyle w:val="BodyText"/>
        <w:spacing w:line="240" w:lineRule="auto" w:before="49"/>
        <w:ind w:right="0"/>
        <w:jc w:val="both"/>
      </w:pPr>
      <w:r>
        <w:rPr/>
        <w:t>调整情况说明</w:t>
      </w:r>
    </w:p>
    <w:p>
      <w:pPr>
        <w:spacing w:line="240" w:lineRule="auto" w:before="0"/>
        <w:rPr>
          <w:rFonts w:ascii="宋体" w:hAnsi="宋体" w:cs="宋体" w:eastAsia="宋体" w:hint="default"/>
          <w:sz w:val="15"/>
          <w:szCs w:val="15"/>
        </w:rPr>
      </w:pPr>
    </w:p>
    <w:p>
      <w:pPr>
        <w:pStyle w:val="BodyText"/>
        <w:spacing w:line="240" w:lineRule="auto"/>
        <w:ind w:left="513" w:right="982"/>
        <w:jc w:val="left"/>
        <w:rPr>
          <w:rFonts w:ascii="Times New Roman" w:hAnsi="Times New Roman" w:cs="Times New Roman" w:eastAsia="Times New Roman" w:hint="default"/>
        </w:rPr>
      </w:pPr>
      <w:r>
        <w:rPr/>
        <w:t>财政部于 </w:t>
      </w:r>
      <w:r>
        <w:rPr>
          <w:rFonts w:ascii="Times New Roman" w:hAnsi="Times New Roman" w:cs="Times New Roman" w:eastAsia="Times New Roman" w:hint="default"/>
        </w:rPr>
        <w:t>2017 </w:t>
      </w:r>
      <w:r>
        <w:rPr/>
        <w:t>年颁布了《企业会计准则第 </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金融工具确认和计量（修订）》、《企业会计准则第 </w:t>
      </w:r>
      <w:r>
        <w:rPr>
          <w:rFonts w:ascii="Times New Roman" w:hAnsi="Times New Roman" w:cs="Times New Roman" w:eastAsia="Times New Roman" w:hint="default"/>
        </w:rPr>
        <w:t>23</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p>
    <w:p>
      <w:pPr>
        <w:pStyle w:val="BodyText"/>
        <w:spacing w:line="240" w:lineRule="auto" w:before="65"/>
        <w:ind w:right="0"/>
        <w:jc w:val="both"/>
      </w:pPr>
      <w:r>
        <w:rPr/>
        <w:t>金融资产转移（修订）》、《企业会计准则第 </w:t>
      </w:r>
      <w:r>
        <w:rPr>
          <w:rFonts w:ascii="Times New Roman" w:hAnsi="Times New Roman" w:cs="Times New Roman" w:eastAsia="Times New Roman" w:hint="default"/>
        </w:rPr>
        <w:t>24 </w:t>
      </w:r>
      <w:r>
        <w:rPr/>
        <w:t>号</w:t>
      </w:r>
      <w:r>
        <w:rPr>
          <w:rFonts w:ascii="Times New Roman" w:hAnsi="Times New Roman" w:cs="Times New Roman" w:eastAsia="Times New Roman" w:hint="default"/>
        </w:rPr>
        <w:t>——</w:t>
      </w:r>
      <w:r>
        <w:rPr/>
        <w:t>套期会计（修订）》及《企业会计准则第 </w:t>
      </w:r>
      <w:r>
        <w:rPr>
          <w:rFonts w:ascii="Times New Roman" w:hAnsi="Times New Roman" w:cs="Times New Roman" w:eastAsia="Times New Roman" w:hint="default"/>
        </w:rPr>
        <w:t>37</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金融工具列报</w:t>
      </w:r>
    </w:p>
    <w:p>
      <w:pPr>
        <w:pStyle w:val="BodyText"/>
        <w:spacing w:line="309" w:lineRule="auto" w:before="63"/>
        <w:ind w:right="1133"/>
        <w:jc w:val="both"/>
      </w:pPr>
      <w:r>
        <w:rPr/>
        <w:t>（修订）》（统称</w:t>
      </w:r>
      <w:r>
        <w:rPr>
          <w:rFonts w:ascii="Times New Roman" w:hAnsi="Times New Roman" w:cs="Times New Roman" w:eastAsia="Times New Roman" w:hint="default"/>
        </w:rPr>
        <w:t>“</w:t>
      </w:r>
      <w:r>
        <w:rPr/>
        <w:t>新金融工具准则</w:t>
      </w:r>
      <w:r>
        <w:rPr>
          <w:rFonts w:ascii="Times New Roman" w:hAnsi="Times New Roman" w:cs="Times New Roman" w:eastAsia="Times New Roman" w:hint="default"/>
        </w:rPr>
        <w:t>”</w:t>
      </w:r>
      <w:r>
        <w:rPr/>
        <w:t>），本集团经第三届董事会第十五次会议审议批准，自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日起执行新金 </w:t>
      </w:r>
      <w:r>
        <w:rPr>
          <w:spacing w:val="-2"/>
        </w:rPr>
        <w:t>融工具准则，根据衔接规定，对可比期间信息不予调整，首日执行新准则与原准则的差异追溯调整本报告期期初未分配利润</w:t>
      </w:r>
      <w:r>
        <w:rPr>
          <w:spacing w:val="-65"/>
        </w:rPr>
        <w:t> </w:t>
      </w:r>
      <w:r>
        <w:rPr>
          <w:spacing w:val="-65"/>
        </w:rPr>
      </w:r>
      <w:r>
        <w:rPr/>
        <w:t>或其他综合收益。</w:t>
      </w:r>
    </w:p>
    <w:p>
      <w:pPr>
        <w:spacing w:line="240" w:lineRule="auto" w:before="0"/>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31</w:t>
      </w:r>
      <w:r>
        <w:rPr/>
        <w:t>、其他</w:t>
      </w:r>
      <w:r>
        <w:rPr>
          <w:b w:val="0"/>
          <w:bCs w:val="0"/>
        </w:rPr>
      </w:r>
    </w:p>
    <w:p>
      <w:pPr>
        <w:spacing w:after="0" w:line="240" w:lineRule="auto"/>
        <w:jc w:val="both"/>
        <w:sectPr>
          <w:footerReference w:type="default" r:id="rId18"/>
          <w:pgSz w:w="11910" w:h="16840"/>
          <w:pgMar w:footer="979" w:header="748" w:top="1060" w:bottom="1160" w:left="980" w:right="0"/>
          <w:pgNumType w:start="120"/>
        </w:sectPr>
      </w:pPr>
    </w:p>
    <w:p>
      <w:pPr>
        <w:spacing w:line="240" w:lineRule="auto" w:before="6"/>
        <w:rPr>
          <w:rFonts w:ascii="宋体" w:hAnsi="宋体" w:cs="宋体" w:eastAsia="宋体" w:hint="default"/>
          <w:b/>
          <w:bCs/>
          <w:sz w:val="23"/>
          <w:szCs w:val="23"/>
        </w:rPr>
      </w:pPr>
    </w:p>
    <w:p>
      <w:pPr>
        <w:pStyle w:val="Heading2"/>
        <w:spacing w:line="240" w:lineRule="auto" w:before="26"/>
        <w:ind w:right="982"/>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0"/>
        <w:rPr>
          <w:rFonts w:ascii="宋体" w:hAnsi="宋体" w:cs="宋体" w:eastAsia="宋体" w:hint="default"/>
          <w:b/>
          <w:bCs/>
          <w:sz w:val="15"/>
          <w:szCs w:val="15"/>
        </w:rPr>
      </w:pPr>
    </w:p>
    <w:p>
      <w:pPr>
        <w:pStyle w:val="BodyText"/>
        <w:spacing w:line="240" w:lineRule="auto" w:before="44"/>
        <w:ind w:right="982"/>
        <w:jc w:val="left"/>
      </w:pPr>
      <w:r>
        <w:rPr/>
        <w:t>存在不同企业所得税税率纳税主体的，披露情况说明</w:t>
      </w:r>
    </w:p>
    <w:p>
      <w:pPr>
        <w:spacing w:line="240" w:lineRule="auto" w:before="6"/>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安信天行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数字医信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数字认证（武汉）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036" w:firstLine="360"/>
        <w:jc w:val="left"/>
      </w:pPr>
      <w:r>
        <w:rPr/>
        <w:t>本公司于</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spacing w:val="-3"/>
        </w:rPr>
        <w:t>日通过高新技术企业认定并取得北京市科学技术委员会、北京市财政局、北京市国家税务局、</w:t>
      </w:r>
      <w:r>
        <w:rPr/>
        <w:t> </w:t>
      </w:r>
      <w:r>
        <w:rPr>
          <w:spacing w:val="-1"/>
        </w:rPr>
        <w:t>北京市地方税务局联合颁发的高新技术企业证书（证书编号</w:t>
      </w:r>
      <w:r>
        <w:rPr>
          <w:spacing w:val="-39"/>
        </w:rPr>
        <w:t> </w:t>
      </w:r>
      <w:r>
        <w:rPr>
          <w:rFonts w:ascii="Times New Roman" w:hAnsi="Times New Roman" w:cs="Times New Roman" w:eastAsia="Times New Roman" w:hint="default"/>
          <w:spacing w:val="-6"/>
          <w:w w:val="99"/>
        </w:rPr>
        <w:t>GR201711004060</w:t>
      </w:r>
      <w:r>
        <w:rPr>
          <w:spacing w:val="-6"/>
          <w:w w:val="99"/>
        </w:rPr>
        <w:t>）。根据《高新技术企业认定管理办法》及《中</w:t>
      </w:r>
      <w:r>
        <w:rPr>
          <w:spacing w:val="-70"/>
          <w:w w:val="99"/>
        </w:rPr>
        <w:t> </w:t>
      </w:r>
      <w:r>
        <w:rPr>
          <w:spacing w:val="-70"/>
          <w:w w:val="99"/>
        </w:rPr>
      </w:r>
      <w:r>
        <w:rPr/>
        <w:t>华人民共和国企业所得税法》及实施条例等有关规定，本公司自获得高新技术企业认定后三年内即</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年至</w:t>
      </w:r>
      <w:r>
        <w:rPr>
          <w:spacing w:val="-6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年企业所 得税按</w:t>
      </w:r>
      <w:r>
        <w:rPr>
          <w:spacing w:val="-44"/>
        </w:rPr>
        <w:t> </w:t>
      </w:r>
      <w:r>
        <w:rPr>
          <w:rFonts w:ascii="Times New Roman" w:hAnsi="Times New Roman" w:cs="Times New Roman" w:eastAsia="Times New Roman" w:hint="default"/>
        </w:rPr>
        <w:t>15%</w:t>
      </w:r>
      <w:r>
        <w:rPr/>
        <w:t>计缴。</w:t>
      </w:r>
    </w:p>
    <w:p>
      <w:pPr>
        <w:pStyle w:val="BodyText"/>
        <w:spacing w:line="300" w:lineRule="auto" w:before="53"/>
        <w:ind w:right="1132" w:firstLine="360"/>
        <w:jc w:val="both"/>
      </w:pPr>
      <w:r>
        <w:rPr/>
        <w:t>本公司之子公司安信天行于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3"/>
        </w:rPr>
        <w:t>日通过高新技术企业认定并取得北京市科学技术委员会、北京市财政局、北</w:t>
      </w:r>
      <w:r>
        <w:rPr/>
        <w:t> 京市国家税务局、北京市地方税务局联合颁发的高新技术企业证书（证书编号</w:t>
      </w:r>
      <w:r>
        <w:rPr>
          <w:spacing w:val="33"/>
        </w:rPr>
        <w:t> </w:t>
      </w:r>
      <w:r>
        <w:rPr>
          <w:rFonts w:ascii="Times New Roman" w:hAnsi="Times New Roman" w:cs="Times New Roman" w:eastAsia="Times New Roman" w:hint="default"/>
          <w:spacing w:val="-4"/>
          <w:w w:val="99"/>
        </w:rPr>
        <w:t>GR201711000903</w:t>
      </w:r>
      <w:r>
        <w:rPr>
          <w:spacing w:val="-4"/>
          <w:w w:val="99"/>
        </w:rPr>
        <w:t>）。根据《高新技术企业认</w:t>
      </w:r>
      <w:r>
        <w:rPr>
          <w:spacing w:val="-87"/>
          <w:w w:val="99"/>
        </w:rPr>
        <w:t> </w:t>
      </w:r>
      <w:r>
        <w:rPr>
          <w:spacing w:val="-87"/>
          <w:w w:val="99"/>
        </w:rPr>
      </w:r>
      <w:r>
        <w:rPr/>
        <w:t>定管理办法》及《中华人民共和国企业所得税法》及实施条例等有关规定，自获得高新技术企业认定后三年内即</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spacing w:val="-3"/>
        </w:rPr>
        <w:t>年至</w:t>
      </w:r>
      <w:r>
        <w:rPr/>
      </w:r>
    </w:p>
    <w:p>
      <w:pPr>
        <w:pStyle w:val="BodyText"/>
        <w:spacing w:line="240" w:lineRule="auto" w:before="13"/>
        <w:ind w:right="982"/>
        <w:jc w:val="left"/>
      </w:pPr>
      <w:r>
        <w:rPr>
          <w:rFonts w:ascii="Times New Roman" w:hAnsi="Times New Roman" w:cs="Times New Roman" w:eastAsia="Times New Roman" w:hint="default"/>
        </w:rPr>
        <w:t>2019 </w:t>
      </w:r>
      <w:r>
        <w:rPr/>
        <w:t>年企业所得税按</w:t>
      </w:r>
      <w:r>
        <w:rPr>
          <w:spacing w:val="-48"/>
        </w:rPr>
        <w:t> </w:t>
      </w:r>
      <w:r>
        <w:rPr>
          <w:rFonts w:ascii="Times New Roman" w:hAnsi="Times New Roman" w:cs="Times New Roman" w:eastAsia="Times New Roman" w:hint="default"/>
        </w:rPr>
        <w:t>15%</w:t>
      </w:r>
      <w:r>
        <w:rPr/>
        <w:t>计缴。</w:t>
      </w:r>
    </w:p>
    <w:p>
      <w:pPr>
        <w:pStyle w:val="BodyText"/>
        <w:spacing w:line="300" w:lineRule="auto" w:before="101"/>
        <w:ind w:right="1128" w:firstLine="360"/>
        <w:jc w:val="both"/>
      </w:pPr>
      <w:r>
        <w:rPr/>
        <w:t>本公司之子公司数字医信于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2 </w:t>
      </w:r>
      <w:r>
        <w:rPr/>
        <w:t>日通过高新技术企业 认定并取得北京市科学技术委员会、北京市财政局、 国家税务总局北京市税务局联合颁发的高新技术企业证书（证书编号</w:t>
      </w:r>
      <w:r>
        <w:rPr>
          <w:spacing w:val="19"/>
        </w:rPr>
        <w:t> </w:t>
      </w:r>
      <w:r>
        <w:rPr>
          <w:rFonts w:ascii="Times New Roman" w:hAnsi="Times New Roman" w:cs="Times New Roman" w:eastAsia="Times New Roman" w:hint="default"/>
          <w:spacing w:val="-3"/>
          <w:w w:val="99"/>
        </w:rPr>
        <w:t>GR201911007357</w:t>
      </w:r>
      <w:r>
        <w:rPr>
          <w:spacing w:val="-3"/>
          <w:w w:val="99"/>
        </w:rPr>
        <w:t>）。根据《高新技术企业认定管理办</w:t>
      </w:r>
      <w:r>
        <w:rPr>
          <w:spacing w:val="-88"/>
          <w:w w:val="99"/>
        </w:rPr>
        <w:t> </w:t>
      </w:r>
      <w:r>
        <w:rPr>
          <w:spacing w:val="-88"/>
          <w:w w:val="99"/>
        </w:rPr>
      </w:r>
      <w:r>
        <w:rPr/>
        <w:t>法》及《中华人民共和国企业所得税法》及实施条例等有关规定，自获得高新技术企业认定后三年内即</w:t>
      </w:r>
      <w:r>
        <w:rPr>
          <w:spacing w:val="-6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t>年至</w:t>
      </w:r>
      <w:r>
        <w:rPr>
          <w:spacing w:val="-65"/>
        </w:rPr>
        <w:t> </w:t>
      </w:r>
      <w:r>
        <w:rPr>
          <w:rFonts w:ascii="Times New Roman" w:hAnsi="Times New Roman" w:cs="Times New Roman" w:eastAsia="Times New Roman" w:hint="default"/>
        </w:rPr>
        <w:t>2021</w:t>
      </w:r>
      <w:r>
        <w:rPr>
          <w:rFonts w:ascii="Times New Roman" w:hAnsi="Times New Roman" w:cs="Times New Roman" w:eastAsia="Times New Roman" w:hint="default"/>
          <w:spacing w:val="-21"/>
        </w:rPr>
        <w:t> </w:t>
      </w:r>
      <w:r>
        <w:rPr/>
        <w:t>年企 业所得税按</w:t>
      </w:r>
      <w:r>
        <w:rPr>
          <w:spacing w:val="-44"/>
        </w:rPr>
        <w:t> </w:t>
      </w:r>
      <w:r>
        <w:rPr>
          <w:rFonts w:ascii="Times New Roman" w:hAnsi="Times New Roman" w:cs="Times New Roman" w:eastAsia="Times New Roman" w:hint="default"/>
        </w:rPr>
        <w:t>15%</w:t>
      </w:r>
      <w:r>
        <w:rPr/>
        <w:t>计缴。</w:t>
      </w:r>
    </w:p>
    <w:p>
      <w:pPr>
        <w:pStyle w:val="BodyText"/>
        <w:spacing w:line="316" w:lineRule="auto" w:before="53"/>
        <w:ind w:right="1043" w:firstLine="360"/>
        <w:jc w:val="both"/>
      </w:pPr>
      <w:r>
        <w:rPr/>
        <w:t>本集团根据《中华人民共和</w:t>
      </w:r>
      <w:r>
        <w:rPr>
          <w:spacing w:val="2"/>
        </w:rPr>
        <w:t>国</w:t>
      </w:r>
      <w:r>
        <w:rPr/>
        <w:t>企业所得税法》及实施条例</w:t>
      </w:r>
      <w:r>
        <w:rPr>
          <w:spacing w:val="-89"/>
        </w:rPr>
        <w:t>、</w:t>
      </w:r>
      <w:r>
        <w:rPr/>
        <w:t>《财政部、国家税务总局、科</w:t>
      </w:r>
      <w:r>
        <w:rPr>
          <w:spacing w:val="2"/>
        </w:rPr>
        <w:t>技</w:t>
      </w:r>
      <w:r>
        <w:rPr/>
        <w:t>部关于完善研究开发费用税</w:t>
      </w:r>
      <w:r>
        <w:rPr/>
        <w:t> </w:t>
      </w:r>
      <w:r>
        <w:rPr>
          <w:spacing w:val="2"/>
        </w:rPr>
        <w:t>前加</w:t>
      </w:r>
      <w:r>
        <w:rPr/>
        <w:t>计</w:t>
      </w:r>
      <w:r>
        <w:rPr>
          <w:spacing w:val="2"/>
        </w:rPr>
        <w:t>扣除</w:t>
      </w:r>
      <w:r>
        <w:rPr/>
        <w:t>政</w:t>
      </w:r>
      <w:r>
        <w:rPr>
          <w:spacing w:val="2"/>
        </w:rPr>
        <w:t>策的</w:t>
      </w:r>
      <w:r>
        <w:rPr/>
        <w:t>通</w:t>
      </w:r>
      <w:r>
        <w:rPr>
          <w:spacing w:val="2"/>
        </w:rPr>
        <w:t>知</w:t>
      </w:r>
      <w:r>
        <w:rPr>
          <w:spacing w:val="-89"/>
        </w:rPr>
        <w:t>》</w:t>
      </w:r>
      <w:r>
        <w:rPr>
          <w:spacing w:val="2"/>
        </w:rPr>
        <w:t>（</w:t>
      </w:r>
      <w:r>
        <w:rPr/>
        <w:t>财</w:t>
      </w:r>
      <w:r>
        <w:rPr>
          <w:spacing w:val="2"/>
        </w:rPr>
        <w:t>税</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9"/>
        </w:rPr>
        <w:t>1</w:t>
      </w:r>
      <w:r>
        <w:rPr>
          <w:rFonts w:ascii="Times New Roman" w:hAnsi="Times New Roman" w:cs="Times New Roman" w:eastAsia="Times New Roman" w:hint="default"/>
          <w:spacing w:val="1"/>
        </w:rPr>
        <w:t>1</w:t>
      </w:r>
      <w:r>
        <w:rPr>
          <w:rFonts w:ascii="Times New Roman" w:hAnsi="Times New Roman" w:cs="Times New Roman" w:eastAsia="Times New Roman" w:hint="default"/>
        </w:rPr>
        <w:t>9 </w:t>
      </w:r>
      <w:r>
        <w:rPr>
          <w:rFonts w:ascii="Times New Roman" w:hAnsi="Times New Roman" w:cs="Times New Roman" w:eastAsia="Times New Roman" w:hint="default"/>
          <w:spacing w:val="1"/>
        </w:rPr>
        <w:t> </w:t>
      </w:r>
      <w:r>
        <w:rPr>
          <w:spacing w:val="2"/>
        </w:rPr>
        <w:t>号</w:t>
      </w:r>
      <w:r>
        <w:rPr>
          <w:spacing w:val="-89"/>
        </w:rPr>
        <w:t>）、</w:t>
      </w:r>
      <w:r>
        <w:rPr>
          <w:spacing w:val="2"/>
        </w:rPr>
        <w:t>《财</w:t>
      </w:r>
      <w:r>
        <w:rPr/>
        <w:t>政</w:t>
      </w:r>
      <w:r>
        <w:rPr>
          <w:spacing w:val="2"/>
        </w:rPr>
        <w:t>部</w:t>
      </w:r>
      <w:r>
        <w:rPr/>
        <w:t>税务</w:t>
      </w:r>
      <w:r>
        <w:rPr>
          <w:spacing w:val="2"/>
        </w:rPr>
        <w:t>总局</w:t>
      </w:r>
      <w:r>
        <w:rPr/>
        <w:t>科</w:t>
      </w:r>
      <w:r>
        <w:rPr>
          <w:spacing w:val="2"/>
        </w:rPr>
        <w:t>技部关于提</w:t>
      </w:r>
      <w:r>
        <w:rPr/>
        <w:t>高</w:t>
      </w:r>
      <w:r>
        <w:rPr>
          <w:spacing w:val="1"/>
        </w:rPr>
        <w:t> </w:t>
      </w:r>
      <w:r>
        <w:rPr>
          <w:spacing w:val="2"/>
        </w:rPr>
        <w:t>研究</w:t>
      </w:r>
      <w:r>
        <w:rPr/>
        <w:t>开发</w:t>
      </w:r>
      <w:r>
        <w:rPr>
          <w:spacing w:val="2"/>
        </w:rPr>
        <w:t>费用</w:t>
      </w:r>
      <w:r>
        <w:rPr/>
        <w:t>税</w:t>
      </w:r>
      <w:r>
        <w:rPr>
          <w:spacing w:val="2"/>
        </w:rPr>
        <w:t>前加</w:t>
      </w:r>
      <w:r>
        <w:rPr/>
        <w:t>计</w:t>
      </w:r>
      <w:r>
        <w:rPr>
          <w:spacing w:val="2"/>
        </w:rPr>
        <w:t>扣除</w:t>
      </w:r>
      <w:r>
        <w:rPr/>
        <w:t>比</w:t>
      </w:r>
      <w:r>
        <w:rPr>
          <w:spacing w:val="2"/>
        </w:rPr>
        <w:t>例</w:t>
      </w:r>
      <w:r>
        <w:rPr/>
        <w:t>的</w:t>
      </w:r>
      <w:r>
        <w:rPr>
          <w:spacing w:val="2"/>
        </w:rPr>
        <w:t>通知</w:t>
      </w:r>
      <w:r>
        <w:rPr/>
        <w:t>》</w:t>
      </w:r>
    </w:p>
    <w:p>
      <w:pPr>
        <w:pStyle w:val="BodyText"/>
        <w:spacing w:line="248" w:lineRule="exact"/>
        <w:ind w:right="982"/>
        <w:jc w:val="left"/>
      </w:pPr>
      <w:r>
        <w:rPr/>
        <w:t>（财税〔</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99</w:t>
      </w:r>
      <w:r>
        <w:rPr>
          <w:rFonts w:ascii="Times New Roman" w:hAnsi="Times New Roman" w:cs="Times New Roman" w:eastAsia="Times New Roman" w:hint="default"/>
          <w:spacing w:val="-3"/>
        </w:rPr>
        <w:t> </w:t>
      </w:r>
      <w:r>
        <w:rPr/>
        <w:t>号）享受开发新技术、新产品、新工艺发生的研究开发费用企业所得税前加计扣除优惠政策。</w:t>
      </w:r>
    </w:p>
    <w:p>
      <w:pPr>
        <w:spacing w:line="240" w:lineRule="auto" w:before="2"/>
        <w:rPr>
          <w:rFonts w:ascii="宋体" w:hAnsi="宋体" w:cs="宋体" w:eastAsia="宋体" w:hint="default"/>
          <w:sz w:val="23"/>
          <w:szCs w:val="23"/>
        </w:rPr>
      </w:pPr>
    </w:p>
    <w:p>
      <w:pPr>
        <w:pStyle w:val="BodyText"/>
        <w:spacing w:line="415" w:lineRule="auto"/>
        <w:ind w:right="1844"/>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公司报告期内软件增值税退税</w:t>
      </w:r>
      <w:r>
        <w:rPr>
          <w:spacing w:val="-16"/>
        </w:rPr>
        <w:t> </w:t>
      </w:r>
      <w:r>
        <w:rPr>
          <w:rFonts w:ascii="Times New Roman" w:hAnsi="Times New Roman" w:cs="Times New Roman" w:eastAsia="Times New Roman" w:hint="default"/>
        </w:rPr>
        <w:t>1090.92</w:t>
      </w:r>
      <w:r>
        <w:rPr/>
        <w:t>万元，计入其他收益。</w:t>
      </w:r>
    </w:p>
    <w:p>
      <w:pPr>
        <w:spacing w:line="240" w:lineRule="auto" w:before="0"/>
        <w:rPr>
          <w:rFonts w:ascii="宋体" w:hAnsi="宋体" w:cs="宋体" w:eastAsia="宋体" w:hint="default"/>
          <w:sz w:val="15"/>
          <w:szCs w:val="15"/>
        </w:rPr>
      </w:pPr>
    </w:p>
    <w:p>
      <w:pPr>
        <w:pStyle w:val="Heading3"/>
        <w:spacing w:line="240" w:lineRule="auto"/>
        <w:ind w:right="982"/>
        <w:jc w:val="left"/>
        <w:rPr>
          <w:b w:val="0"/>
          <w:bCs w:val="0"/>
        </w:rPr>
      </w:pPr>
      <w:r>
        <w:rPr>
          <w:rFonts w:ascii="Times New Roman" w:hAnsi="Times New Roman" w:cs="Times New Roman" w:eastAsia="Times New Roman" w:hint="default"/>
        </w:rPr>
        <w:t>3</w:t>
      </w:r>
      <w:r>
        <w:rPr/>
        <w:t>、其他</w:t>
      </w:r>
      <w:r>
        <w:rPr>
          <w:b w:val="0"/>
          <w:bCs w:val="0"/>
        </w:rPr>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982"/>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127,003.48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280,774.62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643,083,009.08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653,871,177.44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16,897,897.59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21,533,381.07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660,107,910.15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675,685,333.13</w:t>
            </w:r>
          </w:p>
        </w:tc>
      </w:tr>
    </w:tbl>
    <w:p>
      <w:pPr>
        <w:pStyle w:val="BodyText"/>
        <w:spacing w:line="441" w:lineRule="auto" w:before="49"/>
        <w:ind w:right="4814"/>
        <w:jc w:val="left"/>
      </w:pPr>
      <w:r>
        <w:rPr/>
        <w:t>其他说明 期末，本集团其他货币资金为使用权受到限制的款项，全部为履约保证金。</w:t>
      </w:r>
    </w:p>
    <w:p>
      <w:pPr>
        <w:spacing w:line="240" w:lineRule="auto" w:before="8"/>
        <w:rPr>
          <w:rFonts w:ascii="宋体" w:hAnsi="宋体" w:cs="宋体" w:eastAsia="宋体" w:hint="default"/>
          <w:sz w:val="15"/>
          <w:szCs w:val="15"/>
        </w:rPr>
      </w:pPr>
    </w:p>
    <w:p>
      <w:pPr>
        <w:pStyle w:val="Heading3"/>
        <w:spacing w:line="240" w:lineRule="auto"/>
        <w:ind w:right="982"/>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368,303.38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368,303.38</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9"/>
        <w:gridCol w:w="850"/>
        <w:gridCol w:w="709"/>
        <w:gridCol w:w="852"/>
        <w:gridCol w:w="857"/>
        <w:gridCol w:w="790"/>
        <w:gridCol w:w="775"/>
        <w:gridCol w:w="797"/>
        <w:gridCol w:w="932"/>
        <w:gridCol w:w="797"/>
        <w:gridCol w:w="792"/>
      </w:tblGrid>
      <w:tr>
        <w:trPr>
          <w:trHeight w:val="398"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05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419" w:type="dxa"/>
            <w:vMerge/>
            <w:tcBorders>
              <w:left w:val="single" w:sz="4" w:space="0" w:color="000000"/>
              <w:right w:val="single" w:sz="4" w:space="0" w:color="000000"/>
            </w:tcBorders>
            <w:shd w:val="clear" w:color="auto" w:fill="D2D2D2"/>
          </w:tcPr>
          <w:p>
            <w:pPr/>
          </w:p>
        </w:tc>
        <w:tc>
          <w:tcPr>
            <w:tcW w:w="1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8"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0"/>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1"/>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23"/>
              <w:jc w:val="left"/>
              <w:rPr>
                <w:rFonts w:ascii="宋体" w:hAnsi="宋体" w:cs="宋体" w:eastAsia="宋体" w:hint="default"/>
                <w:sz w:val="18"/>
                <w:szCs w:val="18"/>
              </w:rPr>
            </w:pPr>
            <w:r>
              <w:rPr>
                <w:rFonts w:ascii="宋体" w:hAnsi="宋体" w:cs="宋体" w:eastAsia="宋体" w:hint="default"/>
                <w:sz w:val="18"/>
                <w:szCs w:val="18"/>
              </w:rPr>
              <w:t>按组合计提坏账 准备的应收票据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1,014,000.00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5"/>
                <w:szCs w:val="15"/>
              </w:rPr>
            </w:pPr>
            <w:r>
              <w:rPr>
                <w:rFonts w:ascii="Times New Roman"/>
                <w:spacing w:val="-1"/>
                <w:sz w:val="15"/>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20,000.00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1.97%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994,000.00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8" w:right="0"/>
              <w:jc w:val="center"/>
              <w:rPr>
                <w:rFonts w:ascii="Times New Roman" w:hAnsi="Times New Roman" w:cs="Times New Roman" w:eastAsia="Times New Roman" w:hint="default"/>
                <w:sz w:val="15"/>
                <w:szCs w:val="15"/>
              </w:rPr>
            </w:pPr>
            <w:r>
              <w:rPr>
                <w:rFonts w:ascii="Times New Roman"/>
                <w:sz w:val="15"/>
              </w:rPr>
              <w:t>368,303.38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7" w:right="0"/>
              <w:jc w:val="left"/>
              <w:rPr>
                <w:rFonts w:ascii="Times New Roman" w:hAnsi="Times New Roman" w:cs="Times New Roman" w:eastAsia="Times New Roman" w:hint="default"/>
                <w:sz w:val="15"/>
                <w:szCs w:val="15"/>
              </w:rPr>
            </w:pPr>
            <w:r>
              <w:rPr>
                <w:rFonts w:ascii="Times New Roman"/>
                <w:sz w:val="15"/>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65" w:right="0"/>
              <w:jc w:val="center"/>
              <w:rPr>
                <w:rFonts w:ascii="Times New Roman" w:hAnsi="Times New Roman" w:cs="Times New Roman" w:eastAsia="Times New Roman" w:hint="default"/>
                <w:sz w:val="15"/>
                <w:szCs w:val="15"/>
              </w:rPr>
            </w:pPr>
            <w:r>
              <w:rPr>
                <w:rFonts w:ascii="Times New Roman"/>
                <w:sz w:val="15"/>
              </w:rPr>
              <w:t>368,303.38</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银行承兑组合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614,000.00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7"/>
              <w:jc w:val="right"/>
              <w:rPr>
                <w:rFonts w:ascii="Times New Roman" w:hAnsi="Times New Roman" w:cs="Times New Roman" w:eastAsia="Times New Roman" w:hint="default"/>
                <w:sz w:val="15"/>
                <w:szCs w:val="15"/>
              </w:rPr>
            </w:pPr>
            <w:r>
              <w:rPr>
                <w:rFonts w:ascii="Times New Roman"/>
                <w:spacing w:val="-1"/>
                <w:sz w:val="15"/>
              </w:rPr>
              <w:t>60.55%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6"/>
              <w:jc w:val="right"/>
              <w:rPr>
                <w:rFonts w:ascii="Times New Roman" w:hAnsi="Times New Roman" w:cs="Times New Roman" w:eastAsia="Times New Roman" w:hint="default"/>
                <w:sz w:val="15"/>
                <w:szCs w:val="15"/>
              </w:rPr>
            </w:pPr>
            <w:r>
              <w:rPr>
                <w:rFonts w:ascii="Times New Roman"/>
                <w:spacing w:val="-1"/>
                <w:sz w:val="15"/>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7" w:right="0"/>
              <w:jc w:val="center"/>
              <w:rPr>
                <w:rFonts w:ascii="Times New Roman" w:hAnsi="Times New Roman" w:cs="Times New Roman" w:eastAsia="Times New Roman" w:hint="default"/>
                <w:sz w:val="15"/>
                <w:szCs w:val="15"/>
              </w:rPr>
            </w:pPr>
            <w:r>
              <w:rPr>
                <w:rFonts w:ascii="Times New Roman"/>
                <w:sz w:val="15"/>
              </w:rPr>
              <w:t>614,000.00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8" w:right="0"/>
              <w:jc w:val="center"/>
              <w:rPr>
                <w:rFonts w:ascii="Times New Roman" w:hAnsi="Times New Roman" w:cs="Times New Roman" w:eastAsia="Times New Roman" w:hint="default"/>
                <w:sz w:val="15"/>
                <w:szCs w:val="15"/>
              </w:rPr>
            </w:pPr>
            <w:r>
              <w:rPr>
                <w:rFonts w:ascii="Times New Roman"/>
                <w:sz w:val="15"/>
              </w:rPr>
              <w:t>368,303.38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27" w:right="0"/>
              <w:jc w:val="left"/>
              <w:rPr>
                <w:rFonts w:ascii="Times New Roman" w:hAnsi="Times New Roman" w:cs="Times New Roman" w:eastAsia="Times New Roman" w:hint="default"/>
                <w:sz w:val="15"/>
                <w:szCs w:val="15"/>
              </w:rPr>
            </w:pPr>
            <w:r>
              <w:rPr>
                <w:rFonts w:ascii="Times New Roman"/>
                <w:sz w:val="15"/>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6"/>
              <w:jc w:val="right"/>
              <w:rPr>
                <w:rFonts w:ascii="Times New Roman" w:hAnsi="Times New Roman" w:cs="Times New Roman" w:eastAsia="Times New Roman" w:hint="default"/>
                <w:sz w:val="15"/>
                <w:szCs w:val="15"/>
              </w:rPr>
            </w:pPr>
            <w:r>
              <w:rPr>
                <w:rFonts w:ascii="Times New Roman"/>
                <w:spacing w:val="-1"/>
                <w:sz w:val="15"/>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5" w:right="0"/>
              <w:jc w:val="center"/>
              <w:rPr>
                <w:rFonts w:ascii="Times New Roman" w:hAnsi="Times New Roman" w:cs="Times New Roman" w:eastAsia="Times New Roman" w:hint="default"/>
                <w:sz w:val="15"/>
                <w:szCs w:val="15"/>
              </w:rPr>
            </w:pPr>
            <w:r>
              <w:rPr>
                <w:rFonts w:ascii="Times New Roman"/>
                <w:sz w:val="15"/>
              </w:rPr>
              <w:t>368,303.38</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商业承兑组合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400,000.00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7"/>
              <w:jc w:val="right"/>
              <w:rPr>
                <w:rFonts w:ascii="Times New Roman" w:hAnsi="Times New Roman" w:cs="Times New Roman" w:eastAsia="Times New Roman" w:hint="default"/>
                <w:sz w:val="15"/>
                <w:szCs w:val="15"/>
              </w:rPr>
            </w:pPr>
            <w:r>
              <w:rPr>
                <w:rFonts w:ascii="Times New Roman"/>
                <w:spacing w:val="-1"/>
                <w:sz w:val="15"/>
              </w:rPr>
              <w:t>39.45%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20,000.00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6"/>
              <w:jc w:val="right"/>
              <w:rPr>
                <w:rFonts w:ascii="Times New Roman" w:hAnsi="Times New Roman" w:cs="Times New Roman" w:eastAsia="Times New Roman" w:hint="default"/>
                <w:sz w:val="15"/>
                <w:szCs w:val="15"/>
              </w:rPr>
            </w:pPr>
            <w:r>
              <w:rPr>
                <w:rFonts w:ascii="Times New Roman"/>
                <w:spacing w:val="-1"/>
                <w:sz w:val="15"/>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7" w:right="0"/>
              <w:jc w:val="center"/>
              <w:rPr>
                <w:rFonts w:ascii="Times New Roman" w:hAnsi="Times New Roman" w:cs="Times New Roman" w:eastAsia="Times New Roman" w:hint="default"/>
                <w:sz w:val="15"/>
                <w:szCs w:val="15"/>
              </w:rPr>
            </w:pPr>
            <w:r>
              <w:rPr>
                <w:rFonts w:ascii="Times New Roman"/>
                <w:sz w:val="15"/>
              </w:rPr>
              <w:t>380,000.00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1,014,000.00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7"/>
              <w:jc w:val="right"/>
              <w:rPr>
                <w:rFonts w:ascii="Times New Roman" w:hAnsi="Times New Roman" w:cs="Times New Roman" w:eastAsia="Times New Roman" w:hint="default"/>
                <w:sz w:val="15"/>
                <w:szCs w:val="15"/>
              </w:rPr>
            </w:pPr>
            <w:r>
              <w:rPr>
                <w:rFonts w:ascii="Times New Roman"/>
                <w:spacing w:val="-1"/>
                <w:sz w:val="15"/>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20,000.00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6"/>
              <w:jc w:val="right"/>
              <w:rPr>
                <w:rFonts w:ascii="Times New Roman" w:hAnsi="Times New Roman" w:cs="Times New Roman" w:eastAsia="Times New Roman" w:hint="default"/>
                <w:sz w:val="15"/>
                <w:szCs w:val="15"/>
              </w:rPr>
            </w:pPr>
            <w:r>
              <w:rPr>
                <w:rFonts w:ascii="Times New Roman"/>
                <w:spacing w:val="-1"/>
                <w:sz w:val="15"/>
              </w:rPr>
              <w:t>1.97%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7" w:right="0"/>
              <w:jc w:val="center"/>
              <w:rPr>
                <w:rFonts w:ascii="Times New Roman" w:hAnsi="Times New Roman" w:cs="Times New Roman" w:eastAsia="Times New Roman" w:hint="default"/>
                <w:sz w:val="15"/>
                <w:szCs w:val="15"/>
              </w:rPr>
            </w:pPr>
            <w:r>
              <w:rPr>
                <w:rFonts w:ascii="Times New Roman"/>
                <w:sz w:val="15"/>
              </w:rPr>
              <w:t>994,000.00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8" w:right="0"/>
              <w:jc w:val="center"/>
              <w:rPr>
                <w:rFonts w:ascii="Times New Roman" w:hAnsi="Times New Roman" w:cs="Times New Roman" w:eastAsia="Times New Roman" w:hint="default"/>
                <w:sz w:val="15"/>
                <w:szCs w:val="15"/>
              </w:rPr>
            </w:pPr>
            <w:r>
              <w:rPr>
                <w:rFonts w:ascii="Times New Roman"/>
                <w:sz w:val="15"/>
              </w:rPr>
              <w:t>368,303.38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27" w:right="0"/>
              <w:jc w:val="left"/>
              <w:rPr>
                <w:rFonts w:ascii="Times New Roman" w:hAnsi="Times New Roman" w:cs="Times New Roman" w:eastAsia="Times New Roman" w:hint="default"/>
                <w:sz w:val="15"/>
                <w:szCs w:val="15"/>
              </w:rPr>
            </w:pPr>
            <w:r>
              <w:rPr>
                <w:rFonts w:ascii="Times New Roman"/>
                <w:sz w:val="15"/>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6"/>
              <w:jc w:val="right"/>
              <w:rPr>
                <w:rFonts w:ascii="Times New Roman" w:hAnsi="Times New Roman" w:cs="Times New Roman" w:eastAsia="Times New Roman" w:hint="default"/>
                <w:sz w:val="15"/>
                <w:szCs w:val="15"/>
              </w:rPr>
            </w:pPr>
            <w:r>
              <w:rPr>
                <w:rFonts w:ascii="Times New Roman"/>
                <w:spacing w:val="-1"/>
                <w:sz w:val="15"/>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5" w:right="0"/>
              <w:jc w:val="center"/>
              <w:rPr>
                <w:rFonts w:ascii="Times New Roman" w:hAnsi="Times New Roman" w:cs="Times New Roman" w:eastAsia="Times New Roman" w:hint="default"/>
                <w:sz w:val="15"/>
                <w:szCs w:val="15"/>
              </w:rPr>
            </w:pPr>
            <w:r>
              <w:rPr>
                <w:rFonts w:ascii="Times New Roman"/>
                <w:sz w:val="15"/>
              </w:rPr>
              <w:t>368,303.38</w:t>
            </w:r>
          </w:p>
        </w:tc>
      </w:tr>
    </w:tbl>
    <w:p>
      <w:pPr>
        <w:pStyle w:val="BodyText"/>
        <w:spacing w:line="240" w:lineRule="auto" w:before="49"/>
        <w:ind w:right="982"/>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7"/>
        <w:rPr>
          <w:rFonts w:ascii="宋体" w:hAnsi="宋体" w:cs="宋体" w:eastAsia="宋体" w:hint="default"/>
          <w:sz w:val="25"/>
          <w:szCs w:val="25"/>
        </w:rPr>
      </w:pPr>
    </w:p>
    <w:p>
      <w:pPr>
        <w:pStyle w:val="BodyText"/>
        <w:spacing w:line="240" w:lineRule="auto" w:before="44"/>
        <w:ind w:right="982"/>
        <w:jc w:val="left"/>
      </w:pPr>
      <w:r>
        <w:rPr/>
        <w:t>按组合计提坏账准备：</w:t>
      </w:r>
    </w:p>
    <w:p>
      <w:pPr>
        <w:pStyle w:val="BodyText"/>
        <w:spacing w:line="240" w:lineRule="auto" w:before="119"/>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9" w:top="1060" w:bottom="1160" w:left="980" w:right="0"/>
        </w:sectPr>
      </w:pPr>
    </w:p>
    <w:p>
      <w:pPr>
        <w:pStyle w:val="BodyText"/>
        <w:spacing w:line="360" w:lineRule="auto" w:before="49"/>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3" w:space="669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205"/>
        <w:gridCol w:w="1594"/>
        <w:gridCol w:w="1596"/>
        <w:gridCol w:w="1594"/>
        <w:gridCol w:w="1594"/>
      </w:tblGrid>
      <w:tr>
        <w:trPr>
          <w:trHeight w:val="401"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商业承兑组合坏账准备</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r>
    </w:tbl>
    <w:p>
      <w:pPr>
        <w:pStyle w:val="BodyText"/>
        <w:spacing w:line="240" w:lineRule="auto" w:before="49"/>
        <w:ind w:right="982"/>
        <w:jc w:val="left"/>
      </w:pPr>
      <w:r>
        <w:rPr/>
        <w:t>其中本期坏账准备收回或转回金额重要的：</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472" w:right="0"/>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46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left="472"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left="472" w:right="0"/>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46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left="472" w:right="0"/>
        <w:jc w:val="left"/>
      </w:pPr>
      <w:r>
        <w:rPr/>
        <w:t>其中重要的应收票据核销情况：</w:t>
      </w:r>
    </w:p>
    <w:p>
      <w:pPr>
        <w:pStyle w:val="BodyText"/>
        <w:spacing w:line="240" w:lineRule="auto" w:before="119"/>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469" w:type="dxa"/>
        <w:tblLayout w:type="fixed"/>
        <w:tblCellMar>
          <w:top w:w="0" w:type="dxa"/>
          <w:left w:w="0" w:type="dxa"/>
          <w:bottom w:w="0" w:type="dxa"/>
          <w:right w:w="0" w:type="dxa"/>
        </w:tblCellMar>
        <w:tblLook w:val="01E0"/>
      </w:tblPr>
      <w:tblGrid>
        <w:gridCol w:w="1418"/>
        <w:gridCol w:w="1558"/>
        <w:gridCol w:w="1135"/>
        <w:gridCol w:w="1419"/>
        <w:gridCol w:w="1416"/>
        <w:gridCol w:w="2621"/>
      </w:tblGrid>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4" w:right="0"/>
              <w:jc w:val="left"/>
              <w:rPr>
                <w:rFonts w:ascii="宋体" w:hAnsi="宋体" w:cs="宋体" w:eastAsia="宋体" w:hint="default"/>
                <w:sz w:val="18"/>
                <w:szCs w:val="18"/>
              </w:rPr>
            </w:pPr>
            <w:r>
              <w:rPr>
                <w:rFonts w:ascii="宋体" w:hAnsi="宋体" w:cs="宋体" w:eastAsia="宋体" w:hint="default"/>
                <w:sz w:val="18"/>
                <w:szCs w:val="18"/>
              </w:rPr>
              <w:t>款项是否由关联交易产生</w:t>
            </w:r>
          </w:p>
        </w:tc>
      </w:tr>
    </w:tbl>
    <w:p>
      <w:pPr>
        <w:pStyle w:val="BodyText"/>
        <w:spacing w:line="240" w:lineRule="auto" w:before="49"/>
        <w:ind w:left="472" w:right="0"/>
        <w:jc w:val="left"/>
      </w:pPr>
      <w:r>
        <w:rPr/>
        <w:t>应收票据核销说明：</w:t>
      </w:r>
    </w:p>
    <w:p>
      <w:pPr>
        <w:spacing w:line="240" w:lineRule="auto" w:before="0"/>
        <w:rPr>
          <w:rFonts w:ascii="宋体" w:hAnsi="宋体" w:cs="宋体" w:eastAsia="宋体" w:hint="default"/>
          <w:sz w:val="18"/>
          <w:szCs w:val="18"/>
        </w:rPr>
      </w:pPr>
    </w:p>
    <w:p>
      <w:pPr>
        <w:pStyle w:val="Heading3"/>
        <w:spacing w:line="240" w:lineRule="auto" w:before="120"/>
        <w:ind w:left="472"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72"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419"/>
        <w:gridCol w:w="1133"/>
        <w:gridCol w:w="610"/>
        <w:gridCol w:w="950"/>
        <w:gridCol w:w="574"/>
        <w:gridCol w:w="1128"/>
        <w:gridCol w:w="1133"/>
        <w:gridCol w:w="710"/>
        <w:gridCol w:w="992"/>
        <w:gridCol w:w="566"/>
        <w:gridCol w:w="1135"/>
      </w:tblGrid>
      <w:tr>
        <w:trPr>
          <w:trHeight w:val="397"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3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419" w:type="dxa"/>
            <w:vMerge/>
            <w:tcBorders>
              <w:left w:val="single" w:sz="4" w:space="0" w:color="000000"/>
              <w:right w:val="single" w:sz="4" w:space="0" w:color="000000"/>
            </w:tcBorders>
            <w:shd w:val="clear" w:color="auto" w:fill="D2D2D2"/>
          </w:tcPr>
          <w:p>
            <w:pPr/>
          </w:p>
        </w:tc>
        <w:tc>
          <w:tcPr>
            <w:tcW w:w="17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9"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03" w:right="98"/>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2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5"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23"/>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42" w:right="0"/>
              <w:jc w:val="center"/>
              <w:rPr>
                <w:rFonts w:ascii="Times New Roman" w:hAnsi="Times New Roman" w:cs="Times New Roman" w:eastAsia="Times New Roman" w:hint="default"/>
                <w:sz w:val="15"/>
                <w:szCs w:val="15"/>
              </w:rPr>
            </w:pPr>
            <w:r>
              <w:rPr>
                <w:rFonts w:ascii="Times New Roman"/>
                <w:sz w:val="15"/>
              </w:rPr>
              <w:t>355,627,664.49</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1" w:right="0"/>
              <w:jc w:val="center"/>
              <w:rPr>
                <w:rFonts w:ascii="Times New Roman" w:hAnsi="Times New Roman" w:cs="Times New Roman" w:eastAsia="Times New Roman" w:hint="default"/>
                <w:sz w:val="15"/>
                <w:szCs w:val="15"/>
              </w:rPr>
            </w:pPr>
            <w:r>
              <w:rPr>
                <w:rFonts w:ascii="Times New Roman"/>
                <w:sz w:val="15"/>
              </w:rPr>
              <w:t>100.00%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6" w:right="0"/>
              <w:jc w:val="center"/>
              <w:rPr>
                <w:rFonts w:ascii="Times New Roman" w:hAnsi="Times New Roman" w:cs="Times New Roman" w:eastAsia="Times New Roman" w:hint="default"/>
                <w:sz w:val="15"/>
                <w:szCs w:val="15"/>
              </w:rPr>
            </w:pPr>
            <w:r>
              <w:rPr>
                <w:rFonts w:ascii="Times New Roman"/>
                <w:sz w:val="15"/>
              </w:rPr>
              <w:t>85,917,357.28</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24.16%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269,710,307.21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232,656,513.21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39" w:right="0"/>
              <w:jc w:val="left"/>
              <w:rPr>
                <w:rFonts w:ascii="Times New Roman" w:hAnsi="Times New Roman" w:cs="Times New Roman" w:eastAsia="Times New Roman" w:hint="default"/>
                <w:sz w:val="15"/>
                <w:szCs w:val="15"/>
              </w:rPr>
            </w:pPr>
            <w:r>
              <w:rPr>
                <w:rFonts w:ascii="Times New Roman"/>
                <w:sz w:val="15"/>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76" w:right="0"/>
              <w:jc w:val="center"/>
              <w:rPr>
                <w:rFonts w:ascii="Times New Roman" w:hAnsi="Times New Roman" w:cs="Times New Roman" w:eastAsia="Times New Roman" w:hint="default"/>
                <w:sz w:val="15"/>
                <w:szCs w:val="15"/>
              </w:rPr>
            </w:pPr>
            <w:r>
              <w:rPr>
                <w:rFonts w:ascii="Times New Roman"/>
                <w:sz w:val="15"/>
              </w:rPr>
              <w:t>61,493,888.28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26.43%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171,162,624.93</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其他客户组合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42" w:right="0"/>
              <w:jc w:val="center"/>
              <w:rPr>
                <w:rFonts w:ascii="Times New Roman" w:hAnsi="Times New Roman" w:cs="Times New Roman" w:eastAsia="Times New Roman" w:hint="default"/>
                <w:sz w:val="15"/>
                <w:szCs w:val="15"/>
              </w:rPr>
            </w:pPr>
            <w:r>
              <w:rPr>
                <w:rFonts w:ascii="Times New Roman"/>
                <w:sz w:val="15"/>
              </w:rPr>
              <w:t>355,627,664.49</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1" w:right="0"/>
              <w:jc w:val="center"/>
              <w:rPr>
                <w:rFonts w:ascii="Times New Roman" w:hAnsi="Times New Roman" w:cs="Times New Roman" w:eastAsia="Times New Roman" w:hint="default"/>
                <w:sz w:val="15"/>
                <w:szCs w:val="15"/>
              </w:rPr>
            </w:pPr>
            <w:r>
              <w:rPr>
                <w:rFonts w:ascii="Times New Roman"/>
                <w:sz w:val="15"/>
              </w:rPr>
              <w:t>100.00%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6" w:right="0"/>
              <w:jc w:val="center"/>
              <w:rPr>
                <w:rFonts w:ascii="Times New Roman" w:hAnsi="Times New Roman" w:cs="Times New Roman" w:eastAsia="Times New Roman" w:hint="default"/>
                <w:sz w:val="15"/>
                <w:szCs w:val="15"/>
              </w:rPr>
            </w:pPr>
            <w:r>
              <w:rPr>
                <w:rFonts w:ascii="Times New Roman"/>
                <w:sz w:val="15"/>
              </w:rPr>
              <w:t>85,917,357.28</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6"/>
              <w:jc w:val="right"/>
              <w:rPr>
                <w:rFonts w:ascii="Times New Roman" w:hAnsi="Times New Roman" w:cs="Times New Roman" w:eastAsia="Times New Roman" w:hint="default"/>
                <w:sz w:val="15"/>
                <w:szCs w:val="15"/>
              </w:rPr>
            </w:pPr>
            <w:r>
              <w:rPr>
                <w:rFonts w:ascii="Times New Roman"/>
                <w:spacing w:val="-1"/>
                <w:sz w:val="15"/>
              </w:rPr>
              <w:t>24.16%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3"/>
              <w:jc w:val="right"/>
              <w:rPr>
                <w:rFonts w:ascii="Times New Roman" w:hAnsi="Times New Roman" w:cs="Times New Roman" w:eastAsia="Times New Roman" w:hint="default"/>
                <w:sz w:val="15"/>
                <w:szCs w:val="15"/>
              </w:rPr>
            </w:pPr>
            <w:r>
              <w:rPr>
                <w:rFonts w:ascii="Times New Roman"/>
                <w:spacing w:val="-1"/>
                <w:sz w:val="15"/>
              </w:rPr>
              <w:t>269,710,307.21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5"/>
                <w:szCs w:val="15"/>
              </w:rPr>
            </w:pPr>
            <w:r>
              <w:rPr>
                <w:rFonts w:ascii="Times New Roman"/>
                <w:spacing w:val="-1"/>
                <w:sz w:val="15"/>
              </w:rPr>
              <w:t>232,656,513.21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39" w:right="0"/>
              <w:jc w:val="left"/>
              <w:rPr>
                <w:rFonts w:ascii="Times New Roman" w:hAnsi="Times New Roman" w:cs="Times New Roman" w:eastAsia="Times New Roman" w:hint="default"/>
                <w:sz w:val="15"/>
                <w:szCs w:val="15"/>
              </w:rPr>
            </w:pPr>
            <w:r>
              <w:rPr>
                <w:rFonts w:ascii="Times New Roman"/>
                <w:sz w:val="15"/>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6" w:right="0"/>
              <w:jc w:val="center"/>
              <w:rPr>
                <w:rFonts w:ascii="Times New Roman" w:hAnsi="Times New Roman" w:cs="Times New Roman" w:eastAsia="Times New Roman" w:hint="default"/>
                <w:sz w:val="15"/>
                <w:szCs w:val="15"/>
              </w:rPr>
            </w:pPr>
            <w:r>
              <w:rPr>
                <w:rFonts w:ascii="Times New Roman"/>
                <w:sz w:val="15"/>
              </w:rPr>
              <w:t>61,493,888.28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6"/>
              <w:jc w:val="right"/>
              <w:rPr>
                <w:rFonts w:ascii="Times New Roman" w:hAnsi="Times New Roman" w:cs="Times New Roman" w:eastAsia="Times New Roman" w:hint="default"/>
                <w:sz w:val="15"/>
                <w:szCs w:val="15"/>
              </w:rPr>
            </w:pPr>
            <w:r>
              <w:rPr>
                <w:rFonts w:ascii="Times New Roman"/>
                <w:spacing w:val="-1"/>
                <w:sz w:val="15"/>
              </w:rPr>
              <w:t>26.43%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5"/>
                <w:szCs w:val="15"/>
              </w:rPr>
            </w:pPr>
            <w:r>
              <w:rPr>
                <w:rFonts w:ascii="Times New Roman"/>
                <w:spacing w:val="-1"/>
                <w:sz w:val="15"/>
              </w:rPr>
              <w:t>171,162,624.93</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2" w:right="0"/>
              <w:jc w:val="center"/>
              <w:rPr>
                <w:rFonts w:ascii="Times New Roman" w:hAnsi="Times New Roman" w:cs="Times New Roman" w:eastAsia="Times New Roman" w:hint="default"/>
                <w:sz w:val="15"/>
                <w:szCs w:val="15"/>
              </w:rPr>
            </w:pPr>
            <w:r>
              <w:rPr>
                <w:rFonts w:ascii="Times New Roman"/>
                <w:sz w:val="15"/>
              </w:rPr>
              <w:t>355,627,664.49</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center"/>
              <w:rPr>
                <w:rFonts w:ascii="Times New Roman" w:hAnsi="Times New Roman" w:cs="Times New Roman" w:eastAsia="Times New Roman" w:hint="default"/>
                <w:sz w:val="15"/>
                <w:szCs w:val="15"/>
              </w:rPr>
            </w:pPr>
            <w:r>
              <w:rPr>
                <w:rFonts w:ascii="Times New Roman"/>
                <w:sz w:val="15"/>
              </w:rPr>
              <w:t>100.00%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6" w:right="0"/>
              <w:jc w:val="center"/>
              <w:rPr>
                <w:rFonts w:ascii="Times New Roman" w:hAnsi="Times New Roman" w:cs="Times New Roman" w:eastAsia="Times New Roman" w:hint="default"/>
                <w:sz w:val="15"/>
                <w:szCs w:val="15"/>
              </w:rPr>
            </w:pPr>
            <w:r>
              <w:rPr>
                <w:rFonts w:ascii="Times New Roman"/>
                <w:sz w:val="15"/>
              </w:rPr>
              <w:t>85,917,357.28</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6"/>
              <w:jc w:val="right"/>
              <w:rPr>
                <w:rFonts w:ascii="Times New Roman" w:hAnsi="Times New Roman" w:cs="Times New Roman" w:eastAsia="Times New Roman" w:hint="default"/>
                <w:sz w:val="15"/>
                <w:szCs w:val="15"/>
              </w:rPr>
            </w:pPr>
            <w:r>
              <w:rPr>
                <w:rFonts w:ascii="Times New Roman"/>
                <w:spacing w:val="-1"/>
                <w:sz w:val="15"/>
              </w:rPr>
              <w:t>24.16%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3"/>
              <w:jc w:val="right"/>
              <w:rPr>
                <w:rFonts w:ascii="Times New Roman" w:hAnsi="Times New Roman" w:cs="Times New Roman" w:eastAsia="Times New Roman" w:hint="default"/>
                <w:sz w:val="15"/>
                <w:szCs w:val="15"/>
              </w:rPr>
            </w:pPr>
            <w:r>
              <w:rPr>
                <w:rFonts w:ascii="Times New Roman"/>
                <w:spacing w:val="-1"/>
                <w:sz w:val="15"/>
              </w:rPr>
              <w:t>269,710,307.21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232,656,513.21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39" w:right="0"/>
              <w:jc w:val="left"/>
              <w:rPr>
                <w:rFonts w:ascii="Times New Roman" w:hAnsi="Times New Roman" w:cs="Times New Roman" w:eastAsia="Times New Roman" w:hint="default"/>
                <w:sz w:val="15"/>
                <w:szCs w:val="15"/>
              </w:rPr>
            </w:pPr>
            <w:r>
              <w:rPr>
                <w:rFonts w:ascii="Times New Roman"/>
                <w:sz w:val="15"/>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6" w:right="0"/>
              <w:jc w:val="center"/>
              <w:rPr>
                <w:rFonts w:ascii="Times New Roman" w:hAnsi="Times New Roman" w:cs="Times New Roman" w:eastAsia="Times New Roman" w:hint="default"/>
                <w:sz w:val="15"/>
                <w:szCs w:val="15"/>
              </w:rPr>
            </w:pPr>
            <w:r>
              <w:rPr>
                <w:rFonts w:ascii="Times New Roman"/>
                <w:sz w:val="15"/>
              </w:rPr>
              <w:t>61,493,888.28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6"/>
              <w:jc w:val="right"/>
              <w:rPr>
                <w:rFonts w:ascii="Times New Roman" w:hAnsi="Times New Roman" w:cs="Times New Roman" w:eastAsia="Times New Roman" w:hint="default"/>
                <w:sz w:val="15"/>
                <w:szCs w:val="15"/>
              </w:rPr>
            </w:pPr>
            <w:r>
              <w:rPr>
                <w:rFonts w:ascii="Times New Roman"/>
                <w:spacing w:val="-1"/>
                <w:sz w:val="15"/>
              </w:rPr>
              <w:t>26.43%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171,162,624.93</w:t>
            </w:r>
          </w:p>
        </w:tc>
      </w:tr>
    </w:tbl>
    <w:p>
      <w:pPr>
        <w:pStyle w:val="BodyText"/>
        <w:spacing w:line="240" w:lineRule="auto" w:before="49"/>
        <w:ind w:left="472" w:right="0"/>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46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left="472" w:right="0"/>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85,917,357.28</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469" w:type="dxa"/>
        <w:tblLayout w:type="fixed"/>
        <w:tblCellMar>
          <w:top w:w="0" w:type="dxa"/>
          <w:left w:w="0" w:type="dxa"/>
          <w:bottom w:w="0" w:type="dxa"/>
          <w:right w:w="0" w:type="dxa"/>
        </w:tblCellMar>
        <w:tblLook w:val="01E0"/>
      </w:tblPr>
      <w:tblGrid>
        <w:gridCol w:w="2392"/>
        <w:gridCol w:w="2391"/>
        <w:gridCol w:w="2393"/>
        <w:gridCol w:w="2396"/>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pgSz w:w="11910" w:h="16840"/>
          <w:pgMar w:header="748" w:footer="979" w:top="1060" w:bottom="1160" w:left="66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其他客户组合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355,627,664.49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85,917,357.28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24.16%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355,627,664.49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85,917,357.28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9" w:top="1060" w:bottom="1160" w:left="980" w:right="0"/>
        </w:sectPr>
      </w:pPr>
    </w:p>
    <w:p>
      <w:pPr>
        <w:pStyle w:val="BodyText"/>
        <w:spacing w:line="360" w:lineRule="auto" w:before="49"/>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3" w:space="669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8"/>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3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205,765,476.84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56,763,416.78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32,806,029.28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60,292,741.59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17,237,272.22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17,062,392.37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25,993,077.00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355,627,664.49</w:t>
            </w:r>
          </w:p>
        </w:tc>
      </w:tr>
    </w:tbl>
    <w:p>
      <w:pPr>
        <w:pStyle w:val="BodyText"/>
        <w:spacing w:line="240" w:lineRule="auto" w:before="49"/>
        <w:ind w:right="982"/>
        <w:jc w:val="left"/>
      </w:pPr>
      <w:r>
        <w:rPr/>
        <w:t>公司需要遵守《深圳证券交易所行业信息披露指引第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本期计提坏账准备情况：</w:t>
      </w:r>
    </w:p>
    <w:p>
      <w:pPr>
        <w:pStyle w:val="BodyText"/>
        <w:spacing w:line="240" w:lineRule="auto" w:before="118"/>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其他客户组合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61,493,888.28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24,423,469.00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85,917,357.28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61,493,888.28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24,423,469.00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85,917,357.28</w:t>
            </w:r>
          </w:p>
        </w:tc>
      </w:tr>
    </w:tbl>
    <w:p>
      <w:pPr>
        <w:pStyle w:val="BodyText"/>
        <w:spacing w:line="240" w:lineRule="auto" w:before="49"/>
        <w:ind w:right="982"/>
        <w:jc w:val="left"/>
      </w:pPr>
      <w:r>
        <w:rPr/>
        <w:t>其中本期坏账准备收回或转回金额重要的：</w:t>
      </w:r>
    </w:p>
    <w:p>
      <w:pPr>
        <w:pStyle w:val="BodyText"/>
        <w:spacing w:line="240" w:lineRule="auto" w:before="119"/>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982"/>
        <w:jc w:val="left"/>
      </w:pPr>
      <w:r>
        <w:rPr/>
        <w:t>其中重要的应收账款核销情况：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274"/>
        <w:gridCol w:w="1419"/>
        <w:gridCol w:w="1419"/>
        <w:gridCol w:w="1982"/>
        <w:gridCol w:w="2197"/>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款项是否由关联交易产生</w:t>
            </w:r>
          </w:p>
        </w:tc>
      </w:tr>
    </w:tbl>
    <w:p>
      <w:pPr>
        <w:pStyle w:val="BodyText"/>
        <w:spacing w:line="240" w:lineRule="auto" w:before="50"/>
        <w:ind w:right="982"/>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21"/>
        <w:ind w:right="982"/>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273"/>
        <w:gridCol w:w="3118"/>
        <w:gridCol w:w="2197"/>
      </w:tblGrid>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占应收账款期末余额合计数的比例</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39,644,376.39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3,542,425.31</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8,507,350.00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2,537,460.72</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7,120,816.92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2,124,244.30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6,417,058.00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1,201,883.60</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4,602,500.00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368,200.00</w:t>
            </w:r>
          </w:p>
        </w:tc>
      </w:tr>
      <w:tr>
        <w:trPr>
          <w:trHeight w:val="404"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66,292,101.31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18.64%</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16,288,981.28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31,390,645.75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94.44%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4,274,933.51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502,580.00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741,094.00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966,650.00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603,600.00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1.82%</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21,549,320.79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33,237,919.75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982"/>
        <w:jc w:val="left"/>
      </w:pPr>
      <w:r>
        <w:rPr/>
        <w:t>本期按预付对象归集的期末余额前五名预付款项汇总金额 </w:t>
      </w:r>
      <w:r>
        <w:rPr>
          <w:rFonts w:ascii="Times New Roman" w:hAnsi="Times New Roman" w:cs="Times New Roman" w:eastAsia="Times New Roman" w:hint="default"/>
        </w:rPr>
        <w:t>6,825,190.00 </w:t>
      </w:r>
      <w:r>
        <w:rPr/>
        <w:t>元，占预付款项期末余额合计数的比例</w:t>
      </w:r>
      <w:r>
        <w:rPr>
          <w:spacing w:val="-45"/>
        </w:rPr>
        <w:t> </w:t>
      </w:r>
      <w:r>
        <w:rPr>
          <w:rFonts w:ascii="Times New Roman" w:hAnsi="Times New Roman" w:cs="Times New Roman" w:eastAsia="Times New Roman" w:hint="default"/>
        </w:rPr>
        <w:t>31.67%</w:t>
      </w:r>
      <w:r>
        <w:rPr/>
        <w:t>。 其他说明：</w:t>
      </w:r>
    </w:p>
    <w:p>
      <w:pPr>
        <w:spacing w:line="240" w:lineRule="auto" w:before="7"/>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25,159,632.41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22,390,799.28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25,159,632.41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22,390,799.28</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8"/>
        <w:gridCol w:w="1417"/>
        <w:gridCol w:w="1702"/>
        <w:gridCol w:w="2127"/>
        <w:gridCol w:w="2909"/>
      </w:tblGrid>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是否发生减值及其判断依据</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347"/>
        <w:gridCol w:w="1558"/>
        <w:gridCol w:w="2127"/>
        <w:gridCol w:w="2626"/>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2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是否发生减值及其判断依据</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7"/>
        <w:rPr>
          <w:rFonts w:ascii="宋体" w:hAnsi="宋体" w:cs="宋体" w:eastAsia="宋体" w:hint="default"/>
          <w:sz w:val="21"/>
          <w:szCs w:val="21"/>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4,788,118.28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3,820,584.43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28,827,257.90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25,829,910.65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2,861,404.98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1,937,592.46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36,476,781.16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31,588,087.54</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7"/>
        <w:gridCol w:w="2033"/>
        <w:gridCol w:w="2031"/>
        <w:gridCol w:w="2033"/>
        <w:gridCol w:w="1205"/>
      </w:tblGrid>
      <w:tr>
        <w:trPr>
          <w:trHeight w:val="401" w:hRule="exact"/>
        </w:trPr>
        <w:tc>
          <w:tcPr>
            <w:tcW w:w="22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22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03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922" w:right="62" w:hanging="858"/>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个月预期信用损 失</w:t>
            </w:r>
          </w:p>
        </w:tc>
        <w:tc>
          <w:tcPr>
            <w:tcW w:w="20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30" w:right="108"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30" w:right="111"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205" w:type="dxa"/>
            <w:vMerge/>
            <w:tcBorders>
              <w:left w:val="single" w:sz="4" w:space="0" w:color="000000"/>
              <w:right w:val="single" w:sz="4" w:space="0" w:color="000000"/>
            </w:tcBorders>
            <w:shd w:val="clear" w:color="auto" w:fill="D2D2D2"/>
          </w:tcPr>
          <w:p>
            <w:pPr/>
          </w:p>
        </w:tc>
      </w:tr>
      <w:tr>
        <w:trPr>
          <w:trHeight w:val="362" w:hRule="exact"/>
        </w:trPr>
        <w:tc>
          <w:tcPr>
            <w:tcW w:w="2267" w:type="dxa"/>
            <w:tcBorders>
              <w:top w:val="nil" w:sz="6" w:space="0" w:color="auto"/>
              <w:left w:val="single" w:sz="4" w:space="0" w:color="000000"/>
              <w:bottom w:val="single" w:sz="4" w:space="0" w:color="000000"/>
              <w:right w:val="single" w:sz="4" w:space="0" w:color="000000"/>
            </w:tcBorders>
            <w:shd w:val="clear" w:color="auto" w:fill="D2D2D2"/>
          </w:tcPr>
          <w:p>
            <w:pPr/>
          </w:p>
        </w:tc>
        <w:tc>
          <w:tcPr>
            <w:tcW w:w="2033" w:type="dxa"/>
            <w:vMerge/>
            <w:tcBorders>
              <w:left w:val="single" w:sz="4" w:space="0" w:color="000000"/>
              <w:bottom w:val="single" w:sz="4" w:space="0" w:color="000000"/>
              <w:right w:val="single" w:sz="4" w:space="0" w:color="000000"/>
            </w:tcBorders>
            <w:shd w:val="clear" w:color="auto" w:fill="D2D2D2"/>
          </w:tcPr>
          <w:p>
            <w:pPr/>
          </w:p>
        </w:tc>
        <w:tc>
          <w:tcPr>
            <w:tcW w:w="2031" w:type="dxa"/>
            <w:vMerge/>
            <w:tcBorders>
              <w:left w:val="single" w:sz="4" w:space="0" w:color="000000"/>
              <w:bottom w:val="single" w:sz="4" w:space="0" w:color="000000"/>
              <w:right w:val="single" w:sz="4" w:space="0" w:color="000000"/>
            </w:tcBorders>
            <w:shd w:val="clear" w:color="auto" w:fill="D2D2D2"/>
          </w:tcPr>
          <w:p>
            <w:pPr/>
          </w:p>
        </w:tc>
        <w:tc>
          <w:tcPr>
            <w:tcW w:w="2033"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1,124,159.95</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8,073,128.31</w:t>
            </w:r>
          </w:p>
        </w:tc>
        <w:tc>
          <w:tcPr>
            <w:tcW w:w="20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9,197,288.26</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-521,927.31</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521,927.31</w:t>
            </w:r>
          </w:p>
        </w:tc>
        <w:tc>
          <w:tcPr>
            <w:tcW w:w="20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577,923.06</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1,541,937.43</w:t>
            </w:r>
          </w:p>
        </w:tc>
        <w:tc>
          <w:tcPr>
            <w:tcW w:w="20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2,119,860.49</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1,180,630.70</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10,136,518.05</w:t>
            </w:r>
          </w:p>
        </w:tc>
        <w:tc>
          <w:tcPr>
            <w:tcW w:w="20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11,317,148.75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38" w:lineRule="auto" w:before="120"/>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12,583,099.78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5,622,529.01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7,945,933.76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10,325,218.61</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1,954,047.01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4,880,974.00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3,490,197.60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36,476,781.16</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21"/>
        <w:gridCol w:w="1342"/>
        <w:gridCol w:w="1457"/>
        <w:gridCol w:w="1594"/>
        <w:gridCol w:w="1334"/>
        <w:gridCol w:w="2122"/>
      </w:tblGrid>
      <w:tr>
        <w:trPr>
          <w:trHeight w:val="403" w:hRule="exact"/>
        </w:trPr>
        <w:tc>
          <w:tcPr>
            <w:tcW w:w="1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21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721" w:type="dxa"/>
            <w:vMerge/>
            <w:tcBorders>
              <w:left w:val="single" w:sz="4" w:space="0" w:color="000000"/>
              <w:bottom w:val="single" w:sz="4" w:space="0" w:color="000000"/>
              <w:right w:val="single" w:sz="4" w:space="0" w:color="000000"/>
            </w:tcBorders>
            <w:shd w:val="clear" w:color="auto" w:fill="D2D2D2"/>
          </w:tcPr>
          <w:p>
            <w:pPr/>
          </w:p>
        </w:tc>
        <w:tc>
          <w:tcPr>
            <w:tcW w:w="1342" w:type="dxa"/>
            <w:vMerge/>
            <w:tcBorders>
              <w:left w:val="single" w:sz="4" w:space="0" w:color="000000"/>
              <w:bottom w:val="single" w:sz="4" w:space="0" w:color="000000"/>
              <w:right w:val="single" w:sz="4" w:space="0" w:color="000000"/>
            </w:tcBorders>
            <w:shd w:val="clear" w:color="auto" w:fill="D2D2D2"/>
          </w:tcPr>
          <w:p>
            <w:pP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2122"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其他客户组合</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9,197,288.26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2,119,860.49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11,317,148.75</w:t>
            </w:r>
          </w:p>
        </w:tc>
      </w:tr>
      <w:tr>
        <w:trPr>
          <w:trHeight w:val="401"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9,197,288.26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2,119,860.49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11,317,148.75</w:t>
            </w:r>
          </w:p>
        </w:tc>
      </w:tr>
    </w:tbl>
    <w:p>
      <w:pPr>
        <w:pStyle w:val="BodyText"/>
        <w:spacing w:line="240" w:lineRule="auto" w:before="49"/>
        <w:ind w:right="982"/>
        <w:jc w:val="left"/>
      </w:pPr>
      <w:r>
        <w:rPr/>
        <w:t>其中本期坏账准备转回或收回金额重要的：</w:t>
      </w:r>
    </w:p>
    <w:p>
      <w:pPr>
        <w:pStyle w:val="BodyText"/>
        <w:spacing w:line="240" w:lineRule="auto" w:before="119"/>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4"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982"/>
        <w:jc w:val="left"/>
      </w:pPr>
      <w:r>
        <w:rPr/>
        <w:t>其中重要的其他应收款核销情况：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700"/>
        <w:gridCol w:w="1135"/>
        <w:gridCol w:w="1419"/>
        <w:gridCol w:w="1558"/>
        <w:gridCol w:w="2480"/>
      </w:tblGrid>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款项是否由关联交易产生</w:t>
            </w:r>
          </w:p>
        </w:tc>
      </w:tr>
    </w:tbl>
    <w:p>
      <w:pPr>
        <w:pStyle w:val="BodyText"/>
        <w:spacing w:line="240" w:lineRule="auto" w:before="49"/>
        <w:ind w:right="982"/>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52"/>
        <w:gridCol w:w="1277"/>
        <w:gridCol w:w="1416"/>
        <w:gridCol w:w="1133"/>
        <w:gridCol w:w="1594"/>
        <w:gridCol w:w="1596"/>
      </w:tblGrid>
      <w:tr>
        <w:trPr>
          <w:trHeight w:val="716"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77"/>
              <w:jc w:val="right"/>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普华诚信信息技术有限公司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54" w:right="23" w:hanging="431"/>
              <w:jc w:val="left"/>
              <w:rPr>
                <w:rFonts w:ascii="宋体" w:hAnsi="宋体" w:cs="宋体" w:eastAsia="宋体" w:hint="default"/>
                <w:sz w:val="18"/>
                <w:szCs w:val="18"/>
              </w:rPr>
            </w:pPr>
            <w:r>
              <w:rPr>
                <w:rFonts w:ascii="宋体" w:hAnsi="宋体" w:cs="宋体" w:eastAsia="宋体" w:hint="default"/>
                <w:spacing w:val="-6"/>
                <w:sz w:val="18"/>
                <w:szCs w:val="18"/>
              </w:rPr>
              <w:t>保证金、押金及</w:t>
            </w:r>
            <w:r>
              <w:rPr>
                <w:rFonts w:ascii="宋体" w:hAnsi="宋体" w:cs="宋体" w:eastAsia="宋体" w:hint="default"/>
                <w:sz w:val="18"/>
                <w:szCs w:val="18"/>
              </w:rPr>
              <w:t> 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5,158,206.00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51" w:right="18" w:hanging="1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年以下，</w:t>
            </w:r>
            <w:r>
              <w:rPr>
                <w:rFonts w:ascii="Times New Roman" w:hAnsi="Times New Roman" w:cs="Times New Roman" w:eastAsia="Times New Roman" w:hint="default"/>
                <w:spacing w:val="-3"/>
                <w:sz w:val="18"/>
                <w:szCs w:val="18"/>
              </w:rPr>
              <w:t>2-3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1,795,978.50</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北京万柳置业集团有限公司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3,166,935.00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3"/>
              <w:jc w:val="righ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158,346.75</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江苏省设备成套有限公司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1,923,600.00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3"/>
              <w:jc w:val="righ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1,154,160.00</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北京老年医院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1,236,400.00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3"/>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370,920.00</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文化部信息中心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975,350.25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3"/>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292,605.08</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12,460,491.25</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3,772,010.33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1985"/>
        <w:gridCol w:w="1416"/>
        <w:gridCol w:w="2268"/>
        <w:gridCol w:w="2626"/>
      </w:tblGrid>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期末账龄</w:t>
            </w:r>
          </w:p>
        </w:tc>
        <w:tc>
          <w:tcPr>
            <w:tcW w:w="2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982"/>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t>是否已执行新收入准则</w:t>
      </w:r>
    </w:p>
    <w:p>
      <w:pPr>
        <w:pStyle w:val="BodyText"/>
        <w:spacing w:line="240" w:lineRule="auto" w:before="117"/>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6,418,594.06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6,418,594.06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7,018,152.30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7,018,152.30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18,026,240.88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18,026,240.88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16,719,815.93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16,719,815.93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项目开发成本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153,204,178.36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153,204,178.36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100,576,941.35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100,576,941.35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177,649,013.30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177,649,013.30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124,314,909.58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124,314,909.58</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982"/>
        <w:jc w:val="left"/>
      </w:pPr>
      <w:r>
        <w:rPr/>
        <w:t>其他说明：</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13,694,072.91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7,368,102.93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预缴城建税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648,598.90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420,686.51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463,284.93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300,387.24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14,805,956.74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8,089,176.68</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rFonts w:ascii="Times New Roman" w:hAnsi="Times New Roman" w:cs="Times New Roman" w:eastAsia="Times New Roman" w:hint="default"/>
        </w:rPr>
        <w:t>8</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1188"/>
        <w:gridCol w:w="566"/>
        <w:gridCol w:w="569"/>
        <w:gridCol w:w="991"/>
        <w:gridCol w:w="672"/>
        <w:gridCol w:w="800"/>
        <w:gridCol w:w="797"/>
        <w:gridCol w:w="566"/>
        <w:gridCol w:w="711"/>
        <w:gridCol w:w="111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11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00" w:lineRule="auto"/>
              <w:ind w:left="290" w:right="107"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56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00" w:lineRule="auto"/>
              <w:ind w:left="254" w:right="72"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1188"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98" w:right="96"/>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99" w:right="98"/>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59"/>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1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版信通</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14,135,142.61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247,591.82</w:t>
            </w:r>
          </w:p>
        </w:tc>
        <w:tc>
          <w:tcPr>
            <w:tcW w:w="6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14,382,734.43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中天信安</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2,283,349.03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-369,884.71</w:t>
            </w:r>
          </w:p>
        </w:tc>
        <w:tc>
          <w:tcPr>
            <w:tcW w:w="6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1,913,464.32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16,418,491.64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-122,292.89</w:t>
            </w:r>
          </w:p>
        </w:tc>
        <w:tc>
          <w:tcPr>
            <w:tcW w:w="6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16,296,198.75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16,418,491.64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-122,292.89</w:t>
            </w:r>
          </w:p>
        </w:tc>
        <w:tc>
          <w:tcPr>
            <w:tcW w:w="6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16,296,198.75</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982"/>
        <w:jc w:val="left"/>
        <w:rPr>
          <w:b w:val="0"/>
          <w:bCs w:val="0"/>
        </w:rPr>
      </w:pPr>
      <w:r>
        <w:rPr>
          <w:rFonts w:ascii="Times New Roman" w:hAnsi="Times New Roman" w:cs="Times New Roman" w:eastAsia="Times New Roman" w:hint="default"/>
        </w:rPr>
        <w:t>9</w:t>
      </w:r>
      <w:r>
        <w:rPr/>
        <w:t>、固定资产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27,653,582.93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21,147,473.93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27,653,582.93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21,147,473.93</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56,405,335.56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496,002.24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56,901,337.80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12,987,989.81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12,987,989.81</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12,987,989.81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12,987,989.81</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2,201,798.42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2,201,798.42</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2,201,798.42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2,201,798.42</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67,191,526.95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496,002.24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67,687,529.19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35,588,180.02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165,683.85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35,753,863.87</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6,304,106.96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66,663.62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6,370,770.58</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6,304,106.96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66,663.62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6,370,770.58</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2,090,688.19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2,090,688.19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2,090,688.19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2,090,688.19</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39,801,598.79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232,347.47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40,033,946.26</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27,389,928.16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263,654.77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27,653,582.93</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20,817,155.54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330,318.39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21,147,473.93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6"/>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6"/>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10</w:t>
      </w:r>
      <w:r>
        <w:rPr/>
        <w:t>、在建工程</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55,099,037.21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283,018.87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55,099,037.21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283,018.87</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武汉研发基地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55,099,037.21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55,099,037.21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283,018.87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283,018.87</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4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55,099,037.21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55,099,037.21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283,018.87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283,018.87</w:t>
            </w:r>
          </w:p>
        </w:tc>
      </w:tr>
    </w:tbl>
    <w:p>
      <w:pPr>
        <w:spacing w:line="240" w:lineRule="auto" w:before="5"/>
        <w:rPr>
          <w:rFonts w:ascii="宋体" w:hAnsi="宋体" w:cs="宋体" w:eastAsia="宋体" w:hint="default"/>
          <w:sz w:val="19"/>
          <w:szCs w:val="19"/>
        </w:rPr>
      </w:pPr>
    </w:p>
    <w:p>
      <w:pPr>
        <w:pStyle w:val="Heading3"/>
        <w:spacing w:line="240" w:lineRule="auto" w:before="36"/>
        <w:ind w:left="452"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850"/>
        <w:gridCol w:w="1135"/>
        <w:gridCol w:w="785"/>
        <w:gridCol w:w="1059"/>
        <w:gridCol w:w="708"/>
        <w:gridCol w:w="708"/>
        <w:gridCol w:w="992"/>
        <w:gridCol w:w="710"/>
        <w:gridCol w:w="566"/>
        <w:gridCol w:w="709"/>
        <w:gridCol w:w="710"/>
        <w:gridCol w:w="708"/>
        <w:gridCol w:w="672"/>
      </w:tblGrid>
      <w:tr>
        <w:trPr>
          <w:trHeight w:val="1337"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4" w:hanging="361"/>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7"/>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9"/>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19" w:hanging="56"/>
              <w:jc w:val="both"/>
              <w:rPr>
                <w:rFonts w:ascii="宋体" w:hAnsi="宋体" w:cs="宋体" w:eastAsia="宋体" w:hint="default"/>
                <w:sz w:val="18"/>
                <w:szCs w:val="18"/>
              </w:rPr>
            </w:pPr>
            <w:r>
              <w:rPr>
                <w:rFonts w:ascii="宋体" w:hAnsi="宋体" w:cs="宋体" w:eastAsia="宋体" w:hint="default"/>
                <w:spacing w:val="-17"/>
                <w:sz w:val="18"/>
                <w:szCs w:val="18"/>
              </w:rPr>
              <w:t>其中：本</w:t>
            </w:r>
            <w:r>
              <w:rPr>
                <w:rFonts w:ascii="宋体" w:hAnsi="宋体" w:cs="宋体" w:eastAsia="宋体" w:hint="default"/>
                <w:sz w:val="18"/>
                <w:szCs w:val="18"/>
              </w:rPr>
              <w:t> 期利息 资本化 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2" w:right="59"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0" w:right="58" w:hanging="180"/>
              <w:jc w:val="left"/>
              <w:rPr>
                <w:rFonts w:ascii="宋体" w:hAnsi="宋体" w:cs="宋体" w:eastAsia="宋体" w:hint="default"/>
                <w:sz w:val="18"/>
                <w:szCs w:val="18"/>
              </w:rPr>
            </w:pPr>
            <w:r>
              <w:rPr>
                <w:rFonts w:ascii="宋体" w:hAnsi="宋体" w:cs="宋体" w:eastAsia="宋体" w:hint="default"/>
                <w:sz w:val="18"/>
                <w:szCs w:val="18"/>
              </w:rPr>
              <w:t>武汉研发 基地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130,000,000.00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79" w:right="0"/>
              <w:jc w:val="left"/>
              <w:rPr>
                <w:rFonts w:ascii="Times New Roman" w:hAnsi="Times New Roman" w:cs="Times New Roman" w:eastAsia="Times New Roman" w:hint="default"/>
                <w:sz w:val="15"/>
                <w:szCs w:val="15"/>
              </w:rPr>
            </w:pPr>
            <w:r>
              <w:rPr>
                <w:rFonts w:ascii="Times New Roman"/>
                <w:sz w:val="15"/>
              </w:rPr>
              <w:t>283,018.87</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54,816,018.34</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98" w:right="0"/>
              <w:jc w:val="left"/>
              <w:rPr>
                <w:rFonts w:ascii="Times New Roman" w:hAnsi="Times New Roman" w:cs="Times New Roman" w:eastAsia="Times New Roman" w:hint="default"/>
                <w:sz w:val="15"/>
                <w:szCs w:val="15"/>
              </w:rPr>
            </w:pPr>
            <w:r>
              <w:rPr>
                <w:rFonts w:ascii="Times New Roman"/>
                <w:sz w:val="15"/>
              </w:rPr>
              <w:t>55,099,037.21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13" w:right="0"/>
              <w:jc w:val="left"/>
              <w:rPr>
                <w:rFonts w:ascii="Times New Roman" w:hAnsi="Times New Roman" w:cs="Times New Roman" w:eastAsia="Times New Roman" w:hint="default"/>
                <w:sz w:val="15"/>
                <w:szCs w:val="15"/>
              </w:rPr>
            </w:pPr>
            <w:r>
              <w:rPr>
                <w:rFonts w:ascii="Times New Roman"/>
                <w:sz w:val="15"/>
              </w:rPr>
              <w:t>42.38%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40"/>
              <w:jc w:val="center"/>
              <w:rPr>
                <w:rFonts w:ascii="Times New Roman" w:hAnsi="Times New Roman" w:cs="Times New Roman" w:eastAsia="Times New Roman" w:hint="default"/>
                <w:sz w:val="15"/>
                <w:szCs w:val="15"/>
              </w:rPr>
            </w:pPr>
            <w:r>
              <w:rPr>
                <w:rFonts w:ascii="Times New Roman"/>
                <w:sz w:val="15"/>
              </w:rPr>
              <w:t>42.38%</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9"/>
              <w:ind w:left="105" w:right="26" w:hanging="75"/>
              <w:jc w:val="left"/>
              <w:rPr>
                <w:rFonts w:ascii="宋体" w:hAnsi="宋体" w:cs="宋体" w:eastAsia="宋体" w:hint="default"/>
                <w:sz w:val="15"/>
                <w:szCs w:val="15"/>
              </w:rPr>
            </w:pPr>
            <w:r>
              <w:rPr>
                <w:rFonts w:ascii="宋体" w:hAnsi="宋体" w:cs="宋体" w:eastAsia="宋体" w:hint="default"/>
                <w:sz w:val="15"/>
                <w:szCs w:val="15"/>
              </w:rPr>
              <w:t>募集资金</w:t>
            </w:r>
            <w:r>
              <w:rPr>
                <w:rFonts w:ascii="宋体" w:hAnsi="宋体" w:cs="宋体" w:eastAsia="宋体" w:hint="default"/>
                <w:w w:val="100"/>
                <w:sz w:val="15"/>
                <w:szCs w:val="15"/>
              </w:rPr>
              <w:t> </w:t>
            </w:r>
            <w:r>
              <w:rPr>
                <w:rFonts w:ascii="宋体" w:hAnsi="宋体" w:cs="宋体" w:eastAsia="宋体" w:hint="default"/>
                <w:sz w:val="15"/>
                <w:szCs w:val="15"/>
              </w:rPr>
              <w:t>及自筹</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130,000,000.00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9" w:right="0"/>
              <w:jc w:val="left"/>
              <w:rPr>
                <w:rFonts w:ascii="Times New Roman" w:hAnsi="Times New Roman" w:cs="Times New Roman" w:eastAsia="Times New Roman" w:hint="default"/>
                <w:sz w:val="15"/>
                <w:szCs w:val="15"/>
              </w:rPr>
            </w:pPr>
            <w:r>
              <w:rPr>
                <w:rFonts w:ascii="Times New Roman"/>
                <w:sz w:val="15"/>
              </w:rPr>
              <w:t>283,018.87</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54,816,018.34</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98" w:right="0"/>
              <w:jc w:val="left"/>
              <w:rPr>
                <w:rFonts w:ascii="Times New Roman" w:hAnsi="Times New Roman" w:cs="Times New Roman" w:eastAsia="Times New Roman" w:hint="default"/>
                <w:sz w:val="15"/>
                <w:szCs w:val="15"/>
              </w:rPr>
            </w:pPr>
            <w:r>
              <w:rPr>
                <w:rFonts w:ascii="Times New Roman"/>
                <w:sz w:val="15"/>
              </w:rPr>
              <w:t>55,099,037.21</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r>
    </w:tbl>
    <w:p>
      <w:pPr>
        <w:spacing w:line="240" w:lineRule="auto" w:before="5"/>
        <w:rPr>
          <w:rFonts w:ascii="宋体" w:hAnsi="宋体" w:cs="宋体" w:eastAsia="宋体" w:hint="default"/>
          <w:sz w:val="19"/>
          <w:szCs w:val="19"/>
        </w:rPr>
      </w:pPr>
    </w:p>
    <w:p>
      <w:pPr>
        <w:pStyle w:val="Heading3"/>
        <w:spacing w:line="240" w:lineRule="auto" w:before="36"/>
        <w:ind w:left="452"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4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left="452"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left="452" w:right="0"/>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4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3"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left="452"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left="452" w:right="0"/>
        <w:jc w:val="left"/>
        <w:rPr>
          <w:b w:val="0"/>
          <w:bCs w:val="0"/>
        </w:rPr>
      </w:pPr>
      <w:r>
        <w:rPr>
          <w:rFonts w:ascii="Times New Roman" w:hAnsi="Times New Roman" w:cs="Times New Roman" w:eastAsia="Times New Roman" w:hint="default"/>
        </w:rPr>
        <w:t>11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52"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447" w:type="dxa"/>
        <w:tblLayout w:type="fixed"/>
        <w:tblCellMar>
          <w:top w:w="0" w:type="dxa"/>
          <w:left w:w="0" w:type="dxa"/>
          <w:bottom w:w="0" w:type="dxa"/>
          <w:right w:w="0" w:type="dxa"/>
        </w:tblCellMar>
        <w:tblLook w:val="01E0"/>
      </w:tblPr>
      <w:tblGrid>
        <w:gridCol w:w="2268"/>
        <w:gridCol w:w="1460"/>
        <w:gridCol w:w="1460"/>
        <w:gridCol w:w="1459"/>
        <w:gridCol w:w="1460"/>
        <w:gridCol w:w="1459"/>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2" w:right="0"/>
              <w:jc w:val="left"/>
              <w:rPr>
                <w:rFonts w:ascii="Times New Roman" w:hAnsi="Times New Roman" w:cs="Times New Roman" w:eastAsia="Times New Roman" w:hint="default"/>
                <w:sz w:val="18"/>
                <w:szCs w:val="18"/>
              </w:rPr>
            </w:pPr>
            <w:r>
              <w:rPr>
                <w:rFonts w:ascii="Times New Roman"/>
                <w:sz w:val="18"/>
              </w:rPr>
              <w:t>4,784,000.00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12,973,944.87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17,757,944.87</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2,142,854.09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2,142,854.09</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2,142,854.09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2,142,854.09</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6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7"/>
        <w:gridCol w:w="1460"/>
        <w:gridCol w:w="1460"/>
        <w:gridCol w:w="1459"/>
        <w:gridCol w:w="1460"/>
        <w:gridCol w:w="1459"/>
      </w:tblGrid>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4,784,000.00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15,116,798.96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19,900,798.96</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7,973.33</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7,841,836.93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7,849,810.26</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95,679.96</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1,774,027.25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1,869,707.21</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95,679.96</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1,774,027.25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1,869,707.21</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103,653.29</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9,615,864.18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9,719,517.47</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4,680,346.71</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5,500,934.78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10,181,281.49</w:t>
            </w:r>
          </w:p>
        </w:tc>
      </w:tr>
      <w:tr>
        <w:trPr>
          <w:trHeight w:val="404"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4,776,026.67</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5,132,107.94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9,908,134.61</w:t>
            </w:r>
          </w:p>
        </w:tc>
      </w:tr>
    </w:tbl>
    <w:p>
      <w:pPr>
        <w:pStyle w:val="BodyText"/>
        <w:spacing w:line="240" w:lineRule="auto" w:before="49"/>
        <w:ind w:right="982"/>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rFonts w:ascii="Times New Roman" w:hAnsi="Times New Roman" w:cs="Times New Roman" w:eastAsia="Times New Roman" w:hint="default"/>
        </w:rPr>
        <w:t>12</w:t>
      </w:r>
      <w:r>
        <w:rPr/>
        <w:t>、长期待摊费用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253,404.99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940,644.39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136,424.57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1,057,624.81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253,404.99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940,644.39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136,424.57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1,057,624.81</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13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97,208,481.83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14,581,272.28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62,774,540.96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9,416,181.14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3,198,085.13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479,712.77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3,178,021.54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476,703.23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13,255,792.67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1,988,368.90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7,319,782.40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1,097,967.36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68,077,513.53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10,211,627.03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86,836,375.07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13,025,456.26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尚未支付的工资费用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45,793,455.27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6,869,018.29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50,405,381.13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7,560,807.17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13,260,616.71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1,989,092.51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13,256,986.48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1,988,547.98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240,793,945.14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36,119,091.78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223,771,087.58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33,565,663.14</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240,793,945.14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2" w:right="0"/>
              <w:jc w:val="left"/>
              <w:rPr>
                <w:rFonts w:ascii="Times New Roman" w:hAnsi="Times New Roman" w:cs="Times New Roman" w:eastAsia="Times New Roman" w:hint="default"/>
                <w:sz w:val="18"/>
                <w:szCs w:val="18"/>
              </w:rPr>
            </w:pPr>
            <w:r>
              <w:rPr>
                <w:rFonts w:ascii="Times New Roman"/>
                <w:sz w:val="18"/>
              </w:rPr>
              <w:t>36,119,091.78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223,771,087.58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33,565,663.14</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46,024.20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1,093,125.27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104,393.47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1,139,149.47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104,643.47</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104,393.47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104,393.47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988,731.80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1,093,125.27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104,393.47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14</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预付软件设备购置款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730,684.09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666,700.00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730,684.09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666,700.00</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rFonts w:ascii="Times New Roman" w:hAnsi="Times New Roman" w:cs="Times New Roman" w:eastAsia="Times New Roman" w:hint="default"/>
        </w:rPr>
        <w:t>15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107,294,824.26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78,219,206.83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107,294,824.26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78,219,206.83</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982"/>
        <w:jc w:val="left"/>
        <w:rPr>
          <w:b w:val="0"/>
          <w:bCs w:val="0"/>
        </w:rPr>
      </w:pPr>
      <w:r>
        <w:rPr>
          <w:rFonts w:ascii="Times New Roman" w:hAnsi="Times New Roman" w:cs="Times New Roman" w:eastAsia="Times New Roman" w:hint="default"/>
        </w:rPr>
        <w:t>16</w:t>
      </w:r>
      <w:r>
        <w:rPr/>
        <w:t>、预收款项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是否已执行新收入准则</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388,220,154.30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301,962,290.50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388,220,154.30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301,962,290.50</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17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1791"/>
        <w:gridCol w:w="1791"/>
        <w:gridCol w:w="1791"/>
        <w:gridCol w:w="1790"/>
      </w:tblGrid>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84,070,730.96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324,763,128.58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323,416,441.43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85,417,418.11</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设定提存计划</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1,834,114.60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23,467,820.56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23,543,815.57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1,758,119.59</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85,904,845.56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348,230,949.14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346,960,257.00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87,175,537.70</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1791"/>
        <w:gridCol w:w="1791"/>
        <w:gridCol w:w="1791"/>
        <w:gridCol w:w="1790"/>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72,059,781.11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273,719,656.23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276,713,352.80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69,066,084.54</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91"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3,580,128.13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3,580,128.13</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1,060,555.65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17,760,974.15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17,613,140.96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1,208,388.84</w:t>
            </w:r>
          </w:p>
        </w:tc>
      </w:tr>
      <w:tr>
        <w:trPr>
          <w:trHeight w:val="40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952,437.00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16,225,449.35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16,091,237.65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1,086,648.70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31,720.49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440,597.38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437,521.96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34,795.91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10"/>
        <w:gridCol w:w="1791"/>
        <w:gridCol w:w="1791"/>
        <w:gridCol w:w="1791"/>
        <w:gridCol w:w="1790"/>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76,398.16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1,094,927.42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1,084,381.35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86,944.23</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91"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15,333,932.60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15,330,260.60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3,672.00</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10,950,394.20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8,441,078.57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4,252,200.04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15,139,272.73</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经济补偿金</w:t>
            </w:r>
          </w:p>
        </w:tc>
        <w:tc>
          <w:tcPr>
            <w:tcW w:w="1791"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5,927,358.90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5,927,358.90</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84,070,730.96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324,763,128.58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323,416,441.43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85,417,418.11</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1,760,008.57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22,448,972.35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22,534,419.16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1,674,561.76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74,106.03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1,018,848.21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1,009,396.41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83,557.83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1,834,114.60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23,467,820.56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23,543,815.57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1,758,119.59</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18</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14,861,790.76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12,119,366.23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10,568,261.99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11,778,022.39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1,160,920.93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757,983.36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878,878.09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502,664.61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622,816.91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353,989.91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1,585.20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28,094,253.88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25,512,026.50</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19</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11,319,224.41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8,235,995.87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11,319,224.41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8,235,995.87</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982"/>
        <w:jc w:val="left"/>
      </w:pPr>
      <w:r>
        <w:rPr/>
        <w:t>重要的已逾期未支付的利息情况：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2"/>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代扣代缴职工个人保险费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1,550,082.00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940,516.82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3,197,825.50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4,251,597.50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2,337,716.91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3,043,881.55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限制性股权回购义务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4,233,600.00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11,319,224.41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8,235,995.87</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rFonts w:ascii="Times New Roman" w:hAnsi="Times New Roman" w:cs="Times New Roman" w:eastAsia="Times New Roman" w:hint="default"/>
        </w:rPr>
        <w:t>20</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13,256,986.48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6,246,716.00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6,243,085.77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13,260,616.71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13,256,986.48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6,246,716.00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6,243,085.77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13,260,616.71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涉及政府补助的项目：</w:t>
      </w:r>
    </w:p>
    <w:p>
      <w:pPr>
        <w:pStyle w:val="BodyText"/>
        <w:spacing w:line="240" w:lineRule="auto" w:before="117"/>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2232"/>
        <w:gridCol w:w="1136"/>
        <w:gridCol w:w="1133"/>
        <w:gridCol w:w="1277"/>
        <w:gridCol w:w="1133"/>
        <w:gridCol w:w="994"/>
        <w:gridCol w:w="567"/>
        <w:gridCol w:w="1046"/>
        <w:gridCol w:w="1008"/>
      </w:tblGrid>
      <w:tr>
        <w:trPr>
          <w:trHeight w:val="713" w:hRule="exact"/>
        </w:trPr>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108"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3"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10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8"/>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0" w:right="22"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5"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36"/>
              <w:jc w:val="left"/>
              <w:rPr>
                <w:rFonts w:ascii="宋体" w:hAnsi="宋体" w:cs="宋体" w:eastAsia="宋体" w:hint="default"/>
                <w:sz w:val="18"/>
                <w:szCs w:val="18"/>
              </w:rPr>
            </w:pPr>
            <w:r>
              <w:rPr>
                <w:rFonts w:ascii="宋体" w:hAnsi="宋体" w:cs="宋体" w:eastAsia="宋体" w:hint="default"/>
                <w:sz w:val="18"/>
                <w:szCs w:val="18"/>
              </w:rPr>
              <w:t>高性能签名验签服务器产业 化中央补助资金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4,933,333.33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3,333,333.33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6"/>
              <w:jc w:val="left"/>
              <w:rPr>
                <w:rFonts w:ascii="宋体" w:hAnsi="宋体" w:cs="宋体" w:eastAsia="宋体" w:hint="default"/>
                <w:sz w:val="18"/>
                <w:szCs w:val="18"/>
              </w:rPr>
            </w:pPr>
            <w:r>
              <w:rPr>
                <w:rFonts w:ascii="宋体" w:hAnsi="宋体" w:cs="宋体" w:eastAsia="宋体" w:hint="default"/>
                <w:sz w:val="18"/>
                <w:szCs w:val="18"/>
              </w:rPr>
              <w:t>北京市经济和信息化委员会 曙光服务器政府补助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50,100.00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36"/>
              <w:jc w:val="left"/>
              <w:rPr>
                <w:rFonts w:ascii="宋体" w:hAnsi="宋体" w:cs="宋体" w:eastAsia="宋体" w:hint="default"/>
                <w:sz w:val="18"/>
                <w:szCs w:val="18"/>
              </w:rPr>
            </w:pPr>
            <w:r>
              <w:rPr>
                <w:rFonts w:ascii="宋体" w:hAnsi="宋体" w:cs="宋体" w:eastAsia="宋体" w:hint="default"/>
                <w:sz w:val="18"/>
                <w:szCs w:val="18"/>
              </w:rPr>
              <w:t>亿级规模网络身份管理与服 务系统技术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506,523.43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417,063.16</w:t>
            </w:r>
          </w:p>
        </w:tc>
        <w:tc>
          <w:tcPr>
            <w:tcW w:w="99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567,460.27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移动互联网密码服务技术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2,730,148.87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2,374,750.00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1,754,057.66</w:t>
            </w:r>
          </w:p>
        </w:tc>
        <w:tc>
          <w:tcPr>
            <w:tcW w:w="99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3,350,841.21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服务认证与证明技术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3,655,945.74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2,152,466.00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1,526,509.74</w:t>
            </w:r>
          </w:p>
        </w:tc>
        <w:tc>
          <w:tcPr>
            <w:tcW w:w="99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4,281,902.00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1,380,935.11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1,241,500.00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912,055.21</w:t>
            </w:r>
          </w:p>
        </w:tc>
        <w:tc>
          <w:tcPr>
            <w:tcW w:w="99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1,710,379.90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49"/>
        <w:ind w:left="552"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left="552" w:right="0"/>
        <w:jc w:val="left"/>
        <w:rPr>
          <w:b w:val="0"/>
          <w:bCs w:val="0"/>
        </w:rPr>
      </w:pPr>
      <w:r>
        <w:rPr>
          <w:rFonts w:ascii="Times New Roman" w:hAnsi="Times New Roman" w:cs="Times New Roman" w:eastAsia="Times New Roman" w:hint="default"/>
        </w:rPr>
        <w:t>21</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5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1"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60,000,000.00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60,000,000.00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180,000,000.00</w:t>
            </w:r>
          </w:p>
        </w:tc>
      </w:tr>
    </w:tbl>
    <w:p>
      <w:pPr>
        <w:pStyle w:val="BodyText"/>
        <w:spacing w:line="240" w:lineRule="auto" w:before="49"/>
        <w:ind w:left="552" w:right="0"/>
        <w:jc w:val="left"/>
      </w:pPr>
      <w:r>
        <w:rPr/>
        <w:t>其他说明：</w:t>
      </w:r>
    </w:p>
    <w:p>
      <w:pPr>
        <w:pStyle w:val="BodyText"/>
        <w:spacing w:line="240" w:lineRule="auto" w:before="119"/>
        <w:ind w:left="552" w:right="0"/>
        <w:jc w:val="left"/>
        <w:rPr>
          <w:rFonts w:ascii="Times New Roman" w:hAnsi="Times New Roman" w:cs="Times New Roman" w:eastAsia="Times New Roman"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7"/>
        </w:rPr>
        <w:t>日，本公司根据</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日通过的</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年年度股东大会决议，以资本公积金向全体股东每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48"/>
        </w:rPr>
        <w:t> </w:t>
      </w:r>
      <w:r>
        <w:rPr>
          <w:rFonts w:ascii="Times New Roman" w:hAnsi="Times New Roman" w:cs="Times New Roman" w:eastAsia="Times New Roman" w:hint="default"/>
        </w:rPr>
        <w:t>5</w:t>
      </w:r>
    </w:p>
    <w:p>
      <w:pPr>
        <w:pStyle w:val="BodyText"/>
        <w:spacing w:line="240" w:lineRule="auto" w:before="63"/>
        <w:ind w:left="552" w:right="0"/>
        <w:jc w:val="left"/>
      </w:pPr>
      <w:r>
        <w:rPr/>
        <w:t>股，转增后本公司股本总额为</w:t>
      </w:r>
      <w:r>
        <w:rPr>
          <w:spacing w:val="-45"/>
        </w:rPr>
        <w:t> </w:t>
      </w:r>
      <w:r>
        <w:rPr>
          <w:rFonts w:ascii="Times New Roman" w:hAnsi="Times New Roman" w:cs="Times New Roman" w:eastAsia="Times New Roman" w:hint="default"/>
        </w:rPr>
        <w:t>18,000.00</w:t>
      </w:r>
      <w:r>
        <w:rPr>
          <w:rFonts w:ascii="Times New Roman" w:hAnsi="Times New Roman" w:cs="Times New Roman" w:eastAsia="Times New Roman" w:hint="default"/>
          <w:spacing w:val="1"/>
        </w:rPr>
        <w:t> </w:t>
      </w:r>
      <w:r>
        <w:rPr/>
        <w:t>万股。</w:t>
      </w:r>
    </w:p>
    <w:p>
      <w:pPr>
        <w:spacing w:line="240" w:lineRule="auto" w:before="13"/>
        <w:rPr>
          <w:rFonts w:ascii="宋体" w:hAnsi="宋体" w:cs="宋体" w:eastAsia="宋体" w:hint="default"/>
          <w:sz w:val="25"/>
          <w:szCs w:val="25"/>
        </w:rPr>
      </w:pPr>
    </w:p>
    <w:p>
      <w:pPr>
        <w:pStyle w:val="Heading3"/>
        <w:spacing w:line="240" w:lineRule="auto"/>
        <w:ind w:left="552" w:right="0"/>
        <w:jc w:val="left"/>
        <w:rPr>
          <w:b w:val="0"/>
          <w:bCs w:val="0"/>
        </w:rPr>
      </w:pPr>
      <w:r>
        <w:rPr>
          <w:rFonts w:ascii="Times New Roman" w:hAnsi="Times New Roman" w:cs="Times New Roman" w:eastAsia="Times New Roman" w:hint="default"/>
        </w:rPr>
        <w:t>22</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547"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202,254,231.31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691,667.18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142,945,898.49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4,431,912.05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4,431,912.05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206,686,143.36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691,667.18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147,377,810.54</w:t>
            </w:r>
          </w:p>
        </w:tc>
      </w:tr>
    </w:tbl>
    <w:p>
      <w:pPr>
        <w:pStyle w:val="BodyText"/>
        <w:spacing w:line="240" w:lineRule="auto" w:before="49"/>
        <w:ind w:left="552" w:right="0"/>
        <w:jc w:val="both"/>
      </w:pPr>
      <w:r>
        <w:rPr/>
        <w:t>其他说明，包括本期增减变动情况、变动原因说明：</w:t>
      </w:r>
    </w:p>
    <w:p>
      <w:pPr>
        <w:pStyle w:val="BodyText"/>
        <w:spacing w:line="240" w:lineRule="auto" w:before="117"/>
        <w:ind w:left="552" w:right="0"/>
        <w:jc w:val="both"/>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w:t>
      </w:r>
      <w:r>
        <w:rPr>
          <w:spacing w:val="-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日，本公司根据</w:t>
      </w:r>
      <w:r>
        <w:rPr>
          <w:spacing w:val="-3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18</w:t>
      </w:r>
      <w:r>
        <w:rPr>
          <w:rFonts w:ascii="Times New Roman" w:hAnsi="Times New Roman" w:cs="Times New Roman" w:eastAsia="Times New Roman" w:hint="default"/>
          <w:spacing w:val="8"/>
        </w:rPr>
        <w:t> </w:t>
      </w:r>
      <w:r>
        <w:rPr/>
        <w:t>日通过的</w:t>
      </w:r>
      <w:r>
        <w:rPr>
          <w:spacing w:val="-3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年年度股东大会决议，以资本公积金向全体股东每</w:t>
      </w:r>
      <w:r>
        <w:rPr>
          <w:spacing w:val="-38"/>
        </w:rPr>
        <w:t> </w:t>
      </w:r>
      <w:r>
        <w:rPr>
          <w:rFonts w:ascii="Times New Roman" w:hAnsi="Times New Roman" w:cs="Times New Roman" w:eastAsia="Times New Roman" w:hint="default"/>
        </w:rPr>
        <w:t>10</w:t>
      </w:r>
    </w:p>
    <w:p>
      <w:pPr>
        <w:pStyle w:val="BodyText"/>
        <w:spacing w:line="240" w:lineRule="auto" w:before="63"/>
        <w:ind w:left="552" w:right="0"/>
        <w:jc w:val="both"/>
      </w:pPr>
      <w:r>
        <w:rPr/>
        <w:t>股转增</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股，减少资本公积金</w:t>
      </w:r>
      <w:r>
        <w:rPr>
          <w:spacing w:val="-47"/>
        </w:rPr>
        <w:t> </w:t>
      </w:r>
      <w:r>
        <w:rPr>
          <w:rFonts w:ascii="Times New Roman" w:hAnsi="Times New Roman" w:cs="Times New Roman" w:eastAsia="Times New Roman" w:hint="default"/>
        </w:rPr>
        <w:t>6,000</w:t>
      </w:r>
      <w:r>
        <w:rPr>
          <w:rFonts w:ascii="Times New Roman" w:hAnsi="Times New Roman" w:cs="Times New Roman" w:eastAsia="Times New Roman" w:hint="default"/>
          <w:spacing w:val="2"/>
        </w:rPr>
        <w:t> </w:t>
      </w:r>
      <w:r>
        <w:rPr/>
        <w:t>万元。</w:t>
      </w:r>
    </w:p>
    <w:p>
      <w:pPr>
        <w:pStyle w:val="BodyText"/>
        <w:spacing w:line="300" w:lineRule="auto" w:before="103"/>
        <w:ind w:left="552" w:right="1129"/>
        <w:jc w:val="both"/>
      </w:pPr>
      <w:r>
        <w:rPr/>
        <w:t>（</w:t>
      </w:r>
      <w:r>
        <w:rPr>
          <w:rFonts w:ascii="Times New Roman" w:hAnsi="Times New Roman" w:cs="Times New Roman" w:eastAsia="Times New Roman" w:hint="default"/>
        </w:rPr>
        <w:t>2</w:t>
      </w:r>
      <w:r>
        <w:rPr/>
        <w:t>）本报告期子公司安信天行实施股权激励计划，授予激励对象限制性股权，由其他股东北京安信立拓科技中心（有限合</w:t>
      </w:r>
      <w:r>
        <w:rPr>
          <w:spacing w:val="-84"/>
        </w:rPr>
        <w:t> </w:t>
      </w:r>
      <w:r>
        <w:rPr>
          <w:spacing w:val="-84"/>
        </w:rPr>
      </w:r>
      <w:r>
        <w:rPr>
          <w:spacing w:val="-3"/>
        </w:rPr>
        <w:t>伙）增资，增资完成后注册资本由人民币</w:t>
      </w:r>
      <w:r>
        <w:rPr>
          <w:spacing w:val="-54"/>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8"/>
        </w:rPr>
        <w:t> </w:t>
      </w:r>
      <w:r>
        <w:rPr/>
        <w:t>万元增加至</w:t>
      </w:r>
      <w:r>
        <w:rPr>
          <w:spacing w:val="-55"/>
        </w:rPr>
        <w:t> </w:t>
      </w:r>
      <w:r>
        <w:rPr>
          <w:rFonts w:ascii="Times New Roman" w:hAnsi="Times New Roman" w:cs="Times New Roman" w:eastAsia="Times New Roman" w:hint="default"/>
        </w:rPr>
        <w:t>3,147.00</w:t>
      </w:r>
      <w:r>
        <w:rPr>
          <w:rFonts w:ascii="Times New Roman" w:hAnsi="Times New Roman" w:cs="Times New Roman" w:eastAsia="Times New Roman" w:hint="default"/>
          <w:spacing w:val="-7"/>
        </w:rPr>
        <w:t> </w:t>
      </w:r>
      <w:r>
        <w:rPr/>
        <w:t>万元，股权结构为：北京数字认证股份有限公司占比 </w:t>
      </w:r>
      <w:r>
        <w:rPr>
          <w:rFonts w:ascii="Times New Roman" w:hAnsi="Times New Roman" w:cs="Times New Roman" w:eastAsia="Times New Roman" w:hint="default"/>
        </w:rPr>
        <w:t>95.33%</w:t>
      </w:r>
      <w:r>
        <w:rPr/>
        <w:t>，北京安信立拓科技中心（有限合伙）占比 </w:t>
      </w:r>
      <w:r>
        <w:rPr>
          <w:rFonts w:ascii="Times New Roman" w:hAnsi="Times New Roman" w:cs="Times New Roman" w:eastAsia="Times New Roman" w:hint="default"/>
        </w:rPr>
        <w:t>4.67%</w:t>
      </w:r>
      <w:r>
        <w:rPr/>
        <w:t>。增资完成后对安信天行持股比例由 </w:t>
      </w:r>
      <w:r>
        <w:rPr>
          <w:rFonts w:ascii="Times New Roman" w:hAnsi="Times New Roman" w:cs="Times New Roman" w:eastAsia="Times New Roman" w:hint="default"/>
        </w:rPr>
        <w:t>100.00%</w:t>
      </w:r>
      <w:r>
        <w:rPr/>
        <w:t>变更为</w:t>
      </w:r>
      <w:r>
        <w:rPr>
          <w:spacing w:val="-57"/>
        </w:rPr>
        <w:t> </w:t>
      </w:r>
      <w:r>
        <w:rPr>
          <w:rFonts w:ascii="Times New Roman" w:hAnsi="Times New Roman" w:cs="Times New Roman" w:eastAsia="Times New Roman" w:hint="default"/>
        </w:rPr>
        <w:t>95.33%</w:t>
      </w:r>
      <w:r>
        <w:rPr/>
        <w:t>，本 期达到解锁条件的股权比例为</w:t>
      </w:r>
      <w:r>
        <w:rPr>
          <w:spacing w:val="-45"/>
        </w:rPr>
        <w:t> </w:t>
      </w:r>
      <w:r>
        <w:rPr>
          <w:rFonts w:ascii="Times New Roman" w:hAnsi="Times New Roman" w:cs="Times New Roman" w:eastAsia="Times New Roman" w:hint="default"/>
        </w:rPr>
        <w:t>1.87%</w:t>
      </w:r>
      <w:r>
        <w:rPr/>
        <w:t>，形成未丧失控制权的权益交易导致股本溢价增加</w:t>
      </w:r>
      <w:r>
        <w:rPr>
          <w:spacing w:val="-45"/>
        </w:rPr>
        <w:t> </w:t>
      </w:r>
      <w:r>
        <w:rPr>
          <w:rFonts w:ascii="Times New Roman" w:hAnsi="Times New Roman" w:cs="Times New Roman" w:eastAsia="Times New Roman" w:hint="default"/>
        </w:rPr>
        <w:t>691,667.18</w:t>
      </w:r>
      <w:r>
        <w:rPr>
          <w:rFonts w:ascii="Times New Roman" w:hAnsi="Times New Roman" w:cs="Times New Roman" w:eastAsia="Times New Roman" w:hint="default"/>
          <w:spacing w:val="2"/>
        </w:rPr>
        <w:t> </w:t>
      </w:r>
      <w:r>
        <w:rPr/>
        <w:t>元。</w:t>
      </w:r>
    </w:p>
    <w:p>
      <w:pPr>
        <w:spacing w:after="0" w:line="300" w:lineRule="auto"/>
        <w:jc w:val="both"/>
        <w:sectPr>
          <w:pgSz w:w="11910" w:h="16840"/>
          <w:pgMar w:header="748" w:footer="979" w:top="1060" w:bottom="1160" w:left="5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23</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32,150,975.42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8,518,184.43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40,669,159.85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32,150,975.42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8,518,184.43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40,669,159.85</w:t>
            </w:r>
          </w:p>
        </w:tc>
      </w:tr>
    </w:tbl>
    <w:p>
      <w:pPr>
        <w:pStyle w:val="BodyText"/>
        <w:spacing w:line="240" w:lineRule="auto" w:before="49"/>
        <w:ind w:right="982"/>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24</w:t>
      </w:r>
      <w:r>
        <w:rPr/>
        <w:t>、未分配利润</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253,479,868.97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198,447,802.62</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-7,916,385.58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245,563,483.39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198,447,802.62</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98,526,028.23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86,455,400.69</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8,518,184.43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7,423,334.34</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311,571,327.19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253,479,868.97</w:t>
            </w:r>
          </w:p>
        </w:tc>
      </w:tr>
    </w:tbl>
    <w:p>
      <w:pPr>
        <w:pStyle w:val="BodyText"/>
        <w:spacing w:line="240" w:lineRule="auto" w:before="49"/>
        <w:ind w:right="982"/>
        <w:jc w:val="left"/>
      </w:pPr>
      <w:r>
        <w:rPr/>
        <w:t>调整期初未分配利润明细：</w:t>
      </w:r>
    </w:p>
    <w:p>
      <w:pPr>
        <w:pStyle w:val="BodyText"/>
        <w:spacing w:line="240" w:lineRule="auto" w:before="117"/>
        <w:ind w:right="982"/>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982"/>
        <w:jc w:val="left"/>
      </w:pPr>
      <w:r>
        <w:rPr>
          <w:rFonts w:ascii="Times New Roman" w:hAnsi="Times New Roman" w:cs="Times New Roman" w:eastAsia="Times New Roman" w:hint="default"/>
        </w:rPr>
        <w:t>2)</w:t>
      </w:r>
      <w:r>
        <w:rPr/>
        <w:t>、由于会计政策变更，影响期初未分配利润</w:t>
      </w:r>
      <w:r>
        <w:rPr>
          <w:rFonts w:ascii="Times New Roman" w:hAnsi="Times New Roman" w:cs="Times New Roman" w:eastAsia="Times New Roman" w:hint="default"/>
        </w:rPr>
        <w:t>-7,916,385.58</w:t>
      </w:r>
      <w:r>
        <w:rPr>
          <w:rFonts w:ascii="Times New Roman" w:hAnsi="Times New Roman" w:cs="Times New Roman" w:eastAsia="Times New Roman" w:hint="default"/>
          <w:spacing w:val="-2"/>
        </w:rPr>
        <w:t> </w:t>
      </w:r>
      <w:r>
        <w:rPr/>
        <w:t>元。</w:t>
      </w:r>
    </w:p>
    <w:p>
      <w:pPr>
        <w:pStyle w:val="BodyText"/>
        <w:spacing w:line="240" w:lineRule="auto" w:before="103"/>
        <w:ind w:right="982"/>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1"/>
        <w:ind w:right="982"/>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982"/>
        <w:jc w:val="left"/>
      </w:pPr>
      <w:r>
        <w:rPr>
          <w:rFonts w:ascii="Times New Roman" w:hAnsi="Times New Roman" w:cs="Times New Roman" w:eastAsia="Times New Roman" w:hint="default"/>
        </w:rPr>
        <w:t>5)</w:t>
      </w:r>
      <w:r>
        <w:rPr/>
        <w:t>、其他调整合计影响期初未分配利润元。</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25</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793,892,436.34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315,396,417.89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667,720,172.71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276,330,853.28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793,892,436.34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315,396,417.89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667,720,172.71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276,330,853.28</w:t>
            </w:r>
          </w:p>
        </w:tc>
      </w:tr>
    </w:tbl>
    <w:p>
      <w:pPr>
        <w:pStyle w:val="BodyText"/>
        <w:spacing w:line="240" w:lineRule="auto" w:before="49"/>
        <w:ind w:right="982"/>
        <w:jc w:val="left"/>
      </w:pPr>
      <w:r>
        <w:rPr/>
        <w:t>是否已执行新收入准则</w:t>
      </w:r>
    </w:p>
    <w:p>
      <w:pPr>
        <w:pStyle w:val="BodyText"/>
        <w:spacing w:line="338" w:lineRule="auto" w:before="119"/>
        <w:ind w:right="9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after="0" w:line="338"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26</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2,624,864.25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2,180,909.55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1,872,294.80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1,557,792.53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32,118.85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322,299.90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308,958.14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4,851,577.80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4,047,660.22</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rFonts w:ascii="Times New Roman" w:hAnsi="Times New Roman" w:cs="Times New Roman" w:eastAsia="Times New Roman" w:hint="default"/>
        </w:rPr>
        <w:t>27</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75,482,921.54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66,615,172.05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19,050,807.25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16,596,963.68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7,399,914.60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9,264,916.40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租赁及办公费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8,269,136.49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7,826,594.30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2,294,234.06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2,315,497.03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112,497,013.94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102,619,143.46</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28</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78,218,712.62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76,651,702.89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租赁及办公费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19,873,448.98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20,068,350.91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2,558,231.34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2,009,755.94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3,608,114.95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3,193,810.51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2,043,688.74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1,656,931.77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税费及残疾人保证金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2,909,732.76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2,434,077.68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1,427,996.04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883,607.78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947,616.32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359,584.38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111,587,541.75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107,257,821.86</w:t>
            </w:r>
          </w:p>
        </w:tc>
      </w:tr>
    </w:tbl>
    <w:p>
      <w:pPr>
        <w:pStyle w:val="BodyText"/>
        <w:spacing w:line="240" w:lineRule="auto" w:before="49"/>
        <w:ind w:right="982"/>
        <w:jc w:val="left"/>
      </w:pPr>
      <w:r>
        <w:rPr/>
        <w:t>其他说明：</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29</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125,338,076.01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74,693,573.09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租赁及办公费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5,395,279.53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2,193,225.12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1,273,998.70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1,266,844.23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5,061,668.55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2,474,670.23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3,272,403.10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2,214,141.85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259,023.14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200,184.84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1,414,589.31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915,850.92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142,015,038.34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83,958,490.28</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30</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2,162,982.22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3,156,575.09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376,567.74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351,959.99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-1,786,414.48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-2,804,615.10</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31</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17,477,657.16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10,942,724.24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3,233,400.00</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32</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-122,292.89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-2,167,326.22</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8,637,362.39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6,638,942.92</w:t>
            </w: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8,515,069.50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4,471,616.70</w:t>
            </w:r>
          </w:p>
        </w:tc>
      </w:tr>
    </w:tbl>
    <w:p>
      <w:pPr>
        <w:pStyle w:val="BodyText"/>
        <w:spacing w:line="240" w:lineRule="auto" w:before="49"/>
        <w:ind w:right="982"/>
        <w:jc w:val="left"/>
      </w:pPr>
      <w:r>
        <w:rPr/>
        <w:t>其他说明：</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33</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-2,119,860.49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-24,423,469.00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应收票据减值损失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-26,563,329.49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982"/>
        <w:jc w:val="left"/>
        <w:rPr>
          <w:b w:val="0"/>
          <w:bCs w:val="0"/>
        </w:rPr>
      </w:pPr>
      <w:r>
        <w:rPr>
          <w:rFonts w:ascii="Times New Roman" w:hAnsi="Times New Roman" w:cs="Times New Roman" w:eastAsia="Times New Roman" w:hint="default"/>
        </w:rPr>
        <w:t>34</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-16,030,141.06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-16,030,141.06</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35</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-106,110.23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-15,547.14</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36</w:t>
      </w:r>
      <w:r>
        <w:rPr/>
        <w:t>、营业外支出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281"/>
        <w:gridCol w:w="2278"/>
        <w:gridCol w:w="2624"/>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60,856.03</w:t>
            </w:r>
          </w:p>
        </w:tc>
        <w:tc>
          <w:tcPr>
            <w:tcW w:w="2278"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60,856.03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60,856.03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60,856.03</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37</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14,254,492.42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19,063,900.68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-2,553,428.64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-6,606,429.92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11,701,063.78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12,457,470.76</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814"/>
        <w:gridCol w:w="3757"/>
      </w:tblGrid>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110,227,092.01</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16,534,063.80</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-103,806.80</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544,831.22</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3,690,671.43</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247,182.95</w:t>
            </w:r>
          </w:p>
        </w:tc>
      </w:tr>
      <w:tr>
        <w:trPr>
          <w:trHeight w:val="401"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18,343.93</w:t>
            </w:r>
          </w:p>
        </w:tc>
      </w:tr>
      <w:tr>
        <w:trPr>
          <w:trHeight w:val="403"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-9,230,222.75</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11,701,063.78</w:t>
            </w:r>
          </w:p>
        </w:tc>
      </w:tr>
    </w:tbl>
    <w:p>
      <w:pPr>
        <w:pStyle w:val="BodyText"/>
        <w:spacing w:line="240" w:lineRule="auto" w:before="50"/>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38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7,830,027.72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5,595,207.42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2,162,982.22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3,156,575.09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收回的受限资金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4,635,483.48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6,530,576.46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14,628,493.42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15,282,358.97</w:t>
            </w:r>
          </w:p>
        </w:tc>
      </w:tr>
    </w:tbl>
    <w:p>
      <w:pPr>
        <w:pStyle w:val="BodyText"/>
        <w:spacing w:line="240" w:lineRule="auto" w:before="49"/>
        <w:ind w:right="982"/>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79,964,817.09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78,247,535.90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押金及项目保证金等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2,668,691.70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2,672,753.48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支付的受限资金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4,465,445.18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376,567.74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351,959.99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3,370,373.38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86,380,449.91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85,737,694.55</w:t>
            </w:r>
          </w:p>
        </w:tc>
      </w:tr>
    </w:tbl>
    <w:p>
      <w:pPr>
        <w:pStyle w:val="BodyText"/>
        <w:spacing w:line="240" w:lineRule="auto" w:before="49"/>
        <w:ind w:right="982"/>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982"/>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982"/>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982"/>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982"/>
        <w:jc w:val="left"/>
      </w:pPr>
      <w:r>
        <w:rPr/>
        <w:t>支付的其他与筹资活动有关的现金说明：</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39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12"/>
        <w:gridCol w:w="2729"/>
        <w:gridCol w:w="2729"/>
      </w:tblGrid>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8"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98,526,028.23</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86,455,400.69</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26,563,329.49</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16,030,141.06</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固定资产折旧、油气资产折耗、生产性生物资产折旧</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6,370,770.58</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5,658,175.37</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1,869,707.21</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1,510,206.08</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136,424.57</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65,697.55</w:t>
            </w:r>
          </w:p>
        </w:tc>
      </w:tr>
      <w:tr>
        <w:trPr>
          <w:trHeight w:val="715"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处置固定资产、无形资产和其他长期资产的损失（收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106,110.23</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15,547.14</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-8,515,069.50</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-4,471,616.70</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-2,553,428.64</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-6,606,429.92</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-53,334,103.72</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-51,379,975.28</w:t>
            </w:r>
          </w:p>
        </w:tc>
      </w:tr>
      <w:tr>
        <w:trPr>
          <w:trHeight w:val="404"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-123,533,722.62</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-43,971,134.09</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124,514,881.73</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129,122,495.30</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4,635,483.48</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-4,465,445.18</w:t>
            </w:r>
          </w:p>
        </w:tc>
      </w:tr>
      <w:tr>
        <w:trPr>
          <w:trHeight w:val="406"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74,786,411.04</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127,963,062.02</w:t>
            </w:r>
          </w:p>
        </w:tc>
      </w:tr>
      <w:tr>
        <w:trPr>
          <w:trHeight w:val="398"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643,210,012.56</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654,151,952.06</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654,151,952.06</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465,844,561.63</w:t>
            </w:r>
          </w:p>
        </w:tc>
      </w:tr>
      <w:tr>
        <w:trPr>
          <w:trHeight w:val="404"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-10,941,939.50</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188,307,390.43</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其他说明：</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982"/>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643,210,012.56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654,151,952.06</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127,003.48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280,774.62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643,083,009.08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653,871,177.44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643,210,012.56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654,151,952.06</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spacing w:line="547" w:lineRule="auto" w:before="120"/>
        <w:ind w:left="152" w:right="5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6"/>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16,897,897.59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16,897,897.59</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42</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395"/>
        <w:gridCol w:w="1726"/>
        <w:gridCol w:w="1724"/>
        <w:gridCol w:w="1726"/>
      </w:tblGrid>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10,909,201.45</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10,909,201.45</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高性能签名验签服务器产业化中央补助资金</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395"/>
        <w:gridCol w:w="1726"/>
        <w:gridCol w:w="1724"/>
        <w:gridCol w:w="1726"/>
      </w:tblGrid>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北京市经济和信息化委员会曙光服务器政府补助</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33,400.00</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33,400.00</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亿级规模网络身份管理与服务系统技术</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417,063.16</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417,063.16</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移动互联网密码服务技术</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1,754,057.66</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1,754,057.66</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服务认证与证明技术</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1,526,509.74</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1,526,509.74</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912,055.21</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912,055.21</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政府其他奖励补贴</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1,958,769.94</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1,958,769.94</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7"/>
        <w:rPr>
          <w:rFonts w:ascii="宋体" w:hAnsi="宋体" w:cs="宋体" w:eastAsia="宋体" w:hint="default"/>
          <w:sz w:val="21"/>
          <w:szCs w:val="21"/>
        </w:rPr>
      </w:pPr>
    </w:p>
    <w:p>
      <w:pPr>
        <w:spacing w:line="487" w:lineRule="auto" w:before="0"/>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right="982"/>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49"/>
        <w:ind w:right="982"/>
        <w:jc w:val="left"/>
      </w:pPr>
      <w:r>
        <w:rPr/>
        <w:t>其他说明：</w:t>
      </w:r>
    </w:p>
    <w:p>
      <w:pPr>
        <w:pStyle w:val="BodyText"/>
        <w:spacing w:line="240" w:lineRule="auto" w:before="117"/>
        <w:ind w:left="513" w:right="982"/>
        <w:jc w:val="left"/>
      </w:pPr>
      <w:r>
        <w:rPr/>
        <w:t>本集团报告期内未发生非同一控制下企业合并。</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8"/>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7;width:24;height:392" coordorigin="4763,17" coordsize="24,392">
              <v:shape style="position:absolute;left:4763;top:17;width:24;height:392" coordorigin="4763,17" coordsize="24,392" path="m4763,408l4787,408,4787,17,4763,17,4763,408xe" filled="true" fillcolor="#d2d2d2" stroked="false">
                <v:path arrowok="t"/>
                <v:fill type="solid"/>
              </v:shape>
            </v:group>
            <v:group style="position:absolute;left:12;top:17;width:22;height:392" coordorigin="12,17" coordsize="22,392">
              <v:shape style="position:absolute;left:12;top:17;width:22;height:392" coordorigin="12,17" coordsize="22,392" path="m12,408l34,408,34,17,12,17,12,408xe" filled="true" fillcolor="#d2d2d2" stroked="false">
                <v:path arrowok="t"/>
                <v:fill type="solid"/>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796;top:17;width:22;height:392" coordorigin="4796,17" coordsize="22,392">
              <v:shape style="position:absolute;left:4796;top:17;width:22;height:392" coordorigin="4796,17" coordsize="22,392" path="m4796,408l4818,408,4818,17,4796,17,4796,408xe" filled="true" fillcolor="#d2d2d2" stroked="false">
                <v:path arrowok="t"/>
                <v:fill type="solid"/>
              </v:shape>
            </v:group>
            <v:group style="position:absolute;left:9547;top:17;width:24;height:392" coordorigin="9547,17" coordsize="24,392">
              <v:shape style="position:absolute;left:9547;top:17;width:24;height:392" coordorigin="9547,17" coordsize="24,392" path="m9547,408l9571,408,9571,17,9547,17,9547,408xe" filled="true" fillcolor="#d2d2d2" stroked="false">
                <v:path arrowok="t"/>
                <v:fill type="solid"/>
              </v:shape>
            </v:group>
            <v:group style="position:absolute;left:4818;top:17;width:4729;height:392" coordorigin="4818,17" coordsize="4729,392">
              <v:shape style="position:absolute;left:4818;top:17;width:4729;height:392" coordorigin="4818,17" coordsize="4729,392" path="m4818,408l9547,408,9547,17,4818,17,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4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4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1;width:4783;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4"/>
        <w:ind w:right="6074"/>
        <w:jc w:val="left"/>
      </w:pPr>
      <w:r>
        <w:rPr/>
        <w:t>合并成本公允价值的确定方法、或有对价及其变动的说明： 大额商誉形成的主要原因：</w:t>
      </w:r>
    </w:p>
    <w:p>
      <w:pPr>
        <w:pStyle w:val="BodyText"/>
        <w:spacing w:line="240" w:lineRule="auto" w:before="27"/>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7"/>
        <w:rPr>
          <w:rFonts w:ascii="宋体" w:hAnsi="宋体" w:cs="宋体" w:eastAsia="宋体" w:hint="default"/>
          <w:sz w:val="25"/>
          <w:szCs w:val="25"/>
        </w:rPr>
      </w:pPr>
    </w:p>
    <w:p>
      <w:pPr>
        <w:pStyle w:val="BodyText"/>
        <w:spacing w:line="360" w:lineRule="auto" w:before="44"/>
        <w:ind w:right="7531"/>
        <w:jc w:val="both"/>
      </w:pPr>
      <w:r>
        <w:rPr/>
        <w:t>可辨认资产、负债公允价值的确定方法： 企业合并中承担的被购买方的或有负债： 其他说明：</w:t>
      </w:r>
    </w:p>
    <w:p>
      <w:pPr>
        <w:spacing w:line="240" w:lineRule="auto" w:before="4"/>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8"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436"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982"/>
        <w:jc w:val="left"/>
      </w:pPr>
      <w:r>
        <w:rPr/>
        <w:t>其他说明：</w:t>
      </w:r>
    </w:p>
    <w:p>
      <w:pPr>
        <w:pStyle w:val="BodyText"/>
        <w:spacing w:line="240" w:lineRule="auto" w:before="117"/>
        <w:ind w:left="513" w:right="982"/>
        <w:jc w:val="left"/>
      </w:pPr>
      <w:r>
        <w:rPr/>
        <w:t>本集团报告期内未发生同一控制下企业合并。</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4763;top:14;width:24;height:392" coordorigin="4763,14" coordsize="24,392">
              <v:shape style="position:absolute;left:4763;top:14;width:24;height:392" coordorigin="4763,14" coordsize="24,392" path="m4763,406l4787,406,4787,14,4763,14,4763,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796;top:14;width:22;height:392" coordorigin="4796,14" coordsize="22,392">
              <v:shape style="position:absolute;left:4796;top:14;width:22;height:392" coordorigin="4796,14" coordsize="22,392" path="m4796,406l4818,406,4818,14,4796,14,4796,406xe" filled="true" fillcolor="#d2d2d2" stroked="false">
                <v:path arrowok="t"/>
                <v:fill type="solid"/>
              </v:shape>
            </v:group>
            <v:group style="position:absolute;left:9547;top:14;width:24;height:392" coordorigin="9547,14" coordsize="24,392">
              <v:shape style="position:absolute;left:9547;top:14;width:24;height:392" coordorigin="9547,14" coordsize="24,392" path="m9547,406l9571,406,9571,14,9547,14,9547,406xe" filled="true" fillcolor="#d2d2d2" stroked="false">
                <v:path arrowok="t"/>
                <v:fill type="solid"/>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4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4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7998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83;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2" w:lineRule="auto" w:before="44"/>
        <w:ind w:right="8594"/>
        <w:jc w:val="left"/>
      </w:pPr>
      <w:r>
        <w:rPr/>
        <w:t>或有对价及其变动的说明： 其他说明：</w:t>
      </w:r>
    </w:p>
    <w:p>
      <w:pPr>
        <w:spacing w:line="240" w:lineRule="auto" w:before="13"/>
        <w:rPr>
          <w:rFonts w:ascii="宋体" w:hAnsi="宋体" w:cs="宋体" w:eastAsia="宋体" w:hint="default"/>
          <w:sz w:val="19"/>
          <w:szCs w:val="19"/>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3169;top:14;width:24;height:392" coordorigin="3169,14" coordsize="24,392">
              <v:shape style="position:absolute;left:3169;top:14;width:24;height:392" coordorigin="3169,14" coordsize="24,392" path="m3169,406l3193,406,3193,14,3169,14,3169,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3136;height:392" coordorigin="34,14" coordsize="3136,392">
              <v:shape style="position:absolute;left:34;top:14;width:3136;height:392" coordorigin="34,14" coordsize="3136,392" path="m34,406l3169,406,3169,14,34,14,34,406xe" filled="true" fillcolor="#d2d2d2" stroked="false">
                <v:path arrowok="t"/>
                <v:fill type="solid"/>
              </v:shape>
            </v:group>
            <v:group style="position:absolute;left:3203;top:14;width:22;height:392" coordorigin="3203,14" coordsize="22,392">
              <v:shape style="position:absolute;left:3203;top:14;width:22;height:392" coordorigin="3203,14" coordsize="22,392" path="m3203,406l3224,406,3224,14,3203,14,3203,406xe" filled="true" fillcolor="#d2d2d2" stroked="false">
                <v:path arrowok="t"/>
                <v:fill type="solid"/>
              </v:shape>
            </v:group>
            <v:group style="position:absolute;left:9549;top:14;width:24;height:392" coordorigin="9549,14" coordsize="24,392">
              <v:shape style="position:absolute;left:9549;top:14;width:24;height:392" coordorigin="9549,14" coordsize="24,392" path="m9549,406l9573,406,9573,14,9549,14,9549,406xe" filled="true" fillcolor="#d2d2d2" stroked="false">
                <v:path arrowok="t"/>
                <v:fill type="solid"/>
              </v:shape>
            </v:group>
            <v:group style="position:absolute;left:3224;top:14;width:6325;height:392" coordorigin="3224,14" coordsize="6325,392">
              <v:shape style="position:absolute;left:3224;top:14;width:6325;height:392" coordorigin="3224,14" coordsize="6325,392" path="m3224,406l9549,406,9549,14,3224,14,3224,406xe" filled="true" fillcolor="#d2d2d2"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7998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7998pt" strokecolor="#000000">
                <v:path arrowok="t"/>
              </v:shape>
            </v:group>
            <v:group style="position:absolute;left:3169;top:415;width:24;height:394" coordorigin="3169,415" coordsize="24,394">
              <v:shape style="position:absolute;left:3169;top:415;width:24;height:394" coordorigin="3169,415" coordsize="24,394" path="m3169,809l3193,809,3193,415,3169,415,3169,809xe" filled="true" fillcolor="#d2d2d2" stroked="false">
                <v:path arrowok="t"/>
                <v:fill type="solid"/>
              </v:shape>
            </v:group>
            <v:group style="position:absolute;left:12;top:415;width:22;height:394" coordorigin="12,415" coordsize="22,394">
              <v:shape style="position:absolute;left:12;top:415;width:22;height:394" coordorigin="12,415" coordsize="22,394" path="m12,809l34,809,34,415,12,415,12,809xe" filled="true" fillcolor="#d2d2d2" stroked="false">
                <v:path arrowok="t"/>
                <v:fill type="solid"/>
              </v:shape>
            </v:group>
            <v:group style="position:absolute;left:34;top:415;width:3136;height:394" coordorigin="34,415" coordsize="3136,394">
              <v:shape style="position:absolute;left:34;top:415;width:3136;height:394" coordorigin="34,415" coordsize="3136,394" path="m34,809l3169,809,3169,415,34,415,34,809xe" filled="true" fillcolor="#d2d2d2" stroked="false">
                <v:path arrowok="t"/>
                <v:fill type="solid"/>
              </v:shape>
            </v:group>
            <v:group style="position:absolute;left:6359;top:415;width:24;height:394" coordorigin="6359,415" coordsize="24,394">
              <v:shape style="position:absolute;left:6359;top:415;width:24;height:394" coordorigin="6359,415" coordsize="24,394" path="m6359,809l6383,809,6383,415,6359,415,6359,809xe" filled="true" fillcolor="#d2d2d2" stroked="false">
                <v:path arrowok="t"/>
                <v:fill type="solid"/>
              </v:shape>
            </v:group>
            <v:group style="position:absolute;left:3203;top:415;width:22;height:394" coordorigin="3203,415" coordsize="22,394">
              <v:shape style="position:absolute;left:3203;top:415;width:22;height:394" coordorigin="3203,415" coordsize="22,394" path="m3203,809l3224,809,3224,415,3203,415,3203,809xe" filled="true" fillcolor="#d2d2d2" stroked="false">
                <v:path arrowok="t"/>
                <v:fill type="solid"/>
              </v:shape>
            </v:group>
            <v:group style="position:absolute;left:3224;top:415;width:3135;height:394" coordorigin="3224,415" coordsize="3135,394">
              <v:shape style="position:absolute;left:3224;top:415;width:3135;height:394" coordorigin="3224,415" coordsize="3135,394" path="m3224,809l6359,809,6359,415,3224,415,3224,809xe" filled="true" fillcolor="#d2d2d2" stroked="false">
                <v:path arrowok="t"/>
                <v:fill type="solid"/>
              </v:shape>
            </v:group>
            <v:group style="position:absolute;left:9549;top:415;width:24;height:394" coordorigin="9549,415" coordsize="24,394">
              <v:shape style="position:absolute;left:9549;top:415;width:24;height:394" coordorigin="9549,415" coordsize="24,394" path="m9549,809l9573,809,9573,415,9549,415,9549,809xe" filled="true" fillcolor="#d2d2d2" stroked="false">
                <v:path arrowok="t"/>
                <v:fill type="solid"/>
              </v:shape>
            </v:group>
            <v:group style="position:absolute;left:6393;top:415;width:22;height:394" coordorigin="6393,415" coordsize="22,394">
              <v:shape style="position:absolute;left:6393;top:415;width:22;height:394" coordorigin="6393,415" coordsize="22,394" path="m6393,809l6414,809,6414,415,6393,415,6393,809xe" filled="true" fillcolor="#d2d2d2" stroked="false">
                <v:path arrowok="t"/>
                <v:fill type="solid"/>
              </v:shape>
            </v:group>
            <v:group style="position:absolute;left:6414;top:415;width:3135;height:394" coordorigin="6414,415" coordsize="3135,394">
              <v:shape style="position:absolute;left:6414;top:415;width:3135;height:394" coordorigin="6414,415" coordsize="3135,394" path="m6414,809l9549,809,9549,415,6414,415,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1,410e" filled="false" stroked="true" strokeweight=".48004pt" strokecolor="#000000">
                <v:path arrowok="t"/>
              </v:shape>
            </v:group>
            <v:group style="position:absolute;left:3200;top:410;width:3181;height:2" coordorigin="3200,410" coordsize="3181,2">
              <v:shape style="position:absolute;left:3200;top:410;width:3181;height:2" coordorigin="3200,410" coordsize="3181,0" path="m3200,410l6381,410e" filled="false" stroked="true" strokeweight=".48004pt" strokecolor="#000000">
                <v:path arrowok="t"/>
              </v:shape>
            </v:group>
            <v:group style="position:absolute;left:6390;top:410;width:3183;height:2" coordorigin="6390,410" coordsize="3183,2">
              <v:shape style="position:absolute;left:6390;top:410;width:3183;height:2" coordorigin="6390,410" coordsize="3183,0" path="m6390,410l9573,410e" filled="false" stroked="true" strokeweight=".48004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799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7998pt" strokecolor="#000000">
                <v:path arrowok="t"/>
              </v:shape>
            </v:group>
            <v:group style="position:absolute;left:6385;top:406;width:2;height:413" coordorigin="6385,406" coordsize="2,413">
              <v:shape style="position:absolute;left:6385;top:406;width:2;height:413" coordorigin="6385,406" coordsize="0,413" path="m6385,406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7998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0;width:3190;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0;width:3193;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4"/>
        <w:ind w:right="7514"/>
        <w:jc w:val="left"/>
      </w:pPr>
      <w:r>
        <w:rPr/>
        <w:t>企业合并中承担的被合并方的或有负债： 其他说明：</w:t>
      </w:r>
    </w:p>
    <w:p>
      <w:pPr>
        <w:spacing w:after="0" w:line="36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2"/>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pStyle w:val="BodyText"/>
        <w:spacing w:line="240" w:lineRule="auto" w:before="57"/>
        <w:ind w:left="513" w:right="982"/>
        <w:jc w:val="left"/>
      </w:pPr>
      <w:r>
        <w:rPr/>
        <w:t>本集团报告期内未发生反向购买。</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是否存在单次处置对子公司投资即丧失控制权的情形</w:t>
      </w:r>
    </w:p>
    <w:p>
      <w:pPr>
        <w:pStyle w:val="BodyText"/>
        <w:spacing w:line="340" w:lineRule="auto" w:before="115"/>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1"/>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369" w:right="3914" w:hanging="217"/>
        <w:jc w:val="left"/>
      </w:pPr>
      <w:r>
        <w:rPr/>
        <w:t>说明其他原因导致的合并范围变动（如，新设子公司、清算子公司等）及其相关情况： 本报告期合并范围没有发生变动。</w:t>
      </w:r>
    </w:p>
    <w:p>
      <w:pPr>
        <w:spacing w:line="240" w:lineRule="auto" w:before="4"/>
        <w:rPr>
          <w:rFonts w:ascii="宋体" w:hAnsi="宋体" w:cs="宋体" w:eastAsia="宋体" w:hint="default"/>
          <w:sz w:val="20"/>
          <w:szCs w:val="20"/>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982"/>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56"/>
        <w:gridCol w:w="883"/>
        <w:gridCol w:w="853"/>
        <w:gridCol w:w="2552"/>
        <w:gridCol w:w="1027"/>
        <w:gridCol w:w="1100"/>
        <w:gridCol w:w="1632"/>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0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5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6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039" w:type="dxa"/>
            <w:gridSpan w:val="2"/>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2552" w:type="dxa"/>
            <w:vMerge/>
            <w:tcBorders>
              <w:left w:val="single" w:sz="4" w:space="0" w:color="000000"/>
              <w:bottom w:val="single" w:sz="4" w:space="0" w:color="000000"/>
              <w:right w:val="single" w:sz="4" w:space="0" w:color="000000"/>
            </w:tcBorders>
            <w:shd w:val="clear" w:color="auto" w:fill="D2D2D2"/>
          </w:tcPr>
          <w:p>
            <w:pP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63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宋体" w:hAnsi="宋体" w:cs="宋体" w:eastAsia="宋体" w:hint="default"/>
                <w:sz w:val="18"/>
                <w:szCs w:val="18"/>
              </w:rPr>
              <w:t>安信天行</w:t>
            </w:r>
          </w:p>
        </w:tc>
        <w:tc>
          <w:tcPr>
            <w:tcW w:w="10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系统集成及软件开发</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95.33%</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数字认证</w:t>
            </w:r>
          </w:p>
        </w:tc>
        <w:tc>
          <w:tcPr>
            <w:tcW w:w="156" w:type="dxa"/>
            <w:tcBorders>
              <w:top w:val="single" w:sz="4" w:space="0" w:color="000000"/>
              <w:left w:val="single" w:sz="4" w:space="0" w:color="000000"/>
              <w:bottom w:val="single" w:sz="4" w:space="0" w:color="000000"/>
              <w:right w:val="nil" w:sz="6" w:space="0" w:color="auto"/>
            </w:tcBorders>
            <w:shd w:val="clear" w:color="auto" w:fill="FFFFFF"/>
          </w:tcPr>
          <w:p>
            <w:pPr/>
          </w:p>
        </w:tc>
        <w:tc>
          <w:tcPr>
            <w:tcW w:w="883" w:type="dxa"/>
            <w:tcBorders>
              <w:top w:val="single" w:sz="4" w:space="0" w:color="000000"/>
              <w:left w:val="nil" w:sz="6" w:space="0" w:color="auto"/>
              <w:bottom w:val="single" w:sz="4" w:space="0" w:color="000000"/>
              <w:right w:val="single" w:sz="10" w:space="0" w:color="FFFFFF"/>
            </w:tcBorders>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湖北省</w:t>
            </w:r>
          </w:p>
        </w:tc>
        <w:tc>
          <w:tcPr>
            <w:tcW w:w="85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湖北省</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信息安全及软件服务</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right"/>
              <w:rPr>
                <w:rFonts w:ascii="宋体" w:hAnsi="宋体" w:cs="宋体" w:eastAsia="宋体" w:hint="default"/>
                <w:sz w:val="18"/>
                <w:szCs w:val="18"/>
              </w:rPr>
            </w:pPr>
            <w:r>
              <w:rPr>
                <w:rFonts w:ascii="宋体" w:hAnsi="宋体" w:cs="宋体" w:eastAsia="宋体" w:hint="default"/>
                <w:sz w:val="18"/>
                <w:szCs w:val="18"/>
              </w:rPr>
              <w:t>数字医信</w:t>
            </w:r>
          </w:p>
        </w:tc>
        <w:tc>
          <w:tcPr>
            <w:tcW w:w="10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安全可信的互联网医疗服务</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49"/>
        <w:ind w:right="2834"/>
        <w:jc w:val="left"/>
      </w:pPr>
      <w:r>
        <w:rPr/>
        <w:pict>
          <v:shape style="position:absolute;margin-left:92.279999pt;margin-top:-40.228283pt;width:84.75pt;height:19.6pt;mso-position-horizontal-relative:page;mso-position-vertical-relative:paragraph;z-index:-883048" type="#_x0000_t202" filled="false" stroked="false">
            <v:textbox inset="0,0,0,0">
              <w:txbxContent>
                <w:p>
                  <w:pPr>
                    <w:pStyle w:val="BodyText"/>
                    <w:spacing w:line="240" w:lineRule="auto" w:before="49"/>
                    <w:ind w:left="0" w:right="0"/>
                    <w:jc w:val="left"/>
                  </w:pPr>
                  <w:r>
                    <w:rPr/>
                    <w:t>（武汉）</w:t>
                  </w:r>
                </w:p>
              </w:txbxContent>
            </v:textbox>
            <w10:wrap type="none"/>
          </v:shape>
        </w:pict>
      </w: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5"/>
        <w:ind w:right="7694"/>
        <w:jc w:val="left"/>
      </w:pPr>
      <w:r>
        <w:rPr/>
        <w:t>确定公司是代理人还是委托人的依据： 其他说明：</w:t>
      </w:r>
    </w:p>
    <w:p>
      <w:pPr>
        <w:spacing w:line="240" w:lineRule="auto" w:before="4"/>
        <w:rPr>
          <w:rFonts w:ascii="宋体" w:hAnsi="宋体" w:cs="宋体" w:eastAsia="宋体" w:hint="default"/>
          <w:sz w:val="20"/>
          <w:szCs w:val="20"/>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59"/>
        <w:gridCol w:w="2410"/>
        <w:gridCol w:w="1774"/>
        <w:gridCol w:w="1913"/>
        <w:gridCol w:w="1916"/>
      </w:tblGrid>
      <w:tr>
        <w:trPr>
          <w:trHeight w:val="362"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本期归属于少数股东</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本期向少数股东宣告分</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60"/>
        <w:gridCol w:w="2410"/>
        <w:gridCol w:w="1774"/>
        <w:gridCol w:w="1913"/>
        <w:gridCol w:w="1916"/>
      </w:tblGrid>
      <w:tr>
        <w:trPr>
          <w:trHeight w:val="40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2" w:right="0"/>
              <w:jc w:val="left"/>
              <w:rPr>
                <w:rFonts w:ascii="宋体" w:hAnsi="宋体" w:cs="宋体" w:eastAsia="宋体" w:hint="default"/>
                <w:sz w:val="18"/>
                <w:szCs w:val="18"/>
              </w:rPr>
            </w:pPr>
            <w:r>
              <w:rPr>
                <w:rFonts w:ascii="宋体" w:hAnsi="宋体" w:cs="宋体" w:eastAsia="宋体" w:hint="default"/>
                <w:sz w:val="18"/>
                <w:szCs w:val="18"/>
              </w:rPr>
              <w:t>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安信天行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2,130,732.82</w:t>
            </w:r>
          </w:p>
        </w:tc>
      </w:tr>
    </w:tbl>
    <w:p>
      <w:pPr>
        <w:pStyle w:val="BodyText"/>
        <w:spacing w:line="348" w:lineRule="auto" w:before="49"/>
        <w:ind w:right="4169"/>
        <w:jc w:val="left"/>
      </w:pPr>
      <w:r>
        <w:rPr/>
        <w:t>子公司少数股东的持股比例不同于表决权比例的说明： 根据股权激励计划和考核结果，截至本报告期末，到解锁条件的股权比例为</w:t>
      </w:r>
      <w:r>
        <w:rPr>
          <w:rFonts w:ascii="Times New Roman" w:hAnsi="Times New Roman" w:cs="Times New Roman" w:eastAsia="Times New Roman" w:hint="default"/>
        </w:rPr>
        <w:t>1.87%</w:t>
      </w:r>
      <w:r>
        <w:rPr/>
        <w:t>。 其他说明：</w:t>
      </w:r>
    </w:p>
    <w:p>
      <w:pPr>
        <w:spacing w:line="240" w:lineRule="auto" w:before="2"/>
        <w:rPr>
          <w:rFonts w:ascii="宋体" w:hAnsi="宋体" w:cs="宋体" w:eastAsia="宋体" w:hint="default"/>
          <w:sz w:val="21"/>
          <w:szCs w:val="21"/>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5"/>
        <w:gridCol w:w="734"/>
        <w:gridCol w:w="734"/>
        <w:gridCol w:w="737"/>
        <w:gridCol w:w="737"/>
        <w:gridCol w:w="734"/>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2" w:right="0"/>
              <w:jc w:val="left"/>
              <w:rPr>
                <w:rFonts w:ascii="宋体" w:hAnsi="宋体" w:cs="宋体" w:eastAsia="宋体" w:hint="default"/>
                <w:sz w:val="15"/>
                <w:szCs w:val="15"/>
              </w:rPr>
            </w:pPr>
            <w:r>
              <w:rPr>
                <w:rFonts w:ascii="宋体" w:hAnsi="宋体" w:cs="宋体" w:eastAsia="宋体" w:hint="default"/>
                <w:sz w:val="15"/>
                <w:szCs w:val="15"/>
              </w:rPr>
              <w:t>安信天行</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8" w:right="0"/>
              <w:jc w:val="left"/>
              <w:rPr>
                <w:rFonts w:ascii="Times New Roman" w:hAnsi="Times New Roman" w:cs="Times New Roman" w:eastAsia="Times New Roman" w:hint="default"/>
                <w:sz w:val="15"/>
                <w:szCs w:val="15"/>
              </w:rPr>
            </w:pPr>
            <w:r>
              <w:rPr>
                <w:rFonts w:ascii="Times New Roman"/>
                <w:sz w:val="15"/>
              </w:rPr>
              <w:t>445,471,96</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441" w:right="0"/>
              <w:jc w:val="left"/>
              <w:rPr>
                <w:rFonts w:ascii="Times New Roman" w:hAnsi="Times New Roman" w:cs="Times New Roman" w:eastAsia="Times New Roman" w:hint="default"/>
                <w:sz w:val="15"/>
                <w:szCs w:val="15"/>
              </w:rPr>
            </w:pPr>
            <w:r>
              <w:rPr>
                <w:rFonts w:ascii="Times New Roman"/>
                <w:sz w:val="15"/>
              </w:rPr>
              <w:t>5.57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5"/>
                <w:szCs w:val="15"/>
              </w:rPr>
            </w:pPr>
            <w:r>
              <w:rPr>
                <w:rFonts w:ascii="Times New Roman"/>
                <w:spacing w:val="-1"/>
                <w:sz w:val="15"/>
              </w:rPr>
              <w:t>12,065,090</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8" w:right="0"/>
              <w:jc w:val="left"/>
              <w:rPr>
                <w:rFonts w:ascii="Times New Roman" w:hAnsi="Times New Roman" w:cs="Times New Roman" w:eastAsia="Times New Roman" w:hint="default"/>
                <w:sz w:val="15"/>
                <w:szCs w:val="15"/>
              </w:rPr>
            </w:pPr>
            <w:r>
              <w:rPr>
                <w:rFonts w:ascii="Times New Roman"/>
                <w:sz w:val="15"/>
              </w:rPr>
              <w:t>457,537,05</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442" w:right="0"/>
              <w:jc w:val="left"/>
              <w:rPr>
                <w:rFonts w:ascii="Times New Roman" w:hAnsi="Times New Roman" w:cs="Times New Roman" w:eastAsia="Times New Roman" w:hint="default"/>
                <w:sz w:val="15"/>
                <w:szCs w:val="15"/>
              </w:rPr>
            </w:pPr>
            <w:r>
              <w:rPr>
                <w:rFonts w:ascii="Times New Roman"/>
                <w:sz w:val="15"/>
              </w:rPr>
              <w:t>6.14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8" w:right="0"/>
              <w:jc w:val="left"/>
              <w:rPr>
                <w:rFonts w:ascii="Times New Roman" w:hAnsi="Times New Roman" w:cs="Times New Roman" w:eastAsia="Times New Roman" w:hint="default"/>
                <w:sz w:val="15"/>
                <w:szCs w:val="15"/>
              </w:rPr>
            </w:pPr>
            <w:r>
              <w:rPr>
                <w:rFonts w:ascii="Times New Roman"/>
                <w:sz w:val="15"/>
              </w:rPr>
              <w:t>344,610,38</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441" w:right="0"/>
              <w:jc w:val="left"/>
              <w:rPr>
                <w:rFonts w:ascii="Times New Roman" w:hAnsi="Times New Roman" w:cs="Times New Roman" w:eastAsia="Times New Roman" w:hint="default"/>
                <w:sz w:val="15"/>
                <w:szCs w:val="15"/>
              </w:rPr>
            </w:pPr>
            <w:r>
              <w:rPr>
                <w:rFonts w:ascii="Times New Roman"/>
                <w:sz w:val="15"/>
              </w:rPr>
              <w:t>5.56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5"/>
                <w:szCs w:val="15"/>
              </w:rPr>
            </w:pPr>
            <w:r>
              <w:rPr>
                <w:rFonts w:ascii="Times New Roman"/>
                <w:spacing w:val="-1"/>
                <w:sz w:val="15"/>
              </w:rPr>
              <w:t>2,083,783.</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58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8" w:right="0"/>
              <w:jc w:val="left"/>
              <w:rPr>
                <w:rFonts w:ascii="Times New Roman" w:hAnsi="Times New Roman" w:cs="Times New Roman" w:eastAsia="Times New Roman" w:hint="default"/>
                <w:sz w:val="15"/>
                <w:szCs w:val="15"/>
              </w:rPr>
            </w:pPr>
            <w:r>
              <w:rPr>
                <w:rFonts w:ascii="Times New Roman"/>
                <w:sz w:val="15"/>
              </w:rPr>
              <w:t>346,694,16</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441" w:right="0"/>
              <w:jc w:val="left"/>
              <w:rPr>
                <w:rFonts w:ascii="Times New Roman" w:hAnsi="Times New Roman" w:cs="Times New Roman" w:eastAsia="Times New Roman" w:hint="default"/>
                <w:sz w:val="15"/>
                <w:szCs w:val="15"/>
              </w:rPr>
            </w:pPr>
            <w:r>
              <w:rPr>
                <w:rFonts w:ascii="Times New Roman"/>
                <w:sz w:val="15"/>
              </w:rPr>
              <w:t>9.14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8" w:right="0"/>
              <w:jc w:val="left"/>
              <w:rPr>
                <w:rFonts w:ascii="Times New Roman" w:hAnsi="Times New Roman" w:cs="Times New Roman" w:eastAsia="Times New Roman" w:hint="default"/>
                <w:sz w:val="15"/>
                <w:szCs w:val="15"/>
              </w:rPr>
            </w:pPr>
            <w:r>
              <w:rPr>
                <w:rFonts w:ascii="Times New Roman"/>
                <w:sz w:val="15"/>
              </w:rPr>
              <w:t>349,600,15</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441" w:right="0"/>
              <w:jc w:val="left"/>
              <w:rPr>
                <w:rFonts w:ascii="Times New Roman" w:hAnsi="Times New Roman" w:cs="Times New Roman" w:eastAsia="Times New Roman" w:hint="default"/>
                <w:sz w:val="15"/>
                <w:szCs w:val="15"/>
              </w:rPr>
            </w:pPr>
            <w:r>
              <w:rPr>
                <w:rFonts w:ascii="Times New Roman"/>
                <w:sz w:val="15"/>
              </w:rPr>
              <w:t>3.36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5"/>
                <w:szCs w:val="15"/>
              </w:rPr>
            </w:pPr>
            <w:r>
              <w:rPr>
                <w:rFonts w:ascii="Times New Roman"/>
                <w:spacing w:val="-1"/>
                <w:sz w:val="15"/>
              </w:rPr>
              <w:t>9,849,067.</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7"/>
              <w:jc w:val="right"/>
              <w:rPr>
                <w:rFonts w:ascii="Times New Roman" w:hAnsi="Times New Roman" w:cs="Times New Roman" w:eastAsia="Times New Roman" w:hint="default"/>
                <w:sz w:val="15"/>
                <w:szCs w:val="15"/>
              </w:rPr>
            </w:pPr>
            <w:r>
              <w:rPr>
                <w:rFonts w:ascii="Times New Roman"/>
                <w:sz w:val="15"/>
              </w:rPr>
              <w:t>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8" w:right="0"/>
              <w:jc w:val="left"/>
              <w:rPr>
                <w:rFonts w:ascii="Times New Roman" w:hAnsi="Times New Roman" w:cs="Times New Roman" w:eastAsia="Times New Roman" w:hint="default"/>
                <w:sz w:val="15"/>
                <w:szCs w:val="15"/>
              </w:rPr>
            </w:pPr>
            <w:r>
              <w:rPr>
                <w:rFonts w:ascii="Times New Roman"/>
                <w:sz w:val="15"/>
              </w:rPr>
              <w:t>359,449,22</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441" w:right="0"/>
              <w:jc w:val="left"/>
              <w:rPr>
                <w:rFonts w:ascii="Times New Roman" w:hAnsi="Times New Roman" w:cs="Times New Roman" w:eastAsia="Times New Roman" w:hint="default"/>
                <w:sz w:val="15"/>
                <w:szCs w:val="15"/>
              </w:rPr>
            </w:pPr>
            <w:r>
              <w:rPr>
                <w:rFonts w:ascii="Times New Roman"/>
                <w:sz w:val="15"/>
              </w:rPr>
              <w:t>0.85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1" w:right="0"/>
              <w:jc w:val="left"/>
              <w:rPr>
                <w:rFonts w:ascii="Times New Roman" w:hAnsi="Times New Roman" w:cs="Times New Roman" w:eastAsia="Times New Roman" w:hint="default"/>
                <w:sz w:val="15"/>
                <w:szCs w:val="15"/>
              </w:rPr>
            </w:pPr>
            <w:r>
              <w:rPr>
                <w:rFonts w:ascii="Times New Roman"/>
                <w:sz w:val="15"/>
              </w:rPr>
              <w:t>267,202,31</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444" w:right="0"/>
              <w:jc w:val="left"/>
              <w:rPr>
                <w:rFonts w:ascii="Times New Roman" w:hAnsi="Times New Roman" w:cs="Times New Roman" w:eastAsia="Times New Roman" w:hint="default"/>
                <w:sz w:val="15"/>
                <w:szCs w:val="15"/>
              </w:rPr>
            </w:pPr>
            <w:r>
              <w:rPr>
                <w:rFonts w:ascii="Times New Roman"/>
                <w:sz w:val="15"/>
              </w:rPr>
              <w:t>4.85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5"/>
                <w:szCs w:val="15"/>
              </w:rPr>
            </w:pPr>
            <w:r>
              <w:rPr>
                <w:rFonts w:ascii="Times New Roman"/>
                <w:spacing w:val="-1"/>
                <w:sz w:val="15"/>
              </w:rPr>
              <w:t>2,060,285.</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7"/>
              <w:jc w:val="right"/>
              <w:rPr>
                <w:rFonts w:ascii="Times New Roman" w:hAnsi="Times New Roman" w:cs="Times New Roman" w:eastAsia="Times New Roman" w:hint="default"/>
                <w:sz w:val="15"/>
                <w:szCs w:val="15"/>
              </w:rPr>
            </w:pPr>
            <w:r>
              <w:rPr>
                <w:rFonts w:ascii="Times New Roman"/>
                <w:sz w:val="15"/>
              </w:rPr>
              <w:t>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8" w:right="0"/>
              <w:jc w:val="left"/>
              <w:rPr>
                <w:rFonts w:ascii="Times New Roman" w:hAnsi="Times New Roman" w:cs="Times New Roman" w:eastAsia="Times New Roman" w:hint="default"/>
                <w:sz w:val="15"/>
                <w:szCs w:val="15"/>
              </w:rPr>
            </w:pPr>
            <w:r>
              <w:rPr>
                <w:rFonts w:ascii="Times New Roman"/>
                <w:sz w:val="15"/>
              </w:rPr>
              <w:t>269,262,60</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441" w:right="0"/>
              <w:jc w:val="left"/>
              <w:rPr>
                <w:rFonts w:ascii="Times New Roman" w:hAnsi="Times New Roman" w:cs="Times New Roman" w:eastAsia="Times New Roman" w:hint="default"/>
                <w:sz w:val="15"/>
                <w:szCs w:val="15"/>
              </w:rPr>
            </w:pPr>
            <w:r>
              <w:rPr>
                <w:rFonts w:ascii="Times New Roman"/>
                <w:sz w:val="15"/>
              </w:rPr>
              <w:t>0.76</w:t>
            </w:r>
          </w:p>
        </w:tc>
      </w:tr>
    </w:tbl>
    <w:p>
      <w:pPr>
        <w:pStyle w:val="BodyText"/>
        <w:spacing w:line="240" w:lineRule="auto" w:before="49"/>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66"/>
      </w:tblGrid>
      <w:tr>
        <w:trPr>
          <w:trHeight w:val="402"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404"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4" w:right="0"/>
              <w:jc w:val="left"/>
              <w:rPr>
                <w:rFonts w:ascii="宋体" w:hAnsi="宋体" w:cs="宋体" w:eastAsia="宋体" w:hint="default"/>
                <w:sz w:val="15"/>
                <w:szCs w:val="15"/>
              </w:rPr>
            </w:pPr>
            <w:r>
              <w:rPr>
                <w:rFonts w:ascii="宋体" w:hAnsi="宋体" w:cs="宋体" w:eastAsia="宋体" w:hint="default"/>
                <w:sz w:val="15"/>
                <w:szCs w:val="15"/>
              </w:rPr>
              <w:t>安信天行</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5"/>
                <w:szCs w:val="15"/>
              </w:rPr>
            </w:pPr>
            <w:r>
              <w:rPr>
                <w:rFonts w:ascii="Times New Roman"/>
                <w:sz w:val="15"/>
              </w:rPr>
              <w:t>319,671,129.42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5"/>
                <w:szCs w:val="15"/>
              </w:rPr>
            </w:pPr>
            <w:r>
              <w:rPr>
                <w:rFonts w:ascii="Times New Roman"/>
                <w:sz w:val="15"/>
              </w:rPr>
              <w:t>25,142,328.35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5" w:right="0"/>
              <w:jc w:val="left"/>
              <w:rPr>
                <w:rFonts w:ascii="Times New Roman" w:hAnsi="Times New Roman" w:cs="Times New Roman" w:eastAsia="Times New Roman" w:hint="default"/>
                <w:sz w:val="15"/>
                <w:szCs w:val="15"/>
              </w:rPr>
            </w:pPr>
            <w:r>
              <w:rPr>
                <w:rFonts w:ascii="Times New Roman"/>
                <w:sz w:val="15"/>
              </w:rPr>
              <w:t>25,142,328.35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8" w:right="0"/>
              <w:jc w:val="left"/>
              <w:rPr>
                <w:rFonts w:ascii="Times New Roman" w:hAnsi="Times New Roman" w:cs="Times New Roman" w:eastAsia="Times New Roman" w:hint="default"/>
                <w:sz w:val="15"/>
                <w:szCs w:val="15"/>
              </w:rPr>
            </w:pPr>
            <w:r>
              <w:rPr>
                <w:rFonts w:ascii="Times New Roman"/>
                <w:sz w:val="15"/>
              </w:rPr>
              <w:t>66,988,904.07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5"/>
                <w:szCs w:val="15"/>
              </w:rPr>
            </w:pPr>
            <w:r>
              <w:rPr>
                <w:rFonts w:ascii="Times New Roman"/>
                <w:sz w:val="15"/>
              </w:rPr>
              <w:t>269,780,194.09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5"/>
                <w:szCs w:val="15"/>
              </w:rPr>
            </w:pPr>
            <w:r>
              <w:rPr>
                <w:rFonts w:ascii="Times New Roman"/>
                <w:sz w:val="15"/>
              </w:rPr>
              <w:t>21,806,127.11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8" w:right="0"/>
              <w:jc w:val="left"/>
              <w:rPr>
                <w:rFonts w:ascii="Times New Roman" w:hAnsi="Times New Roman" w:cs="Times New Roman" w:eastAsia="Times New Roman" w:hint="default"/>
                <w:sz w:val="15"/>
                <w:szCs w:val="15"/>
              </w:rPr>
            </w:pPr>
            <w:r>
              <w:rPr>
                <w:rFonts w:ascii="Times New Roman"/>
                <w:sz w:val="15"/>
              </w:rPr>
              <w:t>21,806,127.11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8" w:right="0"/>
              <w:jc w:val="left"/>
              <w:rPr>
                <w:rFonts w:ascii="Times New Roman" w:hAnsi="Times New Roman" w:cs="Times New Roman" w:eastAsia="Times New Roman" w:hint="default"/>
                <w:sz w:val="15"/>
                <w:szCs w:val="15"/>
              </w:rPr>
            </w:pPr>
            <w:r>
              <w:rPr>
                <w:rFonts w:ascii="Times New Roman"/>
                <w:sz w:val="15"/>
              </w:rPr>
              <w:t>52,921,274.55</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982" w:firstLine="360"/>
        <w:jc w:val="left"/>
      </w:pPr>
      <w:r>
        <w:rPr>
          <w:spacing w:val="-4"/>
        </w:rPr>
        <w:t>本报告期子公司安信天行实施股权激励计划，授予激励对象限制性股权，由其他股东北京安信立拓科技中心（有限合伙）</w:t>
      </w:r>
      <w:r>
        <w:rPr/>
        <w:t> </w:t>
      </w:r>
      <w:r>
        <w:rPr>
          <w:spacing w:val="-5"/>
        </w:rPr>
        <w:t>增资，增资完成后注册资本由人民币</w:t>
      </w: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000.00</w:t>
      </w:r>
      <w:r>
        <w:rPr>
          <w:spacing w:val="-5"/>
        </w:rPr>
        <w:t>万元增加至</w:t>
      </w:r>
      <w:r>
        <w:rPr>
          <w:rFonts w:ascii="Times New Roman" w:hAnsi="Times New Roman" w:cs="Times New Roman" w:eastAsia="Times New Roman" w:hint="default"/>
          <w:spacing w:val="-5"/>
        </w:rPr>
        <w:t>3,147.00</w:t>
      </w:r>
      <w:r>
        <w:rPr>
          <w:spacing w:val="-5"/>
        </w:rPr>
        <w:t>万元，股权结构为：北京数字认证股份有限公司占比</w:t>
      </w:r>
      <w:r>
        <w:rPr>
          <w:rFonts w:ascii="Times New Roman" w:hAnsi="Times New Roman" w:cs="Times New Roman" w:eastAsia="Times New Roman" w:hint="default"/>
          <w:spacing w:val="-5"/>
        </w:rPr>
        <w:t>95.33%</w:t>
      </w:r>
      <w:r>
        <w:rPr>
          <w:spacing w:val="-5"/>
        </w:rPr>
        <w:t>，</w:t>
      </w:r>
      <w:r>
        <w:rPr>
          <w:spacing w:val="-80"/>
        </w:rPr>
        <w:t> </w:t>
      </w:r>
      <w:r>
        <w:rPr/>
        <w:t>北京安信立拓科技中心（有限合伙）占比</w:t>
      </w:r>
      <w:r>
        <w:rPr>
          <w:rFonts w:ascii="Times New Roman" w:hAnsi="Times New Roman" w:cs="Times New Roman" w:eastAsia="Times New Roman" w:hint="default"/>
        </w:rPr>
        <w:t>4.67%</w:t>
      </w:r>
      <w:r>
        <w:rPr/>
        <w:t>。增资完成后对安信天行持股比例由</w:t>
      </w:r>
      <w:r>
        <w:rPr>
          <w:rFonts w:ascii="Times New Roman" w:hAnsi="Times New Roman" w:cs="Times New Roman" w:eastAsia="Times New Roman" w:hint="default"/>
        </w:rPr>
        <w:t>100.00%</w:t>
      </w:r>
      <w:r>
        <w:rPr/>
        <w:t>变更为</w:t>
      </w:r>
      <w:r>
        <w:rPr>
          <w:rFonts w:ascii="Times New Roman" w:hAnsi="Times New Roman" w:cs="Times New Roman" w:eastAsia="Times New Roman" w:hint="default"/>
        </w:rPr>
        <w:t>95.33%</w:t>
      </w:r>
      <w:r>
        <w:rPr/>
        <w:t>，本期达到解锁</w:t>
      </w:r>
      <w:r>
        <w:rPr>
          <w:spacing w:val="-45"/>
        </w:rPr>
        <w:t> </w:t>
      </w:r>
      <w:r>
        <w:rPr>
          <w:spacing w:val="-45"/>
        </w:rPr>
      </w:r>
      <w:r>
        <w:rPr/>
        <w:t>条件的股权比例为</w:t>
      </w:r>
      <w:r>
        <w:rPr>
          <w:rFonts w:ascii="Times New Roman" w:hAnsi="Times New Roman" w:cs="Times New Roman" w:eastAsia="Times New Roman" w:hint="default"/>
        </w:rPr>
        <w:t>1.87%</w:t>
      </w:r>
      <w:r>
        <w:rPr/>
        <w:t>，形成未丧失控制权的权益交易导致股本溢价增加</w:t>
      </w:r>
      <w:r>
        <w:rPr>
          <w:rFonts w:ascii="Times New Roman" w:hAnsi="Times New Roman" w:cs="Times New Roman" w:eastAsia="Times New Roman" w:hint="default"/>
        </w:rPr>
        <w:t>691,667.18</w:t>
      </w:r>
      <w:r>
        <w:rPr/>
        <w:t>元。本报告期末少数股权权益按已解</w:t>
      </w:r>
      <w:r>
        <w:rPr>
          <w:spacing w:val="-19"/>
        </w:rPr>
        <w:t> </w:t>
      </w:r>
      <w:r>
        <w:rPr>
          <w:spacing w:val="-19"/>
        </w:rPr>
      </w:r>
      <w:r>
        <w:rPr/>
        <w:t>锁的股权比例计算。</w:t>
      </w:r>
    </w:p>
    <w:p>
      <w:pPr>
        <w:spacing w:line="240" w:lineRule="auto" w:before="6"/>
        <w:rPr>
          <w:rFonts w:ascii="宋体" w:hAnsi="宋体" w:cs="宋体" w:eastAsia="宋体" w:hint="default"/>
          <w:sz w:val="23"/>
          <w:szCs w:val="23"/>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4;width:24;height:394" coordorigin="4763,14" coordsize="24,394">
              <v:shape style="position:absolute;left:4763;top:14;width:24;height:394" coordorigin="4763,14" coordsize="24,394" path="m4763,408l4787,408,4787,14,4763,14,4763,408xe" filled="true" fillcolor="#d2d2d2"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2d2d2" stroked="false">
                <v:path arrowok="t"/>
                <v:fill type="solid"/>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796;top:14;width:22;height:394" coordorigin="4796,14" coordsize="22,394">
              <v:shape style="position:absolute;left:4796;top:14;width:22;height:394" coordorigin="4796,14" coordsize="22,394" path="m4796,408l4818,408,4818,14,4796,14,4796,408xe" filled="true" fillcolor="#d2d2d2" stroked="false">
                <v:path arrowok="t"/>
                <v:fill type="solid"/>
              </v:shape>
            </v:group>
            <v:group style="position:absolute;left:9547;top:14;width:24;height:394" coordorigin="9547,14" coordsize="24,394">
              <v:shape style="position:absolute;left:9547;top:14;width:24;height:394" coordorigin="9547,14" coordsize="24,394" path="m9547,408l9571,408,9571,14,9547,14,9547,408xe" filled="true" fillcolor="#d2d2d2" stroked="false">
                <v:path arrowok="t"/>
                <v:fill type="solid"/>
              </v:shape>
            </v:group>
            <v:group style="position:absolute;left:4818;top:14;width:4729;height:394" coordorigin="4818,14" coordsize="4729,394">
              <v:shape style="position:absolute;left:4818;top:14;width:4729;height:394" coordorigin="4818,14" coordsize="4729,394" path="m4818,408l9547,408,9547,14,4818,14,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-691,667.18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691,667.18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691,667.18</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5"/>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314"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982"/>
        <w:jc w:val="left"/>
      </w:pPr>
      <w:r>
        <w:rPr/>
        <w:t>在合营企业或联营企业的持股比例不同于表决权比例的说明：</w:t>
      </w:r>
    </w:p>
    <w:p>
      <w:pPr>
        <w:pStyle w:val="BodyText"/>
        <w:spacing w:line="240" w:lineRule="auto" w:before="117"/>
        <w:ind w:right="982"/>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2"/>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2"/>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982"/>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16,296,198.75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16,418,491.64</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-122,292.89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-2,167,326.22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7"/>
        <w:rPr>
          <w:rFonts w:ascii="宋体" w:hAnsi="宋体" w:cs="宋体" w:eastAsia="宋体" w:hint="default"/>
          <w:sz w:val="25"/>
          <w:szCs w:val="25"/>
        </w:rPr>
      </w:pPr>
    </w:p>
    <w:p>
      <w:pPr>
        <w:pStyle w:val="BodyText"/>
        <w:spacing w:line="240" w:lineRule="auto" w:before="44"/>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7"/>
        <w:gridCol w:w="2516"/>
        <w:gridCol w:w="2391"/>
        <w:gridCol w:w="2396"/>
      </w:tblGrid>
      <w:tr>
        <w:trPr>
          <w:trHeight w:val="71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累积未确认前期累计认的损失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982"/>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49"/>
        <w:ind w:right="5534"/>
        <w:jc w:val="left"/>
      </w:pPr>
      <w:r>
        <w:rPr/>
        <w:t>在共同经营中的持股比例或享有的份额不同于表决权比例的说明： 共同经营为单独主体的，分类为共同经营的依据：</w:t>
      </w:r>
    </w:p>
    <w:p>
      <w:pPr>
        <w:pStyle w:val="BodyText"/>
        <w:spacing w:line="240" w:lineRule="auto" w:before="27"/>
        <w:ind w:right="0"/>
        <w:jc w:val="both"/>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both"/>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360"/>
        <w:jc w:val="both"/>
      </w:pPr>
      <w:r>
        <w:rPr>
          <w:spacing w:val="-2"/>
        </w:rPr>
        <w:t>本集团的主要金融工具包括货币资金、应收账款、应收票据、其他应收款、其他流动资产、应付账款和其他应付款。本</w:t>
      </w:r>
      <w:r>
        <w:rPr/>
        <w:t> </w:t>
      </w:r>
      <w:r>
        <w:rPr>
          <w:spacing w:val="-2"/>
        </w:rPr>
        <w:t>集团各项金融工具的详细情况已于相关附注内披露。与这些金融工具有关的风险，以及本集团为降低这些风险所采取的风险</w:t>
      </w:r>
      <w:r>
        <w:rPr>
          <w:spacing w:val="-64"/>
        </w:rPr>
        <w:t> </w:t>
      </w:r>
      <w:r>
        <w:rPr>
          <w:spacing w:val="-64"/>
        </w:rPr>
      </w:r>
      <w:r>
        <w:rPr/>
        <w:t>管理政策如下所述。本集团管理层对这些风险敞口进行管理和监控以确保将上述风险控制在限定的范围之内。</w:t>
      </w:r>
    </w:p>
    <w:p>
      <w:pPr>
        <w:pStyle w:val="BodyText"/>
        <w:spacing w:line="340" w:lineRule="auto" w:before="59"/>
        <w:ind w:left="513" w:right="982"/>
        <w:jc w:val="left"/>
      </w:pPr>
      <w:r>
        <w:rPr>
          <w:rFonts w:ascii="Times New Roman" w:hAnsi="Times New Roman" w:cs="Times New Roman" w:eastAsia="Times New Roman" w:hint="default"/>
        </w:rPr>
        <w:t>1</w:t>
      </w:r>
      <w:r>
        <w:rPr/>
        <w:t>、风险管理目标和政策 </w:t>
      </w:r>
      <w:r>
        <w:rPr>
          <w:spacing w:val="-2"/>
        </w:rPr>
        <w:t>本集团从事风险管理的目标是在风险和收益之间取得适当的平衡，力求降低金融风险对本集团财务业绩的不利影响。基</w:t>
      </w:r>
    </w:p>
    <w:p>
      <w:pPr>
        <w:pStyle w:val="BodyText"/>
        <w:spacing w:line="316" w:lineRule="auto" w:before="1"/>
        <w:ind w:right="1130"/>
        <w:jc w:val="both"/>
      </w:pPr>
      <w:r>
        <w:rPr>
          <w:spacing w:val="-2"/>
        </w:rPr>
        <w:t>于该风险管理目标，本集团已制定风险管理政策以辨别和分析本集团所面临的风险，设定适当的风险可接受水平并设计相应</w:t>
      </w:r>
      <w:r>
        <w:rPr>
          <w:spacing w:val="-64"/>
        </w:rPr>
        <w:t> </w:t>
      </w:r>
      <w:r>
        <w:rPr>
          <w:spacing w:val="-64"/>
        </w:rPr>
      </w:r>
      <w:r>
        <w:rPr>
          <w:spacing w:val="-2"/>
        </w:rPr>
        <w:t>的内部控制程序，以监控本集团的风险水平。本集团会定期审阅这些风险管理政策及有关内部控制系统，以适应市场情况或</w:t>
      </w:r>
      <w:r>
        <w:rPr>
          <w:spacing w:val="-63"/>
        </w:rPr>
        <w:t> </w:t>
      </w:r>
      <w:r>
        <w:rPr>
          <w:spacing w:val="-63"/>
        </w:rPr>
      </w:r>
      <w:r>
        <w:rPr/>
        <w:t>本集团经营活动的改变。本集团的内部审计部门也定期或随机检查内部控制系统的执行是否符合风险管理政策。</w:t>
      </w:r>
    </w:p>
    <w:p>
      <w:pPr>
        <w:pStyle w:val="BodyText"/>
        <w:spacing w:line="300" w:lineRule="auto" w:before="57"/>
        <w:ind w:right="1133" w:firstLine="360"/>
        <w:jc w:val="both"/>
      </w:pPr>
      <w:r>
        <w:rPr/>
        <w:t>本集团的金融工具导致的主要风险是信用风险、流动性风险、市场风险（包括利率风险、汇率风险和商品价格风险</w:t>
      </w:r>
      <w:r>
        <w:rPr>
          <w:rFonts w:ascii="Times New Roman" w:hAnsi="Times New Roman" w:cs="Times New Roman" w:eastAsia="Times New Roman" w:hint="default"/>
        </w:rPr>
        <w:t>/</w:t>
      </w:r>
      <w:r>
        <w:rPr/>
        <w:t>权 </w:t>
      </w:r>
      <w:r>
        <w:rPr>
          <w:spacing w:val="-11"/>
        </w:rPr>
        <w:t>益工具价格风险）。</w:t>
      </w:r>
    </w:p>
    <w:p>
      <w:pPr>
        <w:pStyle w:val="BodyText"/>
        <w:spacing w:line="316" w:lineRule="auto" w:before="72"/>
        <w:ind w:right="1125" w:firstLine="360"/>
        <w:jc w:val="both"/>
      </w:pPr>
      <w:r>
        <w:rPr/>
        <w:t>董事会负责规划并建立本集团的风险管理架构，指定本集团的风险管理政策和相关指引并监督风险管理措施的执行情</w:t>
      </w:r>
      <w:r>
        <w:rPr>
          <w:spacing w:val="2"/>
        </w:rPr>
        <w:t> </w:t>
      </w:r>
      <w:r>
        <w:rPr>
          <w:spacing w:val="-2"/>
        </w:rPr>
        <w:t>况。本集团已制定风险管理政策以识别和分析本集团所面临的风险，这些风险管理政策对特定风险进行了明确规定，涵盖了</w:t>
      </w:r>
    </w:p>
    <w:p>
      <w:pPr>
        <w:spacing w:after="0" w:line="316"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2"/>
        <w:jc w:val="both"/>
      </w:pPr>
      <w:r>
        <w:rPr>
          <w:spacing w:val="-2"/>
        </w:rPr>
        <w:t>信用风险、流动性风险和市场风险管理等诸多方面。本集团定期评估市场环境及本集团经营活动的变化以决定是否对风险管</w:t>
      </w:r>
      <w:r>
        <w:rPr>
          <w:spacing w:val="-64"/>
        </w:rPr>
        <w:t> </w:t>
      </w:r>
      <w:r>
        <w:rPr>
          <w:spacing w:val="-64"/>
        </w:rPr>
      </w:r>
      <w:r>
        <w:rPr>
          <w:spacing w:val="-2"/>
        </w:rPr>
        <w:t>理政策及系统进行更新。本集团的风险管理由风险管理委员会按照董事会批准的政策开展。风险管理委员会通过与本集团其</w:t>
      </w:r>
      <w:r>
        <w:rPr>
          <w:spacing w:val="-64"/>
        </w:rPr>
        <w:t> </w:t>
      </w:r>
      <w:r>
        <w:rPr>
          <w:spacing w:val="-64"/>
        </w:rPr>
      </w:r>
      <w:r>
        <w:rPr>
          <w:spacing w:val="-2"/>
        </w:rPr>
        <w:t>他业务部门的紧密合作来识别、评价和规避相关风险。本集团内部审计部门就风险管理控制及程序进行定期的审核，并将审</w:t>
      </w:r>
      <w:r>
        <w:rPr>
          <w:spacing w:val="-66"/>
        </w:rPr>
        <w:t> </w:t>
      </w:r>
      <w:r>
        <w:rPr>
          <w:spacing w:val="-66"/>
        </w:rPr>
      </w:r>
      <w:r>
        <w:rPr/>
        <w:t>核结果上报本集团的审计委员会。</w:t>
      </w:r>
    </w:p>
    <w:p>
      <w:pPr>
        <w:pStyle w:val="BodyText"/>
        <w:spacing w:line="316" w:lineRule="auto" w:before="59"/>
        <w:ind w:right="982" w:firstLine="360"/>
        <w:jc w:val="left"/>
      </w:pPr>
      <w:r>
        <w:rPr>
          <w:spacing w:val="-2"/>
        </w:rPr>
        <w:t>本集团通过适当的多样化投资及业务组合来分散金融工具风险，并通过制定相应的风险管理政策减少集中于任何单一行</w:t>
      </w:r>
      <w:r>
        <w:rPr/>
        <w:t> 业、特定地区或特定交易对手方的风险。</w:t>
      </w:r>
    </w:p>
    <w:p>
      <w:pPr>
        <w:pStyle w:val="BodyText"/>
        <w:spacing w:line="350" w:lineRule="auto" w:before="57"/>
        <w:ind w:left="513" w:right="3553"/>
        <w:jc w:val="left"/>
      </w:pPr>
      <w:r>
        <w:rPr/>
        <w:t>（</w:t>
      </w:r>
      <w:r>
        <w:rPr>
          <w:rFonts w:ascii="Times New Roman" w:hAnsi="Times New Roman" w:cs="Times New Roman" w:eastAsia="Times New Roman" w:hint="default"/>
        </w:rPr>
        <w:t>1</w:t>
      </w:r>
      <w:r>
        <w:rPr/>
        <w:t>）信用风险 信用风险，是指交易对手未能履行合同义务而导致本集团产生财务损失的风险。 本集团对信用风险按组合分类进行管理。信用风险主要产生于银行存款和应收款项等。</w:t>
      </w:r>
    </w:p>
    <w:p>
      <w:pPr>
        <w:pStyle w:val="BodyText"/>
        <w:spacing w:line="319" w:lineRule="auto" w:before="32"/>
        <w:ind w:right="982" w:firstLine="360"/>
        <w:jc w:val="left"/>
      </w:pPr>
      <w:r>
        <w:rPr>
          <w:spacing w:val="-2"/>
        </w:rPr>
        <w:t>本集团银行存款主要存放于主要存放于声誉良好并拥有较高信用评级的金融机构，本集团预期银行存款不存在重大的信</w:t>
      </w:r>
      <w:r>
        <w:rPr/>
        <w:t> 用风险。</w:t>
      </w:r>
    </w:p>
    <w:p>
      <w:pPr>
        <w:pStyle w:val="BodyText"/>
        <w:spacing w:line="316" w:lineRule="auto" w:before="58"/>
        <w:ind w:right="982" w:firstLine="360"/>
        <w:jc w:val="left"/>
      </w:pPr>
      <w:r>
        <w:rPr>
          <w:spacing w:val="-2"/>
        </w:rPr>
        <w:t>对于应收款项，本集团设定相关政策以控制信用风险敞口，主要采取控制信用期和信用额度，不定期对债务人进行信用</w:t>
      </w:r>
      <w:r>
        <w:rPr/>
        <w:t> 风险评估，必要时采取催收货款、缩短信用期或取消信用期等方式，以确保本集团的整体信用风险在可控的范围内。</w:t>
      </w:r>
    </w:p>
    <w:p>
      <w:pPr>
        <w:pStyle w:val="BodyText"/>
        <w:spacing w:line="316" w:lineRule="auto" w:before="59"/>
        <w:ind w:right="982" w:firstLine="360"/>
        <w:jc w:val="left"/>
      </w:pPr>
      <w:r>
        <w:rPr>
          <w:spacing w:val="-2"/>
        </w:rPr>
        <w:t>本集团所承受的最大信用风险敞口为资产负债表中每项金融资产的账面金额。本集团没有提供任何其他可能令本集团承</w:t>
      </w:r>
      <w:r>
        <w:rPr/>
        <w:t> 受信用风险的担保。</w:t>
      </w:r>
    </w:p>
    <w:p>
      <w:pPr>
        <w:pStyle w:val="BodyText"/>
        <w:spacing w:line="300" w:lineRule="auto" w:before="57"/>
        <w:ind w:right="1119" w:firstLine="360"/>
        <w:jc w:val="left"/>
      </w:pPr>
      <w:r>
        <w:rPr/>
        <w:t>本集团应收账款中，欠款金额前五大客户的应收账款占本集团应收账款总额的</w:t>
      </w:r>
      <w:r>
        <w:rPr>
          <w:spacing w:val="-10"/>
        </w:rPr>
        <w:t> </w:t>
      </w:r>
      <w:r>
        <w:rPr>
          <w:rFonts w:ascii="Times New Roman" w:hAnsi="Times New Roman" w:cs="Times New Roman" w:eastAsia="Times New Roman" w:hint="default"/>
          <w:spacing w:val="1"/>
        </w:rPr>
        <w:t>18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64</w:t>
      </w:r>
      <w:r>
        <w:rPr>
          <w:rFonts w:ascii="Times New Roman" w:hAnsi="Times New Roman" w:cs="Times New Roman" w:eastAsia="Times New Roman" w:hint="default"/>
          <w:spacing w:val="-1"/>
        </w:rPr>
        <w:t>%</w:t>
      </w:r>
      <w:r>
        <w:rPr/>
        <w:t>（</w:t>
      </w:r>
      <w:r>
        <w:rPr>
          <w:rFonts w:ascii="Times New Roman" w:hAnsi="Times New Roman" w:cs="Times New Roman" w:eastAsia="Times New Roman" w:hint="default"/>
          <w:spacing w:val="-2"/>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8 </w:t>
      </w:r>
      <w:r>
        <w:rPr>
          <w:rFonts w:ascii="Times New Roman" w:hAnsi="Times New Roman" w:cs="Times New Roman" w:eastAsia="Times New Roman" w:hint="default"/>
          <w:spacing w:val="-9"/>
        </w:rPr>
        <w:t> </w:t>
      </w:r>
      <w:r>
        <w:rPr/>
        <w:t>年</w:t>
      </w:r>
      <w:r>
        <w:rPr>
          <w:spacing w:val="-3"/>
        </w:rPr>
        <w:t>：</w:t>
      </w:r>
      <w:r>
        <w:rPr>
          <w:rFonts w:ascii="Times New Roman" w:hAnsi="Times New Roman" w:cs="Times New Roman" w:eastAsia="Times New Roman" w:hint="default"/>
          <w:spacing w:val="1"/>
        </w:rPr>
        <w:t>16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65</w:t>
      </w:r>
      <w:r>
        <w:rPr>
          <w:rFonts w:ascii="Times New Roman" w:hAnsi="Times New Roman" w:cs="Times New Roman" w:eastAsia="Times New Roman" w:hint="default"/>
          <w:spacing w:val="-1"/>
        </w:rPr>
        <w:t>%</w:t>
      </w:r>
      <w:r>
        <w:rPr>
          <w:spacing w:val="-92"/>
        </w:rPr>
        <w:t>）</w:t>
      </w:r>
      <w:r>
        <w:rPr/>
        <w:t>；本集团其</w:t>
      </w:r>
      <w:r>
        <w:rPr/>
        <w:t> 他应收款中，欠款金额前五大公司的其他应收款占本集团其他应收款总额的</w:t>
      </w:r>
      <w:r>
        <w:rPr>
          <w:spacing w:val="-44"/>
        </w:rPr>
        <w:t> </w:t>
      </w:r>
      <w:r>
        <w:rPr>
          <w:rFonts w:ascii="Times New Roman" w:hAnsi="Times New Roman" w:cs="Times New Roman" w:eastAsia="Times New Roman" w:hint="default"/>
          <w:spacing w:val="1"/>
        </w:rPr>
        <w:t>34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2"/>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8</w:t>
      </w:r>
      <w:r>
        <w:rPr>
          <w:rFonts w:ascii="Times New Roman" w:hAnsi="Times New Roman" w:cs="Times New Roman" w:eastAsia="Times New Roman" w:hint="default"/>
        </w:rPr>
        <w:t>%</w:t>
      </w:r>
      <w:r>
        <w:rPr>
          <w:spacing w:val="-92"/>
        </w:rPr>
        <w:t>）。</w:t>
      </w:r>
      <w:r>
        <w:rPr/>
      </w:r>
    </w:p>
    <w:p>
      <w:pPr>
        <w:pStyle w:val="BodyText"/>
        <w:spacing w:line="348" w:lineRule="auto" w:before="53"/>
        <w:ind w:left="513" w:right="1129"/>
        <w:jc w:val="left"/>
      </w:pPr>
      <w:r>
        <w:rPr/>
        <w:t>（</w:t>
      </w:r>
      <w:r>
        <w:rPr>
          <w:rFonts w:ascii="Times New Roman" w:hAnsi="Times New Roman" w:cs="Times New Roman" w:eastAsia="Times New Roman" w:hint="default"/>
        </w:rPr>
        <w:t>2</w:t>
      </w:r>
      <w:r>
        <w:rPr/>
        <w:t>）流动性风险 流动性风险，是指本集团在履行以交付现金或其他金融资产的方式结算的义务时发生资金短缺的风险。 </w:t>
      </w:r>
      <w:r>
        <w:rPr>
          <w:spacing w:val="-2"/>
        </w:rPr>
        <w:t>管理流动风险时，本集团保持管理层认为充分的现金及现金等价物并对其进行监控，以满足本集团经营需要，并降低现</w:t>
      </w:r>
    </w:p>
    <w:p>
      <w:pPr>
        <w:pStyle w:val="BodyText"/>
        <w:spacing w:line="360" w:lineRule="auto"/>
        <w:ind w:left="513" w:right="982" w:hanging="361"/>
        <w:jc w:val="left"/>
      </w:pPr>
      <w:r>
        <w:rPr/>
        <w:t>金流量波动的影响。 </w:t>
      </w:r>
      <w:r>
        <w:rPr>
          <w:spacing w:val="-2"/>
        </w:rPr>
        <w:t>管理层根据目前的资产负债状况，以及预计的未来经营活动现金流入和流出，认为在正常经营情况下，未来一段时期内</w:t>
      </w:r>
    </w:p>
    <w:p>
      <w:pPr>
        <w:pStyle w:val="BodyText"/>
        <w:spacing w:line="222" w:lineRule="exact"/>
        <w:ind w:right="982"/>
        <w:jc w:val="left"/>
      </w:pPr>
      <w:r>
        <w:rPr/>
        <w:t>流动性风险是可控的。</w:t>
      </w:r>
    </w:p>
    <w:p>
      <w:pPr>
        <w:pStyle w:val="BodyText"/>
        <w:spacing w:line="338" w:lineRule="auto" w:before="117"/>
        <w:ind w:left="513" w:right="982"/>
        <w:jc w:val="left"/>
      </w:pPr>
      <w:r>
        <w:rPr/>
        <w:t>（</w:t>
      </w:r>
      <w:r>
        <w:rPr>
          <w:rFonts w:ascii="Times New Roman" w:hAnsi="Times New Roman" w:cs="Times New Roman" w:eastAsia="Times New Roman" w:hint="default"/>
        </w:rPr>
        <w:t>2</w:t>
      </w:r>
      <w:r>
        <w:rPr/>
        <w:t>）市场风险 </w:t>
      </w:r>
      <w:r>
        <w:rPr>
          <w:spacing w:val="-2"/>
        </w:rPr>
        <w:t>金融工具的市场风险，是指金融工具的公允价值或未来现金流量因市场价格变动而发生波动的风险，包括利率风险、汇</w:t>
      </w:r>
    </w:p>
    <w:p>
      <w:pPr>
        <w:pStyle w:val="BodyText"/>
        <w:spacing w:line="360" w:lineRule="auto" w:before="2"/>
        <w:ind w:left="513" w:right="8774" w:hanging="361"/>
        <w:jc w:val="left"/>
      </w:pPr>
      <w:r>
        <w:rPr/>
        <w:t>率风险和其他价格风险。 利率风险</w:t>
      </w:r>
    </w:p>
    <w:p>
      <w:pPr>
        <w:pStyle w:val="BodyText"/>
        <w:spacing w:line="316" w:lineRule="auto" w:before="27"/>
        <w:ind w:right="982" w:firstLine="360"/>
        <w:jc w:val="left"/>
      </w:pPr>
      <w:r>
        <w:rPr>
          <w:spacing w:val="-2"/>
        </w:rPr>
        <w:t>利率风险，是指金融工具的公允价值或未来现金流量因市场利率变动而发生波动的风险。利率风险可源于已确认的计息</w:t>
      </w:r>
      <w:r>
        <w:rPr/>
        <w:t> </w:t>
      </w:r>
      <w:r>
        <w:rPr>
          <w:spacing w:val="-4"/>
        </w:rPr>
        <w:t>金融工具和未确认的金融工具（如某些贷款承诺）。</w:t>
      </w:r>
    </w:p>
    <w:p>
      <w:pPr>
        <w:pStyle w:val="BodyText"/>
        <w:spacing w:line="360" w:lineRule="auto" w:before="58"/>
        <w:ind w:left="513" w:right="5353"/>
        <w:jc w:val="left"/>
      </w:pPr>
      <w:r>
        <w:rPr/>
        <w:t>本集团报告期内无带息债务，利率变动风险对本集团影响很小。 本集团持有的计息金融工具如下：</w:t>
      </w:r>
    </w:p>
    <w:tbl>
      <w:tblPr>
        <w:tblW w:w="0" w:type="auto"/>
        <w:jc w:val="left"/>
        <w:tblInd w:w="133" w:type="dxa"/>
        <w:tblLayout w:type="fixed"/>
        <w:tblCellMar>
          <w:top w:w="0" w:type="dxa"/>
          <w:left w:w="0" w:type="dxa"/>
          <w:bottom w:w="0" w:type="dxa"/>
          <w:right w:w="0" w:type="dxa"/>
        </w:tblCellMar>
        <w:tblLook w:val="01E0"/>
      </w:tblPr>
      <w:tblGrid>
        <w:gridCol w:w="3560"/>
        <w:gridCol w:w="2552"/>
        <w:gridCol w:w="3039"/>
      </w:tblGrid>
      <w:tr>
        <w:trPr>
          <w:trHeight w:val="341"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3"/>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b/>
                <w:sz w:val="18"/>
              </w:rPr>
              <w:t>2019.12.31</w:t>
            </w:r>
            <w:r>
              <w:rPr>
                <w:rFonts w:ascii="Times New Roman"/>
                <w:sz w:val="18"/>
              </w:rPr>
            </w:r>
          </w:p>
        </w:tc>
        <w:tc>
          <w:tcPr>
            <w:tcW w:w="3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b/>
                <w:sz w:val="18"/>
              </w:rPr>
              <w:t>2018.12.31</w:t>
            </w:r>
            <w:r>
              <w:rPr>
                <w:rFonts w:ascii="Times New Roman"/>
                <w:sz w:val="18"/>
              </w:rPr>
            </w:r>
          </w:p>
        </w:tc>
      </w:tr>
      <w:tr>
        <w:trPr>
          <w:trHeight w:val="343"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浮动利率金融工具</w:t>
            </w:r>
          </w:p>
        </w:tc>
        <w:tc>
          <w:tcPr>
            <w:tcW w:w="2552"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659,980,906.67</w:t>
            </w:r>
          </w:p>
        </w:tc>
        <w:tc>
          <w:tcPr>
            <w:tcW w:w="3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675,404,558.51</w:t>
            </w:r>
          </w:p>
        </w:tc>
      </w:tr>
      <w:tr>
        <w:trPr>
          <w:trHeight w:val="343"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其中：货币资金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659,980,906.67</w:t>
            </w:r>
          </w:p>
        </w:tc>
        <w:tc>
          <w:tcPr>
            <w:tcW w:w="3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675,404,558.51</w:t>
            </w:r>
          </w:p>
        </w:tc>
      </w:tr>
    </w:tbl>
    <w:p>
      <w:pPr>
        <w:pStyle w:val="BodyText"/>
        <w:spacing w:line="360" w:lineRule="auto" w:before="65"/>
        <w:ind w:left="513" w:right="982"/>
        <w:jc w:val="left"/>
      </w:pPr>
      <w:r>
        <w:rPr/>
        <w:t>汇率风险 </w:t>
      </w:r>
      <w:r>
        <w:rPr>
          <w:spacing w:val="-2"/>
        </w:rPr>
        <w:t>汇率风险，是指金融工具的公允价值或未来现金流量因外汇汇率变动而发生波动的风险。汇率风险可源于以记账本位币</w:t>
      </w:r>
    </w:p>
    <w:p>
      <w:pPr>
        <w:pStyle w:val="BodyText"/>
        <w:spacing w:line="222" w:lineRule="exact"/>
        <w:ind w:right="982"/>
        <w:jc w:val="left"/>
      </w:pPr>
      <w:r>
        <w:rPr/>
        <w:t>之外的外币进行计价的金融工具。</w:t>
      </w:r>
    </w:p>
    <w:p>
      <w:pPr>
        <w:pStyle w:val="BodyText"/>
        <w:spacing w:line="348" w:lineRule="auto" w:before="117"/>
        <w:ind w:left="513" w:right="1129"/>
        <w:jc w:val="left"/>
      </w:pPr>
      <w:r>
        <w:rPr/>
        <w:t>本集团的主要经营位于中国境内，主要业务以人民币结算。因此，本集团所承担的外汇动市场风险不重大。 </w:t>
      </w:r>
      <w:r>
        <w:rPr>
          <w:rFonts w:ascii="Times New Roman" w:hAnsi="Times New Roman" w:cs="Times New Roman" w:eastAsia="Times New Roman" w:hint="default"/>
        </w:rPr>
        <w:t>2</w:t>
      </w:r>
      <w:r>
        <w:rPr/>
        <w:t>、资本管理 </w:t>
      </w:r>
      <w:r>
        <w:rPr>
          <w:spacing w:val="-2"/>
        </w:rPr>
        <w:t>本集团资本管理政策的目标是为了保障本集团能够持续经营，从而为股东提供回报，并使其他利益相关者获益，同时维</w:t>
      </w:r>
    </w:p>
    <w:p>
      <w:pPr>
        <w:spacing w:after="0" w:line="348"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before="44"/>
        <w:ind w:left="513" w:right="982" w:hanging="361"/>
        <w:jc w:val="left"/>
      </w:pPr>
      <w:r>
        <w:rPr/>
        <w:t>持最佳的资本结构以降低资本成本。 </w:t>
      </w:r>
      <w:r>
        <w:rPr>
          <w:spacing w:val="-2"/>
        </w:rPr>
        <w:t>为了维持或调整资本结构，本集团可能会调整支付给股东的股利金额、向股东返还资本、发行新股或出售资产以减低债</w:t>
      </w:r>
    </w:p>
    <w:p>
      <w:pPr>
        <w:pStyle w:val="BodyText"/>
        <w:spacing w:line="222" w:lineRule="exact"/>
        <w:ind w:right="982"/>
        <w:jc w:val="left"/>
      </w:pPr>
      <w:r>
        <w:rPr/>
        <w:t>务。</w:t>
      </w:r>
    </w:p>
    <w:p>
      <w:pPr>
        <w:pStyle w:val="BodyText"/>
        <w:spacing w:line="240" w:lineRule="auto" w:before="115"/>
        <w:ind w:left="513" w:right="982"/>
        <w:jc w:val="left"/>
      </w:pPr>
      <w:r>
        <w:rPr/>
        <w:t>本集团以资产负债率（即总负债除以总资产）为基础对资本结构进行监控。于</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日，本集团的资产负债</w:t>
      </w:r>
    </w:p>
    <w:p>
      <w:pPr>
        <w:pStyle w:val="BodyText"/>
        <w:spacing w:line="240" w:lineRule="auto" w:before="63"/>
        <w:ind w:right="982"/>
        <w:jc w:val="left"/>
      </w:pPr>
      <w:r>
        <w:rPr/>
        <w:t>率为</w:t>
      </w:r>
      <w:r>
        <w:rPr>
          <w:spacing w:val="-44"/>
        </w:rPr>
        <w:t> </w:t>
      </w:r>
      <w:r>
        <w:rPr>
          <w:rFonts w:ascii="Times New Roman" w:hAnsi="Times New Roman" w:cs="Times New Roman" w:eastAsia="Times New Roman" w:hint="default"/>
          <w:spacing w:val="1"/>
        </w:rPr>
        <w:t>48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24</w:t>
      </w:r>
      <w:r>
        <w:rPr>
          <w:rFonts w:ascii="Times New Roman" w:hAnsi="Times New Roman" w:cs="Times New Roman" w:eastAsia="Times New Roman" w:hint="default"/>
          <w:spacing w:val="-1"/>
        </w:rPr>
        <w:t>%</w:t>
      </w:r>
      <w:r>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spacing w:val="1"/>
        </w:rPr>
        <w:t>45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59</w:t>
      </w:r>
      <w:r>
        <w:rPr>
          <w:rFonts w:ascii="Times New Roman" w:hAnsi="Times New Roman" w:cs="Times New Roman" w:eastAsia="Times New Roman" w:hint="default"/>
          <w:spacing w:val="-1"/>
        </w:rPr>
        <w:t>%</w:t>
      </w:r>
      <w:r>
        <w:rPr>
          <w:spacing w:val="-92"/>
        </w:rPr>
        <w:t>）。</w:t>
      </w:r>
      <w:r>
        <w:rPr/>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9"/>
        <w:gridCol w:w="1419"/>
        <w:gridCol w:w="1416"/>
        <w:gridCol w:w="1418"/>
        <w:gridCol w:w="2909"/>
      </w:tblGrid>
      <w:tr>
        <w:trPr>
          <w:trHeight w:val="403" w:hRule="exact"/>
        </w:trPr>
        <w:tc>
          <w:tcPr>
            <w:tcW w:w="24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3" w:hRule="exact"/>
        </w:trPr>
        <w:tc>
          <w:tcPr>
            <w:tcW w:w="2409"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5" w:right="74" w:hanging="361"/>
              <w:jc w:val="left"/>
              <w:rPr>
                <w:rFonts w:ascii="宋体" w:hAnsi="宋体" w:cs="宋体" w:eastAsia="宋体" w:hint="default"/>
                <w:sz w:val="18"/>
                <w:szCs w:val="18"/>
              </w:rPr>
            </w:pPr>
            <w:r>
              <w:rPr>
                <w:rFonts w:ascii="宋体" w:hAnsi="宋体" w:cs="宋体" w:eastAsia="宋体" w:hint="default"/>
                <w:sz w:val="18"/>
                <w:szCs w:val="18"/>
              </w:rPr>
              <w:t>第一层次公允价 值计量</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4" w:right="70" w:hanging="360"/>
              <w:jc w:val="left"/>
              <w:rPr>
                <w:rFonts w:ascii="宋体" w:hAnsi="宋体" w:cs="宋体" w:eastAsia="宋体" w:hint="default"/>
                <w:sz w:val="18"/>
                <w:szCs w:val="18"/>
              </w:rPr>
            </w:pPr>
            <w:r>
              <w:rPr>
                <w:rFonts w:ascii="宋体" w:hAnsi="宋体" w:cs="宋体" w:eastAsia="宋体" w:hint="default"/>
                <w:sz w:val="18"/>
                <w:szCs w:val="18"/>
              </w:rPr>
              <w:t>第二层次公允价 值计量</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6" w:right="71" w:hanging="360"/>
              <w:jc w:val="left"/>
              <w:rPr>
                <w:rFonts w:ascii="宋体" w:hAnsi="宋体" w:cs="宋体" w:eastAsia="宋体" w:hint="default"/>
                <w:sz w:val="18"/>
                <w:szCs w:val="18"/>
              </w:rPr>
            </w:pPr>
            <w:r>
              <w:rPr>
                <w:rFonts w:ascii="宋体" w:hAnsi="宋体" w:cs="宋体" w:eastAsia="宋体" w:hint="default"/>
                <w:sz w:val="18"/>
                <w:szCs w:val="18"/>
              </w:rPr>
              <w:t>第三层次公允价 值计量</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46" w:right="0"/>
              <w:jc w:val="lef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43" w:right="0"/>
              <w:jc w:val="lef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47" w:right="0"/>
              <w:jc w:val="left"/>
              <w:rPr>
                <w:rFonts w:ascii="Times New Roman" w:hAnsi="Times New Roman" w:cs="Times New Roman" w:eastAsia="Times New Roman" w:hint="default"/>
                <w:sz w:val="18"/>
                <w:szCs w:val="18"/>
              </w:rPr>
            </w:pPr>
            <w:r>
              <w:rPr>
                <w:rFonts w:ascii="Times New Roman"/>
                <w:sz w:val="18"/>
              </w:rPr>
              <w:t>--</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46" w:right="0"/>
              <w:jc w:val="lef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43" w:right="0"/>
              <w:jc w:val="lef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47" w:right="0"/>
              <w:jc w:val="left"/>
              <w:rPr>
                <w:rFonts w:ascii="Times New Roman" w:hAnsi="Times New Roman" w:cs="Times New Roman" w:eastAsia="Times New Roman" w:hint="default"/>
                <w:sz w:val="18"/>
                <w:szCs w:val="18"/>
              </w:rPr>
            </w:pPr>
            <w:r>
              <w:rPr>
                <w:rFonts w:ascii="Times New Roman"/>
                <w:sz w:val="18"/>
              </w:rPr>
              <w:t>--</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5"/>
          <w:szCs w:val="25"/>
        </w:rPr>
      </w:pPr>
    </w:p>
    <w:tbl>
      <w:tblPr>
        <w:tblW w:w="0" w:type="auto"/>
        <w:jc w:val="left"/>
        <w:tblInd w:w="222" w:type="dxa"/>
        <w:tblLayout w:type="fixed"/>
        <w:tblCellMar>
          <w:top w:w="0" w:type="dxa"/>
          <w:left w:w="0" w:type="dxa"/>
          <w:bottom w:w="0" w:type="dxa"/>
          <w:right w:w="0" w:type="dxa"/>
        </w:tblCellMar>
        <w:tblLook w:val="01E0"/>
      </w:tblPr>
      <w:tblGrid>
        <w:gridCol w:w="2141"/>
        <w:gridCol w:w="1561"/>
        <w:gridCol w:w="1704"/>
        <w:gridCol w:w="1978"/>
        <w:gridCol w:w="2091"/>
      </w:tblGrid>
      <w:tr>
        <w:trPr>
          <w:trHeight w:val="343"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3" w:right="0"/>
              <w:jc w:val="center"/>
              <w:rPr>
                <w:rFonts w:ascii="宋体" w:hAnsi="宋体" w:cs="宋体" w:eastAsia="宋体" w:hint="default"/>
                <w:sz w:val="18"/>
                <w:szCs w:val="18"/>
              </w:rPr>
            </w:pPr>
            <w:r>
              <w:rPr>
                <w:rFonts w:ascii="宋体" w:hAnsi="宋体" w:cs="宋体" w:eastAsia="宋体" w:hint="default"/>
                <w:b/>
                <w:bCs/>
                <w:sz w:val="18"/>
                <w:szCs w:val="18"/>
              </w:rPr>
              <w:t>内</w:t>
            </w:r>
            <w:r>
              <w:rPr>
                <w:rFonts w:ascii="宋体" w:hAnsi="宋体" w:cs="宋体" w:eastAsia="宋体" w:hint="default"/>
                <w:b/>
                <w:bCs/>
                <w:spacing w:val="90"/>
                <w:sz w:val="18"/>
                <w:szCs w:val="18"/>
              </w:rPr>
              <w:t> </w:t>
            </w:r>
            <w:r>
              <w:rPr>
                <w:rFonts w:ascii="宋体" w:hAnsi="宋体" w:cs="宋体" w:eastAsia="宋体" w:hint="default"/>
                <w:b/>
                <w:bCs/>
                <w:sz w:val="18"/>
                <w:szCs w:val="18"/>
              </w:rPr>
              <w:t>容</w:t>
            </w:r>
            <w:r>
              <w:rPr>
                <w:rFonts w:ascii="宋体" w:hAnsi="宋体" w:cs="宋体" w:eastAsia="宋体"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期末公允价值</w:t>
            </w:r>
            <w:r>
              <w:rPr>
                <w:rFonts w:ascii="宋体" w:hAnsi="宋体" w:cs="宋体" w:eastAsia="宋体" w:hint="default"/>
                <w:sz w:val="18"/>
                <w:szCs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估值技术</w:t>
            </w:r>
            <w:r>
              <w:rPr>
                <w:rFonts w:ascii="宋体" w:hAnsi="宋体" w:cs="宋体" w:eastAsia="宋体" w:hint="default"/>
                <w:sz w:val="18"/>
                <w:szCs w:val="18"/>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不可观察输入值</w:t>
            </w:r>
            <w:r>
              <w:rPr>
                <w:rFonts w:ascii="宋体" w:hAnsi="宋体" w:cs="宋体" w:eastAsia="宋体" w:hint="default"/>
                <w:sz w:val="18"/>
                <w:szCs w:val="18"/>
              </w:rPr>
            </w:r>
          </w:p>
        </w:tc>
        <w:tc>
          <w:tcPr>
            <w:tcW w:w="2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范围（加权平均值）</w:t>
            </w:r>
            <w:r>
              <w:rPr>
                <w:rFonts w:ascii="宋体" w:hAnsi="宋体" w:cs="宋体" w:eastAsia="宋体" w:hint="default"/>
                <w:sz w:val="18"/>
                <w:szCs w:val="18"/>
              </w:rPr>
            </w:r>
          </w:p>
        </w:tc>
      </w:tr>
      <w:tr>
        <w:trPr>
          <w:trHeight w:val="343"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center"/>
              <w:rPr>
                <w:rFonts w:ascii="宋体" w:hAnsi="宋体" w:cs="宋体" w:eastAsia="宋体" w:hint="default"/>
                <w:sz w:val="18"/>
                <w:szCs w:val="18"/>
              </w:rPr>
            </w:pPr>
            <w:r>
              <w:rPr>
                <w:rFonts w:ascii="宋体" w:hAnsi="宋体" w:cs="宋体" w:eastAsia="宋体" w:hint="default"/>
                <w:sz w:val="18"/>
                <w:szCs w:val="18"/>
              </w:rPr>
              <w:t>股份支付</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收益法</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未来现金流量现值</w:t>
            </w:r>
          </w:p>
        </w:tc>
        <w:tc>
          <w:tcPr>
            <w:tcW w:w="2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97" w:lineRule="auto" w:before="51"/>
        <w:ind w:right="1121"/>
        <w:jc w:val="left"/>
      </w:pPr>
      <w:r>
        <w:rPr/>
        <w:t>授予日每份限制性股权激励计划的公允价值为</w:t>
      </w:r>
      <w:r>
        <w:rPr>
          <w:spacing w:val="-3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3"/>
        </w:rPr>
        <w:t> </w:t>
      </w:r>
      <w:r>
        <w:rPr/>
        <w:t>元，该公允价值按经评估的每</w:t>
      </w:r>
      <w:r>
        <w:rPr>
          <w:spacing w:val="-34"/>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元注册资本的评估价与授予价的差额确 定。</w:t>
      </w:r>
    </w:p>
    <w:p>
      <w:pPr>
        <w:spacing w:line="240" w:lineRule="auto" w:before="12"/>
        <w:rPr>
          <w:rFonts w:ascii="宋体" w:hAnsi="宋体" w:cs="宋体" w:eastAsia="宋体" w:hint="default"/>
          <w:sz w:val="23"/>
          <w:szCs w:val="23"/>
        </w:rPr>
      </w:pPr>
    </w:p>
    <w:p>
      <w:pPr>
        <w:pStyle w:val="Heading3"/>
        <w:spacing w:line="240" w:lineRule="auto"/>
        <w:ind w:right="982"/>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82" w:firstLine="360"/>
        <w:jc w:val="left"/>
      </w:pPr>
      <w:r>
        <w:rPr>
          <w:spacing w:val="-2"/>
        </w:rPr>
        <w:t>本集团以摊余成本计量的金融资产和金融负债主要包括：货币资金、应收票据、应收账款、其他应收款、应付账款、其</w:t>
      </w:r>
      <w:r>
        <w:rPr/>
        <w:t> 他应付款等。</w:t>
      </w:r>
    </w:p>
    <w:p>
      <w:pPr>
        <w:pStyle w:val="BodyText"/>
        <w:spacing w:line="240" w:lineRule="auto" w:before="59"/>
        <w:ind w:left="513" w:right="982"/>
        <w:jc w:val="left"/>
      </w:pPr>
      <w:r>
        <w:rPr/>
        <w:t>上述不以公允价值计量的金融资产和金融负债的账面价值与公允价值相差很小。</w:t>
      </w:r>
    </w:p>
    <w:p>
      <w:pPr>
        <w:spacing w:line="240" w:lineRule="auto" w:before="6"/>
        <w:rPr>
          <w:rFonts w:ascii="宋体" w:hAnsi="宋体" w:cs="宋体" w:eastAsia="宋体" w:hint="default"/>
          <w:sz w:val="13"/>
          <w:szCs w:val="13"/>
        </w:rPr>
      </w:pPr>
    </w:p>
    <w:p>
      <w:pPr>
        <w:pStyle w:val="Heading3"/>
        <w:spacing w:line="240" w:lineRule="auto"/>
        <w:ind w:right="982"/>
        <w:jc w:val="left"/>
        <w:rPr>
          <w:b w:val="0"/>
          <w:bCs w:val="0"/>
        </w:rPr>
      </w:pPr>
      <w:r>
        <w:rPr>
          <w:rFonts w:ascii="Times New Roman" w:hAnsi="Times New Roman" w:cs="Times New Roman" w:eastAsia="Times New Roman" w:hint="default"/>
        </w:rPr>
        <w:t>9</w:t>
      </w:r>
      <w:r>
        <w:rPr/>
        <w:t>、其他</w:t>
      </w:r>
      <w:r>
        <w:rPr>
          <w:b w:val="0"/>
          <w:bCs w:val="0"/>
        </w:rPr>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982"/>
        <w:jc w:val="left"/>
        <w:rPr>
          <w:b w:val="0"/>
          <w:bCs w:val="0"/>
        </w:rPr>
      </w:pP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4"/>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76"/>
        <w:gridCol w:w="1419"/>
        <w:gridCol w:w="2088"/>
        <w:gridCol w:w="1594"/>
        <w:gridCol w:w="1594"/>
        <w:gridCol w:w="1596"/>
      </w:tblGrid>
      <w:tr>
        <w:trPr>
          <w:trHeight w:val="71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北京国资公司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国有资产经营、投资管理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6" w:right="0"/>
              <w:jc w:val="left"/>
              <w:rPr>
                <w:rFonts w:ascii="Times New Roman" w:hAnsi="Times New Roman" w:cs="Times New Roman" w:eastAsia="Times New Roman" w:hint="default"/>
                <w:sz w:val="18"/>
                <w:szCs w:val="18"/>
              </w:rPr>
            </w:pPr>
            <w:r>
              <w:rPr>
                <w:rFonts w:ascii="Times New Roman"/>
                <w:sz w:val="18"/>
              </w:rPr>
              <w:t>26.24%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26.24%</w:t>
            </w:r>
          </w:p>
        </w:tc>
      </w:tr>
    </w:tbl>
    <w:p>
      <w:pPr>
        <w:pStyle w:val="BodyText"/>
        <w:spacing w:line="340" w:lineRule="auto" w:before="49"/>
        <w:ind w:right="982"/>
        <w:jc w:val="left"/>
      </w:pPr>
      <w:r>
        <w:rPr/>
        <w:t>本企业的母公司情况的说明 </w:t>
      </w:r>
      <w:r>
        <w:rPr>
          <w:spacing w:val="-4"/>
        </w:rPr>
        <w:t>北京国资公司是经北京市人民政府授权的、专门从事资本运营的大型国有投资控股公司。其前身是北京市国有资产经营公司，</w:t>
      </w:r>
      <w:r>
        <w:rPr>
          <w:spacing w:val="-44"/>
        </w:rPr>
        <w:t> </w:t>
      </w:r>
      <w:r>
        <w:rPr>
          <w:spacing w:val="-44"/>
        </w:rPr>
      </w:r>
      <w:r>
        <w:rPr/>
        <w:t>成立于</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9</w:t>
      </w:r>
      <w:r>
        <w:rPr/>
        <w:t>月。北京国资公司作为北京市重大项目建设的承担者和经营者，重点关注产业集中在金融与现代服务业，科</w:t>
      </w:r>
    </w:p>
    <w:p>
      <w:pPr>
        <w:pStyle w:val="BodyText"/>
        <w:spacing w:line="215" w:lineRule="exact"/>
        <w:ind w:right="982"/>
        <w:jc w:val="left"/>
      </w:pPr>
      <w:r>
        <w:rPr/>
        <w:t>技、现代制造业与新能源，城市功能区开发环保与社会事业，文化创意、旅游休闲与体育四大领域。其与本公司主营业务不</w:t>
      </w:r>
    </w:p>
    <w:p>
      <w:pPr>
        <w:pStyle w:val="BodyText"/>
        <w:spacing w:line="357" w:lineRule="auto" w:before="76"/>
        <w:ind w:right="7874"/>
        <w:jc w:val="left"/>
      </w:pPr>
      <w:r>
        <w:rPr/>
        <w:t>存在关系。 本企业最终控制方是北京国资公司。 其他说明：</w:t>
      </w:r>
    </w:p>
    <w:p>
      <w:pPr>
        <w:spacing w:line="240" w:lineRule="auto" w:before="6"/>
        <w:rPr>
          <w:rFonts w:ascii="宋体" w:hAnsi="宋体" w:cs="宋体" w:eastAsia="宋体" w:hint="default"/>
          <w:sz w:val="20"/>
          <w:szCs w:val="20"/>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49"/>
        <w:ind w:right="2294"/>
        <w:jc w:val="left"/>
      </w:pPr>
      <w:r>
        <w:rPr/>
        <w:t>本企业重要的合营或联营企业详见附注附注九、</w:t>
      </w:r>
      <w:r>
        <w:rPr>
          <w:rFonts w:ascii="Times New Roman" w:hAnsi="Times New Roman" w:cs="Times New Roman" w:eastAsia="Times New Roman" w:hint="default"/>
        </w:rPr>
        <w:t>3</w:t>
      </w:r>
      <w:r>
        <w:rPr/>
        <w:t>。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版信通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中天信安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首信股份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本公司股东、受同一母公司控制的其他企业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北京软件和信息服务交易所有限公司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首信云技术有限公司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北京北奥集团有限责任公司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首都信息科技发展有限公司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北京金融资产交易所有限公司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北京产权交易所有限公司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北京国融工发投资管理有限公司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北京首融在线金融信息服务有限公司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北京首信网创网络信息服务有限公司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北京权益通支付科技有限公司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董事、监事、经理、财务总监及董事会秘书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982"/>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52"/>
        <w:gridCol w:w="1702"/>
        <w:gridCol w:w="1560"/>
        <w:gridCol w:w="1418"/>
        <w:gridCol w:w="1133"/>
        <w:gridCol w:w="1205"/>
      </w:tblGrid>
      <w:tr>
        <w:trPr>
          <w:trHeight w:val="715"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获批的交易额度</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110" w:hanging="180"/>
              <w:jc w:val="left"/>
              <w:rPr>
                <w:rFonts w:ascii="宋体" w:hAnsi="宋体" w:cs="宋体" w:eastAsia="宋体" w:hint="default"/>
                <w:sz w:val="18"/>
                <w:szCs w:val="18"/>
              </w:rPr>
            </w:pPr>
            <w:r>
              <w:rPr>
                <w:rFonts w:ascii="宋体" w:hAnsi="宋体" w:cs="宋体" w:eastAsia="宋体" w:hint="default"/>
                <w:sz w:val="18"/>
                <w:szCs w:val="18"/>
              </w:rPr>
              <w:t>是否超过交 易额度</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中天信安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center"/>
              <w:rPr>
                <w:rFonts w:ascii="宋体" w:hAnsi="宋体" w:cs="宋体" w:eastAsia="宋体" w:hint="default"/>
                <w:sz w:val="18"/>
                <w:szCs w:val="18"/>
              </w:rPr>
            </w:pPr>
            <w:r>
              <w:rPr>
                <w:rFonts w:ascii="宋体" w:hAnsi="宋体" w:cs="宋体" w:eastAsia="宋体" w:hint="default"/>
                <w:sz w:val="18"/>
                <w:szCs w:val="18"/>
              </w:rPr>
              <w:t>采购商品、接受劳务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5,292,565.09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首信云技术有限公司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center"/>
              <w:rPr>
                <w:rFonts w:ascii="宋体" w:hAnsi="宋体" w:cs="宋体" w:eastAsia="宋体" w:hint="default"/>
                <w:sz w:val="18"/>
                <w:szCs w:val="18"/>
              </w:rPr>
            </w:pPr>
            <w:r>
              <w:rPr>
                <w:rFonts w:ascii="宋体" w:hAnsi="宋体" w:cs="宋体" w:eastAsia="宋体" w:hint="default"/>
                <w:sz w:val="18"/>
                <w:szCs w:val="18"/>
              </w:rPr>
              <w:t>采购商品、接受劳务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601,037.74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7"/>
              <w:jc w:val="left"/>
              <w:rPr>
                <w:rFonts w:ascii="宋体" w:hAnsi="宋体" w:cs="宋体" w:eastAsia="宋体" w:hint="default"/>
                <w:sz w:val="18"/>
                <w:szCs w:val="18"/>
              </w:rPr>
            </w:pPr>
            <w:r>
              <w:rPr>
                <w:rFonts w:ascii="宋体" w:hAnsi="宋体" w:cs="宋体" w:eastAsia="宋体" w:hint="default"/>
                <w:sz w:val="18"/>
                <w:szCs w:val="18"/>
              </w:rPr>
              <w:t>北京首信网创网络信息服务有 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采购商品、接受劳务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118,245.28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247,018.87</w:t>
            </w: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北京北奥集团有限责任公司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center"/>
              <w:rPr>
                <w:rFonts w:ascii="宋体" w:hAnsi="宋体" w:cs="宋体" w:eastAsia="宋体" w:hint="default"/>
                <w:sz w:val="18"/>
                <w:szCs w:val="18"/>
              </w:rPr>
            </w:pPr>
            <w:r>
              <w:rPr>
                <w:rFonts w:ascii="宋体" w:hAnsi="宋体" w:cs="宋体" w:eastAsia="宋体" w:hint="default"/>
                <w:sz w:val="18"/>
                <w:szCs w:val="18"/>
              </w:rPr>
              <w:t>采购商品、接受劳务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94,339.62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7"/>
              <w:jc w:val="left"/>
              <w:rPr>
                <w:rFonts w:ascii="宋体" w:hAnsi="宋体" w:cs="宋体" w:eastAsia="宋体" w:hint="default"/>
                <w:sz w:val="18"/>
                <w:szCs w:val="18"/>
              </w:rPr>
            </w:pPr>
            <w:r>
              <w:rPr>
                <w:rFonts w:ascii="宋体" w:hAnsi="宋体" w:cs="宋体" w:eastAsia="宋体" w:hint="default"/>
                <w:sz w:val="18"/>
                <w:szCs w:val="18"/>
              </w:rPr>
              <w:t>北京软件和信息服务交易所有 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采购商品、接受劳务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89,424.78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159,628.88</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首都信息科技发展有限公司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center"/>
              <w:rPr>
                <w:rFonts w:ascii="宋体" w:hAnsi="宋体" w:cs="宋体" w:eastAsia="宋体" w:hint="default"/>
                <w:sz w:val="18"/>
                <w:szCs w:val="18"/>
              </w:rPr>
            </w:pPr>
            <w:r>
              <w:rPr>
                <w:rFonts w:ascii="宋体" w:hAnsi="宋体" w:cs="宋体" w:eastAsia="宋体" w:hint="default"/>
                <w:sz w:val="18"/>
                <w:szCs w:val="18"/>
              </w:rPr>
              <w:t>采购商品、接受劳务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458,188.82</w:t>
            </w:r>
          </w:p>
        </w:tc>
      </w:tr>
    </w:tbl>
    <w:p>
      <w:pPr>
        <w:pStyle w:val="BodyText"/>
        <w:spacing w:line="240" w:lineRule="auto" w:before="49"/>
        <w:ind w:right="982"/>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1843"/>
        <w:gridCol w:w="2302"/>
        <w:gridCol w:w="2305"/>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首信股份</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2,183,302.02</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4,650,194.53</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北京国资公司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949,206.88</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33,962.26</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首都信息科技发展有限公司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540,988.95</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495,331.82</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北京国融工发投资管理有限公司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143,349.05</w:t>
            </w: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北京软件和信息服务交易所有限公司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59,924.52</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7,471.69</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北京产权交易所有限公司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27,133.41</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34,558.95</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北京金融资产交易所有限公司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9,619.39</w:t>
            </w: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北京首融在线金融信息服务有限公司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302"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849.06</w:t>
            </w:r>
          </w:p>
        </w:tc>
      </w:tr>
    </w:tbl>
    <w:p>
      <w:pPr>
        <w:pStyle w:val="BodyText"/>
        <w:spacing w:line="240" w:lineRule="auto" w:before="49"/>
        <w:ind w:right="982"/>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本公司受托管理</w:t>
      </w:r>
      <w:r>
        <w:rPr>
          <w:rFonts w:ascii="Times New Roman" w:hAnsi="Times New Roman" w:cs="Times New Roman" w:eastAsia="Times New Roman" w:hint="default"/>
        </w:rPr>
        <w:t>/</w:t>
      </w:r>
      <w:r>
        <w:rPr/>
        <w:t>承包情况表：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7" w:right="20"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4" w:lineRule="auto"/>
        <w:jc w:val="left"/>
        <w:rPr>
          <w:rFonts w:ascii="宋体" w:hAnsi="宋体" w:cs="宋体" w:eastAsia="宋体" w:hint="default"/>
          <w:sz w:val="18"/>
          <w:szCs w:val="18"/>
        </w:rPr>
        <w:sectPr>
          <w:pgSz w:w="11910" w:h="16840"/>
          <w:pgMar w:header="748" w:footer="979" w:top="1060" w:bottom="1160" w:left="980" w:right="0"/>
        </w:sectPr>
      </w:pPr>
    </w:p>
    <w:p>
      <w:pPr>
        <w:pStyle w:val="BodyText"/>
        <w:spacing w:line="343"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544" w:space="6285"/>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0"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0"/>
        <w:ind w:right="982"/>
        <w:jc w:val="left"/>
      </w:pPr>
      <w:r>
        <w:rPr/>
        <w:t>关联管理</w:t>
      </w:r>
      <w:r>
        <w:rPr>
          <w:rFonts w:ascii="Times New Roman" w:hAnsi="Times New Roman" w:cs="Times New Roman" w:eastAsia="Times New Roman" w:hint="default"/>
        </w:rPr>
        <w:t>/</w:t>
      </w:r>
      <w:r>
        <w:rPr/>
        <w:t>出包情况说明</w:t>
      </w:r>
    </w:p>
    <w:p>
      <w:pPr>
        <w:spacing w:line="240" w:lineRule="auto" w:before="3"/>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982"/>
        <w:jc w:val="left"/>
      </w:pPr>
      <w:r>
        <w:rPr/>
        <w:t>本公司作为承租方：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0"/>
        <w:ind w:right="982"/>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本公司作为担保方</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982"/>
        <w:jc w:val="left"/>
      </w:pPr>
      <w:r>
        <w:rPr/>
        <w:t>本公司作为被担保方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982"/>
        <w:jc w:val="left"/>
      </w:pPr>
      <w:r>
        <w:rPr/>
        <w:t>关联担保情况说明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7,809,658.00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8,540,950.00</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2552"/>
        <w:gridCol w:w="1702"/>
        <w:gridCol w:w="1416"/>
        <w:gridCol w:w="1561"/>
        <w:gridCol w:w="1202"/>
      </w:tblGrid>
      <w:tr>
        <w:trPr>
          <w:trHeight w:val="401" w:hRule="exact"/>
        </w:trPr>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5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1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2552"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1"/>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首信股份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2,234,576.40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342,200.31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2,965,330.00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367,773.00</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1"/>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首都信息科技发展有限公司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1,358,000.00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766,600.00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439,150.00</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1"/>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6"/>
              <w:jc w:val="left"/>
              <w:rPr>
                <w:rFonts w:ascii="宋体" w:hAnsi="宋体" w:cs="宋体" w:eastAsia="宋体" w:hint="default"/>
                <w:sz w:val="18"/>
                <w:szCs w:val="18"/>
              </w:rPr>
            </w:pPr>
            <w:r>
              <w:rPr>
                <w:rFonts w:ascii="宋体" w:hAnsi="宋体" w:cs="宋体" w:eastAsia="宋体" w:hint="default"/>
                <w:sz w:val="18"/>
                <w:szCs w:val="18"/>
              </w:rPr>
              <w:t>北京软件和信息服务交易所有 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640,200.00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512,160.00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640,200.00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320,100.00</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1"/>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版信通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521,080.00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201,324.00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1,070,480.00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362,808.00</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1"/>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北京产权交易所有限公司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9"/>
        <w:gridCol w:w="3365"/>
        <w:gridCol w:w="2393"/>
        <w:gridCol w:w="2393"/>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41"/>
              <w:jc w:val="right"/>
              <w:rPr>
                <w:rFonts w:ascii="宋体" w:hAnsi="宋体" w:cs="宋体" w:eastAsia="宋体" w:hint="default"/>
                <w:sz w:val="18"/>
                <w:szCs w:val="18"/>
              </w:rPr>
            </w:pPr>
            <w:r>
              <w:rPr>
                <w:rFonts w:ascii="宋体" w:hAnsi="宋体" w:cs="宋体" w:eastAsia="宋体" w:hint="default"/>
                <w:sz w:val="18"/>
                <w:szCs w:val="18"/>
              </w:rPr>
              <w:t>项目名称</w:t>
            </w:r>
          </w:p>
        </w:tc>
        <w:tc>
          <w:tcPr>
            <w:tcW w:w="3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预收账款</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首都信息科技发展有限公司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26,612,813.67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11,308,474.00</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1"/>
              <w:jc w:val="right"/>
              <w:rPr>
                <w:rFonts w:ascii="宋体" w:hAnsi="宋体" w:cs="宋体" w:eastAsia="宋体" w:hint="default"/>
                <w:sz w:val="18"/>
                <w:szCs w:val="18"/>
              </w:rPr>
            </w:pPr>
            <w:r>
              <w:rPr>
                <w:rFonts w:ascii="宋体" w:hAnsi="宋体" w:cs="宋体" w:eastAsia="宋体" w:hint="default"/>
                <w:sz w:val="18"/>
                <w:szCs w:val="18"/>
              </w:rPr>
              <w:t>预收账款</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首信股份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607,862.40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127,130.00</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预收账款</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北京软件和信息服务交易所有限公司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345,350.00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161,310.00</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1"/>
              <w:jc w:val="right"/>
              <w:rPr>
                <w:rFonts w:ascii="宋体" w:hAnsi="宋体" w:cs="宋体" w:eastAsia="宋体" w:hint="default"/>
                <w:sz w:val="18"/>
                <w:szCs w:val="18"/>
              </w:rPr>
            </w:pPr>
            <w:r>
              <w:rPr>
                <w:rFonts w:ascii="宋体" w:hAnsi="宋体" w:cs="宋体" w:eastAsia="宋体" w:hint="default"/>
                <w:sz w:val="18"/>
                <w:szCs w:val="18"/>
              </w:rPr>
              <w:t>预收账款</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版信通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195,637.60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预收账款</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北京产权交易所有限公司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47,131.00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47,131.00</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1"/>
              <w:jc w:val="right"/>
              <w:rPr>
                <w:rFonts w:ascii="宋体" w:hAnsi="宋体" w:cs="宋体" w:eastAsia="宋体" w:hint="default"/>
                <w:sz w:val="18"/>
                <w:szCs w:val="18"/>
              </w:rPr>
            </w:pPr>
            <w:r>
              <w:rPr>
                <w:rFonts w:ascii="宋体" w:hAnsi="宋体" w:cs="宋体" w:eastAsia="宋体" w:hint="default"/>
                <w:sz w:val="18"/>
                <w:szCs w:val="18"/>
              </w:rPr>
              <w:t>预收账款</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北京金融资产交易所有限公司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14,500.00</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预收账款</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北京国融工发投资管理有限公司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19"/>
        <w:gridCol w:w="3365"/>
        <w:gridCol w:w="2393"/>
        <w:gridCol w:w="2393"/>
      </w:tblGrid>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预收账款</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中天信安</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6,900.00</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1"/>
              <w:jc w:val="right"/>
              <w:rPr>
                <w:rFonts w:ascii="宋体" w:hAnsi="宋体" w:cs="宋体" w:eastAsia="宋体" w:hint="default"/>
                <w:sz w:val="18"/>
                <w:szCs w:val="18"/>
              </w:rPr>
            </w:pPr>
            <w:r>
              <w:rPr>
                <w:rFonts w:ascii="宋体" w:hAnsi="宋体" w:cs="宋体" w:eastAsia="宋体" w:hint="default"/>
                <w:sz w:val="18"/>
                <w:szCs w:val="18"/>
              </w:rPr>
              <w:t>应付账款</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首都信息科技发展有限公司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745,346.00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729,346.00</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应付账款</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中天信安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39,000.00</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1"/>
              <w:jc w:val="right"/>
              <w:rPr>
                <w:rFonts w:ascii="宋体" w:hAnsi="宋体" w:cs="宋体" w:eastAsia="宋体" w:hint="default"/>
                <w:sz w:val="18"/>
                <w:szCs w:val="18"/>
              </w:rPr>
            </w:pPr>
            <w:r>
              <w:rPr>
                <w:rFonts w:ascii="宋体" w:hAnsi="宋体" w:cs="宋体" w:eastAsia="宋体" w:hint="default"/>
                <w:sz w:val="18"/>
                <w:szCs w:val="18"/>
              </w:rPr>
              <w:t>应付账款</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首信云技术有限公司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115,200.00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应付账款</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北京首信网创网络信息服务有限责任公司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126,000.00</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5"/>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1,470,000.00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588,000.00</w:t>
            </w:r>
          </w:p>
        </w:tc>
      </w:tr>
      <w:tr>
        <w:trPr>
          <w:trHeight w:val="40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49"/>
        <w:ind w:right="982"/>
        <w:jc w:val="left"/>
      </w:pPr>
      <w:r>
        <w:rPr/>
        <w:t>其他说明</w:t>
      </w:r>
    </w:p>
    <w:p>
      <w:pPr>
        <w:pStyle w:val="BodyText"/>
        <w:spacing w:line="300" w:lineRule="auto" w:before="117"/>
        <w:ind w:right="982" w:firstLine="36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日，本公司第三届董事会第二十次会议决议通过了《关于审议子公司安信天行股权激励计划（草案）及相</w:t>
      </w:r>
      <w:r>
        <w:rPr/>
        <w:t> </w:t>
      </w:r>
      <w:r>
        <w:rPr>
          <w:spacing w:val="-2"/>
        </w:rPr>
        <w:t>关配套文件的议案》，激励员工共同设立的有限合伙企业作为员工持股平台出资认购安信天行总额度为</w:t>
      </w:r>
      <w:r>
        <w:rPr>
          <w:rFonts w:ascii="Times New Roman" w:hAnsi="Times New Roman" w:cs="Times New Roman" w:eastAsia="Times New Roman" w:hint="default"/>
          <w:spacing w:val="-2"/>
        </w:rPr>
        <w:t>147</w:t>
      </w:r>
      <w:r>
        <w:rPr>
          <w:spacing w:val="-2"/>
        </w:rPr>
        <w:t>万元的注册资本，</w:t>
      </w:r>
      <w:r>
        <w:rPr>
          <w:spacing w:val="-58"/>
        </w:rPr>
        <w:t> </w:t>
      </w:r>
      <w:r>
        <w:rPr>
          <w:spacing w:val="-58"/>
        </w:rPr>
      </w:r>
      <w:r>
        <w:rPr/>
        <w:t>股权出售激励以经评估机构出具的、且经北京市国资委核准的资产评估结果为定价依据（</w:t>
      </w:r>
      <w:r>
        <w:rPr>
          <w:rFonts w:ascii="Times New Roman" w:hAnsi="Times New Roman" w:cs="Times New Roman" w:eastAsia="Times New Roman" w:hint="default"/>
        </w:rPr>
        <w:t>4.8</w:t>
      </w:r>
      <w:r>
        <w:rPr/>
        <w:t>元</w:t>
      </w:r>
      <w:r>
        <w:rPr>
          <w:rFonts w:ascii="Times New Roman" w:hAnsi="Times New Roman" w:cs="Times New Roman" w:eastAsia="Times New Roman" w:hint="default"/>
        </w:rPr>
        <w:t>/</w:t>
      </w:r>
      <w:r>
        <w:rPr/>
        <w:t>股）。</w:t>
      </w:r>
    </w:p>
    <w:p>
      <w:pPr>
        <w:spacing w:line="240" w:lineRule="auto" w:before="4"/>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1027"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授予日每份限制性股权激励计划的公允价值为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元，该</w:t>
            </w:r>
          </w:p>
          <w:p>
            <w:pPr>
              <w:pStyle w:val="TableParagraph"/>
              <w:spacing w:line="300" w:lineRule="auto" w:before="63"/>
              <w:ind w:left="23" w:right="51"/>
              <w:jc w:val="left"/>
              <w:rPr>
                <w:rFonts w:ascii="宋体" w:hAnsi="宋体" w:cs="宋体" w:eastAsia="宋体" w:hint="default"/>
                <w:sz w:val="18"/>
                <w:szCs w:val="18"/>
              </w:rPr>
            </w:pPr>
            <w:r>
              <w:rPr>
                <w:rFonts w:ascii="宋体" w:hAnsi="宋体" w:cs="宋体" w:eastAsia="宋体" w:hint="default"/>
                <w:sz w:val="18"/>
                <w:szCs w:val="18"/>
              </w:rPr>
              <w:t>公允价值按经评估的每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元注册资本的评估价与授予价的 差额确定。</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预计可达到行权条件</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982"/>
        <w:jc w:val="left"/>
      </w:pPr>
      <w:r>
        <w:rPr/>
        <w:t>其他说明</w:t>
      </w:r>
    </w:p>
    <w:p>
      <w:pPr>
        <w:pStyle w:val="BodyText"/>
        <w:spacing w:line="240" w:lineRule="auto" w:before="117"/>
        <w:ind w:right="982"/>
        <w:jc w:val="left"/>
      </w:pPr>
      <w:r>
        <w:rPr/>
        <w:t>说明：每股净资产的评估价值根据北京中同华资产评估有限公司出具的</w:t>
      </w:r>
      <w:r>
        <w:rPr>
          <w:rFonts w:ascii="Times New Roman" w:hAnsi="Times New Roman" w:cs="Times New Roman" w:eastAsia="Times New Roman" w:hint="default"/>
        </w:rPr>
        <w:t>“</w:t>
      </w:r>
      <w:r>
        <w:rPr/>
        <w:t>中同华评报字【</w:t>
      </w:r>
      <w:r>
        <w:rPr>
          <w:rFonts w:ascii="Times New Roman" w:hAnsi="Times New Roman" w:cs="Times New Roman" w:eastAsia="Times New Roman" w:hint="default"/>
        </w:rPr>
        <w:t>2019</w:t>
      </w:r>
      <w:r>
        <w:rPr/>
        <w:t>】第 </w:t>
      </w:r>
      <w:r>
        <w:rPr>
          <w:rFonts w:ascii="Times New Roman" w:hAnsi="Times New Roman" w:cs="Times New Roman" w:eastAsia="Times New Roman" w:hint="default"/>
        </w:rPr>
        <w:t>040551</w:t>
      </w:r>
      <w:r>
        <w:rPr>
          <w:rFonts w:ascii="Times New Roman" w:hAnsi="Times New Roman" w:cs="Times New Roman" w:eastAsia="Times New Roman" w:hint="default"/>
          <w:spacing w:val="-20"/>
        </w:rPr>
        <w:t> </w:t>
      </w:r>
      <w:r>
        <w:rPr/>
        <w:t>号</w:t>
      </w:r>
      <w:r>
        <w:rPr>
          <w:rFonts w:ascii="Times New Roman" w:hAnsi="Times New Roman" w:cs="Times New Roman" w:eastAsia="Times New Roman" w:hint="default"/>
        </w:rPr>
        <w:t>”</w:t>
      </w:r>
      <w:r>
        <w:rPr/>
        <w:t>资产评估报告</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82"/>
        <w:jc w:val="left"/>
      </w:pPr>
      <w:r>
        <w:rPr/>
        <w:t>确定。</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79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18"/>
          <w:szCs w:val="18"/>
        </w:rPr>
        <w:t>无</w:t>
      </w:r>
    </w:p>
    <w:p>
      <w:pPr>
        <w:spacing w:line="487" w:lineRule="auto" w:before="127"/>
        <w:ind w:left="152" w:right="83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5"/>
        <w:ind w:left="513" w:right="1123"/>
        <w:jc w:val="left"/>
      </w:pPr>
      <w:r>
        <w:rPr/>
        <w:t>资产负债表日存在的重要承诺 经营租赁承诺。至资产负债表日止，本集团对外签订的不可撤销的经营租赁最低付款额约为</w:t>
      </w:r>
      <w:r>
        <w:rPr>
          <w:rFonts w:ascii="Times New Roman" w:hAnsi="Times New Roman" w:cs="Times New Roman" w:eastAsia="Times New Roman" w:hint="default"/>
        </w:rPr>
        <w:t>1,431.72</w:t>
      </w:r>
      <w:r>
        <w:rPr/>
        <w:t>万元。截至</w:t>
      </w:r>
      <w:r>
        <w:rPr>
          <w:rFonts w:ascii="Times New Roman" w:hAnsi="Times New Roman" w:cs="Times New Roman" w:eastAsia="Times New Roman" w:hint="default"/>
        </w:rPr>
        <w:t>2019</w:t>
      </w:r>
      <w:r>
        <w:rPr/>
        <w:t>年</w:t>
      </w:r>
    </w:p>
    <w:p>
      <w:pPr>
        <w:pStyle w:val="BodyText"/>
        <w:spacing w:line="214" w:lineRule="exact"/>
        <w:ind w:right="982"/>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日，本集团不存在其他应披露的承诺事项。</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公司不存在需要披露的重要或有事项。</w:t>
      </w:r>
    </w:p>
    <w:p>
      <w:pPr>
        <w:spacing w:line="240" w:lineRule="auto" w:before="0"/>
        <w:rPr>
          <w:rFonts w:ascii="宋体" w:hAnsi="宋体" w:cs="宋体" w:eastAsia="宋体" w:hint="default"/>
          <w:sz w:val="18"/>
          <w:szCs w:val="18"/>
        </w:rPr>
      </w:pPr>
    </w:p>
    <w:p>
      <w:pPr>
        <w:spacing w:line="487" w:lineRule="auto" w:before="120"/>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5"/>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3"/>
        <w:gridCol w:w="1760"/>
        <w:gridCol w:w="2926"/>
        <w:gridCol w:w="2391"/>
      </w:tblGrid>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对财务状况和经营成果的影响数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t>公司将积极采取各种措施，尽可能减少新型冠状病毒肺炎疫情对公司带来的不利影响。</w:t>
      </w:r>
    </w:p>
    <w:p>
      <w:pPr>
        <w:spacing w:line="240" w:lineRule="auto" w:before="3"/>
        <w:rPr>
          <w:rFonts w:ascii="宋体" w:hAnsi="宋体" w:cs="宋体" w:eastAsia="宋体" w:hint="default"/>
          <w:sz w:val="25"/>
          <w:szCs w:val="25"/>
        </w:rPr>
      </w:pPr>
    </w:p>
    <w:p>
      <w:pPr>
        <w:pStyle w:val="Heading2"/>
        <w:spacing w:line="240" w:lineRule="auto"/>
        <w:ind w:right="982"/>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3011"/>
        <w:gridCol w:w="1771"/>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3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受影响的各个比较期间报表项目名称</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5"/>
        <w:rPr>
          <w:rFonts w:ascii="宋体" w:hAnsi="宋体" w:cs="宋体" w:eastAsia="宋体" w:hint="default"/>
          <w:b/>
          <w:bCs/>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1133"/>
        <w:gridCol w:w="1277"/>
        <w:gridCol w:w="1274"/>
        <w:gridCol w:w="1277"/>
        <w:gridCol w:w="1560"/>
        <w:gridCol w:w="1916"/>
      </w:tblGrid>
      <w:tr>
        <w:trPr>
          <w:trHeight w:val="715"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0" w:hanging="360"/>
              <w:jc w:val="left"/>
              <w:rPr>
                <w:rFonts w:ascii="宋体" w:hAnsi="宋体" w:cs="宋体" w:eastAsia="宋体" w:hint="default"/>
                <w:sz w:val="18"/>
                <w:szCs w:val="18"/>
              </w:rPr>
            </w:pPr>
            <w:r>
              <w:rPr>
                <w:rFonts w:ascii="宋体" w:hAnsi="宋体" w:cs="宋体" w:eastAsia="宋体" w:hint="default"/>
                <w:sz w:val="18"/>
                <w:szCs w:val="18"/>
              </w:rPr>
              <w:t>归属于母公司所有者的 终止经营利润</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429" w:type="dxa"/>
        <w:tblLayout w:type="fixed"/>
        <w:tblCellMar>
          <w:top w:w="0" w:type="dxa"/>
          <w:left w:w="0" w:type="dxa"/>
          <w:bottom w:w="0" w:type="dxa"/>
          <w:right w:w="0" w:type="dxa"/>
        </w:tblCellMar>
        <w:tblLook w:val="01E0"/>
      </w:tblPr>
      <w:tblGrid>
        <w:gridCol w:w="2392"/>
        <w:gridCol w:w="2391"/>
        <w:gridCol w:w="2393"/>
        <w:gridCol w:w="2393"/>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6"/>
        <w:rPr>
          <w:rFonts w:ascii="宋体" w:hAnsi="宋体" w:cs="宋体" w:eastAsia="宋体" w:hint="default"/>
          <w:sz w:val="19"/>
          <w:szCs w:val="19"/>
        </w:rPr>
      </w:pPr>
    </w:p>
    <w:p>
      <w:pPr>
        <w:pStyle w:val="Heading3"/>
        <w:spacing w:line="240" w:lineRule="auto" w:before="36"/>
        <w:ind w:left="432" w:right="1124"/>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432" w:right="1124" w:firstLine="360"/>
        <w:jc w:val="left"/>
      </w:pPr>
      <w:r>
        <w:rPr>
          <w:spacing w:val="-2"/>
        </w:rPr>
        <w:t>除电子认证服务及产品、可管理的信息安全服务业务外，本集团未经营其他对经营成果有重大影响的业务。同时，由于</w:t>
      </w:r>
      <w:r>
        <w:rPr/>
        <w:t> 本集团仅于一个地域内经营业务，收入主要来自中国境内，其主要资产亦位于中国境内，因此本集团无需披露分部数据。</w:t>
      </w:r>
    </w:p>
    <w:p>
      <w:pPr>
        <w:spacing w:line="240" w:lineRule="auto" w:before="10"/>
        <w:rPr>
          <w:rFonts w:ascii="宋体" w:hAnsi="宋体" w:cs="宋体" w:eastAsia="宋体" w:hint="default"/>
          <w:sz w:val="22"/>
          <w:szCs w:val="22"/>
        </w:rPr>
      </w:pPr>
    </w:p>
    <w:p>
      <w:pPr>
        <w:pStyle w:val="Heading3"/>
        <w:spacing w:line="240" w:lineRule="auto"/>
        <w:ind w:left="432" w:right="1124"/>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32" w:right="1124"/>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43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4"/>
        <w:ind w:left="432" w:right="1124"/>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05"/>
        <w:gridCol w:w="1133"/>
        <w:gridCol w:w="711"/>
        <w:gridCol w:w="991"/>
        <w:gridCol w:w="566"/>
        <w:gridCol w:w="1136"/>
        <w:gridCol w:w="1133"/>
        <w:gridCol w:w="670"/>
        <w:gridCol w:w="1033"/>
        <w:gridCol w:w="566"/>
        <w:gridCol w:w="1135"/>
      </w:tblGrid>
      <w:tr>
        <w:trPr>
          <w:trHeight w:val="399" w:hRule="exact"/>
        </w:trPr>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5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205" w:type="dxa"/>
            <w:vMerge/>
            <w:tcBorders>
              <w:left w:val="single" w:sz="4" w:space="0" w:color="000000"/>
              <w:right w:val="single" w:sz="4" w:space="0" w:color="000000"/>
            </w:tcBorders>
            <w:shd w:val="clear" w:color="auto" w:fill="D2D2D2"/>
          </w:tcPr>
          <w:p>
            <w:pP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20" w:hRule="exact"/>
        </w:trPr>
        <w:tc>
          <w:tcPr>
            <w:tcW w:w="1205"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6"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5"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7"/>
              <w:ind w:left="24" w:right="116"/>
              <w:jc w:val="left"/>
              <w:rPr>
                <w:rFonts w:ascii="宋体" w:hAnsi="宋体" w:cs="宋体" w:eastAsia="宋体" w:hint="default"/>
                <w:sz w:val="15"/>
                <w:szCs w:val="15"/>
              </w:rPr>
            </w:pPr>
            <w:r>
              <w:rPr>
                <w:rFonts w:ascii="宋体" w:hAnsi="宋体" w:cs="宋体" w:eastAsia="宋体" w:hint="default"/>
                <w:sz w:val="15"/>
                <w:szCs w:val="15"/>
              </w:rPr>
              <w:t>按组合计提坏账</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准备的应收账款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289,533,827.66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77" w:right="0"/>
              <w:jc w:val="center"/>
              <w:rPr>
                <w:rFonts w:ascii="Times New Roman" w:hAnsi="Times New Roman" w:cs="Times New Roman" w:eastAsia="Times New Roman" w:hint="default"/>
                <w:sz w:val="15"/>
                <w:szCs w:val="15"/>
              </w:rPr>
            </w:pPr>
            <w:r>
              <w:rPr>
                <w:rFonts w:ascii="Times New Roman"/>
                <w:sz w:val="15"/>
              </w:rPr>
              <w:t>73,147,948.40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3" w:right="0"/>
              <w:jc w:val="center"/>
              <w:rPr>
                <w:rFonts w:ascii="Times New Roman" w:hAnsi="Times New Roman" w:cs="Times New Roman" w:eastAsia="Times New Roman" w:hint="default"/>
                <w:sz w:val="15"/>
                <w:szCs w:val="15"/>
              </w:rPr>
            </w:pPr>
            <w:r>
              <w:rPr>
                <w:rFonts w:ascii="Times New Roman"/>
                <w:sz w:val="15"/>
              </w:rPr>
              <w:t>25.26%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216,385,879.26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194,000,001.86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100.00%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2"/>
                <w:sz w:val="15"/>
              </w:rPr>
              <w:t>53,711,888.34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27.69%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2"/>
                <w:sz w:val="15"/>
              </w:rPr>
              <w:t>140,288,113.52</w:t>
            </w:r>
          </w:p>
        </w:tc>
      </w:tr>
      <w:tr>
        <w:trPr>
          <w:trHeight w:val="401"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其他客户组合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283,875,397.38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98.05%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7" w:right="0"/>
              <w:jc w:val="center"/>
              <w:rPr>
                <w:rFonts w:ascii="Times New Roman" w:hAnsi="Times New Roman" w:cs="Times New Roman" w:eastAsia="Times New Roman" w:hint="default"/>
                <w:sz w:val="15"/>
                <w:szCs w:val="15"/>
              </w:rPr>
            </w:pPr>
            <w:r>
              <w:rPr>
                <w:rFonts w:ascii="Times New Roman"/>
                <w:sz w:val="15"/>
              </w:rPr>
              <w:t>73,147,948.40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3" w:right="0"/>
              <w:jc w:val="center"/>
              <w:rPr>
                <w:rFonts w:ascii="Times New Roman" w:hAnsi="Times New Roman" w:cs="Times New Roman" w:eastAsia="Times New Roman" w:hint="default"/>
                <w:sz w:val="15"/>
                <w:szCs w:val="15"/>
              </w:rPr>
            </w:pPr>
            <w:r>
              <w:rPr>
                <w:rFonts w:ascii="Times New Roman"/>
                <w:sz w:val="15"/>
              </w:rPr>
              <w:t>25.77%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3"/>
              <w:jc w:val="right"/>
              <w:rPr>
                <w:rFonts w:ascii="Times New Roman" w:hAnsi="Times New Roman" w:cs="Times New Roman" w:eastAsia="Times New Roman" w:hint="default"/>
                <w:sz w:val="15"/>
                <w:szCs w:val="15"/>
              </w:rPr>
            </w:pPr>
            <w:r>
              <w:rPr>
                <w:rFonts w:ascii="Times New Roman"/>
                <w:spacing w:val="-1"/>
                <w:sz w:val="15"/>
              </w:rPr>
              <w:t>216,385,879.26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183,472,019.74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94.57%</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2"/>
                <w:sz w:val="15"/>
              </w:rPr>
              <w:t>53,711,888.34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6"/>
              <w:jc w:val="right"/>
              <w:rPr>
                <w:rFonts w:ascii="Times New Roman" w:hAnsi="Times New Roman" w:cs="Times New Roman" w:eastAsia="Times New Roman" w:hint="default"/>
                <w:sz w:val="15"/>
                <w:szCs w:val="15"/>
              </w:rPr>
            </w:pPr>
            <w:r>
              <w:rPr>
                <w:rFonts w:ascii="Times New Roman"/>
                <w:spacing w:val="-1"/>
                <w:sz w:val="15"/>
              </w:rPr>
              <w:t>29.28%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129,760,131.40</w:t>
            </w:r>
          </w:p>
        </w:tc>
      </w:tr>
      <w:tr>
        <w:trPr>
          <w:trHeight w:val="401"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宋体" w:hAnsi="宋体" w:cs="宋体" w:eastAsia="宋体" w:hint="default"/>
                <w:sz w:val="15"/>
                <w:szCs w:val="15"/>
              </w:rPr>
            </w:pPr>
            <w:r>
              <w:rPr>
                <w:rFonts w:ascii="宋体" w:hAnsi="宋体" w:cs="宋体" w:eastAsia="宋体" w:hint="default"/>
                <w:sz w:val="15"/>
                <w:szCs w:val="15"/>
              </w:rPr>
              <w:t>关联组合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5"/>
                <w:szCs w:val="15"/>
              </w:rPr>
            </w:pPr>
            <w:r>
              <w:rPr>
                <w:rFonts w:ascii="Times New Roman"/>
                <w:spacing w:val="-1"/>
                <w:sz w:val="15"/>
              </w:rPr>
              <w:t>5,658,430.28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5"/>
                <w:szCs w:val="15"/>
              </w:rPr>
            </w:pPr>
            <w:r>
              <w:rPr>
                <w:rFonts w:ascii="Times New Roman"/>
                <w:spacing w:val="-1"/>
                <w:sz w:val="15"/>
              </w:rPr>
              <w:t>1.95%</w:t>
            </w: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5"/>
                <w:szCs w:val="15"/>
              </w:rPr>
            </w:pPr>
            <w:r>
              <w:rPr>
                <w:rFonts w:ascii="Times New Roman"/>
                <w:spacing w:val="-1"/>
                <w:sz w:val="15"/>
              </w:rPr>
              <w:t>5,658,430.28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5"/>
                <w:szCs w:val="15"/>
              </w:rPr>
            </w:pPr>
            <w:r>
              <w:rPr>
                <w:rFonts w:ascii="Times New Roman"/>
                <w:spacing w:val="-1"/>
                <w:sz w:val="15"/>
              </w:rPr>
              <w:t>10,527,982.12</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5"/>
                <w:szCs w:val="15"/>
              </w:rPr>
            </w:pPr>
            <w:r>
              <w:rPr>
                <w:rFonts w:ascii="Times New Roman"/>
                <w:spacing w:val="-1"/>
                <w:sz w:val="15"/>
              </w:rPr>
              <w:t>5.43%</w:t>
            </w:r>
          </w:p>
        </w:tc>
        <w:tc>
          <w:tcPr>
            <w:tcW w:w="10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5"/>
                <w:szCs w:val="15"/>
              </w:rPr>
            </w:pPr>
            <w:r>
              <w:rPr>
                <w:rFonts w:ascii="Times New Roman"/>
                <w:spacing w:val="-1"/>
                <w:sz w:val="15"/>
              </w:rPr>
              <w:t>10,527,982.12</w:t>
            </w:r>
          </w:p>
        </w:tc>
      </w:tr>
      <w:tr>
        <w:trPr>
          <w:trHeight w:val="403"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289,533,827.66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7" w:right="0"/>
              <w:jc w:val="center"/>
              <w:rPr>
                <w:rFonts w:ascii="Times New Roman" w:hAnsi="Times New Roman" w:cs="Times New Roman" w:eastAsia="Times New Roman" w:hint="default"/>
                <w:sz w:val="15"/>
                <w:szCs w:val="15"/>
              </w:rPr>
            </w:pPr>
            <w:r>
              <w:rPr>
                <w:rFonts w:ascii="Times New Roman"/>
                <w:sz w:val="15"/>
              </w:rPr>
              <w:t>73,147,948.40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3" w:right="0"/>
              <w:jc w:val="center"/>
              <w:rPr>
                <w:rFonts w:ascii="Times New Roman" w:hAnsi="Times New Roman" w:cs="Times New Roman" w:eastAsia="Times New Roman" w:hint="default"/>
                <w:sz w:val="15"/>
                <w:szCs w:val="15"/>
              </w:rPr>
            </w:pPr>
            <w:r>
              <w:rPr>
                <w:rFonts w:ascii="Times New Roman"/>
                <w:sz w:val="15"/>
              </w:rPr>
              <w:t>25.26%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3"/>
              <w:jc w:val="right"/>
              <w:rPr>
                <w:rFonts w:ascii="Times New Roman" w:hAnsi="Times New Roman" w:cs="Times New Roman" w:eastAsia="Times New Roman" w:hint="default"/>
                <w:sz w:val="15"/>
                <w:szCs w:val="15"/>
              </w:rPr>
            </w:pPr>
            <w:r>
              <w:rPr>
                <w:rFonts w:ascii="Times New Roman"/>
                <w:spacing w:val="-1"/>
                <w:sz w:val="15"/>
              </w:rPr>
              <w:t>216,385,879.26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194,000,001.86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100.00%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2"/>
                <w:sz w:val="15"/>
              </w:rPr>
              <w:t>53,711,888.34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6"/>
              <w:jc w:val="right"/>
              <w:rPr>
                <w:rFonts w:ascii="Times New Roman" w:hAnsi="Times New Roman" w:cs="Times New Roman" w:eastAsia="Times New Roman" w:hint="default"/>
                <w:sz w:val="15"/>
                <w:szCs w:val="15"/>
              </w:rPr>
            </w:pPr>
            <w:r>
              <w:rPr>
                <w:rFonts w:ascii="Times New Roman"/>
                <w:spacing w:val="-1"/>
                <w:sz w:val="15"/>
              </w:rPr>
              <w:t>27.69%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2"/>
                <w:sz w:val="15"/>
              </w:rPr>
              <w:t>140,288,113.52</w:t>
            </w:r>
          </w:p>
        </w:tc>
      </w:tr>
    </w:tbl>
    <w:p>
      <w:pPr>
        <w:spacing w:before="74"/>
        <w:ind w:left="432" w:right="1124" w:firstLine="0"/>
        <w:jc w:val="left"/>
        <w:rPr>
          <w:rFonts w:ascii="宋体" w:hAnsi="宋体" w:cs="宋体" w:eastAsia="宋体" w:hint="default"/>
          <w:sz w:val="15"/>
          <w:szCs w:val="15"/>
        </w:rPr>
      </w:pPr>
      <w:r>
        <w:rPr>
          <w:rFonts w:ascii="宋体" w:hAnsi="宋体" w:cs="宋体" w:eastAsia="宋体" w:hint="default"/>
          <w:sz w:val="15"/>
          <w:szCs w:val="15"/>
        </w:rPr>
        <w:t>按单项计提坏账准备：</w:t>
      </w:r>
    </w:p>
    <w:p>
      <w:pPr>
        <w:pStyle w:val="BodyText"/>
        <w:spacing w:line="240" w:lineRule="auto" w:before="13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42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left="432" w:right="1124"/>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73,147,948.40</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429" w:type="dxa"/>
        <w:tblLayout w:type="fixed"/>
        <w:tblCellMar>
          <w:top w:w="0" w:type="dxa"/>
          <w:left w:w="0" w:type="dxa"/>
          <w:bottom w:w="0" w:type="dxa"/>
          <w:right w:w="0" w:type="dxa"/>
        </w:tblCellMar>
        <w:tblLook w:val="01E0"/>
      </w:tblPr>
      <w:tblGrid>
        <w:gridCol w:w="2392"/>
        <w:gridCol w:w="2391"/>
        <w:gridCol w:w="2393"/>
        <w:gridCol w:w="2396"/>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pgSz w:w="11910" w:h="16840"/>
          <w:pgMar w:header="748" w:footer="979" w:top="1060" w:bottom="1160" w:left="70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其他客户组合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283,875,397.38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73,147,948.40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25.77%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5,658,430.28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289,533,827.66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73,147,948.40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9" w:top="1060" w:bottom="1160" w:left="980" w:right="0"/>
        </w:sectPr>
      </w:pPr>
    </w:p>
    <w:p>
      <w:pPr>
        <w:pStyle w:val="BodyText"/>
        <w:spacing w:line="360" w:lineRule="auto" w:before="49"/>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3" w:space="6696"/>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2"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3"/>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168,630,967.73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41,814,535.58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24,387,474.76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54,700,849.59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15,172,496.22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13,683,276.37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25,845,077.00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289,533,827.66</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其他客户组合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53,711,888.34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19,436,060.06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73,147,948.40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关联组合</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53,711,888.34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19,436,060.06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73,147,948.40</w:t>
            </w:r>
          </w:p>
        </w:tc>
      </w:tr>
    </w:tbl>
    <w:p>
      <w:pPr>
        <w:pStyle w:val="BodyText"/>
        <w:spacing w:line="240" w:lineRule="auto" w:before="49"/>
        <w:ind w:right="982"/>
        <w:jc w:val="left"/>
      </w:pPr>
      <w:r>
        <w:rPr/>
        <w:t>其中本期坏账准备收回或转回金额重要的：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982"/>
        <w:jc w:val="left"/>
      </w:pPr>
      <w:r>
        <w:rPr/>
        <w:t>其中重要的应收账款核销情况：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558"/>
        <w:gridCol w:w="1418"/>
        <w:gridCol w:w="1277"/>
        <w:gridCol w:w="1841"/>
        <w:gridCol w:w="2199"/>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款项是否由关联交易产生</w:t>
            </w:r>
          </w:p>
        </w:tc>
      </w:tr>
    </w:tbl>
    <w:p>
      <w:pPr>
        <w:pStyle w:val="BodyText"/>
        <w:spacing w:line="240" w:lineRule="auto" w:before="50"/>
        <w:ind w:right="982"/>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21"/>
        <w:ind w:right="982"/>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873"/>
        <w:gridCol w:w="191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1" w:right="0"/>
              <w:jc w:val="left"/>
              <w:rPr>
                <w:rFonts w:ascii="宋体" w:hAnsi="宋体" w:cs="宋体" w:eastAsia="宋体" w:hint="default"/>
                <w:sz w:val="18"/>
                <w:szCs w:val="18"/>
              </w:rPr>
            </w:pPr>
            <w:r>
              <w:rPr>
                <w:rFonts w:ascii="宋体" w:hAnsi="宋体" w:cs="宋体" w:eastAsia="宋体" w:hint="default"/>
                <w:sz w:val="18"/>
                <w:szCs w:val="18"/>
              </w:rPr>
              <w:t>占应收账款期末余额合计数的比例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39,644,376.39</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3,542,425.31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8,507,350.00</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2,537,460.72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6,417,058.00</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1,201,883.60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4,574,078.20</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580,427.86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4,512,330.00</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3,820,610.00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63,655,192.59</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21.99%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56,976,346.13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52,803,959.03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56,976,346.13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52,803,959.03</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488"/>
        <w:gridCol w:w="2340"/>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是否发生减值及其判断依据</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30"/>
        <w:gridCol w:w="1418"/>
        <w:gridCol w:w="1983"/>
        <w:gridCol w:w="2626"/>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2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是否发生减值及其判断依据</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5"/>
        <w:rPr>
          <w:rFonts w:ascii="宋体" w:hAnsi="宋体" w:cs="宋体" w:eastAsia="宋体" w:hint="default"/>
          <w:sz w:val="21"/>
          <w:szCs w:val="21"/>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15,232,166.70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14,892,586.15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2,974,620.78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2,754,849.93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44,348,632.30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40,578,414.84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备用金及其他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3,127,233.74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1,919,304.88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65,682,653.52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60,145,155.80</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8"/>
        <w:gridCol w:w="1825"/>
        <w:gridCol w:w="1827"/>
        <w:gridCol w:w="1825"/>
        <w:gridCol w:w="1826"/>
      </w:tblGrid>
      <w:tr>
        <w:trPr>
          <w:trHeight w:val="402" w:hRule="exact"/>
        </w:trPr>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9"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2" w:hRule="exact"/>
        </w:trPr>
        <w:tc>
          <w:tcPr>
            <w:tcW w:w="22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82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2"/>
              <w:ind w:left="727" w:right="47" w:hanging="67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个月预期信用 损失</w:t>
            </w:r>
          </w:p>
        </w:tc>
        <w:tc>
          <w:tcPr>
            <w:tcW w:w="182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2"/>
              <w:ind w:left="40" w:right="34" w:firstLine="6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 损失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182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2"/>
              <w:ind w:left="38" w:right="34" w:firstLine="6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 损失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26" w:type="dxa"/>
            <w:vMerge/>
            <w:tcBorders>
              <w:left w:val="single" w:sz="4" w:space="0" w:color="000000"/>
              <w:right w:val="single" w:sz="4" w:space="0" w:color="000000"/>
            </w:tcBorders>
            <w:shd w:val="clear" w:color="auto" w:fill="D2D2D2"/>
          </w:tcPr>
          <w:p>
            <w:pPr/>
          </w:p>
        </w:tc>
      </w:tr>
      <w:tr>
        <w:trPr>
          <w:trHeight w:val="362" w:hRule="exact"/>
        </w:trPr>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825" w:type="dxa"/>
            <w:vMerge/>
            <w:tcBorders>
              <w:left w:val="single" w:sz="4" w:space="0" w:color="000000"/>
              <w:bottom w:val="single" w:sz="4" w:space="0" w:color="000000"/>
              <w:right w:val="single" w:sz="4" w:space="0" w:color="000000"/>
            </w:tcBorders>
            <w:shd w:val="clear" w:color="auto" w:fill="D2D2D2"/>
          </w:tcPr>
          <w:p>
            <w:pPr/>
          </w:p>
        </w:tc>
        <w:tc>
          <w:tcPr>
            <w:tcW w:w="1827" w:type="dxa"/>
            <w:vMerge/>
            <w:tcBorders>
              <w:left w:val="single" w:sz="4" w:space="0" w:color="000000"/>
              <w:bottom w:val="single" w:sz="4" w:space="0" w:color="000000"/>
              <w:right w:val="single" w:sz="4" w:space="0" w:color="000000"/>
            </w:tcBorders>
            <w:shd w:val="clear" w:color="auto" w:fill="D2D2D2"/>
          </w:tcPr>
          <w:p>
            <w:pPr/>
          </w:p>
        </w:tc>
        <w:tc>
          <w:tcPr>
            <w:tcW w:w="1825" w:type="dxa"/>
            <w:vMerge/>
            <w:tcBorders>
              <w:left w:val="single" w:sz="4" w:space="0" w:color="000000"/>
              <w:bottom w:val="single" w:sz="4" w:space="0" w:color="000000"/>
              <w:right w:val="single" w:sz="4" w:space="0" w:color="000000"/>
            </w:tcBorders>
            <w:shd w:val="clear" w:color="auto" w:fill="D2D2D2"/>
          </w:tcPr>
          <w:p>
            <w:pPr/>
          </w:p>
        </w:tc>
        <w:tc>
          <w:tcPr>
            <w:tcW w:w="182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496,382.77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6,844,814.00</w:t>
            </w:r>
          </w:p>
        </w:tc>
        <w:tc>
          <w:tcPr>
            <w:tcW w:w="182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7,341,196.77</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1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-489,515.62</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489,515.62</w:t>
            </w:r>
          </w:p>
        </w:tc>
        <w:tc>
          <w:tcPr>
            <w:tcW w:w="182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560,689.03</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804,421.59</w:t>
            </w:r>
          </w:p>
        </w:tc>
        <w:tc>
          <w:tcPr>
            <w:tcW w:w="182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1,365,110.62</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567,556.18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8,138,751.21</w:t>
            </w:r>
          </w:p>
        </w:tc>
        <w:tc>
          <w:tcPr>
            <w:tcW w:w="182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8,706,307.39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7"/>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19,941,811.56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31,730,697.09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4,495,504.26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9,514,640.61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1,183,069.01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4,841,374.00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3,490,197.60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65,682,653.52</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982"/>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89"/>
        <w:gridCol w:w="1304"/>
        <w:gridCol w:w="1591"/>
        <w:gridCol w:w="1594"/>
        <w:gridCol w:w="1304"/>
        <w:gridCol w:w="1889"/>
      </w:tblGrid>
      <w:tr>
        <w:trPr>
          <w:trHeight w:val="401" w:hRule="exact"/>
        </w:trPr>
        <w:tc>
          <w:tcPr>
            <w:tcW w:w="18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4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8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vMerge/>
            <w:tcBorders>
              <w:left w:val="single" w:sz="4" w:space="0" w:color="000000"/>
              <w:bottom w:val="single" w:sz="4" w:space="0" w:color="000000"/>
              <w:right w:val="single" w:sz="4" w:space="0" w:color="000000"/>
            </w:tcBorders>
            <w:shd w:val="clear" w:color="auto" w:fill="D2D2D2"/>
          </w:tcPr>
          <w:p>
            <w:pPr/>
          </w:p>
        </w:tc>
        <w:tc>
          <w:tcPr>
            <w:tcW w:w="1304" w:type="dxa"/>
            <w:vMerge/>
            <w:tcBorders>
              <w:left w:val="single" w:sz="4" w:space="0" w:color="000000"/>
              <w:bottom w:val="single" w:sz="4" w:space="0" w:color="000000"/>
              <w:right w:val="single" w:sz="4" w:space="0" w:color="000000"/>
            </w:tcBorders>
            <w:shd w:val="clear" w:color="auto" w:fill="D2D2D2"/>
          </w:tcPr>
          <w:p>
            <w:pP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88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其他客户组合</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7,341,196.77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1,365,110.62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8,706,307.39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7,341,196.77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1,365,110.62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8,706,307.39</w:t>
            </w:r>
          </w:p>
        </w:tc>
      </w:tr>
    </w:tbl>
    <w:p>
      <w:pPr>
        <w:pStyle w:val="BodyText"/>
        <w:spacing w:line="240" w:lineRule="auto" w:before="49"/>
        <w:ind w:right="982"/>
        <w:jc w:val="left"/>
      </w:pPr>
      <w:r>
        <w:rPr/>
        <w:t>其中本期坏账准备转回或收回金额重要的：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8"/>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1"/>
        <w:gridCol w:w="4789"/>
      </w:tblGrid>
      <w:tr>
        <w:trPr>
          <w:trHeight w:val="334" w:hRule="exact"/>
        </w:trPr>
        <w:tc>
          <w:tcPr>
            <w:tcW w:w="4781" w:type="dxa"/>
            <w:tcBorders>
              <w:top w:val="single" w:sz="6" w:space="0" w:color="000000"/>
              <w:left w:val="nil" w:sz="6" w:space="0" w:color="auto"/>
              <w:bottom w:val="single" w:sz="4" w:space="0" w:color="000000"/>
              <w:right w:val="nil" w:sz="6" w:space="0" w:color="auto"/>
            </w:tcBorders>
          </w:tcPr>
          <w:p>
            <w:pPr/>
          </w:p>
        </w:tc>
        <w:tc>
          <w:tcPr>
            <w:tcW w:w="4789"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left="112" w:right="0"/>
        <w:jc w:val="left"/>
      </w:pPr>
      <w:r>
        <w:rPr/>
        <w:t>其中重要的其他应收款核销情况：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159"/>
        <w:gridCol w:w="1277"/>
        <w:gridCol w:w="1841"/>
        <w:gridCol w:w="2057"/>
      </w:tblGrid>
      <w:tr>
        <w:trPr>
          <w:trHeight w:val="401"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款项是否由关联交易产生</w:t>
            </w:r>
          </w:p>
        </w:tc>
      </w:tr>
    </w:tbl>
    <w:p>
      <w:pPr>
        <w:pStyle w:val="BodyText"/>
        <w:spacing w:line="240" w:lineRule="auto" w:before="49"/>
        <w:ind w:left="112" w:right="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22"/>
        <w:ind w:left="112" w:right="0"/>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268"/>
        <w:gridCol w:w="1419"/>
        <w:gridCol w:w="1416"/>
        <w:gridCol w:w="1236"/>
        <w:gridCol w:w="1616"/>
        <w:gridCol w:w="1615"/>
      </w:tblGrid>
      <w:tr>
        <w:trPr>
          <w:trHeight w:val="716"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安信天行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39,276,132.30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59.80%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数字医信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5,072,500.00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普华诚信信息技术有限公司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15" w:right="23" w:hanging="591"/>
              <w:jc w:val="left"/>
              <w:rPr>
                <w:rFonts w:ascii="宋体" w:hAnsi="宋体" w:cs="宋体" w:eastAsia="宋体" w:hint="default"/>
                <w:sz w:val="18"/>
                <w:szCs w:val="18"/>
              </w:rPr>
            </w:pPr>
            <w:r>
              <w:rPr>
                <w:rFonts w:ascii="宋体" w:hAnsi="宋体" w:cs="宋体" w:eastAsia="宋体" w:hint="default"/>
                <w:spacing w:val="-10"/>
                <w:sz w:val="18"/>
                <w:szCs w:val="18"/>
              </w:rPr>
              <w:t>保证金、押金及其</w:t>
            </w:r>
            <w:r>
              <w:rPr>
                <w:rFonts w:ascii="宋体" w:hAnsi="宋体" w:cs="宋体" w:eastAsia="宋体" w:hint="default"/>
                <w:sz w:val="18"/>
                <w:szCs w:val="18"/>
              </w:rPr>
              <w:t> 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5,158,206.00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01" w:right="61" w:hanging="13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年以下，</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1,795,978.50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江苏省设备成套有限公司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1,923,600.00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1,154,160.00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北京万柳置业集团有限公司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1,501,680.00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75,084.00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52,932,118.30</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80.59%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3,025,222.50</w:t>
            </w:r>
          </w:p>
        </w:tc>
      </w:tr>
    </w:tbl>
    <w:p>
      <w:pPr>
        <w:spacing w:line="240" w:lineRule="auto" w:before="5"/>
        <w:rPr>
          <w:rFonts w:ascii="宋体" w:hAnsi="宋体" w:cs="宋体" w:eastAsia="宋体" w:hint="default"/>
          <w:sz w:val="19"/>
          <w:szCs w:val="19"/>
        </w:rPr>
      </w:pPr>
    </w:p>
    <w:p>
      <w:pPr>
        <w:pStyle w:val="Heading3"/>
        <w:spacing w:line="240" w:lineRule="auto" w:before="36"/>
        <w:ind w:left="112" w:right="0"/>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5"/>
        <w:gridCol w:w="1865"/>
        <w:gridCol w:w="1640"/>
        <w:gridCol w:w="1702"/>
        <w:gridCol w:w="2338"/>
      </w:tblGrid>
      <w:tr>
        <w:trPr>
          <w:trHeight w:val="403"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5"/>
                <w:sz w:val="18"/>
                <w:szCs w:val="18"/>
              </w:rPr>
              <w:t>预计收取的时间、金额及依据</w:t>
            </w:r>
          </w:p>
        </w:tc>
      </w:tr>
    </w:tbl>
    <w:p>
      <w:pPr>
        <w:spacing w:line="240" w:lineRule="auto" w:before="5"/>
        <w:rPr>
          <w:rFonts w:ascii="宋体" w:hAnsi="宋体" w:cs="宋体" w:eastAsia="宋体" w:hint="default"/>
          <w:sz w:val="19"/>
          <w:szCs w:val="19"/>
        </w:rPr>
      </w:pPr>
    </w:p>
    <w:p>
      <w:pPr>
        <w:pStyle w:val="Heading3"/>
        <w:spacing w:line="240" w:lineRule="auto" w:before="36"/>
        <w:ind w:left="112" w:right="0"/>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12" w:right="0"/>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112"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left="112"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844"/>
        <w:gridCol w:w="1289"/>
        <w:gridCol w:w="1286"/>
        <w:gridCol w:w="1289"/>
        <w:gridCol w:w="1289"/>
        <w:gridCol w:w="1287"/>
        <w:gridCol w:w="1289"/>
      </w:tblGrid>
      <w:tr>
        <w:trPr>
          <w:trHeight w:val="403"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60,000,000.00</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4,125,248.05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4,125,248.05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4,186,460.94</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4,186,460.94</w:t>
            </w: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64,125,248.05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64,125,248.05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64,186,460.94</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64,186,460.94</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1020" w:right="0"/>
        </w:sectPr>
      </w:pP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0"/>
          <w:szCs w:val="20"/>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1"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安信天行</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30,000,000.00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数字认证</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r>
              <w:rPr>
                <w:rFonts w:ascii="Times New Roman" w:hAnsi="Times New Roman" w:cs="Times New Roman" w:eastAsia="Times New Roman" w:hint="default"/>
                <w:sz w:val="18"/>
                <w:szCs w:val="18"/>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20,000,000.00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数字医信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60,000,000.00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1046"/>
        <w:gridCol w:w="708"/>
        <w:gridCol w:w="637"/>
        <w:gridCol w:w="799"/>
        <w:gridCol w:w="797"/>
        <w:gridCol w:w="800"/>
        <w:gridCol w:w="797"/>
        <w:gridCol w:w="799"/>
        <w:gridCol w:w="620"/>
        <w:gridCol w:w="977"/>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0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00" w:lineRule="auto"/>
              <w:ind w:left="218" w:right="3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595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9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6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版信通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2"/>
                <w:sz w:val="15"/>
              </w:rPr>
              <w:t>1,903,111.91</w:t>
            </w:r>
          </w:p>
        </w:tc>
        <w:tc>
          <w:tcPr>
            <w:tcW w:w="70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308,671.82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2"/>
                <w:sz w:val="15"/>
              </w:rPr>
              <w:t>2,211,783.73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中天信安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2,283,349.03</w:t>
            </w:r>
          </w:p>
        </w:tc>
        <w:tc>
          <w:tcPr>
            <w:tcW w:w="70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-369,884.71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1,913,464.32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4,186,460.94</w:t>
            </w:r>
          </w:p>
        </w:tc>
        <w:tc>
          <w:tcPr>
            <w:tcW w:w="70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-61,212.89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4,125,248.05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4,186,460.94</w:t>
            </w:r>
          </w:p>
        </w:tc>
        <w:tc>
          <w:tcPr>
            <w:tcW w:w="70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-61,212.89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4,125,248.05</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5"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490,150,556.59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148,003,892.44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430,913,044.93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141,661,126.75</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9" w:right="0"/>
              <w:jc w:val="left"/>
              <w:rPr>
                <w:rFonts w:ascii="Times New Roman" w:hAnsi="Times New Roman" w:cs="Times New Roman" w:eastAsia="Times New Roman" w:hint="default"/>
                <w:sz w:val="18"/>
                <w:szCs w:val="18"/>
              </w:rPr>
            </w:pPr>
            <w:r>
              <w:rPr>
                <w:rFonts w:ascii="Times New Roman"/>
                <w:sz w:val="18"/>
              </w:rPr>
              <w:t>490,150,556.59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148,003,892.44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430,913,044.93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141,661,126.75</w:t>
            </w:r>
          </w:p>
        </w:tc>
      </w:tr>
    </w:tbl>
    <w:p>
      <w:pPr>
        <w:pStyle w:val="BodyText"/>
        <w:spacing w:line="240" w:lineRule="auto" w:before="49"/>
        <w:ind w:right="982"/>
        <w:jc w:val="left"/>
      </w:pPr>
      <w:r>
        <w:rPr/>
        <w:t>是否已执行新收入准则</w:t>
      </w:r>
    </w:p>
    <w:p>
      <w:pPr>
        <w:pStyle w:val="BodyText"/>
        <w:spacing w:line="340" w:lineRule="auto" w:before="117"/>
        <w:ind w:right="9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after="0" w:line="3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2,600,000.00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-61,212.89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-3,259,768.27</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7,353,115.82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6,365,244.29</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11,791,902.93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5,705,476.02</w:t>
            </w:r>
          </w:p>
        </w:tc>
      </w:tr>
    </w:tbl>
    <w:p>
      <w:pPr>
        <w:spacing w:line="240" w:lineRule="auto" w:before="6"/>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982"/>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395"/>
        <w:gridCol w:w="2588"/>
        <w:gridCol w:w="2588"/>
      </w:tblGrid>
      <w:tr>
        <w:trPr>
          <w:trHeight w:val="396"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8"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-106,110.23</w:t>
            </w: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39"/>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 国家统一标准定额或定量享受的政府补助除外）</w:t>
            </w:r>
          </w:p>
        </w:tc>
        <w:tc>
          <w:tcPr>
            <w:tcW w:w="25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8,201,855.71</w:t>
            </w: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-60,856.03</w:t>
            </w: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8,637,362.39</w:t>
            </w: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2,496,630.43</w:t>
            </w: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14,175,621.41</w:t>
            </w: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2"/>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3"/>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0.5474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0.5474</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0.4686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0.4686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59" w:lineRule="auto"/>
        <w:ind w:right="982"/>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8" w:footer="979" w:top="1060" w:bottom="1160" w:left="980" w:right="0"/>
        </w:sectPr>
      </w:pPr>
    </w:p>
    <w:p>
      <w:pPr>
        <w:spacing w:line="240" w:lineRule="auto" w:before="5"/>
        <w:rPr>
          <w:rFonts w:ascii="Times New Roman" w:hAnsi="Times New Roman" w:cs="Times New Roman" w:eastAsia="Times New Roman" w:hint="default"/>
          <w:sz w:val="17"/>
          <w:szCs w:val="17"/>
        </w:rPr>
      </w:pPr>
      <w:r>
        <w:rPr/>
        <w:pict>
          <v:shape style="position:absolute;margin-left:11.45pt;margin-top:9.749983pt;width:579.85pt;height:815.25pt;mso-position-horizontal-relative:page;mso-position-vertical-relative:page;z-index:-8829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8"/>
                      <w:szCs w:val="18"/>
                    </w:rPr>
                  </w:pPr>
                </w:p>
                <w:p>
                  <w:pPr>
                    <w:pStyle w:val="BodyText"/>
                    <w:spacing w:line="240" w:lineRule="auto"/>
                    <w:ind w:left="0" w:right="1048"/>
                    <w:jc w:val="right"/>
                  </w:pPr>
                  <w:r>
                    <w:rPr/>
                    <w:t>北京数字认证股份有限公司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07"/>
                    <w:ind w:left="-1" w:right="150" w:firstLine="0"/>
                    <w:jc w:val="center"/>
                    <w:rPr>
                      <w:rFonts w:ascii="宋体" w:hAnsi="宋体" w:cs="宋体" w:eastAsia="宋体" w:hint="default"/>
                      <w:sz w:val="32"/>
                      <w:szCs w:val="32"/>
                    </w:rPr>
                  </w:pPr>
                  <w:bookmarkStart w:name="_bookmark12" w:id="13"/>
                  <w:bookmarkEnd w:id="13"/>
                  <w:r>
                    <w:rPr/>
                  </w:r>
                  <w:r>
                    <w:rPr>
                      <w:rFonts w:ascii="宋体" w:hAnsi="宋体" w:cs="宋体" w:eastAsia="宋体" w:hint="default"/>
                      <w:b/>
                      <w:bCs/>
                      <w:sz w:val="32"/>
                      <w:szCs w:val="32"/>
                    </w:rPr>
                    <w:t>第十三节</w:t>
                  </w:r>
                  <w:r>
                    <w:rPr>
                      <w:rFonts w:ascii="宋体" w:hAnsi="宋体" w:cs="宋体" w:eastAsia="宋体" w:hint="default"/>
                      <w:b/>
                      <w:bCs/>
                      <w:spacing w:val="-6"/>
                      <w:sz w:val="32"/>
                      <w:szCs w:val="32"/>
                    </w:rPr>
                    <w:t> </w:t>
                  </w:r>
                  <w:r>
                    <w:rPr>
                      <w:rFonts w:ascii="宋体" w:hAnsi="宋体" w:cs="宋体" w:eastAsia="宋体" w:hint="default"/>
                      <w:b/>
                      <w:bCs/>
                      <w:sz w:val="32"/>
                      <w:szCs w:val="32"/>
                    </w:rPr>
                    <w:t>备查文件目录</w:t>
                  </w:r>
                  <w:r>
                    <w:rPr>
                      <w:rFonts w:ascii="宋体" w:hAnsi="宋体" w:cs="宋体" w:eastAsia="宋体" w:hint="default"/>
                      <w:sz w:val="32"/>
                      <w:szCs w:val="32"/>
                    </w:rPr>
                  </w:r>
                </w:p>
                <w:p>
                  <w:pPr>
                    <w:spacing w:line="240" w:lineRule="auto" w:before="9"/>
                    <w:rPr>
                      <w:rFonts w:ascii="Times New Roman" w:hAnsi="Times New Roman" w:cs="Times New Roman" w:eastAsia="Times New Roman" w:hint="default"/>
                      <w:sz w:val="46"/>
                      <w:szCs w:val="46"/>
                    </w:rPr>
                  </w:pPr>
                </w:p>
                <w:p>
                  <w:pPr>
                    <w:spacing w:before="0"/>
                    <w:ind w:left="132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、载有公司负责人、主管会计工作负责人、会计机构负责人签名并盖章的财务报表。</w:t>
                  </w:r>
                </w:p>
                <w:p>
                  <w:pPr>
                    <w:spacing w:before="141"/>
                    <w:ind w:left="132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、载有会计师事务所盖章、注册会计师签名并盖章的审计报告原件。</w:t>
                  </w:r>
                </w:p>
                <w:p>
                  <w:pPr>
                    <w:spacing w:before="141"/>
                    <w:ind w:left="132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、报告期内在中国证监会指定网站上公开披露过的所有公司文件的正本及公告的原稿。</w:t>
                  </w:r>
                </w:p>
                <w:p>
                  <w:pPr>
                    <w:spacing w:before="141"/>
                    <w:ind w:left="132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、经公司法定代表人签名的</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年年度报告原稿。</w:t>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11"/>
                    <w:rPr>
                      <w:rFonts w:ascii="Times New Roman" w:hAnsi="Times New Roman" w:cs="Times New Roman" w:eastAsia="Times New Roman" w:hint="default"/>
                      <w:sz w:val="31"/>
                      <w:szCs w:val="31"/>
                    </w:rPr>
                  </w:pPr>
                </w:p>
                <w:p>
                  <w:pPr>
                    <w:pStyle w:val="BodyText"/>
                    <w:spacing w:line="240" w:lineRule="auto"/>
                    <w:ind w:left="0" w:right="1048"/>
                    <w:jc w:val="right"/>
                    <w:rPr>
                      <w:rFonts w:ascii="Times New Roman" w:hAnsi="Times New Roman" w:cs="Times New Roman" w:eastAsia="Times New Roman" w:hint="default"/>
                    </w:rPr>
                  </w:pPr>
                  <w:r>
                    <w:rPr>
                      <w:rFonts w:ascii="Times New Roman"/>
                    </w:rPr>
                    <w:t>174</w:t>
                  </w:r>
                </w:p>
              </w:txbxContent>
            </v:textbox>
            <w10:wrap type="none"/>
          </v:shape>
        </w:pict>
      </w:r>
      <w:r>
        <w:rPr/>
        <w:pict>
          <v:group style="position:absolute;margin-left:11.45pt;margin-top:9.749983pt;width:583.7pt;height:823.8pt;mso-position-horizontal-relative:page;mso-position-vertical-relative:page;z-index:2224" coordorigin="229,195" coordsize="11674,16476">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shape style="position:absolute;left:229;top:195;width:11597;height:16305" type="#_x0000_t75" stroked="false">
                <v:imagedata r:id="rId21" o:title=""/>
              </v:shape>
              <v:shape style="position:absolute;left:10713;top:16134;width:1190;height:536" type="#_x0000_t75" stroked="false">
                <v:imagedata r:id="rId22" o:title=""/>
              </v:shape>
            </v:group>
            <w10:wrap type="none"/>
          </v:group>
        </w:pict>
      </w:r>
    </w:p>
    <w:sectPr>
      <w:headerReference w:type="default" r:id="rId19"/>
      <w:footerReference w:type="default" r:id="rId20"/>
      <w:pgSz w:w="11910" w:h="16840"/>
      <w:pgMar w:header="0" w:footer="0" w:top="158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4128" type="#_x0000_t75" stroked="false">
          <v:imagedata r:id="rId1" o:title=""/>
        </v:shape>
      </w:pict>
    </w:r>
    <w:r>
      <w:rPr/>
      <w:pict>
        <v:shape style="position:absolute;margin-left:533.099976pt;margin-top:795.637939pt;width:6.5pt;height:11pt;mso-position-horizontal-relative:page;mso-position-vertical-relative:page;z-index:-8841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4080" type="#_x0000_t75" stroked="false">
          <v:imagedata r:id="rId1" o:title=""/>
        </v:shape>
      </w:pict>
    </w:r>
    <w:r>
      <w:rPr/>
      <w:pict>
        <v:shape style="position:absolute;margin-left:527.659973pt;margin-top:781.957947pt;width:13.15pt;height:11pt;mso-position-horizontal-relative:page;mso-position-vertical-relative:page;z-index:-884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4032" type="#_x0000_t75" stroked="false">
          <v:imagedata r:id="rId1" o:title=""/>
        </v:shape>
      </w:pict>
    </w:r>
    <w:r>
      <w:rPr/>
      <w:pict>
        <v:shape style="position:absolute;margin-left:55.639999pt;margin-top:754.705627pt;width:71.05pt;height:11.5pt;mso-position-horizontal-relative:page;mso-position-vertical-relative:page;z-index:-88400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txbxContent>
          </v:textbox>
          <w10:wrap type="none"/>
        </v:shape>
      </w:pict>
    </w:r>
    <w:r>
      <w:rPr/>
      <w:pict>
        <v:shape style="position:absolute;margin-left:527.659973pt;margin-top:781.957947pt;width:13.15pt;height:11pt;mso-position-horizontal-relative:page;mso-position-vertical-relative:page;z-index:-883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3960" type="#_x0000_t75" stroked="false">
          <v:imagedata r:id="rId1" o:title=""/>
        </v:shape>
      </w:pict>
    </w:r>
    <w:r>
      <w:rPr/>
      <w:pict>
        <v:shape style="position:absolute;margin-left:527.659973pt;margin-top:781.957947pt;width:13.15pt;height:11pt;mso-position-horizontal-relative:page;mso-position-vertical-relative:page;z-index:-883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3912" type="#_x0000_t75" stroked="false">
          <v:imagedata r:id="rId1" o:title=""/>
        </v:shape>
      </w:pict>
    </w:r>
    <w:r>
      <w:rPr/>
      <w:pict>
        <v:shape style="position:absolute;margin-left:524.099976pt;margin-top:781.957947pt;width:15.7pt;height:11pt;mso-position-horizontal-relative:page;mso-position-vertical-relative:page;z-index:-8838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3864" type="#_x0000_t75" stroked="false">
          <v:imagedata r:id="rId1" o:title=""/>
        </v:shape>
      </w:pict>
    </w:r>
    <w:r>
      <w:rPr/>
      <w:pict>
        <v:shape style="position:absolute;margin-left:523.099976pt;margin-top:781.957947pt;width:17.7pt;height:11pt;mso-position-horizontal-relative:page;mso-position-vertical-relative:page;z-index:-883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3816" type="#_x0000_t75" stroked="false">
          <v:imagedata r:id="rId1" o:title=""/>
        </v:shape>
      </w:pict>
    </w:r>
    <w:r>
      <w:rPr/>
      <w:pict>
        <v:shape style="position:absolute;margin-left:523.460022pt;margin-top:781.957947pt;width:17.3pt;height:11pt;mso-position-horizontal-relative:page;mso-position-vertical-relative:page;z-index:-883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3768" type="#_x0000_t75" stroked="false">
          <v:imagedata r:id="rId1" o:title=""/>
        </v:shape>
      </w:pict>
    </w:r>
    <w:r>
      <w:rPr/>
      <w:pict>
        <v:shape style="position:absolute;margin-left:523.099976pt;margin-top:781.957947pt;width:17.7pt;height:11pt;mso-position-horizontal-relative:page;mso-position-vertical-relative:page;z-index:-883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385609pt;width:195.75pt;height:11.5pt;mso-position-horizontal-relative:page;mso-position-vertical-relative:page;z-index:-884152" type="#_x0000_t202" filled="false" stroked="false">
          <v:textbox inset="0,0,0,0">
            <w:txbxContent>
              <w:p>
                <w:pPr>
                  <w:pStyle w:val="BodyText"/>
                  <w:spacing w:line="214" w:lineRule="exact"/>
                  <w:ind w:left="20" w:right="0"/>
                  <w:jc w:val="left"/>
                </w:pPr>
                <w:r>
                  <w:rPr/>
                  <w:t>北京数字认证股份有限公司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2"/>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152"/>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bjca.cn/" TargetMode="External"/><Relationship Id="rId10" Type="http://schemas.openxmlformats.org/officeDocument/2006/relationships/hyperlink" Target="mailto:dongban@bjca.org.cn"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image" Target="media/image3.jpeg"/><Relationship Id="rId14" Type="http://schemas.openxmlformats.org/officeDocument/2006/relationships/hyperlink" Target="http://www.cninfo.com.cn/" TargetMode="Externa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header" Target="header2.xml"/><Relationship Id="rId20" Type="http://schemas.openxmlformats.org/officeDocument/2006/relationships/footer" Target="footer9.xml"/><Relationship Id="rId21" Type="http://schemas.openxmlformats.org/officeDocument/2006/relationships/image" Target="media/image4.jpeg"/><Relationship Id="rId22"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北京数字认证股份有限公司</dc:creator>
  <dc:title>北京数字认证股份有限公司2019年年度报告全文</dc:title>
  <dcterms:created xsi:type="dcterms:W3CDTF">2020-05-19T00:52:24Z</dcterms:created>
  <dcterms:modified xsi:type="dcterms:W3CDTF">2020-05-19T00:52:24Z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2020-03-25T00:00:00Z</vt:filetime>
  </property>
  <property fmtid="{D5CDD505-2E9C-101B-9397-08002B2CF9AE}" pid="3" name="Creator">
    <vt:lpwstr>Microsoft® Word 2016</vt:lpwstr>
  </property>
  <property fmtid="{D5CDD505-2E9C-101B-9397-08002B2CF9AE}" pid="4" name="LastSaved">
    <vt:filetime>2020-05-18T00:00:00Z</vt:filetime>
  </property>
</Properties>
</file>