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732"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drawing>
          <wp:inline distT="0" distB="0" distL="0" distR="0">
            <wp:extent cx="1127759" cy="46482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7759" cy="464820"/>
                    </a:xfrm>
                    <a:prstGeom prst="rect">
                      <a:avLst/>
                    </a:prstGeom>
                  </pic:spPr>
                </pic:pic>
              </a:graphicData>
            </a:graphic>
          </wp:inline>
        </w:drawing>
      </w:r>
      <w:r>
        <w:rPr>
          <w:rFonts w:ascii="Times New Roman" w:hAnsi="Times New Roman" w:cs="Times New Roman" w:eastAsia="Times New Roman" w:hint="default"/>
          <w:position w:val="-14"/>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241" w:right="3224" w:firstLine="0"/>
        <w:jc w:val="center"/>
        <w:rPr>
          <w:rFonts w:ascii="宋体" w:hAnsi="宋体" w:cs="宋体" w:eastAsia="宋体" w:hint="default"/>
          <w:sz w:val="36"/>
          <w:szCs w:val="36"/>
        </w:rPr>
      </w:pPr>
      <w:r>
        <w:rPr>
          <w:rFonts w:ascii="宋体" w:hAnsi="宋体" w:cs="宋体" w:eastAsia="宋体" w:hint="default"/>
          <w:b/>
          <w:bCs/>
          <w:sz w:val="36"/>
          <w:szCs w:val="36"/>
        </w:rPr>
        <w:t>北京思特奇信息技术股份有限公司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0"/>
          <w:szCs w:val="30"/>
        </w:rPr>
      </w:pPr>
    </w:p>
    <w:p>
      <w:pPr>
        <w:spacing w:before="0"/>
        <w:ind w:left="2241" w:right="32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pStyle w:val="Heading3"/>
        <w:spacing w:line="240" w:lineRule="auto"/>
        <w:ind w:left="2241" w:right="3218"/>
        <w:jc w:val="center"/>
        <w:rPr>
          <w:rFonts w:ascii="Times New Roman" w:hAnsi="Times New Roman" w:cs="Times New Roman" w:eastAsia="Times New Roman" w:hint="default"/>
          <w:b w:val="0"/>
          <w:bCs w:val="0"/>
        </w:rPr>
      </w:pPr>
      <w:r>
        <w:rPr>
          <w:rFonts w:ascii="Times New Roman"/>
        </w:rPr>
        <w:t>2020-029</w:t>
      </w:r>
      <w:r>
        <w:rPr>
          <w:rFonts w:ascii="Times New Roman"/>
          <w:b w:val="0"/>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2241" w:right="32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4" w:top="1060" w:bottom="1160" w:left="980" w:right="0"/>
        </w:sectPr>
      </w:pPr>
    </w:p>
    <w:p>
      <w:pPr>
        <w:spacing w:line="240" w:lineRule="auto" w:before="8"/>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left="2885" w:right="982"/>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53" w:right="1136"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3" w:right="1130"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公司负责人吴飞舟、主管会计工作负责人咸海丰及会计机构负责人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杜微声明：保证年度报告中财务报告的真实、准确、完整。</w:t>
      </w:r>
      <w:r>
        <w:rPr>
          <w:rFonts w:ascii="宋体" w:hAnsi="宋体" w:cs="宋体" w:eastAsia="宋体" w:hint="default"/>
          <w:sz w:val="28"/>
          <w:szCs w:val="28"/>
        </w:rPr>
      </w:r>
    </w:p>
    <w:p>
      <w:pPr>
        <w:spacing w:line="472" w:lineRule="auto" w:before="148"/>
        <w:ind w:left="714" w:right="98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本年度报告涉及未来计划等前瞻性陈述，不构成公司对投资者的实质承诺，</w:t>
      </w:r>
      <w:r>
        <w:rPr>
          <w:rFonts w:ascii="宋体" w:hAnsi="宋体" w:cs="宋体" w:eastAsia="宋体" w:hint="default"/>
          <w:spacing w:val="-2"/>
          <w:sz w:val="28"/>
          <w:szCs w:val="28"/>
        </w:rPr>
      </w:r>
    </w:p>
    <w:p>
      <w:pPr>
        <w:spacing w:line="408" w:lineRule="auto" w:before="0"/>
        <w:ind w:left="153" w:right="1128" w:firstLine="0"/>
        <w:jc w:val="left"/>
        <w:rPr>
          <w:rFonts w:ascii="宋体" w:hAnsi="宋体" w:cs="宋体" w:eastAsia="宋体" w:hint="default"/>
          <w:sz w:val="28"/>
          <w:szCs w:val="28"/>
        </w:rPr>
      </w:pPr>
      <w:r>
        <w:rPr>
          <w:rFonts w:ascii="宋体" w:hAnsi="宋体" w:cs="宋体" w:eastAsia="宋体" w:hint="default"/>
          <w:b/>
          <w:bCs/>
          <w:spacing w:val="2"/>
          <w:sz w:val="28"/>
          <w:szCs w:val="28"/>
        </w:rPr>
        <w:t>投资者及相关人士均应当对此保持足够的风险认识，并且应当理解计划、预测</w:t>
      </w:r>
      <w:r>
        <w:rPr>
          <w:rFonts w:ascii="宋体" w:hAnsi="宋体" w:cs="宋体" w:eastAsia="宋体" w:hint="default"/>
          <w:b/>
          <w:bCs/>
          <w:w w:val="99"/>
          <w:sz w:val="28"/>
          <w:szCs w:val="28"/>
        </w:rPr>
        <w:t> </w:t>
      </w:r>
      <w:r>
        <w:rPr>
          <w:rFonts w:ascii="宋体" w:hAnsi="宋体" w:cs="宋体" w:eastAsia="宋体" w:hint="default"/>
          <w:b/>
          <w:bCs/>
          <w:sz w:val="28"/>
          <w:szCs w:val="28"/>
        </w:rPr>
        <w:t>与承诺之间的差异。</w:t>
      </w:r>
      <w:r>
        <w:rPr>
          <w:rFonts w:ascii="宋体" w:hAnsi="宋体" w:cs="宋体" w:eastAsia="宋体" w:hint="default"/>
          <w:sz w:val="28"/>
          <w:szCs w:val="28"/>
        </w:rPr>
      </w:r>
    </w:p>
    <w:p>
      <w:pPr>
        <w:spacing w:line="408" w:lineRule="auto" w:before="162"/>
        <w:ind w:left="153" w:right="1133"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公司存在客户相对集中和业绩季节性波动风险、技术升级与市场需求不能</w:t>
      </w:r>
      <w:r>
        <w:rPr>
          <w:rFonts w:ascii="宋体" w:hAnsi="宋体" w:cs="宋体" w:eastAsia="宋体" w:hint="default"/>
          <w:b/>
          <w:bCs/>
          <w:w w:val="99"/>
          <w:sz w:val="28"/>
          <w:szCs w:val="28"/>
        </w:rPr>
        <w:t> </w:t>
      </w:r>
      <w:r>
        <w:rPr>
          <w:rFonts w:ascii="宋体" w:hAnsi="宋体" w:cs="宋体" w:eastAsia="宋体" w:hint="default"/>
          <w:b/>
          <w:bCs/>
          <w:spacing w:val="2"/>
          <w:sz w:val="28"/>
          <w:szCs w:val="28"/>
        </w:rPr>
        <w:t>匹配的风险、税收优惠政策变化的风险、技术人才流失风险、募集资金投资项</w:t>
      </w:r>
      <w:r>
        <w:rPr>
          <w:rFonts w:ascii="宋体" w:hAnsi="宋体" w:cs="宋体" w:eastAsia="宋体" w:hint="default"/>
          <w:b/>
          <w:bCs/>
          <w:w w:val="99"/>
          <w:sz w:val="28"/>
          <w:szCs w:val="28"/>
        </w:rPr>
        <w:t> </w:t>
      </w:r>
      <w:r>
        <w:rPr>
          <w:rFonts w:ascii="宋体" w:hAnsi="宋体" w:cs="宋体" w:eastAsia="宋体" w:hint="default"/>
          <w:b/>
          <w:bCs/>
          <w:spacing w:val="2"/>
          <w:sz w:val="28"/>
          <w:szCs w:val="28"/>
        </w:rPr>
        <w:t>目风险、疫情等不可抗力因素影响的风险等风险，敬请广大投资者注意投资风</w:t>
      </w:r>
      <w:r>
        <w:rPr>
          <w:rFonts w:ascii="宋体" w:hAnsi="宋体" w:cs="宋体" w:eastAsia="宋体" w:hint="default"/>
          <w:b/>
          <w:bCs/>
          <w:w w:val="99"/>
          <w:sz w:val="28"/>
          <w:szCs w:val="28"/>
        </w:rPr>
        <w:t> </w:t>
      </w:r>
      <w:r>
        <w:rPr>
          <w:rFonts w:ascii="宋体" w:hAnsi="宋体" w:cs="宋体" w:eastAsia="宋体" w:hint="default"/>
          <w:b/>
          <w:bCs/>
          <w:spacing w:val="2"/>
          <w:sz w:val="28"/>
          <w:szCs w:val="28"/>
        </w:rPr>
        <w:t>险。详细内容见本报告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第四节经营情况讨论与分析</w:t>
      </w:r>
      <w:r>
        <w:rPr>
          <w:rFonts w:ascii="宋体" w:hAnsi="宋体" w:cs="宋体" w:eastAsia="宋体" w:hint="default"/>
          <w:b/>
          <w:bCs/>
          <w:sz w:val="28"/>
          <w:szCs w:val="28"/>
        </w:rPr>
        <w:t> </w:t>
      </w:r>
      <w:r>
        <w:rPr>
          <w:rFonts w:ascii="宋体" w:hAnsi="宋体" w:cs="宋体" w:eastAsia="宋体" w:hint="default"/>
          <w:b/>
          <w:bCs/>
          <w:spacing w:val="2"/>
          <w:sz w:val="28"/>
          <w:szCs w:val="28"/>
        </w:rPr>
        <w:t>九、公司未来发展的展望</w:t>
      </w:r>
      <w:r>
        <w:rPr>
          <w:rFonts w:ascii="宋体" w:hAnsi="宋体" w:cs="宋体" w:eastAsia="宋体" w:hint="default"/>
          <w:spacing w:val="2"/>
          <w:sz w:val="28"/>
          <w:szCs w:val="28"/>
        </w:rPr>
      </w:r>
    </w:p>
    <w:p>
      <w:pPr>
        <w:spacing w:line="448" w:lineRule="auto" w:before="19"/>
        <w:ind w:left="714" w:right="1067" w:hanging="562"/>
        <w:jc w:val="left"/>
        <w:rPr>
          <w:rFonts w:ascii="宋体" w:hAnsi="宋体" w:cs="宋体" w:eastAsia="宋体" w:hint="default"/>
          <w:sz w:val="28"/>
          <w:szCs w:val="28"/>
        </w:rPr>
      </w:pPr>
      <w:r>
        <w:rPr>
          <w:rFonts w:ascii="宋体" w:hAnsi="宋体" w:cs="宋体" w:eastAsia="宋体" w:hint="default"/>
          <w:b/>
          <w:bCs/>
          <w:sz w:val="28"/>
          <w:szCs w:val="28"/>
        </w:rPr>
        <w:t>（四）面临的风险及应对措施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157,429,536</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54" w:lineRule="exact" w:before="0"/>
        <w:ind w:left="153" w:right="982"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股</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w:t>
      </w:r>
      <w:r>
        <w:rPr>
          <w:rFonts w:ascii="宋体" w:hAnsi="宋体" w:cs="宋体" w:eastAsia="宋体" w:hint="default"/>
          <w:sz w:val="28"/>
          <w:szCs w:val="28"/>
        </w:rPr>
      </w:r>
    </w:p>
    <w:p>
      <w:pPr>
        <w:spacing w:before="236"/>
        <w:ind w:left="153" w:right="982"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4" w:header="748" w:top="1060" w:bottom="1160" w:left="980" w:right="0"/>
          <w:pgNumType w:start="2"/>
        </w:sectPr>
      </w:pPr>
    </w:p>
    <w:p>
      <w:pPr>
        <w:spacing w:line="240" w:lineRule="auto" w:before="8"/>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241" w:right="321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第十二节财务报告</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第十三节备查文件目录</w:t>
            </w:r>
            <w:r>
              <w:rPr>
                <w:rFonts w:ascii="Times New Roman" w:hAnsi="Times New Roman" w:cs="Times New Roman" w:eastAsia="Times New Roman" w:hint="default"/>
              </w:rPr>
              <w:tab/>
              <w:t>194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4" w:top="1060" w:bottom="1160" w:left="980" w:right="0"/>
        </w:sectPr>
      </w:pPr>
    </w:p>
    <w:p>
      <w:pPr>
        <w:spacing w:before="942"/>
        <w:ind w:left="2241" w:right="321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本公司、公司、思特奇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北京思特奇信息技术股份有限公司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中投财富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中投财富辛卯（天津）创业投资合伙企业（有限合伙）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海恒投资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贵州海恒投资管理有限公司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山东五岳</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山东五岳创业投资有限公司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中盛华宇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北京中盛华宇技术合伙企业（有限合伙）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天益瑞泰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北京天益瑞泰技术合伙企业（有限合伙）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宇贺鸿祥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北京宇贺鸿祥技术合伙企业（有限合伙）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中盛鸿祥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北京中盛鸿祥技术合伙企业（有限合伙）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南昌大众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南昌大众信息技术有限公司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哈尔滨易位</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哈尔滨易位科技有限公司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易信掌中云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易信掌中云信息技术有限公司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北京易信掌中云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北京易信掌中云科技有限公司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无限易信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北京无限易信科技有限公司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思创立方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北京思创立方科技有限公司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成都易信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成都易信科技有限公司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重庆思特奇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重庆思特奇信息技术有限公司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上海实均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上海实均信息技术有限公司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考拉悠然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成都考拉悠然科技有限公司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四川好爱家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四川好爱家电子商务股份有限公司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方信求真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北京方信求真投资管理中心（有限合伙）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2B</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2B(To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Business)</w:t>
            </w:r>
            <w:r>
              <w:rPr>
                <w:rFonts w:ascii="宋体" w:hAnsi="宋体" w:cs="宋体" w:eastAsia="宋体" w:hint="default"/>
                <w:sz w:val="18"/>
                <w:szCs w:val="18"/>
              </w:rPr>
              <w:t>，是面向企业进行产品、服务及信息的交换。</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3G</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第三代移动通信技术规范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4G</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第四代移动通讯技术规范</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5G</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第五代移动通讯技术规范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5G+</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第五代移动通讯技术链接和融合各行业、产品，赋能增值。</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AI</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Artificial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Intelligence</w:t>
            </w:r>
            <w:r>
              <w:rPr>
                <w:rFonts w:ascii="宋体" w:hAnsi="宋体" w:cs="宋体" w:eastAsia="宋体" w:hint="default"/>
                <w:sz w:val="18"/>
                <w:szCs w:val="18"/>
              </w:rPr>
              <w:t>，指人工智能。</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AI</w:t>
            </w:r>
            <w:r>
              <w:rPr>
                <w:rFonts w:ascii="Times New Roman"/>
                <w:spacing w:val="-3"/>
                <w:sz w:val="18"/>
              </w:rPr>
              <w:t> </w:t>
            </w:r>
            <w:r>
              <w:rPr>
                <w:rFonts w:ascii="Times New Roman"/>
                <w:sz w:val="18"/>
              </w:rPr>
              <w:t>PaaS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人工智能</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PAAS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AIOPS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AIOps(Artificial Intelligence for IT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4"/>
                <w:sz w:val="18"/>
                <w:szCs w:val="18"/>
              </w:rPr>
              <w:t>Operations)</w:t>
            </w:r>
            <w:r>
              <w:rPr>
                <w:rFonts w:ascii="宋体" w:hAnsi="宋体" w:cs="宋体" w:eastAsia="宋体" w:hint="default"/>
                <w:spacing w:val="-4"/>
                <w:sz w:val="18"/>
                <w:szCs w:val="18"/>
              </w:rPr>
              <w:t>，即智能运维，是将人工</w:t>
            </w:r>
            <w:r>
              <w:rPr>
                <w:rFonts w:ascii="宋体" w:hAnsi="宋体" w:cs="宋体" w:eastAsia="宋体" w:hint="default"/>
                <w:sz w:val="18"/>
                <w:szCs w:val="18"/>
              </w:rPr>
              <w:t> 智能的能力与运维相结合，通过机器学习的方法来提升运维效率。</w:t>
            </w:r>
          </w:p>
        </w:tc>
      </w:tr>
    </w:tbl>
    <w:p>
      <w:pPr>
        <w:spacing w:after="0" w:line="30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b/>
          <w:bCs/>
          <w:sz w:val="20"/>
          <w:szCs w:val="20"/>
        </w:rPr>
      </w:pPr>
      <w:r>
        <w:rPr/>
        <w:pict>
          <v:shape style="position:absolute;margin-left:56.424pt;margin-top:71.999985pt;width:479.3pt;height:678.9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APP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Application</w:t>
                        </w:r>
                        <w:r>
                          <w:rPr>
                            <w:rFonts w:ascii="宋体" w:hAnsi="宋体" w:cs="宋体" w:eastAsia="宋体" w:hint="default"/>
                            <w:sz w:val="18"/>
                            <w:szCs w:val="18"/>
                          </w:rPr>
                          <w:t>，指的是智能便携式设备上的应用程序。</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BILLING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电信企业计费系统，是电信支撑系统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BSS/OSS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的核心。</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BOSS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&amp; Operation Support</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，业务运营支撑系统的英文缩写 </w:t>
                        </w:r>
                        <w:r>
                          <w:rPr>
                            <w:rFonts w:ascii="Times New Roman" w:hAnsi="Times New Roman" w:cs="Times New Roman" w:eastAsia="Times New Roman" w:hint="default"/>
                            <w:sz w:val="18"/>
                            <w:szCs w:val="18"/>
                          </w:rPr>
                          <w:t>BOSS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系统以客户服务、业务运营和管理为核心，以关键性事务操作</w:t>
                        </w:r>
                      </w:p>
                      <w:p>
                        <w:pPr>
                          <w:pStyle w:val="TableParagraph"/>
                          <w:spacing w:line="316" w:lineRule="auto" w:before="13"/>
                          <w:ind w:left="23" w:right="23"/>
                          <w:jc w:val="left"/>
                          <w:rPr>
                            <w:rFonts w:ascii="宋体" w:hAnsi="宋体" w:cs="宋体" w:eastAsia="宋体" w:hint="default"/>
                            <w:sz w:val="18"/>
                            <w:szCs w:val="18"/>
                          </w:rPr>
                        </w:pPr>
                        <w:r>
                          <w:rPr>
                            <w:rFonts w:ascii="宋体" w:hAnsi="宋体" w:cs="宋体" w:eastAsia="宋体" w:hint="default"/>
                            <w:spacing w:val="-2"/>
                            <w:sz w:val="18"/>
                            <w:szCs w:val="18"/>
                          </w:rPr>
                          <w:t>（客户服务和计费为重点）作为系统的主要功能，为电信运营商提供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一个综合的业务运营和管理平台。</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B2B</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B2B(Business to</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Business)</w:t>
                        </w:r>
                        <w:r>
                          <w:rPr>
                            <w:rFonts w:ascii="宋体" w:hAnsi="宋体" w:cs="宋体" w:eastAsia="宋体" w:hint="default"/>
                            <w:sz w:val="18"/>
                            <w:szCs w:val="18"/>
                          </w:rPr>
                          <w:t>，是互联网销售服务的一种模式，指企业与</w:t>
                        </w:r>
                        <w:r>
                          <w:rPr>
                            <w:rFonts w:ascii="宋体" w:hAnsi="宋体" w:cs="宋体" w:eastAsia="宋体" w:hint="default"/>
                            <w:w w:val="99"/>
                            <w:sz w:val="18"/>
                            <w:szCs w:val="18"/>
                          </w:rPr>
                          <w:t> </w:t>
                        </w:r>
                        <w:r>
                          <w:rPr>
                            <w:rFonts w:ascii="宋体" w:hAnsi="宋体" w:cs="宋体" w:eastAsia="宋体" w:hint="default"/>
                            <w:sz w:val="18"/>
                            <w:szCs w:val="18"/>
                          </w:rPr>
                          <w:t>企业之间通过互联网平台进行产品、服务及信息的交换。</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CMMI</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Capability Maturity Model</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Integration</w:t>
                        </w:r>
                        <w:r>
                          <w:rPr>
                            <w:rFonts w:ascii="宋体" w:hAnsi="宋体" w:cs="宋体" w:eastAsia="宋体" w:hint="default"/>
                            <w:sz w:val="18"/>
                            <w:szCs w:val="18"/>
                          </w:rPr>
                          <w:t>，软件能力成熟度集成模型的英 文缩写。</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CRM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，客户关系管理的英文缩写。</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Platform</w:t>
                        </w:r>
                        <w:r>
                          <w:rPr>
                            <w:rFonts w:ascii="宋体" w:hAnsi="宋体" w:cs="宋体" w:eastAsia="宋体" w:hint="default"/>
                            <w:sz w:val="18"/>
                            <w:szCs w:val="18"/>
                          </w:rPr>
                          <w:t>，指企业平台框架。本文特指思特奇独创的自主知</w:t>
                        </w:r>
                        <w:r>
                          <w:rPr>
                            <w:rFonts w:ascii="宋体" w:hAnsi="宋体" w:cs="宋体" w:eastAsia="宋体" w:hint="default"/>
                            <w:w w:val="99"/>
                            <w:sz w:val="18"/>
                            <w:szCs w:val="18"/>
                          </w:rPr>
                          <w:t> </w:t>
                        </w:r>
                        <w:r>
                          <w:rPr>
                            <w:rFonts w:ascii="宋体" w:hAnsi="宋体" w:cs="宋体" w:eastAsia="宋体" w:hint="default"/>
                            <w:sz w:val="18"/>
                            <w:szCs w:val="18"/>
                          </w:rPr>
                          <w:t>识产权的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EP </w:t>
                        </w:r>
                        <w:r>
                          <w:rPr>
                            <w:rFonts w:ascii="宋体" w:hAnsi="宋体" w:cs="宋体" w:eastAsia="宋体" w:hint="default"/>
                            <w:sz w:val="18"/>
                            <w:szCs w:val="18"/>
                          </w:rPr>
                          <w:t>架构体系。</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Infrastructure-as-a-Service</w:t>
                        </w:r>
                        <w:r>
                          <w:rPr>
                            <w:rFonts w:ascii="宋体" w:hAnsi="宋体" w:cs="宋体" w:eastAsia="宋体" w:hint="default"/>
                            <w:sz w:val="18"/>
                            <w:szCs w:val="18"/>
                          </w:rPr>
                          <w:t>，基础设施即服务的英文缩写。以服务的方 式提供应用所需的主机、存储、网络等基础设施资源。</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ICT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ICT </w:t>
                        </w:r>
                        <w:r>
                          <w:rPr>
                            <w:rFonts w:ascii="宋体" w:hAnsi="宋体" w:cs="宋体" w:eastAsia="宋体" w:hint="default"/>
                            <w:sz w:val="18"/>
                            <w:szCs w:val="18"/>
                          </w:rPr>
                          <w:t>是信息、通信和技术三个英文单词的词头组合</w:t>
                        </w: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Communications</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，简称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。它是信息技术与通信技术 相融合而形成的一个新的概念和新的技术领域。</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IDC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51"/>
                          <w:jc w:val="left"/>
                          <w:rPr>
                            <w:rFonts w:ascii="宋体" w:hAnsi="宋体" w:cs="宋体" w:eastAsia="宋体" w:hint="default"/>
                            <w:sz w:val="18"/>
                            <w:szCs w:val="18"/>
                          </w:rPr>
                        </w:pPr>
                        <w:r>
                          <w:rPr>
                            <w:rFonts w:ascii="宋体" w:hAnsi="宋体" w:cs="宋体" w:eastAsia="宋体" w:hint="default"/>
                            <w:sz w:val="18"/>
                            <w:szCs w:val="18"/>
                          </w:rPr>
                          <w:t>互联网数据中心（</w:t>
                        </w:r>
                        <w:r>
                          <w:rPr>
                            <w:rFonts w:ascii="Times New Roman" w:hAnsi="Times New Roman" w:cs="Times New Roman" w:eastAsia="Times New Roman" w:hint="default"/>
                            <w:sz w:val="18"/>
                            <w:szCs w:val="18"/>
                          </w:rPr>
                          <w:t>Internet </w:t>
                        </w:r>
                        <w:r>
                          <w:rPr>
                            <w:rFonts w:ascii="Times New Roman" w:hAnsi="Times New Roman" w:cs="Times New Roman" w:eastAsia="Times New Roman" w:hint="default"/>
                            <w:spacing w:val="-1"/>
                            <w:w w:val="99"/>
                            <w:sz w:val="18"/>
                            <w:szCs w:val="18"/>
                          </w:rPr>
                          <w:t>Data</w:t>
                        </w:r>
                        <w:r>
                          <w:rPr>
                            <w:rFonts w:ascii="Times New Roman" w:hAnsi="Times New Roman" w:cs="Times New Roman" w:eastAsia="Times New Roman" w:hint="default"/>
                            <w:spacing w:val="6"/>
                            <w:w w:val="99"/>
                            <w:sz w:val="18"/>
                            <w:szCs w:val="18"/>
                          </w:rPr>
                          <w:t> </w:t>
                        </w:r>
                        <w:r>
                          <w:rPr>
                            <w:rFonts w:ascii="Times New Roman" w:hAnsi="Times New Roman" w:cs="Times New Roman" w:eastAsia="Times New Roman" w:hint="default"/>
                            <w:spacing w:val="-5"/>
                            <w:sz w:val="18"/>
                            <w:szCs w:val="18"/>
                          </w:rPr>
                          <w:t>Center</w:t>
                        </w:r>
                        <w:r>
                          <w:rPr>
                            <w:rFonts w:ascii="宋体" w:hAnsi="宋体" w:cs="宋体" w:eastAsia="宋体" w:hint="default"/>
                            <w:spacing w:val="-5"/>
                            <w:sz w:val="18"/>
                            <w:szCs w:val="18"/>
                          </w:rPr>
                          <w:t>），是一种拥有完善的设备（包</w:t>
                        </w:r>
                        <w:r>
                          <w:rPr>
                            <w:rFonts w:ascii="宋体" w:hAnsi="宋体" w:cs="宋体" w:eastAsia="宋体" w:hint="default"/>
                            <w:sz w:val="18"/>
                            <w:szCs w:val="18"/>
                          </w:rPr>
                          <w:t> </w:t>
                        </w:r>
                        <w:r>
                          <w:rPr>
                            <w:rFonts w:ascii="宋体" w:hAnsi="宋体" w:cs="宋体" w:eastAsia="宋体" w:hint="default"/>
                            <w:spacing w:val="-5"/>
                            <w:sz w:val="18"/>
                            <w:szCs w:val="18"/>
                          </w:rPr>
                          <w:t>括高速互联网接入带宽、高性能局域网络、安全可靠的机房环境等）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专业化的管理、完善的应用的服务平台。</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IDE</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集成开发环境（</w:t>
                        </w:r>
                        <w:r>
                          <w:rPr>
                            <w:rFonts w:ascii="Times New Roman" w:hAnsi="Times New Roman" w:cs="Times New Roman" w:eastAsia="Times New Roman" w:hint="default"/>
                            <w:sz w:val="18"/>
                            <w:szCs w:val="18"/>
                          </w:rPr>
                          <w:t>Integrated </w:t>
                        </w:r>
                        <w:r>
                          <w:rPr>
                            <w:rFonts w:ascii="Times New Roman" w:hAnsi="Times New Roman" w:cs="Times New Roman" w:eastAsia="Times New Roman" w:hint="default"/>
                            <w:spacing w:val="-1"/>
                            <w:w w:val="99"/>
                            <w:sz w:val="18"/>
                            <w:szCs w:val="18"/>
                          </w:rPr>
                          <w:t>Development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5"/>
                            <w:sz w:val="18"/>
                            <w:szCs w:val="18"/>
                          </w:rPr>
                          <w:t>Environment</w:t>
                        </w:r>
                        <w:r>
                          <w:rPr>
                            <w:rFonts w:ascii="宋体" w:hAnsi="宋体" w:cs="宋体" w:eastAsia="宋体" w:hint="default"/>
                            <w:spacing w:val="-5"/>
                            <w:sz w:val="18"/>
                            <w:szCs w:val="18"/>
                          </w:rPr>
                          <w:t>），用于提供程序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开发环境的应用程序，一般包括代码编辑器、编译器、调试器和图形</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用户界面等工具。</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IEEE</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143"/>
                          <w:jc w:val="left"/>
                          <w:rPr>
                            <w:rFonts w:ascii="宋体" w:hAnsi="宋体" w:cs="宋体" w:eastAsia="宋体" w:hint="default"/>
                            <w:sz w:val="18"/>
                            <w:szCs w:val="18"/>
                          </w:rPr>
                        </w:pPr>
                        <w:r>
                          <w:rPr>
                            <w:rFonts w:ascii="宋体" w:hAnsi="宋体" w:cs="宋体" w:eastAsia="宋体" w:hint="default"/>
                            <w:sz w:val="18"/>
                            <w:szCs w:val="18"/>
                          </w:rPr>
                          <w:t>电气和电子工程师协会（全称是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Institute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of</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Electrical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and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Electronics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w w:val="99"/>
                            <w:sz w:val="18"/>
                            <w:szCs w:val="18"/>
                          </w:rPr>
                          <w:t>Engineers</w:t>
                        </w:r>
                        <w:r>
                          <w:rPr>
                            <w:rFonts w:ascii="宋体" w:hAnsi="宋体" w:cs="宋体" w:eastAsia="宋体" w:hint="default"/>
                            <w:spacing w:val="-3"/>
                            <w:w w:val="99"/>
                            <w:sz w:val="18"/>
                            <w:szCs w:val="18"/>
                          </w:rPr>
                          <w:t>），是一个美国的电子技术与信息科学工程师的协会。</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IoT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9"/>
                          <w:jc w:val="left"/>
                          <w:rPr>
                            <w:rFonts w:ascii="宋体" w:hAnsi="宋体" w:cs="宋体" w:eastAsia="宋体" w:hint="default"/>
                            <w:sz w:val="18"/>
                            <w:szCs w:val="18"/>
                          </w:rPr>
                        </w:pPr>
                        <w:r>
                          <w:rPr>
                            <w:rFonts w:ascii="宋体" w:hAnsi="宋体" w:cs="宋体" w:eastAsia="宋体" w:hint="default"/>
                            <w:sz w:val="18"/>
                            <w:szCs w:val="18"/>
                          </w:rPr>
                          <w:t>即物联网（</w:t>
                        </w:r>
                        <w:r>
                          <w:rPr>
                            <w:rFonts w:ascii="Times New Roman" w:hAnsi="Times New Roman" w:cs="Times New Roman" w:eastAsia="Times New Roman" w:hint="default"/>
                            <w:sz w:val="18"/>
                            <w:szCs w:val="18"/>
                          </w:rPr>
                          <w:t>Internet of Things</w:t>
                        </w:r>
                        <w:r>
                          <w:rPr>
                            <w:rFonts w:ascii="宋体" w:hAnsi="宋体" w:cs="宋体" w:eastAsia="宋体" w:hint="default"/>
                            <w:sz w:val="18"/>
                            <w:szCs w:val="18"/>
                          </w:rPr>
                          <w:t>，缩写</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IoT</w:t>
                        </w:r>
                        <w:r>
                          <w:rPr>
                            <w:rFonts w:ascii="宋体" w:hAnsi="宋体" w:cs="宋体" w:eastAsia="宋体" w:hint="default"/>
                            <w:sz w:val="18"/>
                            <w:szCs w:val="18"/>
                          </w:rPr>
                          <w:t>）是互联网、传统电信网等信 息承载体，让所有能行使独立功能的普通物体实现互联互通的网络。</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70"/>
                          <w:jc w:val="left"/>
                          <w:rPr>
                            <w:rFonts w:ascii="宋体" w:hAnsi="宋体" w:cs="宋体" w:eastAsia="宋体" w:hint="default"/>
                            <w:sz w:val="18"/>
                            <w:szCs w:val="18"/>
                          </w:rPr>
                        </w:pPr>
                        <w:r>
                          <w:rPr>
                            <w:rFonts w:ascii="宋体" w:hAnsi="宋体" w:cs="宋体" w:eastAsia="宋体" w:hint="default"/>
                            <w:sz w:val="18"/>
                            <w:szCs w:val="18"/>
                          </w:rPr>
                          <w:t>互联网技术（</w:t>
                        </w:r>
                        <w:r>
                          <w:rPr>
                            <w:rFonts w:ascii="Times New Roman" w:hAnsi="Times New Roman" w:cs="Times New Roman" w:eastAsia="Times New Roman" w:hint="default"/>
                            <w:sz w:val="18"/>
                            <w:szCs w:val="18"/>
                          </w:rPr>
                          <w:t>Internet </w:t>
                        </w:r>
                        <w:r>
                          <w:rPr>
                            <w:rFonts w:ascii="Times New Roman" w:hAnsi="Times New Roman" w:cs="Times New Roman" w:eastAsia="Times New Roman" w:hint="default"/>
                            <w:spacing w:val="-5"/>
                            <w:sz w:val="18"/>
                            <w:szCs w:val="18"/>
                          </w:rPr>
                          <w:t>Technology</w:t>
                        </w:r>
                        <w:r>
                          <w:rPr>
                            <w:rFonts w:ascii="宋体" w:hAnsi="宋体" w:cs="宋体" w:eastAsia="宋体" w:hint="default"/>
                            <w:spacing w:val="-5"/>
                            <w:sz w:val="18"/>
                            <w:szCs w:val="18"/>
                          </w:rPr>
                          <w:t>），是指在计算机技术的基础上开发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建立的一种信息技术。</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NFV</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Network Function</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Virtualization</w:t>
                        </w:r>
                        <w:r>
                          <w:rPr>
                            <w:rFonts w:ascii="宋体" w:hAnsi="宋体" w:cs="宋体" w:eastAsia="宋体" w:hint="default"/>
                            <w:sz w:val="18"/>
                            <w:szCs w:val="18"/>
                          </w:rPr>
                          <w:t>，指网络功能虚拟化。</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Operation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Portal</w:t>
                        </w:r>
                        <w:r>
                          <w:rPr>
                            <w:rFonts w:ascii="宋体" w:hAnsi="宋体" w:cs="宋体" w:eastAsia="宋体" w:hint="default"/>
                            <w:sz w:val="18"/>
                            <w:szCs w:val="18"/>
                          </w:rPr>
                          <w:t>，指操作入口。本文特指思特奇独创的自主知识产品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架构体系中，面向不同角色的操作门户。</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OSS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Operation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Support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，运营支撑系统的英文缩写。</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2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Plartform-as-a-Service</w:t>
                        </w:r>
                        <w:r>
                          <w:rPr>
                            <w:rFonts w:ascii="宋体" w:hAnsi="宋体" w:cs="宋体" w:eastAsia="宋体" w:hint="default"/>
                            <w:spacing w:val="-2"/>
                            <w:sz w:val="18"/>
                            <w:szCs w:val="18"/>
                          </w:rPr>
                          <w:t>，平台即服务的英文缩写，以服务的方式提供应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用软件所需的开发和运行平台。</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Software-as-a-Service</w:t>
                        </w:r>
                        <w:r>
                          <w:rPr>
                            <w:rFonts w:ascii="宋体" w:hAnsi="宋体" w:cs="宋体" w:eastAsia="宋体" w:hint="default"/>
                            <w:spacing w:val="-1"/>
                            <w:sz w:val="18"/>
                            <w:szCs w:val="18"/>
                          </w:rPr>
                          <w:t>，软件即服务的英文缩写；以服务的方式提供使</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用者所需的软件。</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0" w:right="1141"/>
        <w:jc w:val="right"/>
      </w:pPr>
      <w:r>
        <w:rPr/>
        <w:t>、</w:t>
      </w:r>
    </w:p>
    <w:p>
      <w:pPr>
        <w:spacing w:after="0" w:line="240" w:lineRule="auto"/>
        <w:jc w:val="righ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44"/>
        <w:ind w:left="0" w:right="1138"/>
        <w:jc w:val="right"/>
      </w:pPr>
      <w:r>
        <w:rPr/>
        <w:pict>
          <v:shape style="position:absolute;margin-left:56.424pt;margin-top:-21.028288pt;width:479.3pt;height:540.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SDN</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 Defined</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Network</w:t>
                        </w:r>
                        <w:r>
                          <w:rPr>
                            <w:rFonts w:ascii="宋体" w:hAnsi="宋体" w:cs="宋体" w:eastAsia="宋体" w:hint="default"/>
                            <w:sz w:val="18"/>
                            <w:szCs w:val="18"/>
                          </w:rPr>
                          <w:t>，软件定义网络。</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Serverless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111"/>
                          <w:jc w:val="left"/>
                          <w:rPr>
                            <w:rFonts w:ascii="宋体" w:hAnsi="宋体" w:cs="宋体" w:eastAsia="宋体" w:hint="default"/>
                            <w:sz w:val="18"/>
                            <w:szCs w:val="18"/>
                          </w:rPr>
                        </w:pPr>
                        <w:r>
                          <w:rPr>
                            <w:rFonts w:ascii="宋体" w:hAnsi="宋体" w:cs="宋体" w:eastAsia="宋体" w:hint="default"/>
                            <w:spacing w:val="-6"/>
                            <w:sz w:val="18"/>
                            <w:szCs w:val="18"/>
                          </w:rPr>
                          <w:t>无服务器架构，其是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Baas(</w:t>
                        </w:r>
                        <w:r>
                          <w:rPr>
                            <w:rFonts w:ascii="宋体" w:hAnsi="宋体" w:cs="宋体" w:eastAsia="宋体" w:hint="default"/>
                            <w:sz w:val="18"/>
                            <w:szCs w:val="18"/>
                          </w:rPr>
                          <w:t>后端即服务</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Faas(</w:t>
                        </w:r>
                        <w:r>
                          <w:rPr>
                            <w:rFonts w:ascii="宋体" w:hAnsi="宋体" w:cs="宋体" w:eastAsia="宋体" w:hint="default"/>
                            <w:sz w:val="18"/>
                            <w:szCs w:val="18"/>
                          </w:rPr>
                          <w:t>函数即服务</w:t>
                        </w:r>
                        <w:r>
                          <w:rPr>
                            <w:rFonts w:ascii="Times New Roman" w:hAnsi="Times New Roman" w:cs="Times New Roman" w:eastAsia="Times New Roman" w:hint="default"/>
                            <w:sz w:val="18"/>
                            <w:szCs w:val="18"/>
                          </w:rPr>
                          <w:t>)</w:t>
                        </w:r>
                        <w:r>
                          <w:rPr>
                            <w:rFonts w:ascii="宋体" w:hAnsi="宋体" w:cs="宋体" w:eastAsia="宋体" w:hint="default"/>
                            <w:sz w:val="18"/>
                            <w:szCs w:val="18"/>
                          </w:rPr>
                          <w:t>的综合体 并且其是基于事件驱动的编程泛型。</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FaaS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函树即服务（</w:t>
                        </w:r>
                        <w:r>
                          <w:rPr>
                            <w:rFonts w:ascii="Times New Roman" w:hAnsi="Times New Roman" w:cs="Times New Roman" w:eastAsia="Times New Roman" w:hint="default"/>
                            <w:w w:val="99"/>
                            <w:sz w:val="18"/>
                            <w:szCs w:val="18"/>
                          </w:rPr>
                          <w:t>F</w:t>
                        </w:r>
                        <w:r>
                          <w:rPr>
                            <w:rFonts w:ascii="Times New Roman" w:hAnsi="Times New Roman" w:cs="Times New Roman" w:eastAsia="Times New Roman" w:hint="default"/>
                            <w:spacing w:val="1"/>
                            <w:sz w:val="18"/>
                            <w:szCs w:val="18"/>
                          </w:rPr>
                          <w:t>un</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i</w:t>
                        </w:r>
                        <w:r>
                          <w:rPr>
                            <w:rFonts w:ascii="Times New Roman" w:hAnsi="Times New Roman" w:cs="Times New Roman" w:eastAsia="Times New Roman" w:hint="default"/>
                            <w:spacing w:val="1"/>
                            <w:sz w:val="18"/>
                            <w:szCs w:val="18"/>
                          </w:rPr>
                          <w:t>on</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z w:val="18"/>
                            <w:szCs w:val="18"/>
                          </w:rPr>
                          <w:t> 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3"/>
                            <w:sz w:val="18"/>
                            <w:szCs w:val="18"/>
                          </w:rPr>
                          <w:t>r</w:t>
                        </w:r>
                        <w:r>
                          <w:rPr>
                            <w:rFonts w:ascii="Times New Roman" w:hAnsi="Times New Roman" w:cs="Times New Roman" w:eastAsia="Times New Roman" w:hint="default"/>
                            <w:spacing w:val="1"/>
                            <w:sz w:val="18"/>
                            <w:szCs w:val="18"/>
                          </w:rPr>
                          <w:t>v</w:t>
                        </w:r>
                        <w:r>
                          <w:rPr>
                            <w:rFonts w:ascii="Times New Roman" w:hAnsi="Times New Roman" w:cs="Times New Roman" w:eastAsia="Times New Roman" w:hint="default"/>
                            <w:sz w:val="18"/>
                            <w:szCs w:val="18"/>
                          </w:rPr>
                          <w:t>ice</w:t>
                        </w:r>
                        <w:r>
                          <w:rPr>
                            <w:rFonts w:ascii="宋体" w:hAnsi="宋体" w:cs="宋体" w:eastAsia="宋体" w:hint="default"/>
                            <w:spacing w:val="-92"/>
                            <w:sz w:val="18"/>
                            <w:szCs w:val="18"/>
                          </w:rPr>
                          <w:t>）</w:t>
                        </w:r>
                        <w:r>
                          <w:rPr>
                            <w:rFonts w:ascii="宋体" w:hAnsi="宋体" w:cs="宋体" w:eastAsia="宋体" w:hint="default"/>
                            <w:sz w:val="18"/>
                            <w:szCs w:val="18"/>
                          </w:rPr>
                          <w:t>，是无服务器计算的一种形式。</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Service Mesh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both"/>
                          <w:rPr>
                            <w:rFonts w:ascii="宋体" w:hAnsi="宋体" w:cs="宋体" w:eastAsia="宋体" w:hint="default"/>
                            <w:sz w:val="18"/>
                            <w:szCs w:val="18"/>
                          </w:rPr>
                        </w:pPr>
                        <w:r>
                          <w:rPr>
                            <w:rFonts w:ascii="宋体" w:hAnsi="宋体" w:cs="宋体" w:eastAsia="宋体" w:hint="default"/>
                            <w:spacing w:val="-2"/>
                            <w:sz w:val="18"/>
                            <w:szCs w:val="18"/>
                          </w:rPr>
                          <w:t>服务网格，专用基础设施层，独立的运行单元；包括数据平面和控制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平面；轻量级透明代理；处理服务间的通信；可靠地交付请求；与服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务一起部署。</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SQL</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结构化查询语言</w:t>
                        </w:r>
                        <w:r>
                          <w:rPr>
                            <w:rFonts w:ascii="Times New Roman" w:hAnsi="Times New Roman" w:cs="Times New Roman" w:eastAsia="Times New Roman" w:hint="default"/>
                            <w:sz w:val="18"/>
                            <w:szCs w:val="18"/>
                          </w:rPr>
                          <w:t>(Structured Query Language)</w:t>
                        </w:r>
                        <w:r>
                          <w:rPr>
                            <w:rFonts w:ascii="宋体" w:hAnsi="宋体" w:cs="宋体" w:eastAsia="宋体" w:hint="default"/>
                            <w:sz w:val="18"/>
                            <w:szCs w:val="18"/>
                          </w:rPr>
                          <w:t>简称</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SQL</w:t>
                        </w:r>
                        <w:r>
                          <w:rPr>
                            <w:rFonts w:ascii="宋体" w:hAnsi="宋体" w:cs="宋体" w:eastAsia="宋体" w:hint="default"/>
                            <w:sz w:val="18"/>
                            <w:szCs w:val="18"/>
                          </w:rPr>
                          <w:t>，是一种数据库 </w:t>
                        </w:r>
                        <w:r>
                          <w:rPr>
                            <w:rFonts w:ascii="宋体" w:hAnsi="宋体" w:cs="宋体" w:eastAsia="宋体" w:hint="default"/>
                            <w:spacing w:val="-2"/>
                            <w:sz w:val="18"/>
                            <w:szCs w:val="18"/>
                          </w:rPr>
                          <w:t>查询和程序设计语言，用于存取数据以及查询、更新和管理关系数据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库系统。</w:t>
                        </w:r>
                      </w:p>
                    </w:tc>
                  </w:tr>
                  <w:tr>
                    <w:trPr>
                      <w:trHeight w:val="165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TMF-eTom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TMF </w:t>
                        </w:r>
                        <w:r>
                          <w:rPr>
                            <w:rFonts w:ascii="宋体" w:hAnsi="宋体" w:cs="宋体" w:eastAsia="宋体" w:hint="default"/>
                            <w:sz w:val="18"/>
                            <w:szCs w:val="18"/>
                          </w:rPr>
                          <w:t>是电信管理论坛（</w:t>
                        </w:r>
                        <w:r>
                          <w:rPr>
                            <w:rFonts w:ascii="Times New Roman" w:hAnsi="Times New Roman" w:cs="Times New Roman" w:eastAsia="Times New Roman" w:hint="default"/>
                            <w:sz w:val="18"/>
                            <w:szCs w:val="18"/>
                          </w:rPr>
                          <w:t>TeleManagement Forum</w:t>
                        </w:r>
                        <w:r>
                          <w:rPr>
                            <w:rFonts w:ascii="宋体" w:hAnsi="宋体" w:cs="宋体" w:eastAsia="宋体" w:hint="default"/>
                            <w:sz w:val="18"/>
                            <w:szCs w:val="18"/>
                          </w:rPr>
                          <w:t>）的简称，</w:t>
                        </w:r>
                        <w:r>
                          <w:rPr>
                            <w:rFonts w:ascii="Times New Roman" w:hAnsi="Times New Roman" w:cs="Times New Roman" w:eastAsia="Times New Roman" w:hint="default"/>
                            <w:sz w:val="18"/>
                            <w:szCs w:val="18"/>
                          </w:rPr>
                          <w:t>TMF</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是一 个非营利的通信信息领域的国际行业协会。</w:t>
                        </w:r>
                        <w:r>
                          <w:rPr>
                            <w:rFonts w:ascii="Times New Roman" w:hAnsi="Times New Roman" w:cs="Times New Roman" w:eastAsia="Times New Roman" w:hint="default"/>
                            <w:sz w:val="18"/>
                            <w:szCs w:val="18"/>
                          </w:rPr>
                          <w:t>eTOM</w:t>
                        </w: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enhanced Telecom Operations Map </w:t>
                        </w:r>
                        <w:r>
                          <w:rPr>
                            <w:rFonts w:ascii="宋体" w:hAnsi="宋体" w:cs="宋体" w:eastAsia="宋体" w:hint="default"/>
                            <w:sz w:val="18"/>
                            <w:szCs w:val="18"/>
                          </w:rPr>
                          <w:t>的英文首字母缩写，英文全称为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enhanced Telecom Operations</w:t>
                        </w:r>
                        <w:r>
                          <w:rPr>
                            <w:rFonts w:ascii="Times New Roman" w:hAnsi="Times New Roman" w:cs="Times New Roman" w:eastAsia="Times New Roman" w:hint="default"/>
                            <w:spacing w:val="-5"/>
                            <w:sz w:val="18"/>
                            <w:szCs w:val="18"/>
                          </w:rPr>
                          <w:t> MapTM(eTOM)</w:t>
                        </w:r>
                        <w:r>
                          <w:rPr>
                            <w:rFonts w:ascii="宋体" w:hAnsi="宋体" w:cs="宋体" w:eastAsia="宋体" w:hint="default"/>
                            <w:spacing w:val="-5"/>
                            <w:sz w:val="18"/>
                            <w:szCs w:val="18"/>
                          </w:rPr>
                          <w:t>，即增强的电信运营图</w:t>
                        </w:r>
                        <w:r>
                          <w:rPr>
                            <w:rFonts w:ascii="Times New Roman" w:hAnsi="Times New Roman" w:cs="Times New Roman" w:eastAsia="Times New Roman" w:hint="default"/>
                            <w:spacing w:val="-5"/>
                            <w:sz w:val="18"/>
                            <w:szCs w:val="18"/>
                          </w:rPr>
                          <w:t>(eTOM)</w:t>
                        </w:r>
                        <w:r>
                          <w:rPr>
                            <w:rFonts w:ascii="宋体" w:hAnsi="宋体" w:cs="宋体" w:eastAsia="宋体" w:hint="default"/>
                            <w:spacing w:val="-5"/>
                            <w:sz w:val="18"/>
                            <w:szCs w:val="18"/>
                          </w:rPr>
                          <w:t>，是</w:t>
                        </w:r>
                        <w:r>
                          <w:rPr>
                            <w:rFonts w:ascii="宋体" w:hAnsi="宋体" w:cs="宋体" w:eastAsia="宋体" w:hint="default"/>
                            <w:spacing w:val="-41"/>
                            <w:sz w:val="18"/>
                            <w:szCs w:val="18"/>
                          </w:rPr>
                          <w:t> </w:t>
                        </w:r>
                        <w:r>
                          <w:rPr>
                            <w:rFonts w:ascii="宋体" w:hAnsi="宋体" w:cs="宋体" w:eastAsia="宋体" w:hint="default"/>
                            <w:sz w:val="18"/>
                            <w:szCs w:val="18"/>
                          </w:rPr>
                          <w:t>信息和通信服务行业的业务流程框架。</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Teamshub</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平台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7"/>
                          <w:jc w:val="both"/>
                          <w:rPr>
                            <w:rFonts w:ascii="宋体" w:hAnsi="宋体" w:cs="宋体" w:eastAsia="宋体" w:hint="default"/>
                            <w:sz w:val="18"/>
                            <w:szCs w:val="18"/>
                          </w:rPr>
                        </w:pPr>
                        <w:r>
                          <w:rPr>
                            <w:rFonts w:ascii="宋体" w:hAnsi="宋体" w:cs="宋体" w:eastAsia="宋体" w:hint="default"/>
                            <w:sz w:val="18"/>
                            <w:szCs w:val="18"/>
                          </w:rPr>
                          <w:t>指易信企业云服务平台，提供内部管理、移动办公、外部营销、销售 服务，支持企业应用商店（</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商店）功能及第三方的开放和合作， 为企业提供安全、可靠、有保障的生态圈公有云服务。</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eMBB</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增强移动宽</w:t>
                        </w:r>
                        <w:r>
                          <w:rPr>
                            <w:rFonts w:ascii="宋体" w:hAnsi="宋体" w:cs="宋体" w:eastAsia="宋体" w:hint="default"/>
                            <w:spacing w:val="-5"/>
                            <w:sz w:val="18"/>
                            <w:szCs w:val="18"/>
                          </w:rPr>
                          <w:t>带</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nh</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w w:val="99"/>
                            <w:sz w:val="18"/>
                            <w:szCs w:val="18"/>
                          </w:rPr>
                          <w:t>M</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1"/>
                            <w:sz w:val="18"/>
                            <w:szCs w:val="18"/>
                          </w:rPr>
                          <w:t>b</w:t>
                        </w:r>
                        <w:r>
                          <w:rPr>
                            <w:rFonts w:ascii="Times New Roman" w:hAnsi="Times New Roman" w:cs="Times New Roman" w:eastAsia="Times New Roman" w:hint="default"/>
                            <w:sz w:val="18"/>
                            <w:szCs w:val="18"/>
                          </w:rPr>
                          <w:t>ile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Br</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pacing w:val="1"/>
                            <w:sz w:val="18"/>
                            <w:szCs w:val="18"/>
                          </w:rPr>
                          <w:t>db</w:t>
                        </w:r>
                        <w:r>
                          <w:rPr>
                            <w:rFonts w:ascii="Times New Roman" w:hAnsi="Times New Roman" w:cs="Times New Roman" w:eastAsia="Times New Roman" w:hint="default"/>
                            <w:spacing w:val="-4"/>
                            <w:sz w:val="18"/>
                            <w:szCs w:val="18"/>
                          </w:rPr>
                          <w:t>a</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d</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是国际电信联</w:t>
                        </w:r>
                        <w:r>
                          <w:rPr>
                            <w:rFonts w:ascii="宋体" w:hAnsi="宋体" w:cs="宋体" w:eastAsia="宋体" w:hint="default"/>
                            <w:spacing w:val="-5"/>
                            <w:sz w:val="18"/>
                            <w:szCs w:val="18"/>
                          </w:rPr>
                          <w:t>盟</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ITU</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定义的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三大主要应用场景之一。</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mMTC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0"/>
                          <w:jc w:val="left"/>
                          <w:rPr>
                            <w:rFonts w:ascii="宋体" w:hAnsi="宋体" w:cs="宋体" w:eastAsia="宋体" w:hint="default"/>
                            <w:sz w:val="18"/>
                            <w:szCs w:val="18"/>
                          </w:rPr>
                        </w:pPr>
                        <w:r>
                          <w:rPr>
                            <w:rFonts w:ascii="宋体" w:hAnsi="宋体" w:cs="宋体" w:eastAsia="宋体" w:hint="default"/>
                            <w:spacing w:val="-1"/>
                            <w:w w:val="99"/>
                            <w:sz w:val="18"/>
                            <w:szCs w:val="18"/>
                          </w:rPr>
                          <w:t>海量机器类通信（</w:t>
                        </w:r>
                        <w:r>
                          <w:rPr>
                            <w:rFonts w:ascii="Times New Roman" w:hAnsi="Times New Roman" w:cs="Times New Roman" w:eastAsia="Times New Roman" w:hint="default"/>
                            <w:spacing w:val="-1"/>
                            <w:w w:val="99"/>
                            <w:sz w:val="18"/>
                            <w:szCs w:val="18"/>
                          </w:rPr>
                          <w:t>Massive</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w w:val="99"/>
                            <w:sz w:val="18"/>
                            <w:szCs w:val="18"/>
                          </w:rPr>
                          <w:t>Machine</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4"/>
                            <w:sz w:val="18"/>
                            <w:szCs w:val="18"/>
                          </w:rPr>
                          <w:t>Type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5"/>
                            <w:sz w:val="18"/>
                            <w:szCs w:val="18"/>
                          </w:rPr>
                          <w:t>Communication</w:t>
                        </w:r>
                        <w:r>
                          <w:rPr>
                            <w:rFonts w:ascii="宋体" w:hAnsi="宋体" w:cs="宋体" w:eastAsia="宋体" w:hint="default"/>
                            <w:spacing w:val="-5"/>
                            <w:sz w:val="18"/>
                            <w:szCs w:val="18"/>
                          </w:rPr>
                          <w:t>），是国际电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信联盟（</w:t>
                        </w:r>
                        <w:r>
                          <w:rPr>
                            <w:rFonts w:ascii="Times New Roman" w:hAnsi="Times New Roman" w:cs="Times New Roman" w:eastAsia="Times New Roman" w:hint="default"/>
                            <w:sz w:val="18"/>
                            <w:szCs w:val="18"/>
                          </w:rPr>
                          <w:t>ITU</w:t>
                        </w:r>
                        <w:r>
                          <w:rPr>
                            <w:rFonts w:ascii="宋体" w:hAnsi="宋体" w:cs="宋体" w:eastAsia="宋体" w:hint="default"/>
                            <w:sz w:val="18"/>
                            <w:szCs w:val="18"/>
                          </w:rPr>
                          <w:t>）定义的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三大主要应用场景之一。</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uRLLC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48"/>
                          <w:jc w:val="left"/>
                          <w:rPr>
                            <w:rFonts w:ascii="宋体" w:hAnsi="宋体" w:cs="宋体" w:eastAsia="宋体" w:hint="default"/>
                            <w:sz w:val="18"/>
                            <w:szCs w:val="18"/>
                          </w:rPr>
                        </w:pPr>
                        <w:r>
                          <w:rPr>
                            <w:rFonts w:ascii="宋体" w:hAnsi="宋体" w:cs="宋体" w:eastAsia="宋体" w:hint="default"/>
                            <w:spacing w:val="-1"/>
                            <w:sz w:val="18"/>
                            <w:szCs w:val="18"/>
                          </w:rPr>
                          <w:t>高可靠低时延通信（</w:t>
                        </w:r>
                        <w:r>
                          <w:rPr>
                            <w:rFonts w:ascii="Times New Roman" w:hAnsi="Times New Roman" w:cs="Times New Roman" w:eastAsia="Times New Roman" w:hint="default"/>
                            <w:spacing w:val="-1"/>
                            <w:sz w:val="18"/>
                            <w:szCs w:val="18"/>
                          </w:rPr>
                          <w:t>Ultra-Reliable</w:t>
                        </w:r>
                        <w:r>
                          <w:rPr>
                            <w:rFonts w:ascii="Times New Roman" w:hAnsi="Times New Roman" w:cs="Times New Roman" w:eastAsia="Times New Roman" w:hint="default"/>
                            <w:sz w:val="18"/>
                            <w:szCs w:val="18"/>
                          </w:rPr>
                          <w:t> and </w:t>
                        </w:r>
                        <w:r>
                          <w:rPr>
                            <w:rFonts w:ascii="Times New Roman" w:hAnsi="Times New Roman" w:cs="Times New Roman" w:eastAsia="Times New Roman" w:hint="default"/>
                            <w:w w:val="99"/>
                            <w:sz w:val="18"/>
                            <w:szCs w:val="18"/>
                          </w:rPr>
                          <w:t>Low </w:t>
                        </w:r>
                        <w:r>
                          <w:rPr>
                            <w:rFonts w:ascii="Times New Roman" w:hAnsi="Times New Roman" w:cs="Times New Roman" w:eastAsia="Times New Roman" w:hint="default"/>
                            <w:spacing w:val="-1"/>
                            <w:sz w:val="18"/>
                            <w:szCs w:val="18"/>
                          </w:rPr>
                          <w:t>Latency</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13"/>
                            <w:sz w:val="18"/>
                            <w:szCs w:val="18"/>
                          </w:rPr>
                          <w:t>Communication</w:t>
                        </w:r>
                        <w:r>
                          <w:rPr>
                            <w:rFonts w:ascii="宋体" w:hAnsi="宋体" w:cs="宋体" w:eastAsia="宋体" w:hint="default"/>
                            <w:spacing w:val="-13"/>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是国际电信联盟（</w:t>
                        </w:r>
                        <w:r>
                          <w:rPr>
                            <w:rFonts w:ascii="Times New Roman" w:hAnsi="Times New Roman" w:cs="Times New Roman" w:eastAsia="Times New Roman" w:hint="default"/>
                            <w:sz w:val="18"/>
                            <w:szCs w:val="18"/>
                          </w:rPr>
                          <w:t>ITU</w:t>
                        </w:r>
                        <w:r>
                          <w:rPr>
                            <w:rFonts w:ascii="宋体" w:hAnsi="宋体" w:cs="宋体" w:eastAsia="宋体" w:hint="default"/>
                            <w:sz w:val="18"/>
                            <w:szCs w:val="18"/>
                          </w:rPr>
                          <w:t>）定义的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三大主要应用场景之一。</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5"/>
                            <w:sz w:val="18"/>
                          </w:rPr>
                          <w:t>Web</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一类互联网应用的统称。</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华创证券、保荐机构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华创证券有限责任公司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立信、立信会计师事务所、审计机构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44"/>
        <w:ind w:left="0" w:right="1138"/>
        <w:jc w:val="right"/>
      </w:pPr>
      <w:r>
        <w:rPr/>
        <w:t>）</w:t>
      </w:r>
    </w:p>
    <w:p>
      <w:pPr>
        <w:spacing w:after="0" w:line="240" w:lineRule="auto"/>
        <w:jc w:val="righ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4" w:right="982"/>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r>
        <w:rPr/>
        <w:pict>
          <v:shape style="position:absolute;margin-left:138.024002pt;margin-top:114.5616pt;width:396.95pt;height:19.75pt;mso-position-horizontal-relative:page;mso-position-vertical-relative:paragraph;z-index:-1167040" type="#_x0000_t202" filled="false" stroked="false">
            <v:textbox inset="0,0,0,0">
              <w:txbxContent>
                <w:p>
                  <w:pPr>
                    <w:pStyle w:val="BodyText"/>
                    <w:spacing w:line="240" w:lineRule="auto" w:before="52"/>
                    <w:ind w:left="0" w:right="0"/>
                    <w:jc w:val="left"/>
                  </w:pPr>
                  <w:r>
                    <w:rPr/>
                    <w:t>（如有）</w:t>
                  </w:r>
                </w:p>
              </w:txbxContent>
            </v:textbox>
            <w10:wrap type="none"/>
          </v:shape>
        </w:pict>
      </w: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5"/>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思特奇</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300608</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北京思特奇信息技术股份有限公司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思特奇</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SI-TECH Information Technology</w:t>
            </w:r>
            <w:r>
              <w:rPr>
                <w:rFonts w:ascii="Times New Roman"/>
                <w:spacing w:val="-29"/>
                <w:sz w:val="18"/>
              </w:rPr>
              <w:t> </w:t>
            </w:r>
            <w:r>
              <w:rPr>
                <w:rFonts w:ascii="Times New Roman"/>
                <w:sz w:val="18"/>
              </w:rPr>
              <w:t>Co.,Ltd</w:t>
            </w:r>
          </w:p>
        </w:tc>
      </w:tr>
      <w:tr>
        <w:trPr>
          <w:trHeight w:val="404" w:hRule="exact"/>
        </w:trPr>
        <w:tc>
          <w:tcPr>
            <w:tcW w:w="228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12" w:space="0" w:color="FFFFFF"/>
            </w:tcBorders>
          </w:tcPr>
          <w:p>
            <w:pPr>
              <w:pStyle w:val="TableParagraph"/>
              <w:spacing w:line="240" w:lineRule="auto" w:before="94"/>
              <w:ind w:left="16" w:right="0"/>
              <w:jc w:val="left"/>
              <w:rPr>
                <w:rFonts w:ascii="Times New Roman" w:hAnsi="Times New Roman" w:cs="Times New Roman" w:eastAsia="Times New Roman" w:hint="default"/>
                <w:sz w:val="18"/>
                <w:szCs w:val="18"/>
              </w:rPr>
            </w:pPr>
            <w:r>
              <w:rPr>
                <w:rFonts w:ascii="Times New Roman"/>
                <w:sz w:val="18"/>
              </w:rPr>
              <w:t>SI-TECH</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100086</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100086</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9">
              <w:r>
                <w:rPr>
                  <w:rFonts w:ascii="Times New Roman"/>
                  <w:sz w:val="18"/>
                </w:rPr>
                <w:t>http://www.si-tech.com.cn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0">
              <w:r>
                <w:rPr>
                  <w:rFonts w:ascii="Times New Roman"/>
                  <w:sz w:val="18"/>
                </w:rPr>
                <w:t>securities@si-tech.com.cn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咸海丰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杜微</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010-82193708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010-82193708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010-82193886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010-82193886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securities@si-tech.com.cn</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securities@si-tech.com.cn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6"/>
        <w:gridCol w:w="5884"/>
      </w:tblGrid>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7"/>
                <w:sz w:val="18"/>
                <w:szCs w:val="18"/>
              </w:rPr>
              <w:t> </w:t>
            </w:r>
            <w:hyperlink r:id="rId11">
              <w:r>
                <w:rPr>
                  <w:rFonts w:ascii="Times New Roman" w:hAnsi="Times New Roman" w:cs="Times New Roman" w:eastAsia="Times New Roman" w:hint="default"/>
                  <w:sz w:val="18"/>
                  <w:szCs w:val="18"/>
                </w:rPr>
                <w:t>www.cninfo.com.cn</w:t>
              </w:r>
            </w:hyperlink>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公司聘请的会计师事务所</w:t>
      </w:r>
    </w:p>
    <w:p>
      <w:pPr>
        <w:spacing w:after="0" w:line="240" w:lineRule="auto"/>
        <w:jc w:val="left"/>
        <w:sectPr>
          <w:pgSz w:w="11910" w:h="16840"/>
          <w:pgMar w:header="748" w:footer="974" w:top="1060" w:bottom="1160" w:left="980" w:right="0"/>
        </w:sectPr>
      </w:pPr>
    </w:p>
    <w:p>
      <w:pPr>
        <w:spacing w:line="240" w:lineRule="auto" w:before="4"/>
        <w:rPr>
          <w:rFonts w:ascii="宋体" w:hAnsi="宋体" w:cs="宋体" w:eastAsia="宋体" w:hint="default"/>
          <w:sz w:val="28"/>
          <w:szCs w:val="28"/>
        </w:rPr>
      </w:pPr>
      <w:r>
        <w:rPr/>
        <w:pict>
          <v:shape style="position:absolute;margin-left:176.181pt;margin-top:474.669983pt;width:108.9pt;height:19.6pt;mso-position-horizontal-relative:page;mso-position-vertical-relative:page;z-index:-1166992" type="#_x0000_t202" filled="false" stroked="false">
            <v:textbox inset="0,0,0,0">
              <w:txbxContent>
                <w:p>
                  <w:pPr>
                    <w:pStyle w:val="BodyText"/>
                    <w:spacing w:line="240" w:lineRule="auto" w:before="51"/>
                    <w:ind w:left="0" w:right="0"/>
                    <w:jc w:val="left"/>
                  </w:pPr>
                  <w:r>
                    <w:rPr/>
                    <w:t>（元）</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荣健、曾霞芬</w:t>
            </w:r>
          </w:p>
        </w:tc>
      </w:tr>
    </w:tbl>
    <w:p>
      <w:pPr>
        <w:pStyle w:val="BodyText"/>
        <w:spacing w:line="240" w:lineRule="auto" w:before="51"/>
        <w:ind w:right="982"/>
        <w:jc w:val="left"/>
      </w:pPr>
      <w:r>
        <w:rPr/>
        <w:t>公司聘请的报告期内履行持续督导职责的保荐机构</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2979"/>
        <w:gridCol w:w="1558"/>
        <w:gridCol w:w="3119"/>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3"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东方花旗证券有限公司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上海市中山南路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号东方国际金融</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周昆、韩杨</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华创证券有限责任公司</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深圳市福田区香梅路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 </w:t>
            </w:r>
            <w:r>
              <w:rPr>
                <w:rFonts w:ascii="宋体" w:hAnsi="宋体" w:cs="宋体" w:eastAsia="宋体" w:hint="default"/>
                <w:sz w:val="18"/>
                <w:szCs w:val="18"/>
              </w:rPr>
              <w:t>号中投国 际商务中心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王立柱、朱明举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pStyle w:val="BodyText"/>
        <w:spacing w:line="240" w:lineRule="auto" w:before="52"/>
        <w:ind w:right="982"/>
        <w:jc w:val="left"/>
      </w:pPr>
      <w:r>
        <w:rPr/>
        <w:t>公司聘请的报告期内履行持续督导职责的财务顾问</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公司是否需追溯调整或重述以前年度会计数据</w:t>
      </w:r>
    </w:p>
    <w:p>
      <w:pPr>
        <w:pStyle w:val="BodyText"/>
        <w:spacing w:line="240" w:lineRule="auto" w:before="117"/>
        <w:ind w:right="982"/>
        <w:jc w:val="left"/>
      </w:pPr>
      <w:r>
        <w:rPr/>
        <w:pict>
          <v:shape style="position:absolute;margin-left:176.181pt;margin-top:63.637726pt;width:108.9pt;height:19.6pt;mso-position-horizontal-relative:page;mso-position-vertical-relative:paragraph;z-index:-1167016" type="#_x0000_t202" filled="false" stroked="false">
            <v:textbox inset="0,0,0,0">
              <w:txbxContent>
                <w:p>
                  <w:pPr>
                    <w:pStyle w:val="BodyText"/>
                    <w:spacing w:line="240" w:lineRule="auto" w:before="51"/>
                    <w:ind w:left="0" w:right="0"/>
                    <w:jc w:val="left"/>
                  </w:pPr>
                  <w:r>
                    <w:rPr/>
                    <w:t>（元）</w:t>
                  </w: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835"/>
        <w:gridCol w:w="1702"/>
        <w:gridCol w:w="1702"/>
        <w:gridCol w:w="1702"/>
        <w:gridCol w:w="1630"/>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859,779,941.79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787,696,203.48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740,004,269.25</w:t>
            </w:r>
          </w:p>
        </w:tc>
      </w:tr>
      <w:tr>
        <w:trPr>
          <w:trHeight w:val="401" w:hRule="exact"/>
        </w:trPr>
        <w:tc>
          <w:tcPr>
            <w:tcW w:w="2835" w:type="dxa"/>
            <w:tcBorders>
              <w:top w:val="single" w:sz="4" w:space="0" w:color="000000"/>
              <w:left w:val="single" w:sz="4" w:space="0" w:color="000000"/>
              <w:bottom w:val="single" w:sz="4" w:space="0" w:color="000000"/>
              <w:right w:val="single" w:sz="14"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02" w:type="dxa"/>
            <w:tcBorders>
              <w:top w:val="single" w:sz="4" w:space="0" w:color="000000"/>
              <w:left w:val="single" w:sz="14" w:space="0" w:color="FFFFFF"/>
              <w:bottom w:val="single" w:sz="4" w:space="0" w:color="000000"/>
              <w:right w:val="single" w:sz="10" w:space="0" w:color="FFFFFF"/>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91,020,478.07</w:t>
            </w:r>
          </w:p>
        </w:tc>
        <w:tc>
          <w:tcPr>
            <w:tcW w:w="170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85,315,661.84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6.69%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65,452,202.05</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86,604,853.90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81,256,833.72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57,042,904.88</w:t>
            </w:r>
          </w:p>
        </w:tc>
      </w:tr>
      <w:tr>
        <w:trPr>
          <w:trHeight w:val="401" w:hRule="exact"/>
        </w:trPr>
        <w:tc>
          <w:tcPr>
            <w:tcW w:w="2835" w:type="dxa"/>
            <w:tcBorders>
              <w:top w:val="single" w:sz="4" w:space="0" w:color="000000"/>
              <w:left w:val="single" w:sz="4" w:space="0" w:color="000000"/>
              <w:bottom w:val="single" w:sz="4" w:space="0" w:color="000000"/>
              <w:right w:val="single" w:sz="14"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2" w:type="dxa"/>
            <w:tcBorders>
              <w:top w:val="single" w:sz="4" w:space="0" w:color="000000"/>
              <w:left w:val="single" w:sz="14" w:space="0" w:color="FFFFFF"/>
              <w:bottom w:val="single" w:sz="4" w:space="0" w:color="000000"/>
              <w:right w:val="single" w:sz="10" w:space="0" w:color="FFFFFF"/>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86,146,329.63</w:t>
            </w:r>
          </w:p>
        </w:tc>
        <w:tc>
          <w:tcPr>
            <w:tcW w:w="170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88,415,838.08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-19,414,441.19</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0.65</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0.65</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11.13%</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1,610,537,830.52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1,195,999,022.24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964,331,172.64</w:t>
            </w:r>
          </w:p>
        </w:tc>
      </w:tr>
      <w:tr>
        <w:trPr>
          <w:trHeight w:val="401" w:hRule="exact"/>
        </w:trPr>
        <w:tc>
          <w:tcPr>
            <w:tcW w:w="2835" w:type="dxa"/>
            <w:tcBorders>
              <w:top w:val="single" w:sz="4" w:space="0" w:color="000000"/>
              <w:left w:val="single" w:sz="4" w:space="0" w:color="000000"/>
              <w:bottom w:val="single" w:sz="4" w:space="0" w:color="000000"/>
              <w:right w:val="single" w:sz="14"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02" w:type="dxa"/>
            <w:tcBorders>
              <w:top w:val="single" w:sz="4" w:space="0" w:color="000000"/>
              <w:left w:val="single" w:sz="14" w:space="0" w:color="FFFFFF"/>
              <w:bottom w:val="single" w:sz="4" w:space="0" w:color="000000"/>
              <w:right w:val="single" w:sz="10" w:space="0" w:color="FFFFFF"/>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778,045,626.01</w:t>
            </w:r>
          </w:p>
        </w:tc>
        <w:tc>
          <w:tcPr>
            <w:tcW w:w="170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714,743,610.84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8.86%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651,644,800.53</w:t>
            </w:r>
          </w:p>
        </w:tc>
      </w:tr>
    </w:tbl>
    <w:p>
      <w:pPr>
        <w:spacing w:line="240" w:lineRule="auto" w:before="10"/>
        <w:rPr>
          <w:rFonts w:ascii="宋体" w:hAnsi="宋体" w:cs="宋体" w:eastAsia="宋体" w:hint="default"/>
          <w:sz w:val="16"/>
          <w:szCs w:val="16"/>
        </w:rPr>
      </w:pPr>
    </w:p>
    <w:p>
      <w:pPr>
        <w:pStyle w:val="Heading2"/>
        <w:spacing w:line="240" w:lineRule="auto" w:before="26"/>
        <w:ind w:right="982"/>
        <w:jc w:val="left"/>
        <w:rPr>
          <w:b w:val="0"/>
          <w:bCs w:val="0"/>
        </w:rPr>
      </w:pPr>
      <w:r>
        <w:rPr/>
        <w:pict>
          <v:shape style="position:absolute;margin-left:176.181pt;margin-top:-31.028372pt;width:108.9pt;height:19.6pt;mso-position-horizontal-relative:page;mso-position-vertical-relative:paragraph;z-index:-1166968" type="#_x0000_t202" filled="false" stroked="false">
            <v:textbox inset="0,0,0,0">
              <w:txbxContent>
                <w:p>
                  <w:pPr>
                    <w:pStyle w:val="BodyText"/>
                    <w:spacing w:line="240" w:lineRule="auto" w:before="51"/>
                    <w:ind w:left="0" w:right="0"/>
                    <w:jc w:val="left"/>
                  </w:pPr>
                  <w:r>
                    <w:rPr/>
                    <w:t>（元）</w:t>
                  </w:r>
                </w:p>
              </w:txbxContent>
            </v:textbox>
            <w10:wrap type="none"/>
          </v:shape>
        </w:pict>
      </w:r>
      <w:r>
        <w:rPr/>
        <w:t>六、分季度主要财务指标</w:t>
      </w:r>
      <w:r>
        <w:rPr>
          <w:b w:val="0"/>
          <w:bCs w:val="0"/>
        </w:rPr>
      </w:r>
    </w:p>
    <w:p>
      <w:pPr>
        <w:spacing w:line="240" w:lineRule="auto" w:before="2"/>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5"/>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2621"/>
        <w:gridCol w:w="1740"/>
        <w:gridCol w:w="1740"/>
        <w:gridCol w:w="1738"/>
        <w:gridCol w:w="1731"/>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88,170,328.89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204,503,680.56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156,118,466.11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410,987,466.23</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-41,522,834.11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33,926,214.46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11,186,815.55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87,430,282.17</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-38,815,982.77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32,400,144.40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8,652,052.59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84,368,639.68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2620"/>
        <w:gridCol w:w="1740"/>
        <w:gridCol w:w="1740"/>
        <w:gridCol w:w="1738"/>
        <w:gridCol w:w="1731"/>
      </w:tblGrid>
      <w:tr>
        <w:trPr>
          <w:trHeight w:val="36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3" w:right="0"/>
              <w:jc w:val="left"/>
              <w:rPr>
                <w:rFonts w:ascii="Times New Roman" w:hAnsi="Times New Roman" w:cs="Times New Roman" w:eastAsia="Times New Roman" w:hint="default"/>
                <w:sz w:val="18"/>
                <w:szCs w:val="18"/>
              </w:rPr>
            </w:pPr>
            <w:r>
              <w:rPr>
                <w:rFonts w:ascii="Times New Roman"/>
                <w:sz w:val="18"/>
              </w:rPr>
              <w:t>2,273,645.47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2" w:right="0"/>
              <w:jc w:val="left"/>
              <w:rPr>
                <w:rFonts w:ascii="Times New Roman" w:hAnsi="Times New Roman" w:cs="Times New Roman" w:eastAsia="Times New Roman" w:hint="default"/>
                <w:sz w:val="18"/>
                <w:szCs w:val="18"/>
              </w:rPr>
            </w:pPr>
            <w:r>
              <w:rPr>
                <w:rFonts w:ascii="Times New Roman"/>
                <w:sz w:val="18"/>
              </w:rPr>
              <w:t>-27,676,212.67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2" w:right="0"/>
              <w:jc w:val="left"/>
              <w:rPr>
                <w:rFonts w:ascii="Times New Roman" w:hAnsi="Times New Roman" w:cs="Times New Roman" w:eastAsia="Times New Roman" w:hint="default"/>
                <w:sz w:val="18"/>
                <w:szCs w:val="18"/>
              </w:rPr>
            </w:pPr>
            <w:r>
              <w:rPr>
                <w:rFonts w:ascii="Times New Roman"/>
                <w:sz w:val="18"/>
              </w:rPr>
              <w:t>20,944,642.86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4" w:right="0"/>
              <w:jc w:val="left"/>
              <w:rPr>
                <w:rFonts w:ascii="Times New Roman" w:hAnsi="Times New Roman" w:cs="Times New Roman" w:eastAsia="Times New Roman" w:hint="default"/>
                <w:sz w:val="18"/>
                <w:szCs w:val="18"/>
              </w:rPr>
            </w:pPr>
            <w:r>
              <w:rPr>
                <w:rFonts w:ascii="Times New Roman"/>
                <w:sz w:val="18"/>
              </w:rPr>
              <w:t>90,604,253.97</w:t>
            </w:r>
          </w:p>
        </w:tc>
      </w:tr>
    </w:tbl>
    <w:p>
      <w:pPr>
        <w:pStyle w:val="BodyText"/>
        <w:spacing w:line="240" w:lineRule="auto" w:before="51"/>
        <w:ind w:right="982"/>
        <w:jc w:val="left"/>
      </w:pPr>
      <w:r>
        <w:rPr/>
        <w:t>上述财务指标或其加总数是否与公司已披露季度报告、半年度报告相关财务指标存在重大差异</w:t>
      </w:r>
    </w:p>
    <w:p>
      <w:pPr>
        <w:pStyle w:val="BodyText"/>
        <w:spacing w:line="240" w:lineRule="auto" w:before="117"/>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18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4"/>
        <w:spacing w:line="240" w:lineRule="auto"/>
        <w:ind w:right="982"/>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11"/>
        <w:rPr>
          <w:rFonts w:ascii="宋体" w:hAnsi="宋体" w:cs="宋体" w:eastAsia="宋体" w:hint="default"/>
          <w:sz w:val="17"/>
          <w:szCs w:val="17"/>
        </w:rPr>
      </w:pPr>
    </w:p>
    <w:p>
      <w:pPr>
        <w:pStyle w:val="Heading2"/>
        <w:spacing w:line="240" w:lineRule="auto"/>
        <w:ind w:right="982"/>
        <w:jc w:val="left"/>
        <w:rPr>
          <w:b w:val="0"/>
          <w:bCs w:val="0"/>
        </w:rPr>
      </w:pPr>
      <w:r>
        <w:rPr/>
        <w:t>八、非经常性损益项目及金额</w:t>
      </w:r>
      <w:r>
        <w:rPr>
          <w:b w:val="0"/>
          <w:bCs w:val="0"/>
        </w:rPr>
      </w:r>
    </w:p>
    <w:p>
      <w:pPr>
        <w:spacing w:line="240" w:lineRule="auto" w:before="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72"/>
        <w:ind w:left="0" w:right="1130"/>
        <w:jc w:val="right"/>
      </w:pPr>
      <w:r>
        <w:rPr/>
        <w:t>单位：元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19"/>
        <w:gridCol w:w="1522"/>
        <w:gridCol w:w="1712"/>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-39,308.65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-347,617.63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-121,416.79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2,432,098.15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3,400,338.59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1,628,165.00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441,452.89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1,847,597.20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1,470,745.31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国债逆回购</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22" w:type="dxa"/>
            <w:tcBorders>
              <w:top w:val="single" w:sz="4" w:space="0" w:color="000000"/>
              <w:left w:val="single" w:sz="10"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155,701.71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-857,268.65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6,364,850.31</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1,875,215.96</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进项税额加计抵减</w:t>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441,697.47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499,815.23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933,046.66</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7,838.42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2,406.16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4,415,624.17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4,058,828.12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8,409,297.17</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982"/>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68" w:lineRule="auto" w:before="3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2"/>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1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982"/>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2"/>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Heading4"/>
        <w:spacing w:line="240" w:lineRule="auto" w:before="80"/>
        <w:ind w:left="575" w:right="982"/>
        <w:jc w:val="left"/>
        <w:rPr>
          <w:b w:val="0"/>
          <w:bCs w:val="0"/>
        </w:rPr>
      </w:pPr>
      <w:r>
        <w:rPr/>
        <w:t>（一）公司的经营范围和主营业务</w:t>
      </w:r>
      <w:r>
        <w:rPr>
          <w:b w:val="0"/>
          <w:bCs w:val="0"/>
        </w:rPr>
      </w:r>
    </w:p>
    <w:p>
      <w:pPr>
        <w:pStyle w:val="BodyText"/>
        <w:spacing w:line="300" w:lineRule="auto" w:before="98"/>
        <w:ind w:right="1134" w:firstLine="360"/>
        <w:jc w:val="both"/>
      </w:pPr>
      <w:r>
        <w:rPr>
          <w:spacing w:val="-2"/>
        </w:rPr>
        <w:t>报告期内，公司的主营业务发展平稳，公司在</w:t>
      </w:r>
      <w:r>
        <w:rPr>
          <w:rFonts w:ascii="Times New Roman" w:hAnsi="Times New Roman" w:cs="Times New Roman" w:eastAsia="Times New Roman" w:hint="default"/>
          <w:spacing w:val="-2"/>
        </w:rPr>
        <w:t>5G</w:t>
      </w:r>
      <w:r>
        <w:rPr>
          <w:spacing w:val="-2"/>
        </w:rPr>
        <w:t>方面持续推进。随着</w:t>
      </w:r>
      <w:r>
        <w:rPr>
          <w:rFonts w:ascii="Times New Roman" w:hAnsi="Times New Roman" w:cs="Times New Roman" w:eastAsia="Times New Roman" w:hint="default"/>
          <w:spacing w:val="-2"/>
        </w:rPr>
        <w:t>5G+</w:t>
      </w:r>
      <w:r>
        <w:rPr>
          <w:spacing w:val="-2"/>
        </w:rPr>
        <w:t>的战略地位在中国的提升，公司新市场开拓有</w:t>
      </w:r>
      <w:r>
        <w:rPr/>
        <w:t> 序。</w:t>
      </w:r>
    </w:p>
    <w:p>
      <w:pPr>
        <w:pStyle w:val="BodyText"/>
        <w:spacing w:line="307" w:lineRule="auto" w:before="72"/>
        <w:ind w:right="1126" w:firstLine="360"/>
        <w:jc w:val="both"/>
      </w:pPr>
      <w:r>
        <w:rPr/>
        <w:t>受益于中国</w:t>
      </w:r>
      <w:r>
        <w:rPr>
          <w:rFonts w:ascii="Times New Roman" w:hAnsi="Times New Roman" w:cs="Times New Roman" w:eastAsia="Times New Roman" w:hint="default"/>
        </w:rPr>
        <w:t>5G</w:t>
      </w:r>
      <w:r>
        <w:rPr/>
        <w:t>市场的持续火热，公司的核心客户中国移动、中国联通、中国电信、广电网络等运营商在</w:t>
      </w:r>
      <w:r>
        <w:rPr>
          <w:rFonts w:ascii="Times New Roman" w:hAnsi="Times New Roman" w:cs="Times New Roman" w:eastAsia="Times New Roman" w:hint="default"/>
        </w:rPr>
        <w:t>5G</w:t>
      </w:r>
      <w:r>
        <w:rPr>
          <w:rFonts w:ascii="Times New Roman" w:hAnsi="Times New Roman" w:cs="Times New Roman" w:eastAsia="Times New Roman" w:hint="default"/>
          <w:spacing w:val="20"/>
        </w:rPr>
        <w:t> </w:t>
      </w:r>
      <w:r>
        <w:rPr>
          <w:rFonts w:ascii="Times New Roman" w:hAnsi="Times New Roman" w:cs="Times New Roman" w:eastAsia="Times New Roman" w:hint="default"/>
        </w:rPr>
        <w:t>CRM</w:t>
      </w:r>
      <w:r>
        <w:rPr/>
        <w:t>、</w:t>
      </w:r>
      <w:r>
        <w:rPr>
          <w:rFonts w:ascii="Times New Roman" w:hAnsi="Times New Roman" w:cs="Times New Roman" w:eastAsia="Times New Roman" w:hint="default"/>
        </w:rPr>
        <w:t>5G</w:t>
      </w:r>
      <w:r>
        <w:rPr>
          <w:rFonts w:ascii="Times New Roman" w:hAnsi="Times New Roman" w:cs="Times New Roman" w:eastAsia="Times New Roman" w:hint="default"/>
          <w:spacing w:val="3"/>
          <w:w w:val="99"/>
        </w:rPr>
        <w:t> </w:t>
      </w:r>
      <w:r>
        <w:rPr>
          <w:spacing w:val="-2"/>
        </w:rPr>
        <w:t>网络切片、</w:t>
      </w:r>
      <w:r>
        <w:rPr>
          <w:rFonts w:ascii="Times New Roman" w:hAnsi="Times New Roman" w:cs="Times New Roman" w:eastAsia="Times New Roman" w:hint="default"/>
          <w:spacing w:val="-2"/>
        </w:rPr>
        <w:t>5G</w:t>
      </w:r>
      <w:r>
        <w:rPr>
          <w:spacing w:val="-2"/>
        </w:rPr>
        <w:t>结算、</w:t>
      </w:r>
      <w:r>
        <w:rPr>
          <w:rFonts w:ascii="Times New Roman" w:hAnsi="Times New Roman" w:cs="Times New Roman" w:eastAsia="Times New Roman" w:hint="default"/>
          <w:spacing w:val="-2"/>
        </w:rPr>
        <w:t>5G</w:t>
      </w:r>
      <w:r>
        <w:rPr>
          <w:spacing w:val="-2"/>
        </w:rPr>
        <w:t>计费、</w:t>
      </w:r>
      <w:r>
        <w:rPr>
          <w:rFonts w:ascii="Times New Roman" w:hAnsi="Times New Roman" w:cs="Times New Roman" w:eastAsia="Times New Roman" w:hint="default"/>
          <w:spacing w:val="-2"/>
        </w:rPr>
        <w:t>5G</w:t>
      </w:r>
      <w:r>
        <w:rPr>
          <w:spacing w:val="-2"/>
        </w:rPr>
        <w:t>实时数据服务及</w:t>
      </w:r>
      <w:r>
        <w:rPr>
          <w:rFonts w:ascii="Times New Roman" w:hAnsi="Times New Roman" w:cs="Times New Roman" w:eastAsia="Times New Roman" w:hint="default"/>
          <w:spacing w:val="-2"/>
        </w:rPr>
        <w:t>5G</w:t>
      </w:r>
      <w:r>
        <w:rPr>
          <w:spacing w:val="-2"/>
        </w:rPr>
        <w:t>政企支撑方面的快速建设，公司的订单将持续增加，公司进一步巩固核</w:t>
      </w:r>
      <w:r>
        <w:rPr>
          <w:spacing w:val="-43"/>
        </w:rPr>
        <w:t> </w:t>
      </w:r>
      <w:r>
        <w:rPr>
          <w:spacing w:val="-43"/>
        </w:rPr>
      </w:r>
      <w:r>
        <w:rPr>
          <w:spacing w:val="-2"/>
        </w:rPr>
        <w:t>心厂商的地位，稳步提升自身竞争实力。思特奇专注专业，持续创新，公司的产品和服务现已涵盖电信运营商业务支撑服务</w:t>
      </w:r>
      <w:r>
        <w:rPr>
          <w:spacing w:val="-63"/>
        </w:rPr>
        <w:t> </w:t>
      </w:r>
      <w:r>
        <w:rPr>
          <w:spacing w:val="-63"/>
        </w:rPr>
      </w:r>
      <w:r>
        <w:rPr/>
        <w:t>域和网络支撑运营服务域的全面核心关键。</w:t>
      </w:r>
    </w:p>
    <w:p>
      <w:pPr>
        <w:pStyle w:val="BodyText"/>
        <w:spacing w:line="304" w:lineRule="auto" w:before="67"/>
        <w:ind w:right="1130" w:firstLine="360"/>
        <w:jc w:val="both"/>
      </w:pPr>
      <w:r>
        <w:rPr>
          <w:spacing w:val="-1"/>
        </w:rPr>
        <w:t>在非运营商市场，受益于</w:t>
      </w:r>
      <w:r>
        <w:rPr>
          <w:rFonts w:ascii="Times New Roman" w:hAnsi="Times New Roman" w:cs="Times New Roman" w:eastAsia="Times New Roman" w:hint="default"/>
          <w:spacing w:val="-1"/>
        </w:rPr>
        <w:t>5G+</w:t>
      </w:r>
      <w:r>
        <w:rPr>
          <w:spacing w:val="-1"/>
        </w:rPr>
        <w:t>战略的推进，国家对数字经济给予高度重视并持续产业投入。公司依托完整成熟的</w:t>
      </w:r>
      <w:r>
        <w:rPr>
          <w:rFonts w:ascii="Times New Roman" w:hAnsi="Times New Roman" w:cs="Times New Roman" w:eastAsia="Times New Roman" w:hint="default"/>
          <w:spacing w:val="-1"/>
        </w:rPr>
        <w:t>PaaS</w:t>
      </w:r>
      <w:r>
        <w:rPr>
          <w:spacing w:val="-1"/>
        </w:rPr>
        <w:t>和</w:t>
      </w:r>
      <w:r>
        <w:rPr/>
        <w:t> </w:t>
      </w:r>
      <w:r>
        <w:rPr>
          <w:rFonts w:ascii="Times New Roman" w:hAnsi="Times New Roman" w:cs="Times New Roman" w:eastAsia="Times New Roman" w:hint="default"/>
          <w:spacing w:val="-1"/>
        </w:rPr>
        <w:t>IaaS</w:t>
      </w:r>
      <w:r>
        <w:rPr>
          <w:spacing w:val="-1"/>
        </w:rPr>
        <w:t>产品，公司以先进的技术、结合良好的运营和服务机制，逐渐建立并完善了具有竞争力的公有云和大数据服务，已成为</w:t>
      </w:r>
      <w:r>
        <w:rPr>
          <w:spacing w:val="-77"/>
        </w:rPr>
        <w:t> </w:t>
      </w:r>
      <w:r>
        <w:rPr>
          <w:spacing w:val="-77"/>
        </w:rPr>
      </w:r>
      <w:r>
        <w:rPr>
          <w:spacing w:val="-2"/>
        </w:rPr>
        <w:t>云和大数据行业的主要服务厂商。同时公司积极构建合作伙伴发展生态体系，以平台和运营为推动，为产业上下游企业客户</w:t>
      </w:r>
      <w:r>
        <w:rPr>
          <w:spacing w:val="-63"/>
        </w:rPr>
        <w:t> </w:t>
      </w:r>
      <w:r>
        <w:rPr>
          <w:spacing w:val="-63"/>
        </w:rPr>
      </w:r>
      <w:r>
        <w:rPr>
          <w:spacing w:val="-2"/>
        </w:rPr>
        <w:t>构建</w:t>
      </w:r>
      <w:r>
        <w:rPr>
          <w:rFonts w:ascii="Times New Roman" w:hAnsi="Times New Roman" w:cs="Times New Roman" w:eastAsia="Times New Roman" w:hint="default"/>
          <w:spacing w:val="-2"/>
        </w:rPr>
        <w:t>5G</w:t>
      </w:r>
      <w:r>
        <w:rPr>
          <w:spacing w:val="-2"/>
        </w:rPr>
        <w:t>应用开发平台，实现客户的开拓和拓展，报告期内，在</w:t>
      </w:r>
      <w:r>
        <w:rPr>
          <w:rFonts w:ascii="Times New Roman" w:hAnsi="Times New Roman" w:cs="Times New Roman" w:eastAsia="Times New Roman" w:hint="default"/>
          <w:spacing w:val="-2"/>
        </w:rPr>
        <w:t>5G+</w:t>
      </w:r>
      <w:r>
        <w:rPr>
          <w:spacing w:val="-2"/>
        </w:rPr>
        <w:t>战略的推进下，公司在智慧城市、人工智能、企业云、产</w:t>
      </w:r>
      <w:r>
        <w:rPr>
          <w:spacing w:val="-68"/>
        </w:rPr>
        <w:t> </w:t>
      </w:r>
      <w:r>
        <w:rPr>
          <w:spacing w:val="-68"/>
        </w:rPr>
      </w:r>
      <w:r>
        <w:rPr/>
        <w:t>业互联网、物联网、智慧旅游、智慧园区等方面取得了重要突破。</w:t>
      </w:r>
    </w:p>
    <w:p>
      <w:pPr>
        <w:pStyle w:val="BodyText"/>
        <w:spacing w:line="300" w:lineRule="auto" w:before="66"/>
        <w:ind w:right="1133" w:firstLine="360"/>
        <w:jc w:val="both"/>
      </w:pPr>
      <w:r>
        <w:rPr>
          <w:spacing w:val="-2"/>
        </w:rPr>
        <w:t>在技术领域，随着国家连续几年的科技投入产业升级，思特奇进一步加大了</w:t>
      </w:r>
      <w:r>
        <w:rPr>
          <w:rFonts w:ascii="Times New Roman" w:hAnsi="Times New Roman" w:cs="Times New Roman" w:eastAsia="Times New Roman" w:hint="default"/>
          <w:spacing w:val="-2"/>
        </w:rPr>
        <w:t>5G</w:t>
      </w:r>
      <w:r>
        <w:rPr>
          <w:spacing w:val="-2"/>
        </w:rPr>
        <w:t>、</w:t>
      </w:r>
      <w:r>
        <w:rPr>
          <w:rFonts w:ascii="Times New Roman" w:hAnsi="Times New Roman" w:cs="Times New Roman" w:eastAsia="Times New Roman" w:hint="default"/>
          <w:spacing w:val="-2"/>
        </w:rPr>
        <w:t>5G+</w:t>
      </w:r>
      <w:r>
        <w:rPr>
          <w:spacing w:val="-2"/>
        </w:rPr>
        <w:t>、人工智能、物联网、区块链的研</w:t>
      </w:r>
      <w:r>
        <w:rPr/>
        <w:t> 发投入，在新技术方面寻求突破，特别在</w:t>
      </w:r>
      <w:r>
        <w:rPr>
          <w:rFonts w:ascii="Times New Roman" w:hAnsi="Times New Roman" w:cs="Times New Roman" w:eastAsia="Times New Roman" w:hint="default"/>
        </w:rPr>
        <w:t>5G</w:t>
      </w:r>
      <w:r>
        <w:rPr/>
        <w:t>核心技术、</w:t>
      </w:r>
      <w:r>
        <w:rPr>
          <w:rFonts w:ascii="Times New Roman" w:hAnsi="Times New Roman" w:cs="Times New Roman" w:eastAsia="Times New Roman" w:hint="default"/>
        </w:rPr>
        <w:t>AI</w:t>
      </w:r>
      <w:r>
        <w:rPr/>
        <w:t>算法、区块链底层技术及应用、物联网、云计算，大数据和存储</w:t>
      </w:r>
    </w:p>
    <w:p>
      <w:pPr>
        <w:pStyle w:val="BodyText"/>
        <w:spacing w:line="319" w:lineRule="auto" w:before="13"/>
        <w:ind w:right="1133"/>
        <w:jc w:val="both"/>
      </w:pPr>
      <w:r>
        <w:rPr>
          <w:spacing w:val="-2"/>
        </w:rPr>
        <w:t>（文件存储、块存储、对象存储）等方面，完全拥有了自有知识产权的产品和服务，在同行业中处于领先地位。公司始终坚</w:t>
      </w:r>
      <w:r>
        <w:rPr>
          <w:spacing w:val="-68"/>
        </w:rPr>
        <w:t> </w:t>
      </w:r>
      <w:r>
        <w:rPr>
          <w:spacing w:val="-68"/>
        </w:rPr>
      </w:r>
      <w:r>
        <w:rPr>
          <w:spacing w:val="-2"/>
        </w:rPr>
        <w:t>持科技为本，上述新技术，正在为公司下一步的发展夯实基础，持续不断地为公司发展提供原动力，提高公司硬实力，为国</w:t>
      </w:r>
      <w:r>
        <w:rPr>
          <w:spacing w:val="-67"/>
        </w:rPr>
        <w:t> </w:t>
      </w:r>
      <w:r>
        <w:rPr>
          <w:spacing w:val="-67"/>
        </w:rPr>
      </w:r>
      <w:r>
        <w:rPr/>
        <w:t>家科技生产力的提升贡献自己的力量。</w:t>
      </w:r>
    </w:p>
    <w:p>
      <w:pPr>
        <w:spacing w:line="240" w:lineRule="auto" w:before="0"/>
        <w:rPr>
          <w:rFonts w:ascii="宋体" w:hAnsi="宋体" w:cs="宋体" w:eastAsia="宋体" w:hint="default"/>
          <w:sz w:val="18"/>
          <w:szCs w:val="18"/>
        </w:rPr>
      </w:pPr>
    </w:p>
    <w:p>
      <w:pPr>
        <w:pStyle w:val="Heading4"/>
        <w:spacing w:line="240" w:lineRule="auto" w:before="152"/>
        <w:ind w:left="513" w:right="982"/>
        <w:jc w:val="left"/>
        <w:rPr>
          <w:b w:val="0"/>
          <w:bCs w:val="0"/>
        </w:rPr>
      </w:pPr>
      <w:r>
        <w:rPr>
          <w:rFonts w:ascii="Times New Roman" w:hAnsi="Times New Roman" w:cs="Times New Roman" w:eastAsia="Times New Roman" w:hint="default"/>
        </w:rPr>
        <w:t>1</w:t>
      </w:r>
      <w:r>
        <w:rPr/>
        <w:t>、以</w:t>
      </w:r>
      <w:r>
        <w:rPr>
          <w:rFonts w:ascii="Times New Roman" w:hAnsi="Times New Roman" w:cs="Times New Roman" w:eastAsia="Times New Roman" w:hint="default"/>
        </w:rPr>
        <w:t>BOSS</w:t>
      </w:r>
      <w:r>
        <w:rPr/>
        <w:t>为主的运营商支撑系统的核心业务</w:t>
      </w:r>
      <w:r>
        <w:rPr>
          <w:b w:val="0"/>
          <w:bCs w:val="0"/>
        </w:rPr>
      </w:r>
    </w:p>
    <w:p>
      <w:pPr>
        <w:pStyle w:val="BodyText"/>
        <w:spacing w:line="309" w:lineRule="auto" w:before="82"/>
        <w:ind w:right="1051" w:firstLine="360"/>
        <w:jc w:val="both"/>
      </w:pPr>
      <w:r>
        <w:rPr/>
        <w:t>作为中国移动、中国联通、中国电信、广电网络、虚拟运营商的</w:t>
      </w:r>
      <w:r>
        <w:rPr>
          <w:rFonts w:ascii="Times New Roman" w:hAnsi="Times New Roman" w:cs="Times New Roman" w:eastAsia="Times New Roman" w:hint="default"/>
        </w:rPr>
        <w:t>Boss</w:t>
      </w:r>
      <w:r>
        <w:rPr/>
        <w:t>系统的核心厂商，公司继续保持以往的竞争优势， 扩大市场占有率，进一步巩固核心厂商的地位。经过多年的发展，公司提供核心业务系统的全面解决方案，包括系统咨询、 规划及产品的开发、升级、服务，产品和服务涵盖电信运营商业务支撑服务域和网络支撑运营服务域的全面关键核心。</w:t>
      </w:r>
    </w:p>
    <w:p>
      <w:pPr>
        <w:pStyle w:val="BodyText"/>
        <w:spacing w:line="316" w:lineRule="auto" w:before="65"/>
        <w:ind w:right="1129" w:firstLine="360"/>
        <w:jc w:val="both"/>
      </w:pPr>
      <w:r>
        <w:rPr>
          <w:spacing w:val="-2"/>
        </w:rPr>
        <w:t>目前，公司的产品涵盖了计费、客户关系管理、业务保障、移动互联网、云计算、大数据等业务，此外，涵盖了运营商</w:t>
      </w:r>
      <w:r>
        <w:rPr/>
        <w:t> 全域的产品和服务的解决方案。</w:t>
      </w:r>
    </w:p>
    <w:p>
      <w:pPr>
        <w:pStyle w:val="BodyText"/>
        <w:spacing w:line="240" w:lineRule="auto" w:before="59"/>
        <w:ind w:left="513" w:right="982"/>
        <w:jc w:val="left"/>
      </w:pPr>
      <w:r>
        <w:rPr>
          <w:rFonts w:ascii="Times New Roman" w:hAnsi="Times New Roman" w:cs="Times New Roman" w:eastAsia="Times New Roman" w:hint="default"/>
        </w:rPr>
        <w:t>2019</w:t>
      </w:r>
      <w:r>
        <w:rPr/>
        <w:t>年，公司的智能计费产品全面上线运营，思特奇在原有计费产品优势基础上，通过数据运营、</w:t>
      </w:r>
      <w:r>
        <w:rPr>
          <w:rFonts w:ascii="Times New Roman" w:hAnsi="Times New Roman" w:cs="Times New Roman" w:eastAsia="Times New Roman" w:hint="default"/>
        </w:rPr>
        <w:t>AI</w:t>
      </w:r>
      <w:r>
        <w:rPr/>
        <w:t>模型算法优化、</w:t>
      </w:r>
    </w:p>
    <w:p>
      <w:pPr>
        <w:pStyle w:val="BodyText"/>
        <w:spacing w:line="307" w:lineRule="auto" w:before="63"/>
        <w:ind w:right="1040"/>
        <w:jc w:val="left"/>
      </w:pPr>
      <w:r>
        <w:rPr>
          <w:rFonts w:ascii="Times New Roman" w:hAnsi="Times New Roman" w:cs="Times New Roman" w:eastAsia="Times New Roman" w:hint="default"/>
          <w:spacing w:val="-2"/>
        </w:rPr>
        <w:t>5G</w:t>
      </w:r>
      <w:r>
        <w:rPr>
          <w:spacing w:val="-2"/>
        </w:rPr>
        <w:t>策略控制等专题研发智能计费产品，可应用于智能配额、智能风控、</w:t>
      </w:r>
      <w:r>
        <w:rPr>
          <w:rFonts w:ascii="Times New Roman" w:hAnsi="Times New Roman" w:cs="Times New Roman" w:eastAsia="Times New Roman" w:hint="default"/>
          <w:spacing w:val="-2"/>
        </w:rPr>
        <w:t>5G</w:t>
      </w:r>
      <w:r>
        <w:rPr>
          <w:spacing w:val="-2"/>
        </w:rPr>
        <w:t>智能控制等场景，提升客户体验，创造产品价值，</w:t>
      </w:r>
      <w:r>
        <w:rPr>
          <w:spacing w:val="-53"/>
        </w:rPr>
        <w:t> </w:t>
      </w:r>
      <w:r>
        <w:rPr>
          <w:spacing w:val="-53"/>
        </w:rPr>
      </w:r>
      <w:r>
        <w:rPr/>
        <w:t>增强产品竞争力。 产品已在多个客户的业务系统中上线应用，在联通和移动电信运营商中大范围推广。思特奇的智能计费</w:t>
      </w:r>
      <w:r>
        <w:rPr>
          <w:spacing w:val="-85"/>
        </w:rPr>
        <w:t> </w:t>
      </w:r>
      <w:r>
        <w:rPr>
          <w:spacing w:val="-85"/>
        </w:rPr>
      </w:r>
      <w:r>
        <w:rPr>
          <w:spacing w:val="25"/>
        </w:rPr>
        <w:t>和联通合作共同完成的</w:t>
      </w:r>
      <w:r>
        <w:rPr>
          <w:spacing w:val="-65"/>
        </w:rPr>
        <w:t> </w:t>
      </w:r>
      <w:r>
        <w:rPr>
          <w:rFonts w:ascii="Times New Roman" w:hAnsi="Times New Roman" w:cs="Times New Roman" w:eastAsia="Times New Roman" w:hint="default"/>
        </w:rPr>
        <w:t>TMF</w:t>
      </w:r>
      <w:r>
        <w:rPr>
          <w:rFonts w:ascii="Times New Roman" w:hAnsi="Times New Roman" w:cs="Times New Roman" w:eastAsia="Times New Roman" w:hint="default"/>
          <w:spacing w:val="-16"/>
        </w:rPr>
        <w:t> </w:t>
      </w:r>
      <w:r>
        <w:rPr/>
        <w:t>孵</w:t>
      </w:r>
      <w:r>
        <w:rPr>
          <w:spacing w:val="-63"/>
        </w:rPr>
        <w:t> </w:t>
      </w:r>
      <w:r>
        <w:rPr/>
        <w:t>化</w:t>
      </w:r>
      <w:r>
        <w:rPr>
          <w:spacing w:val="-63"/>
        </w:rPr>
        <w:t> </w:t>
      </w:r>
      <w:r>
        <w:rPr/>
        <w:t>剂</w:t>
      </w:r>
      <w:r>
        <w:rPr>
          <w:spacing w:val="-63"/>
        </w:rPr>
        <w:t> </w:t>
      </w:r>
      <w:r>
        <w:rPr/>
        <w:t>项</w:t>
      </w:r>
      <w:r>
        <w:rPr>
          <w:spacing w:val="-63"/>
        </w:rPr>
        <w:t> </w:t>
      </w:r>
      <w:r>
        <w:rPr/>
        <w:t>目</w:t>
      </w:r>
      <w:r>
        <w:rPr>
          <w:spacing w:val="-63"/>
        </w:rPr>
        <w:t> </w:t>
      </w:r>
      <w:r>
        <w:rPr/>
        <w:t>、</w:t>
      </w:r>
      <w:r>
        <w:rPr>
          <w:spacing w:val="-63"/>
        </w:rPr>
        <w:t> </w:t>
      </w:r>
      <w:r>
        <w:rPr/>
        <w:t>申</w:t>
      </w:r>
      <w:r>
        <w:rPr>
          <w:spacing w:val="-65"/>
        </w:rPr>
        <w:t> </w:t>
      </w:r>
      <w:r>
        <w:rPr/>
        <w:t>报</w:t>
      </w:r>
      <w:r>
        <w:rPr>
          <w:spacing w:val="-63"/>
        </w:rPr>
        <w:t> </w:t>
      </w:r>
      <w:r>
        <w:rPr/>
        <w:t>的</w:t>
      </w:r>
      <w:r>
        <w:rPr>
          <w:spacing w:val="-61"/>
        </w:rPr>
        <w:t> </w:t>
      </w:r>
      <w:r>
        <w:rPr>
          <w:rFonts w:ascii="Times New Roman" w:hAnsi="Times New Roman" w:cs="Times New Roman" w:eastAsia="Times New Roman" w:hint="default"/>
        </w:rPr>
        <w:t>5G</w:t>
      </w:r>
      <w:r>
        <w:rPr>
          <w:rFonts w:ascii="Times New Roman" w:hAnsi="Times New Roman" w:cs="Times New Roman" w:eastAsia="Times New Roman" w:hint="default"/>
          <w:spacing w:val="-20"/>
        </w:rPr>
        <w:t> </w:t>
      </w:r>
      <w:r>
        <w:rPr>
          <w:spacing w:val="22"/>
        </w:rPr>
        <w:t>智能计费从</w:t>
      </w:r>
      <w:r>
        <w:rPr>
          <w:spacing w:val="-63"/>
        </w:rPr>
        <w:t> </w:t>
      </w:r>
      <w:r>
        <w:rPr>
          <w:rFonts w:ascii="Times New Roman" w:hAnsi="Times New Roman" w:cs="Times New Roman" w:eastAsia="Times New Roman" w:hint="default"/>
        </w:rPr>
        <w:t>17</w:t>
      </w:r>
      <w:r>
        <w:rPr>
          <w:rFonts w:ascii="Times New Roman" w:hAnsi="Times New Roman" w:cs="Times New Roman" w:eastAsia="Times New Roman" w:hint="default"/>
          <w:spacing w:val="-16"/>
        </w:rPr>
        <w:t> </w:t>
      </w:r>
      <w:r>
        <w:rPr/>
        <w:t>个</w:t>
      </w:r>
      <w:r>
        <w:rPr>
          <w:spacing w:val="-63"/>
        </w:rPr>
        <w:t> </w:t>
      </w:r>
      <w:r>
        <w:rPr/>
        <w:t>项</w:t>
      </w:r>
      <w:r>
        <w:rPr>
          <w:spacing w:val="-63"/>
        </w:rPr>
        <w:t> </w:t>
      </w:r>
      <w:r>
        <w:rPr/>
        <w:t>目</w:t>
      </w:r>
      <w:r>
        <w:rPr>
          <w:spacing w:val="-63"/>
        </w:rPr>
        <w:t> </w:t>
      </w:r>
      <w:r>
        <w:rPr/>
        <w:t>中</w:t>
      </w:r>
      <w:r>
        <w:rPr>
          <w:spacing w:val="-65"/>
        </w:rPr>
        <w:t> </w:t>
      </w:r>
      <w:r>
        <w:rPr/>
        <w:t>脱</w:t>
      </w:r>
      <w:r>
        <w:rPr>
          <w:spacing w:val="-65"/>
        </w:rPr>
        <w:t> </w:t>
      </w:r>
      <w:r>
        <w:rPr/>
        <w:t>颖</w:t>
      </w:r>
      <w:r>
        <w:rPr>
          <w:spacing w:val="-63"/>
        </w:rPr>
        <w:t> </w:t>
      </w:r>
      <w:r>
        <w:rPr/>
        <w:t>而</w:t>
      </w:r>
      <w:r>
        <w:rPr>
          <w:spacing w:val="-63"/>
        </w:rPr>
        <w:t> </w:t>
      </w:r>
      <w:r>
        <w:rPr/>
        <w:t>出</w:t>
      </w:r>
      <w:r>
        <w:rPr>
          <w:spacing w:val="-63"/>
        </w:rPr>
        <w:t> </w:t>
      </w:r>
      <w:r>
        <w:rPr/>
        <w:t>，</w:t>
      </w:r>
      <w:r>
        <w:rPr>
          <w:spacing w:val="-63"/>
        </w:rPr>
        <w:t> </w:t>
      </w:r>
      <w:r>
        <w:rPr/>
        <w:t>荣</w:t>
      </w:r>
      <w:r>
        <w:rPr>
          <w:spacing w:val="-63"/>
        </w:rPr>
        <w:t> </w:t>
      </w:r>
      <w:r>
        <w:rPr/>
        <w:t>获</w:t>
      </w:r>
      <w:r>
        <w:rPr>
          <w:spacing w:val="-60"/>
        </w:rPr>
        <w:t> </w:t>
      </w:r>
      <w:r>
        <w:rPr>
          <w:rFonts w:ascii="Times New Roman" w:hAnsi="Times New Roman" w:cs="Times New Roman" w:eastAsia="Times New Roman" w:hint="default"/>
        </w:rPr>
        <w:t>TMF</w:t>
      </w:r>
      <w:r>
        <w:rPr>
          <w:rFonts w:ascii="Times New Roman" w:hAnsi="Times New Roman" w:cs="Times New Roman" w:eastAsia="Times New Roman" w:hint="default"/>
          <w:spacing w:val="-17"/>
        </w:rPr>
        <w:t> </w:t>
      </w:r>
      <w:r>
        <w:rPr/>
        <w:t>的</w:t>
      </w:r>
      <w:r>
        <w:rPr>
          <w:spacing w:val="-63"/>
        </w:rPr>
        <w:t> </w:t>
      </w:r>
      <w:r>
        <w:rPr>
          <w:rFonts w:ascii="Times New Roman" w:hAnsi="Times New Roman" w:cs="Times New Roman" w:eastAsia="Times New Roman" w:hint="default"/>
        </w:rPr>
        <w:t>Outstanding Catalyst-Innovation</w:t>
      </w:r>
      <w:r>
        <w:rPr/>
        <w:t>大奖。</w:t>
      </w:r>
    </w:p>
    <w:p>
      <w:pPr>
        <w:pStyle w:val="BodyText"/>
        <w:spacing w:line="309" w:lineRule="auto" w:before="45"/>
        <w:ind w:right="1130" w:firstLine="360"/>
        <w:jc w:val="both"/>
      </w:pPr>
      <w:r>
        <w:rPr>
          <w:rFonts w:ascii="Times New Roman" w:hAnsi="Times New Roman" w:cs="Times New Roman" w:eastAsia="Times New Roman" w:hint="default"/>
        </w:rPr>
        <w:t>2019</w:t>
      </w:r>
      <w:r>
        <w:rPr/>
        <w:t>年思特奇提供的</w:t>
      </w:r>
      <w:r>
        <w:rPr>
          <w:rFonts w:ascii="Times New Roman" w:hAnsi="Times New Roman" w:cs="Times New Roman" w:eastAsia="Times New Roman" w:hint="default"/>
        </w:rPr>
        <w:t>5G</w:t>
      </w:r>
      <w:r>
        <w:rPr/>
        <w:t>网络切片服务运营平台以</w:t>
      </w:r>
      <w:r>
        <w:rPr>
          <w:rFonts w:ascii="Times New Roman" w:hAnsi="Times New Roman" w:cs="Times New Roman" w:eastAsia="Times New Roman" w:hint="default"/>
        </w:rPr>
        <w:t>“</w:t>
      </w:r>
      <w:r>
        <w:rPr/>
        <w:t>敏捷、智能、开放</w:t>
      </w:r>
      <w:r>
        <w:rPr>
          <w:rFonts w:ascii="Times New Roman" w:hAnsi="Times New Roman" w:cs="Times New Roman" w:eastAsia="Times New Roman" w:hint="default"/>
        </w:rPr>
        <w:t>”</w:t>
      </w:r>
      <w:r>
        <w:rPr/>
        <w:t>为核心特征，构建端到端全云化网络切片，提供 </w:t>
      </w:r>
      <w:r>
        <w:rPr>
          <w:spacing w:val="-2"/>
        </w:rPr>
        <w:t>多种差异化的网络服务，直接或间接地服务运营商及其他垂直行业，实现行业应用创新，构建行业新生态。目前公司已和多</w:t>
      </w:r>
      <w:r>
        <w:rPr>
          <w:spacing w:val="-64"/>
        </w:rPr>
        <w:t> </w:t>
      </w:r>
      <w:r>
        <w:rPr>
          <w:spacing w:val="-64"/>
        </w:rPr>
      </w:r>
      <w:r>
        <w:rPr/>
        <w:t>个客户达成合作建设意向，其中</w:t>
      </w:r>
      <w:r>
        <w:rPr>
          <w:rFonts w:ascii="Times New Roman" w:hAnsi="Times New Roman" w:cs="Times New Roman" w:eastAsia="Times New Roman" w:hint="default"/>
        </w:rPr>
        <w:t>2019</w:t>
      </w:r>
      <w:r>
        <w:rPr/>
        <w:t>年下半年已启动建设联通、移动网络切片服务运营平台。</w:t>
      </w:r>
    </w:p>
    <w:p>
      <w:pPr>
        <w:pStyle w:val="BodyText"/>
        <w:spacing w:line="300" w:lineRule="auto" w:before="46"/>
        <w:ind w:right="1033" w:firstLine="360"/>
        <w:jc w:val="left"/>
      </w:pPr>
      <w:r>
        <w:rPr>
          <w:rFonts w:ascii="Times New Roman" w:hAnsi="Times New Roman" w:cs="Times New Roman" w:eastAsia="Times New Roman" w:hint="default"/>
        </w:rPr>
        <w:t>2019</w:t>
      </w:r>
      <w:r>
        <w:rPr/>
        <w:t>年，公司在移动全网业务支撑集中化项目中，签约区域中心项目，提供自主研发的新一代多省集中业务支撑系统， 包含智慧中台、全分布式云架构等最新技术，同时完成支撑中移动</w:t>
      </w:r>
      <w:r>
        <w:rPr>
          <w:rFonts w:ascii="Times New Roman" w:hAnsi="Times New Roman" w:cs="Times New Roman" w:eastAsia="Times New Roman" w:hint="default"/>
        </w:rPr>
        <w:t>5G</w:t>
      </w:r>
      <w:r>
        <w:rPr/>
        <w:t>业务及多业务环境敏捷响应能力；新一代智慧营业厅</w:t>
      </w:r>
      <w:r>
        <w:rPr>
          <w:spacing w:val="-37"/>
        </w:rPr>
        <w:t> </w:t>
      </w:r>
      <w:r>
        <w:rPr>
          <w:spacing w:val="-37"/>
        </w:rPr>
      </w:r>
      <w:r>
        <w:rPr/>
        <w:t>系统在移动落地，通过大数据、</w:t>
      </w:r>
      <w:r>
        <w:rPr>
          <w:rFonts w:ascii="Times New Roman" w:hAnsi="Times New Roman" w:cs="Times New Roman" w:eastAsia="Times New Roman" w:hint="default"/>
        </w:rPr>
        <w:t>AI</w:t>
      </w:r>
      <w:r>
        <w:rPr/>
        <w:t>技术实现营业厅服务的智能化，提供高效解决方案。</w:t>
      </w:r>
    </w:p>
    <w:p>
      <w:pPr>
        <w:spacing w:after="0" w:line="30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1" w:firstLine="360"/>
        <w:jc w:val="both"/>
      </w:pPr>
      <w:r>
        <w:rPr>
          <w:rFonts w:ascii="Times New Roman" w:hAnsi="Times New Roman" w:cs="Times New Roman" w:eastAsia="Times New Roman" w:hint="default"/>
          <w:spacing w:val="-2"/>
        </w:rPr>
        <w:t>2019</w:t>
      </w:r>
      <w:r>
        <w:rPr>
          <w:spacing w:val="-2"/>
        </w:rPr>
        <w:t>年起，公司承建了联通省分二级能力开放平台，基于开放平台运营专区，聚焦业务的运营，做场景化能力生产一级</w:t>
      </w:r>
      <w:r>
        <w:rPr/>
        <w:t> 质量化运营。目前，该二级能力开放平台实现了支撑超过</w:t>
      </w:r>
      <w:r>
        <w:rPr>
          <w:rFonts w:ascii="Times New Roman" w:hAnsi="Times New Roman" w:cs="Times New Roman" w:eastAsia="Times New Roman" w:hint="default"/>
        </w:rPr>
        <w:t>800</w:t>
      </w:r>
      <w:r>
        <w:rPr/>
        <w:t>个能力，流量月峰值接近</w:t>
      </w:r>
      <w:r>
        <w:rPr>
          <w:rFonts w:ascii="Times New Roman" w:hAnsi="Times New Roman" w:cs="Times New Roman" w:eastAsia="Times New Roman" w:hint="default"/>
        </w:rPr>
        <w:t>8000</w:t>
      </w:r>
      <w:r>
        <w:rPr/>
        <w:t>万调用量。公司自主研发的人工</w:t>
      </w:r>
      <w:r>
        <w:rPr>
          <w:spacing w:val="-85"/>
        </w:rPr>
        <w:t> </w:t>
      </w:r>
      <w:r>
        <w:rPr>
          <w:spacing w:val="-85"/>
        </w:rPr>
      </w:r>
      <w:r>
        <w:rPr/>
        <w:t>智能引擎，实现了在联通客服语音分析上的应用，提升了客服处理效率和客户满意度。</w:t>
      </w:r>
    </w:p>
    <w:p>
      <w:pPr>
        <w:pStyle w:val="BodyText"/>
        <w:spacing w:line="300" w:lineRule="auto" w:before="72"/>
        <w:ind w:right="1133" w:firstLine="360"/>
        <w:jc w:val="both"/>
      </w:pPr>
      <w:r>
        <w:rPr>
          <w:rFonts w:ascii="Times New Roman" w:hAnsi="Times New Roman" w:cs="Times New Roman" w:eastAsia="Times New Roman" w:hint="default"/>
          <w:spacing w:val="-2"/>
        </w:rPr>
        <w:t>2019</w:t>
      </w:r>
      <w:r>
        <w:rPr>
          <w:spacing w:val="-2"/>
        </w:rPr>
        <w:t>年，公司在中国电信的华南、华中和西南三个区域中心大省实现了突破，参与了中国电信智能计费的建设试点；同</w:t>
      </w:r>
      <w:r>
        <w:rPr/>
        <w:t> 时和雄安新区电信签订了</w:t>
      </w:r>
      <w:r>
        <w:rPr>
          <w:rFonts w:ascii="Times New Roman" w:hAnsi="Times New Roman" w:cs="Times New Roman" w:eastAsia="Times New Roman" w:hint="default"/>
        </w:rPr>
        <w:t>“5G</w:t>
      </w:r>
      <w:r>
        <w:rPr/>
        <w:t>、</w:t>
      </w:r>
      <w:r>
        <w:rPr>
          <w:rFonts w:ascii="Times New Roman" w:hAnsi="Times New Roman" w:cs="Times New Roman" w:eastAsia="Times New Roman" w:hint="default"/>
        </w:rPr>
        <w:t>ICT</w:t>
      </w:r>
      <w:r>
        <w:rPr/>
        <w:t>方面的战略合作协议</w:t>
      </w:r>
      <w:r>
        <w:rPr>
          <w:rFonts w:ascii="Times New Roman" w:hAnsi="Times New Roman" w:cs="Times New Roman" w:eastAsia="Times New Roman" w:hint="default"/>
        </w:rPr>
        <w:t>”</w:t>
      </w:r>
      <w:r>
        <w:rPr/>
        <w:t>。</w:t>
      </w:r>
    </w:p>
    <w:p>
      <w:pPr>
        <w:pStyle w:val="BodyText"/>
        <w:spacing w:line="300" w:lineRule="auto" w:before="51"/>
        <w:ind w:right="1131" w:firstLine="360"/>
        <w:jc w:val="both"/>
      </w:pPr>
      <w:r>
        <w:rPr>
          <w:rFonts w:ascii="Times New Roman" w:hAnsi="Times New Roman" w:cs="Times New Roman" w:eastAsia="Times New Roman" w:hint="default"/>
        </w:rPr>
        <w:t>2019</w:t>
      </w:r>
      <w:r>
        <w:rPr/>
        <w:t>年在广电行业参与到中国广电第一批试点城市</w:t>
      </w:r>
      <w:r>
        <w:rPr>
          <w:rFonts w:ascii="Times New Roman" w:hAnsi="Times New Roman" w:cs="Times New Roman" w:eastAsia="Times New Roman" w:hint="default"/>
        </w:rPr>
        <w:t>5G</w:t>
      </w:r>
      <w:r>
        <w:rPr/>
        <w:t>项目，为广电移动业务的后续发展提供有效的支撑；思特奇持续 为全球最大卫星电视直播服务单位，提供用户管理、服务开展及精细化管理等系统平台能力，保障超过</w:t>
      </w:r>
      <w:r>
        <w:rPr>
          <w:rFonts w:ascii="Times New Roman" w:hAnsi="Times New Roman" w:cs="Times New Roman" w:eastAsia="Times New Roman" w:hint="default"/>
        </w:rPr>
        <w:t>1</w:t>
      </w:r>
      <w:r>
        <w:rPr/>
        <w:t>亿直播卫星电视用</w:t>
      </w:r>
      <w:r>
        <w:rPr>
          <w:spacing w:val="-82"/>
        </w:rPr>
        <w:t> </w:t>
      </w:r>
      <w:r>
        <w:rPr/>
        <w:t>户收视要求。</w:t>
      </w:r>
    </w:p>
    <w:p>
      <w:pPr>
        <w:pStyle w:val="Heading4"/>
        <w:spacing w:line="240" w:lineRule="auto" w:before="49"/>
        <w:ind w:left="513" w:right="982"/>
        <w:jc w:val="left"/>
        <w:rPr>
          <w:b w:val="0"/>
          <w:bCs w:val="0"/>
        </w:rPr>
      </w:pPr>
      <w:r>
        <w:rPr>
          <w:rFonts w:ascii="Times New Roman" w:hAnsi="Times New Roman" w:cs="Times New Roman" w:eastAsia="Times New Roman" w:hint="default"/>
        </w:rPr>
        <w:t>2</w:t>
      </w:r>
      <w:r>
        <w:rPr/>
        <w:t>、大数据</w:t>
      </w:r>
      <w:r>
        <w:rPr>
          <w:b w:val="0"/>
          <w:bCs w:val="0"/>
        </w:rPr>
      </w:r>
    </w:p>
    <w:p>
      <w:pPr>
        <w:pStyle w:val="BodyText"/>
        <w:spacing w:line="309" w:lineRule="auto" w:before="85"/>
        <w:ind w:right="1128" w:firstLine="360"/>
        <w:jc w:val="both"/>
      </w:pPr>
      <w:r>
        <w:rPr>
          <w:spacing w:val="-2"/>
        </w:rPr>
        <w:t>大数据产品和运营：秉承大营销、大服务、大智慧、大渠道的大数据理念，积极为客户提供大数据产品和运营服务。公</w:t>
      </w:r>
      <w:r>
        <w:rPr/>
        <w:t> </w:t>
      </w:r>
      <w:r>
        <w:rPr>
          <w:spacing w:val="-2"/>
        </w:rPr>
        <w:t>司以先进的技术，结合良好的运营和服务机制，建立并完善具有竞争力的云和大数据服务，</w:t>
      </w:r>
      <w:r>
        <w:rPr>
          <w:rFonts w:ascii="Times New Roman" w:hAnsi="Times New Roman" w:cs="Times New Roman" w:eastAsia="Times New Roman" w:hint="default"/>
          <w:spacing w:val="-2"/>
        </w:rPr>
        <w:t>2019</w:t>
      </w:r>
      <w:r>
        <w:rPr>
          <w:spacing w:val="-2"/>
        </w:rPr>
        <w:t>年公司成为大数据联盟评选</w:t>
      </w:r>
      <w:r>
        <w:rPr>
          <w:spacing w:val="-59"/>
        </w:rPr>
        <w:t> </w:t>
      </w:r>
      <w:r>
        <w:rPr>
          <w:spacing w:val="-59"/>
        </w:rPr>
      </w:r>
      <w:r>
        <w:rPr/>
        <w:t>的</w:t>
      </w:r>
      <w:r>
        <w:rPr>
          <w:rFonts w:ascii="Times New Roman" w:hAnsi="Times New Roman" w:cs="Times New Roman" w:eastAsia="Times New Roman" w:hint="default"/>
        </w:rPr>
        <w:t>“</w:t>
      </w:r>
      <w:r>
        <w:rPr/>
        <w:t>大数据全国</w:t>
      </w:r>
      <w:r>
        <w:rPr>
          <w:rFonts w:ascii="Times New Roman" w:hAnsi="Times New Roman" w:cs="Times New Roman" w:eastAsia="Times New Roman" w:hint="default"/>
        </w:rPr>
        <w:t>50</w:t>
      </w:r>
      <w:r>
        <w:rPr/>
        <w:t>强企业</w:t>
      </w:r>
      <w:r>
        <w:rPr>
          <w:rFonts w:ascii="Times New Roman" w:hAnsi="Times New Roman" w:cs="Times New Roman" w:eastAsia="Times New Roman" w:hint="default"/>
        </w:rPr>
        <w:t>”</w:t>
      </w:r>
      <w:r>
        <w:rPr/>
        <w:t>。</w:t>
      </w:r>
    </w:p>
    <w:p>
      <w:pPr>
        <w:pStyle w:val="BodyText"/>
        <w:spacing w:line="300" w:lineRule="auto" w:before="43"/>
        <w:ind w:right="982" w:firstLine="360"/>
        <w:jc w:val="left"/>
      </w:pPr>
      <w:r>
        <w:rPr/>
        <w:t>公司基于大数据业务，打造的</w:t>
      </w:r>
      <w:r>
        <w:rPr>
          <w:rFonts w:ascii="Times New Roman" w:hAnsi="Times New Roman" w:cs="Times New Roman" w:eastAsia="Times New Roman" w:hint="default"/>
        </w:rPr>
        <w:t>“</w:t>
      </w:r>
      <w:r>
        <w:rPr/>
        <w:t>智慧预警发布平台</w:t>
      </w:r>
      <w:r>
        <w:rPr>
          <w:rFonts w:ascii="Times New Roman" w:hAnsi="Times New Roman" w:cs="Times New Roman" w:eastAsia="Times New Roman" w:hint="default"/>
        </w:rPr>
        <w:t>”</w:t>
      </w:r>
      <w:r>
        <w:rPr/>
        <w:t>，已实现了靶向预警、电子围栏触发预警、三防定向预警、城市预警 </w:t>
      </w:r>
      <w:r>
        <w:rPr>
          <w:spacing w:val="-4"/>
        </w:rPr>
        <w:t>功能，</w:t>
      </w:r>
      <w:r>
        <w:rPr>
          <w:rFonts w:ascii="Times New Roman" w:hAnsi="Times New Roman" w:cs="Times New Roman" w:eastAsia="Times New Roman" w:hint="default"/>
          <w:spacing w:val="-4"/>
        </w:rPr>
        <w:t>2019</w:t>
      </w:r>
      <w:r>
        <w:rPr>
          <w:spacing w:val="-4"/>
        </w:rPr>
        <w:t>年，公司与</w:t>
      </w:r>
      <w:r>
        <w:rPr>
          <w:rFonts w:ascii="Times New Roman" w:hAnsi="Times New Roman" w:cs="Times New Roman" w:eastAsia="Times New Roman" w:hint="default"/>
          <w:spacing w:val="-4"/>
        </w:rPr>
        <w:t>23</w:t>
      </w:r>
      <w:r>
        <w:rPr>
          <w:spacing w:val="-4"/>
        </w:rPr>
        <w:t>个政府客户就灾害靶向预警、突发事件应急预警、流动人口精准就业推荐、重点区域扫黑除恶宣传、</w:t>
      </w:r>
      <w:r>
        <w:rPr>
          <w:spacing w:val="-34"/>
        </w:rPr>
        <w:t> </w:t>
      </w:r>
      <w:r>
        <w:rPr>
          <w:spacing w:val="-34"/>
        </w:rPr>
      </w:r>
      <w:r>
        <w:rPr/>
        <w:t>游客精准服务、区域停电精准到户通知、疫情电子围栏预警等业务应用开展合作，服务</w:t>
      </w:r>
      <w:r>
        <w:rPr>
          <w:rFonts w:ascii="Times New Roman" w:hAnsi="Times New Roman" w:cs="Times New Roman" w:eastAsia="Times New Roman" w:hint="default"/>
        </w:rPr>
        <w:t>3000</w:t>
      </w:r>
      <w:r>
        <w:rPr/>
        <w:t>万人次；</w:t>
      </w:r>
    </w:p>
    <w:p>
      <w:pPr>
        <w:pStyle w:val="Heading4"/>
        <w:spacing w:line="240" w:lineRule="auto" w:before="30"/>
        <w:ind w:left="513" w:right="982"/>
        <w:jc w:val="left"/>
        <w:rPr>
          <w:b w:val="0"/>
          <w:bCs w:val="0"/>
        </w:rPr>
      </w:pPr>
      <w:r>
        <w:rPr>
          <w:rFonts w:ascii="Times New Roman" w:hAnsi="Times New Roman" w:cs="Times New Roman" w:eastAsia="Times New Roman" w:hint="default"/>
        </w:rPr>
        <w:t>3</w:t>
      </w:r>
      <w:r>
        <w:rPr/>
        <w:t>、云计算</w:t>
      </w:r>
      <w:r>
        <w:rPr>
          <w:b w:val="0"/>
          <w:bCs w:val="0"/>
        </w:rPr>
      </w:r>
    </w:p>
    <w:p>
      <w:pPr>
        <w:pStyle w:val="BodyText"/>
        <w:spacing w:line="300" w:lineRule="auto" w:before="85"/>
        <w:ind w:right="1044" w:firstLine="360"/>
        <w:jc w:val="both"/>
      </w:pPr>
      <w:r>
        <w:rPr/>
        <w:t>公司的云计算产品持续快速发展，实现云计算产品与</w:t>
      </w:r>
      <w:r>
        <w:rPr>
          <w:rFonts w:ascii="Times New Roman" w:hAnsi="Times New Roman" w:cs="Times New Roman" w:eastAsia="Times New Roman" w:hint="default"/>
        </w:rPr>
        <w:t>AI</w:t>
      </w:r>
      <w:r>
        <w:rPr/>
        <w:t>技术融合与创新，云资源除具备高可用弹性调度、容量规划、 </w:t>
      </w:r>
      <w:r>
        <w:rPr>
          <w:spacing w:val="-4"/>
        </w:rPr>
        <w:t>资源后评估、故障自愈等特征外，更加智能、高效，通过市场落地、价值创造，使思特奇智慧云产品的行业竞争力显著增强。</w:t>
      </w:r>
    </w:p>
    <w:p>
      <w:pPr>
        <w:pStyle w:val="BodyText"/>
        <w:spacing w:line="309" w:lineRule="auto" w:before="70"/>
        <w:ind w:right="1131" w:firstLine="360"/>
        <w:jc w:val="both"/>
      </w:pPr>
      <w:r>
        <w:rPr>
          <w:spacing w:val="-2"/>
        </w:rPr>
        <w:t>思特奇云计算平台经过多年持续迭代、研发，产品具备成熟、稳定、安全、易用、架构先进等特点，具备市场最强竞争</w:t>
      </w:r>
      <w:r>
        <w:rPr/>
        <w:t> </w:t>
      </w:r>
      <w:r>
        <w:rPr>
          <w:spacing w:val="-1"/>
        </w:rPr>
        <w:t>力，多次获得行业客户标杆产品称号，在政企、运营商等客户群有数十个成功案例落地；通过运营</w:t>
      </w:r>
      <w:r>
        <w:rPr>
          <w:rFonts w:ascii="Times New Roman" w:hAnsi="Times New Roman" w:cs="Times New Roman" w:eastAsia="Times New Roman" w:hint="default"/>
          <w:spacing w:val="-1"/>
        </w:rPr>
        <w:t>+</w:t>
      </w:r>
      <w:r>
        <w:rPr>
          <w:spacing w:val="-1"/>
        </w:rPr>
        <w:t>服务</w:t>
      </w:r>
      <w:r>
        <w:rPr>
          <w:rFonts w:ascii="Times New Roman" w:hAnsi="Times New Roman" w:cs="Times New Roman" w:eastAsia="Times New Roman" w:hint="default"/>
          <w:spacing w:val="-1"/>
        </w:rPr>
        <w:t>+</w:t>
      </w:r>
      <w:r>
        <w:rPr>
          <w:spacing w:val="-1"/>
        </w:rPr>
        <w:t>产品</w:t>
      </w:r>
      <w:r>
        <w:rPr>
          <w:rFonts w:ascii="Times New Roman" w:hAnsi="Times New Roman" w:cs="Times New Roman" w:eastAsia="Times New Roman" w:hint="default"/>
          <w:spacing w:val="-1"/>
        </w:rPr>
        <w:t>+</w:t>
      </w:r>
      <w:r>
        <w:rPr>
          <w:spacing w:val="-1"/>
        </w:rPr>
        <w:t>本地持续迭</w:t>
      </w:r>
      <w:r>
        <w:rPr>
          <w:spacing w:val="-65"/>
        </w:rPr>
        <w:t> </w:t>
      </w:r>
      <w:r>
        <w:rPr>
          <w:spacing w:val="-65"/>
        </w:rPr>
      </w:r>
      <w:r>
        <w:rPr/>
        <w:t>代的模式，公司有能力把更多客户云平台打造成标杆系统、体现卓越价值。</w:t>
      </w:r>
    </w:p>
    <w:p>
      <w:pPr>
        <w:pStyle w:val="BodyText"/>
        <w:spacing w:line="300" w:lineRule="auto" w:before="65"/>
        <w:ind w:right="1129" w:firstLine="360"/>
        <w:jc w:val="both"/>
      </w:pPr>
      <w:r>
        <w:rPr>
          <w:rFonts w:ascii="Times New Roman" w:hAnsi="Times New Roman" w:cs="Times New Roman" w:eastAsia="Times New Roman" w:hint="default"/>
        </w:rPr>
        <w:t>2019</w:t>
      </w:r>
      <w:r>
        <w:rPr/>
        <w:t>年云产品已经涵盖公有云、私有云到混合云，虚拟化到虚拟</w:t>
      </w:r>
      <w:r>
        <w:rPr>
          <w:rFonts w:ascii="Times New Roman" w:hAnsi="Times New Roman" w:cs="Times New Roman" w:eastAsia="Times New Roman" w:hint="default"/>
        </w:rPr>
        <w:t>+</w:t>
      </w:r>
      <w:r>
        <w:rPr/>
        <w:t>容器统一管理、调度，思特奇云平台到多云厂家的多 云管理，单云资源池到分布式</w:t>
      </w:r>
      <w:r>
        <w:rPr>
          <w:rFonts w:ascii="Times New Roman" w:hAnsi="Times New Roman" w:cs="Times New Roman" w:eastAsia="Times New Roman" w:hint="default"/>
        </w:rPr>
        <w:t>IDC</w:t>
      </w:r>
      <w:r>
        <w:rPr/>
        <w:t>云，实现双活、应急、容灾技术创新；</w:t>
      </w:r>
      <w:r>
        <w:rPr>
          <w:rFonts w:ascii="Times New Roman" w:hAnsi="Times New Roman" w:cs="Times New Roman" w:eastAsia="Times New Roman" w:hint="default"/>
        </w:rPr>
        <w:t>IaaS</w:t>
      </w:r>
      <w:r>
        <w:rPr/>
        <w:t>云管理到</w:t>
      </w:r>
      <w:r>
        <w:rPr>
          <w:spacing w:val="20"/>
        </w:rPr>
        <w:t> </w:t>
      </w:r>
      <w:r>
        <w:rPr>
          <w:rFonts w:ascii="Times New Roman" w:hAnsi="Times New Roman" w:cs="Times New Roman" w:eastAsia="Times New Roman" w:hint="default"/>
        </w:rPr>
        <w:t>IaaS/PaaS/SaaS</w:t>
      </w:r>
      <w:r>
        <w:rPr/>
        <w:t>融合管理；云平台到</w:t>
      </w:r>
      <w:r>
        <w:rPr>
          <w:spacing w:val="-82"/>
        </w:rPr>
        <w:t> </w:t>
      </w:r>
      <w:r>
        <w:rPr>
          <w:spacing w:val="-82"/>
        </w:rPr>
      </w:r>
      <w:r>
        <w:rPr/>
        <w:t>云开发</w:t>
      </w:r>
      <w:r>
        <w:rPr>
          <w:rFonts w:ascii="Times New Roman" w:hAnsi="Times New Roman" w:cs="Times New Roman" w:eastAsia="Times New Roman" w:hint="default"/>
        </w:rPr>
        <w:t>+</w:t>
      </w:r>
      <w:r>
        <w:rPr/>
        <w:t>云资源共享</w:t>
      </w:r>
      <w:r>
        <w:rPr>
          <w:rFonts w:ascii="Times New Roman" w:hAnsi="Times New Roman" w:cs="Times New Roman" w:eastAsia="Times New Roman" w:hint="default"/>
        </w:rPr>
        <w:t>+</w:t>
      </w:r>
      <w:r>
        <w:rPr/>
        <w:t>云平台能力</w:t>
      </w:r>
      <w:r>
        <w:rPr>
          <w:rFonts w:ascii="Times New Roman" w:hAnsi="Times New Roman" w:cs="Times New Roman" w:eastAsia="Times New Roman" w:hint="default"/>
        </w:rPr>
        <w:t>+</w:t>
      </w:r>
      <w:r>
        <w:rPr/>
        <w:t>云运营生命周期管理。</w:t>
      </w:r>
    </w:p>
    <w:p>
      <w:pPr>
        <w:pStyle w:val="BodyText"/>
        <w:spacing w:line="309" w:lineRule="auto" w:before="53"/>
        <w:ind w:right="1130" w:firstLine="360"/>
        <w:jc w:val="both"/>
      </w:pPr>
      <w:r>
        <w:rPr>
          <w:rFonts w:ascii="Times New Roman" w:hAnsi="Times New Roman" w:cs="Times New Roman" w:eastAsia="Times New Roman" w:hint="default"/>
          <w:spacing w:val="-2"/>
        </w:rPr>
        <w:t>2019</w:t>
      </w:r>
      <w:r>
        <w:rPr>
          <w:spacing w:val="-2"/>
        </w:rPr>
        <w:t>年，公司新增超过</w:t>
      </w:r>
      <w:r>
        <w:rPr>
          <w:rFonts w:ascii="Times New Roman" w:hAnsi="Times New Roman" w:cs="Times New Roman" w:eastAsia="Times New Roman" w:hint="default"/>
          <w:spacing w:val="-2"/>
        </w:rPr>
        <w:t>10</w:t>
      </w:r>
      <w:r>
        <w:rPr>
          <w:spacing w:val="-2"/>
        </w:rPr>
        <w:t>个行业大客户，行业市场占有率进一步提升，客户满意度、行业竞争力及产品盈利能力进一步</w:t>
      </w:r>
      <w:r>
        <w:rPr/>
        <w:t> </w:t>
      </w:r>
      <w:r>
        <w:rPr>
          <w:spacing w:val="-2"/>
        </w:rPr>
        <w:t>增强；通过夯实、提升云环境下的交付及调度能力、运营及管理能力、运维智能化能力等，公司帮助客户建成行业最大的专</w:t>
      </w:r>
      <w:r>
        <w:rPr>
          <w:spacing w:val="-67"/>
        </w:rPr>
        <w:t> </w:t>
      </w:r>
      <w:r>
        <w:rPr>
          <w:spacing w:val="-67"/>
        </w:rPr>
      </w:r>
      <w:r>
        <w:rPr/>
        <w:t>享云。</w:t>
      </w:r>
    </w:p>
    <w:p>
      <w:pPr>
        <w:pStyle w:val="Heading4"/>
        <w:spacing w:line="240" w:lineRule="auto" w:before="39"/>
        <w:ind w:left="513" w:right="982"/>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PaaS</w:t>
      </w:r>
      <w:r>
        <w:rPr>
          <w:rFonts w:ascii="Times New Roman" w:hAnsi="Times New Roman" w:cs="Times New Roman" w:eastAsia="Times New Roman" w:hint="default"/>
          <w:b w:val="0"/>
          <w:bCs w:val="0"/>
        </w:rPr>
      </w:r>
    </w:p>
    <w:p>
      <w:pPr>
        <w:pStyle w:val="BodyText"/>
        <w:spacing w:line="312" w:lineRule="auto" w:before="85"/>
        <w:ind w:right="982" w:firstLine="432"/>
        <w:jc w:val="left"/>
      </w:pPr>
      <w:r>
        <w:rPr/>
        <w:t>报告期内，公司继续加强</w:t>
      </w:r>
      <w:r>
        <w:rPr>
          <w:rFonts w:ascii="Times New Roman" w:hAnsi="Times New Roman" w:cs="Times New Roman" w:eastAsia="Times New Roman" w:hint="default"/>
        </w:rPr>
        <w:t>PaaS</w:t>
      </w:r>
      <w:r>
        <w:rPr/>
        <w:t>产品的研发和应用，基于人工智能面向数据存储管理提供分布式数据库、分布式缓存、 </w:t>
      </w:r>
      <w:r>
        <w:rPr>
          <w:spacing w:val="-2"/>
        </w:rPr>
        <w:t>分布式内存数据库、分布式文件系统；面向应用能力平台提供消息中间件、分布式调度引擎、工作流引擎、服务框架、能力</w:t>
      </w:r>
      <w:r>
        <w:rPr>
          <w:spacing w:val="-70"/>
        </w:rPr>
        <w:t> </w:t>
      </w:r>
      <w:r>
        <w:rPr>
          <w:spacing w:val="-70"/>
        </w:rPr>
      </w:r>
      <w:r>
        <w:rPr>
          <w:spacing w:val="-4"/>
        </w:rPr>
        <w:t>开放平台等；面向敏捷开发提供易体验、动态表单、移动客户端开放平台等产品；从咨询建设到运维，专业全面，轻松上云、</w:t>
      </w:r>
      <w:r>
        <w:rPr>
          <w:spacing w:val="-44"/>
        </w:rPr>
        <w:t> </w:t>
      </w:r>
      <w:r>
        <w:rPr>
          <w:spacing w:val="-44"/>
        </w:rPr>
      </w:r>
      <w:r>
        <w:rPr/>
        <w:t>便捷运维、秒级部署，全面满足云和大数据系统建设和运营需求。</w:t>
      </w:r>
    </w:p>
    <w:p>
      <w:pPr>
        <w:pStyle w:val="BodyText"/>
        <w:spacing w:line="300" w:lineRule="auto" w:before="63"/>
        <w:ind w:right="1033" w:firstLine="360"/>
        <w:jc w:val="left"/>
      </w:pPr>
      <w:r>
        <w:rPr>
          <w:rFonts w:ascii="Times New Roman" w:hAnsi="Times New Roman" w:cs="Times New Roman" w:eastAsia="Times New Roman" w:hint="default"/>
        </w:rPr>
        <w:t>2019</w:t>
      </w:r>
      <w:r>
        <w:rPr/>
        <w:t>年，公司新增特征识别中心、智能交互平台，优化和推广</w:t>
      </w:r>
      <w:r>
        <w:rPr>
          <w:rFonts w:ascii="Times New Roman" w:hAnsi="Times New Roman" w:cs="Times New Roman" w:eastAsia="Times New Roman" w:hint="default"/>
        </w:rPr>
        <w:t>AIOps</w:t>
      </w:r>
      <w:r>
        <w:rPr/>
        <w:t>、智能算法开放运营服务平台。目前智能算法开放 运营服务平台产品已扩充</w:t>
      </w:r>
      <w:r>
        <w:rPr>
          <w:rFonts w:ascii="Times New Roman" w:hAnsi="Times New Roman" w:cs="Times New Roman" w:eastAsia="Times New Roman" w:hint="default"/>
        </w:rPr>
        <w:t>Web</w:t>
      </w:r>
      <w:r>
        <w:rPr/>
        <w:t>在线版</w:t>
      </w:r>
      <w:r>
        <w:rPr>
          <w:rFonts w:ascii="Times New Roman" w:hAnsi="Times New Roman" w:cs="Times New Roman" w:eastAsia="Times New Roman" w:hint="default"/>
        </w:rPr>
        <w:t>AI</w:t>
      </w:r>
      <w:r>
        <w:rPr/>
        <w:t>模型集成开发工具和开发环境，已具备</w:t>
      </w:r>
      <w:r>
        <w:rPr>
          <w:rFonts w:ascii="Times New Roman" w:hAnsi="Times New Roman" w:cs="Times New Roman" w:eastAsia="Times New Roman" w:hint="default"/>
        </w:rPr>
        <w:t>AI</w:t>
      </w:r>
      <w:r>
        <w:rPr/>
        <w:t>模型在线设计、开发、测试、评估、部署、 发布等端到端，全生命周期开发能力。</w:t>
      </w:r>
    </w:p>
    <w:p>
      <w:pPr>
        <w:pStyle w:val="Heading4"/>
        <w:spacing w:line="240" w:lineRule="auto" w:before="47"/>
        <w:ind w:left="513" w:right="982"/>
        <w:jc w:val="left"/>
        <w:rPr>
          <w:b w:val="0"/>
          <w:bCs w:val="0"/>
        </w:rPr>
      </w:pPr>
      <w:r>
        <w:rPr>
          <w:rFonts w:ascii="Times New Roman" w:hAnsi="Times New Roman" w:cs="Times New Roman" w:eastAsia="Times New Roman" w:hint="default"/>
        </w:rPr>
        <w:t>5</w:t>
      </w:r>
      <w:r>
        <w:rPr/>
        <w:t>、人工智能</w:t>
      </w:r>
      <w:r>
        <w:rPr>
          <w:b w:val="0"/>
          <w:bCs w:val="0"/>
        </w:rPr>
      </w:r>
    </w:p>
    <w:p>
      <w:pPr>
        <w:pStyle w:val="BodyText"/>
        <w:spacing w:line="316" w:lineRule="auto" w:before="85"/>
        <w:ind w:right="1127" w:firstLine="360"/>
        <w:jc w:val="both"/>
      </w:pPr>
      <w:r>
        <w:rPr>
          <w:spacing w:val="-2"/>
        </w:rPr>
        <w:t>思特奇智能产品，全面推进人工智能的开发、研究与应用。截至目前，除传统业务模型（如评估、预测等）外，公司采</w:t>
      </w:r>
      <w:r>
        <w:rPr/>
        <w:t> 用图像识别算法平台，实现业务受理的实时人脸信息识别、身份证视频采集认证等具体商务项目实践。</w:t>
      </w:r>
    </w:p>
    <w:p>
      <w:pPr>
        <w:pStyle w:val="BodyText"/>
        <w:spacing w:line="309" w:lineRule="auto" w:before="59"/>
        <w:ind w:right="1049" w:firstLine="360"/>
        <w:jc w:val="both"/>
      </w:pPr>
      <w:r>
        <w:rPr>
          <w:rFonts w:ascii="Times New Roman" w:hAnsi="Times New Roman" w:cs="Times New Roman" w:eastAsia="Times New Roman" w:hint="default"/>
          <w:spacing w:val="-2"/>
        </w:rPr>
        <w:t>2019</w:t>
      </w:r>
      <w:r>
        <w:rPr>
          <w:spacing w:val="-2"/>
        </w:rPr>
        <w:t>年思特奇智能产品以智慧图谱为核心，构架聚焦于业务人员获取数据价值和知识的痛点、推出了认知智能平台与国</w:t>
      </w:r>
      <w:r>
        <w:rPr/>
        <w:t> </w:t>
      </w:r>
      <w:r>
        <w:rPr>
          <w:spacing w:val="-2"/>
        </w:rPr>
        <w:t>内第一款认知搜索应用，通过整合知识图谱、知识推理与图计算技术，让一线业务人员无需借助技术和专业人员的支持，就</w:t>
      </w:r>
      <w:r>
        <w:rPr>
          <w:spacing w:val="-64"/>
        </w:rPr>
        <w:t> </w:t>
      </w:r>
      <w:r>
        <w:rPr>
          <w:spacing w:val="-64"/>
        </w:rPr>
      </w:r>
      <w:r>
        <w:rPr/>
        <w:t>可以直接通过问答、搜索、推荐等形式，自由发问，实时获得知识答案和数据洞察结果，让知识随需可得，决策智能在线。</w:t>
      </w:r>
    </w:p>
    <w:p>
      <w:pPr>
        <w:pStyle w:val="BodyText"/>
        <w:spacing w:line="240" w:lineRule="auto" w:before="62"/>
        <w:ind w:left="513" w:right="982"/>
        <w:jc w:val="left"/>
      </w:pPr>
      <w:r>
        <w:rPr>
          <w:rFonts w:ascii="Times New Roman" w:hAnsi="Times New Roman" w:cs="Times New Roman" w:eastAsia="Times New Roman" w:hint="default"/>
        </w:rPr>
        <w:t>2019</w:t>
      </w:r>
      <w:r>
        <w:rPr/>
        <w:t>年，公司为电信等行业客户量身打造了智能化知识平台，将知识使用渗透到业务流程中，覆盖了客服、营业厅、装</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left="513" w:right="982" w:hanging="360"/>
        <w:jc w:val="left"/>
      </w:pPr>
      <w:r>
        <w:rPr/>
        <w:t>维、人力等多个业务场景，包含搜索、问答、推送和培训考试等多种形态，周均知识获取总量超过百万次。 作为国内领先的知识图谱与认知智能平台提供商，公司应邀参加了由工信部标准化研究院组织的</w:t>
      </w:r>
      <w:r>
        <w:rPr>
          <w:rFonts w:ascii="Times New Roman" w:hAnsi="Times New Roman" w:cs="Times New Roman" w:eastAsia="Times New Roman" w:hint="default"/>
        </w:rPr>
        <w:t>IEEE</w:t>
      </w:r>
      <w:r>
        <w:rPr/>
        <w:t>国际知识图谱标</w:t>
      </w:r>
    </w:p>
    <w:p>
      <w:pPr>
        <w:pStyle w:val="BodyText"/>
        <w:spacing w:line="199" w:lineRule="exact"/>
        <w:ind w:right="982"/>
        <w:jc w:val="left"/>
      </w:pPr>
      <w:r>
        <w:rPr>
          <w:spacing w:val="-4"/>
        </w:rPr>
        <w:t>准化组织，与阿里巴巴、京东、清华大学等机构一起在知识图谱的标准流程、行业应用等标准研发方向做出自身的技术贡献。</w:t>
      </w:r>
    </w:p>
    <w:p>
      <w:pPr>
        <w:pStyle w:val="Heading4"/>
        <w:spacing w:line="240" w:lineRule="auto" w:before="92"/>
        <w:ind w:left="513" w:right="982"/>
        <w:jc w:val="left"/>
        <w:rPr>
          <w:b w:val="0"/>
          <w:bCs w:val="0"/>
        </w:rPr>
      </w:pPr>
      <w:r>
        <w:rPr>
          <w:rFonts w:ascii="Times New Roman" w:hAnsi="Times New Roman" w:cs="Times New Roman" w:eastAsia="Times New Roman" w:hint="default"/>
        </w:rPr>
        <w:t>6</w:t>
      </w:r>
      <w:r>
        <w:rPr/>
        <w:t>、区块链</w:t>
      </w:r>
      <w:r>
        <w:rPr>
          <w:b w:val="0"/>
          <w:bCs w:val="0"/>
        </w:rPr>
      </w:r>
    </w:p>
    <w:p>
      <w:pPr>
        <w:pStyle w:val="BodyText"/>
        <w:spacing w:line="312" w:lineRule="auto" w:before="85"/>
        <w:ind w:right="1132" w:firstLine="360"/>
        <w:jc w:val="both"/>
      </w:pPr>
      <w:r>
        <w:rPr/>
        <w:t>公司利用自身技术研发自有区块链产品和服务，主要面对</w:t>
      </w:r>
      <w:r>
        <w:rPr>
          <w:rFonts w:ascii="Times New Roman" w:hAnsi="Times New Roman" w:cs="Times New Roman" w:eastAsia="Times New Roman" w:hint="default"/>
        </w:rPr>
        <w:t>2B</w:t>
      </w:r>
      <w:r>
        <w:rPr/>
        <w:t>的市场建设，提供创建、管理和维护企业级区块链网络及 </w:t>
      </w:r>
      <w:r>
        <w:rPr>
          <w:spacing w:val="-2"/>
        </w:rPr>
        <w:t>应用的服务，帮助企业用户降低开发成本和使用成本；通过区块链服务平台提供简单易用、成熟可扩展、安全可靠、可视化</w:t>
      </w:r>
      <w:r>
        <w:rPr>
          <w:spacing w:val="-65"/>
        </w:rPr>
        <w:t> </w:t>
      </w:r>
      <w:r>
        <w:rPr>
          <w:spacing w:val="-65"/>
        </w:rPr>
      </w:r>
      <w:r>
        <w:rPr>
          <w:spacing w:val="-2"/>
        </w:rPr>
        <w:t>运维等设计，实现快速部署，提供高可用、高安全的区块链应用，为传统系统赋能、降本增效，提升业务价值，面向全行业</w:t>
      </w:r>
      <w:r>
        <w:rPr>
          <w:spacing w:val="-73"/>
        </w:rPr>
        <w:t> </w:t>
      </w:r>
      <w:r>
        <w:rPr>
          <w:spacing w:val="-73"/>
        </w:rPr>
      </w:r>
      <w:r>
        <w:rPr/>
        <w:t>区块链</w:t>
      </w:r>
      <w:r>
        <w:rPr>
          <w:rFonts w:ascii="Times New Roman" w:hAnsi="Times New Roman" w:cs="Times New Roman" w:eastAsia="Times New Roman" w:hint="default"/>
        </w:rPr>
        <w:t>+</w:t>
      </w:r>
      <w:r>
        <w:rPr/>
        <w:t>应用生态体系，为客户带来价值。</w:t>
      </w:r>
    </w:p>
    <w:p>
      <w:pPr>
        <w:pStyle w:val="BodyText"/>
        <w:spacing w:line="300" w:lineRule="auto" w:before="44"/>
        <w:ind w:right="1133" w:firstLine="360"/>
        <w:jc w:val="both"/>
      </w:pPr>
      <w:r>
        <w:rPr>
          <w:rFonts w:ascii="Times New Roman" w:hAnsi="Times New Roman" w:cs="Times New Roman" w:eastAsia="Times New Roman" w:hint="default"/>
        </w:rPr>
        <w:t>2019</w:t>
      </w:r>
      <w:r>
        <w:rPr/>
        <w:t>年，公司区块链业务在</w:t>
      </w:r>
      <w:r>
        <w:rPr>
          <w:rFonts w:ascii="Times New Roman" w:hAnsi="Times New Roman" w:cs="Times New Roman" w:eastAsia="Times New Roman" w:hint="default"/>
        </w:rPr>
        <w:t>“</w:t>
      </w:r>
      <w:r>
        <w:rPr/>
        <w:t>应用</w:t>
      </w:r>
      <w:r>
        <w:rPr>
          <w:rFonts w:ascii="Times New Roman" w:hAnsi="Times New Roman" w:cs="Times New Roman" w:eastAsia="Times New Roman" w:hint="default"/>
        </w:rPr>
        <w:t>+</w:t>
      </w:r>
      <w:r>
        <w:rPr/>
        <w:t>技术平台</w:t>
      </w:r>
      <w:r>
        <w:rPr>
          <w:rFonts w:ascii="Times New Roman" w:hAnsi="Times New Roman" w:cs="Times New Roman" w:eastAsia="Times New Roman" w:hint="default"/>
        </w:rPr>
        <w:t>”</w:t>
      </w:r>
      <w:r>
        <w:rPr/>
        <w:t>的模式下推进产品研发工作，集中于合约模型统一研究、性能提升、底层 存储可扩展，正积极布局区块链的底层研发工作，扩大区块链的应用范围；</w:t>
      </w:r>
    </w:p>
    <w:p>
      <w:pPr>
        <w:pStyle w:val="BodyText"/>
        <w:spacing w:line="300" w:lineRule="auto" w:before="70"/>
        <w:ind w:right="1132" w:firstLine="360"/>
        <w:jc w:val="both"/>
      </w:pPr>
      <w:r>
        <w:rPr>
          <w:rFonts w:ascii="Times New Roman" w:hAnsi="Times New Roman" w:cs="Times New Roman" w:eastAsia="Times New Roman" w:hint="default"/>
          <w:spacing w:val="-2"/>
        </w:rPr>
        <w:t>2019</w:t>
      </w:r>
      <w:r>
        <w:rPr>
          <w:spacing w:val="-2"/>
        </w:rPr>
        <w:t>年，公司区块链在运营商进行了商用，利用区块链技术实现业务订单状态流转问题实时发现、精准定位原因，提升</w:t>
      </w:r>
      <w:r>
        <w:rPr/>
        <w:t> 运维效率和系统质量；</w:t>
      </w:r>
    </w:p>
    <w:p>
      <w:pPr>
        <w:pStyle w:val="BodyText"/>
        <w:spacing w:line="300" w:lineRule="auto" w:before="72"/>
        <w:ind w:right="1130" w:firstLine="360"/>
        <w:jc w:val="both"/>
      </w:pPr>
      <w:r>
        <w:rPr/>
        <w:t>公司利用区块链技术为相关城市数据资源局建设</w:t>
      </w:r>
      <w:r>
        <w:rPr>
          <w:rFonts w:ascii="Times New Roman" w:hAnsi="Times New Roman" w:cs="Times New Roman" w:eastAsia="Times New Roman" w:hint="default"/>
        </w:rPr>
        <w:t>“</w:t>
      </w:r>
      <w:r>
        <w:rPr/>
        <w:t>政务数据共享区块链</w:t>
      </w:r>
      <w:r>
        <w:rPr>
          <w:rFonts w:ascii="Times New Roman" w:hAnsi="Times New Roman" w:cs="Times New Roman" w:eastAsia="Times New Roman" w:hint="default"/>
        </w:rPr>
        <w:t>”</w:t>
      </w:r>
      <w:r>
        <w:rPr/>
        <w:t>，基于区块链的数据需求管理应用，推出以</w:t>
      </w:r>
      <w:r>
        <w:rPr>
          <w:rFonts w:ascii="Times New Roman" w:hAnsi="Times New Roman" w:cs="Times New Roman" w:eastAsia="Times New Roman" w:hint="default"/>
        </w:rPr>
        <w:t>“</w:t>
      </w:r>
      <w:r>
        <w:rPr/>
        <w:t>场 景驱动、需求导向、数据责任</w:t>
      </w:r>
      <w:r>
        <w:rPr>
          <w:rFonts w:ascii="Times New Roman" w:hAnsi="Times New Roman" w:cs="Times New Roman" w:eastAsia="Times New Roman" w:hint="default"/>
        </w:rPr>
        <w:t>”</w:t>
      </w:r>
      <w:r>
        <w:rPr/>
        <w:t>的新方法、新思路来探索数据共享的新模式，从实际的业务场景痛点和难点中具象出对数据</w:t>
      </w:r>
      <w:r>
        <w:rPr>
          <w:spacing w:val="-76"/>
        </w:rPr>
        <w:t> </w:t>
      </w:r>
      <w:r>
        <w:rPr>
          <w:spacing w:val="-76"/>
        </w:rPr>
      </w:r>
      <w:r>
        <w:rPr/>
        <w:t>共享的需求，以数据需求清单为导向精准定位数据供需关系，并以数据责任清单来督促保障数据的共享开放。</w:t>
      </w:r>
    </w:p>
    <w:p>
      <w:pPr>
        <w:pStyle w:val="Heading4"/>
        <w:spacing w:line="240" w:lineRule="auto" w:before="49"/>
        <w:ind w:left="513" w:right="982"/>
        <w:jc w:val="left"/>
        <w:rPr>
          <w:b w:val="0"/>
          <w:bCs w:val="0"/>
        </w:rPr>
      </w:pPr>
      <w:r>
        <w:rPr>
          <w:rFonts w:ascii="Times New Roman" w:hAnsi="Times New Roman" w:cs="Times New Roman" w:eastAsia="Times New Roman" w:hint="default"/>
        </w:rPr>
        <w:t>7</w:t>
      </w:r>
      <w:r>
        <w:rPr/>
        <w:t>、智慧城市</w:t>
      </w:r>
      <w:r>
        <w:rPr>
          <w:b w:val="0"/>
          <w:bCs w:val="0"/>
        </w:rPr>
      </w:r>
    </w:p>
    <w:p>
      <w:pPr>
        <w:pStyle w:val="BodyText"/>
        <w:spacing w:line="307" w:lineRule="auto" w:before="82"/>
        <w:ind w:right="1128" w:firstLine="360"/>
        <w:jc w:val="both"/>
      </w:pPr>
      <w:r>
        <w:rPr>
          <w:spacing w:val="-1"/>
        </w:rPr>
        <w:t>思特奇智慧城市致力于构建智慧城市生态，基于</w:t>
      </w:r>
      <w:r>
        <w:rPr>
          <w:rFonts w:ascii="Times New Roman" w:hAnsi="Times New Roman" w:cs="Times New Roman" w:eastAsia="Times New Roman" w:hint="default"/>
          <w:spacing w:val="-1"/>
        </w:rPr>
        <w:t>TMF-eTom</w:t>
      </w:r>
      <w:r>
        <w:rPr>
          <w:spacing w:val="-1"/>
        </w:rPr>
        <w:t>模型设计智慧城市新体系，全面支持公共服务生态建设和发</w:t>
      </w:r>
      <w:r>
        <w:rPr>
          <w:w w:val="99"/>
        </w:rPr>
        <w:t> </w:t>
      </w:r>
      <w:r>
        <w:rPr>
          <w:spacing w:val="-2"/>
        </w:rPr>
        <w:t>展；以人为本，通过建设统一的公共运营和服务体系，实现基础设施资源、数据资源、</w:t>
      </w:r>
      <w:r>
        <w:rPr>
          <w:rFonts w:ascii="Times New Roman" w:hAnsi="Times New Roman" w:cs="Times New Roman" w:eastAsia="Times New Roman" w:hint="default"/>
          <w:spacing w:val="-2"/>
        </w:rPr>
        <w:t>IT</w:t>
      </w:r>
      <w:r>
        <w:rPr>
          <w:spacing w:val="-2"/>
        </w:rPr>
        <w:t>能力、生态链、应用服务的统一运</w:t>
      </w:r>
      <w:r>
        <w:rPr>
          <w:spacing w:val="-52"/>
        </w:rPr>
        <w:t> </w:t>
      </w:r>
      <w:r>
        <w:rPr>
          <w:spacing w:val="-52"/>
        </w:rPr>
      </w:r>
      <w:r>
        <w:rPr>
          <w:spacing w:val="-2"/>
        </w:rPr>
        <w:t>营，实现信息化一盘棋的新型运营模式；聚力建设创新智慧运营能力，协助政府构筑公共信息化发展引擎，助力提升多处智</w:t>
      </w:r>
      <w:r>
        <w:rPr>
          <w:spacing w:val="-66"/>
        </w:rPr>
        <w:t> </w:t>
      </w:r>
      <w:r>
        <w:rPr>
          <w:spacing w:val="-66"/>
        </w:rPr>
      </w:r>
      <w:r>
        <w:rPr/>
        <w:t>慧城市的公共服务水平。</w:t>
      </w:r>
    </w:p>
    <w:p>
      <w:pPr>
        <w:pStyle w:val="BodyText"/>
        <w:spacing w:line="304" w:lineRule="auto" w:before="67"/>
        <w:ind w:right="982" w:firstLine="360"/>
        <w:jc w:val="left"/>
      </w:pPr>
      <w:r>
        <w:rPr>
          <w:rFonts w:ascii="Times New Roman" w:hAnsi="Times New Roman" w:cs="Times New Roman" w:eastAsia="Times New Roman" w:hint="default"/>
          <w:spacing w:val="-4"/>
        </w:rPr>
        <w:t>2019</w:t>
      </w:r>
      <w:r>
        <w:rPr>
          <w:spacing w:val="-4"/>
        </w:rPr>
        <w:t>年初，思特奇成功建设国内第一个城市中台项目，该产品是从城市数字化转型痛点出发，构筑了城市级的聚合数据、</w:t>
      </w:r>
      <w:r>
        <w:rPr/>
        <w:t> </w:t>
      </w:r>
      <w:r>
        <w:rPr>
          <w:spacing w:val="-2"/>
        </w:rPr>
        <w:t>共享技术、协同业务、赋能应用的数字城市运营中枢平台；以数字技术为工具、以数据为生产资源、以标准数字服务为产出</w:t>
      </w:r>
      <w:r>
        <w:rPr>
          <w:spacing w:val="-67"/>
        </w:rPr>
        <w:t> </w:t>
      </w:r>
      <w:r>
        <w:rPr>
          <w:spacing w:val="-67"/>
        </w:rPr>
      </w:r>
      <w:r>
        <w:rPr>
          <w:spacing w:val="-2"/>
        </w:rPr>
        <w:t>物，实现对城市级信息基础设施和数据资源、数字技术的统筹管理，为上层应用提供统一标准化服务的中间平台。截至</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3"/>
        </w:rPr>
        <w:t>年底，某省会城市中台累计汇入数据</w:t>
      </w:r>
      <w:r>
        <w:rPr>
          <w:rFonts w:ascii="Times New Roman" w:hAnsi="Times New Roman" w:cs="Times New Roman" w:eastAsia="Times New Roman" w:hint="default"/>
          <w:spacing w:val="-3"/>
        </w:rPr>
        <w:t>230</w:t>
      </w:r>
      <w:r>
        <w:rPr>
          <w:spacing w:val="-3"/>
        </w:rPr>
        <w:t>多亿条、深度治理了</w:t>
      </w:r>
      <w:r>
        <w:rPr>
          <w:rFonts w:ascii="Times New Roman" w:hAnsi="Times New Roman" w:cs="Times New Roman" w:eastAsia="Times New Roman" w:hint="default"/>
          <w:spacing w:val="-3"/>
        </w:rPr>
        <w:t>21</w:t>
      </w:r>
      <w:r>
        <w:rPr>
          <w:spacing w:val="-3"/>
        </w:rPr>
        <w:t>亿条，建设了标准的基础库信息能力</w:t>
      </w:r>
      <w:r>
        <w:rPr>
          <w:rFonts w:ascii="Times New Roman" w:hAnsi="Times New Roman" w:cs="Times New Roman" w:eastAsia="Times New Roman" w:hint="default"/>
          <w:spacing w:val="-3"/>
        </w:rPr>
        <w:t>152</w:t>
      </w:r>
      <w:r>
        <w:rPr>
          <w:spacing w:val="-3"/>
        </w:rPr>
        <w:t>个、主题信息能力</w:t>
      </w:r>
      <w:r>
        <w:rPr>
          <w:rFonts w:ascii="Times New Roman" w:hAnsi="Times New Roman" w:cs="Times New Roman" w:eastAsia="Times New Roman" w:hint="default"/>
          <w:spacing w:val="-3"/>
        </w:rPr>
        <w:t>262</w:t>
      </w:r>
      <w:r>
        <w:rPr>
          <w:rFonts w:ascii="Times New Roman" w:hAnsi="Times New Roman" w:cs="Times New Roman" w:eastAsia="Times New Roman" w:hint="default"/>
          <w:spacing w:val="-37"/>
        </w:rPr>
        <w:t> </w:t>
      </w:r>
      <w:r>
        <w:rPr/>
        <w:t>个、部门信息能力</w:t>
      </w:r>
      <w:r>
        <w:rPr>
          <w:rFonts w:ascii="Times New Roman" w:hAnsi="Times New Roman" w:cs="Times New Roman" w:eastAsia="Times New Roman" w:hint="default"/>
        </w:rPr>
        <w:t>714</w:t>
      </w:r>
      <w:r>
        <w:rPr/>
        <w:t>个、支撑了</w:t>
      </w:r>
      <w:r>
        <w:rPr>
          <w:rFonts w:ascii="Times New Roman" w:hAnsi="Times New Roman" w:cs="Times New Roman" w:eastAsia="Times New Roman" w:hint="default"/>
        </w:rPr>
        <w:t>20</w:t>
      </w:r>
      <w:r>
        <w:rPr/>
        <w:t>个重大专项应用。</w:t>
      </w:r>
    </w:p>
    <w:p>
      <w:pPr>
        <w:pStyle w:val="BodyText"/>
        <w:spacing w:line="300" w:lineRule="auto" w:before="50"/>
        <w:ind w:right="1138" w:firstLine="360"/>
        <w:jc w:val="both"/>
      </w:pPr>
      <w:r>
        <w:rPr>
          <w:spacing w:val="-2"/>
        </w:rPr>
        <w:t>思特奇智慧城市还实现了</w:t>
      </w:r>
      <w:r>
        <w:rPr>
          <w:rFonts w:ascii="Times New Roman" w:hAnsi="Times New Roman" w:cs="Times New Roman" w:eastAsia="Times New Roman" w:hint="default"/>
          <w:spacing w:val="-2"/>
        </w:rPr>
        <w:t>“</w:t>
      </w:r>
      <w:r>
        <w:rPr>
          <w:spacing w:val="-2"/>
        </w:rPr>
        <w:t>长三角一码通域</w:t>
      </w:r>
      <w:r>
        <w:rPr>
          <w:rFonts w:ascii="Times New Roman" w:hAnsi="Times New Roman" w:cs="Times New Roman" w:eastAsia="Times New Roman" w:hint="default"/>
          <w:spacing w:val="-2"/>
        </w:rPr>
        <w:t>”</w:t>
      </w:r>
      <w:r>
        <w:rPr>
          <w:spacing w:val="-2"/>
        </w:rPr>
        <w:t>等数十项应用的快速实现，真正实现了让数据多跑路、让群众少跑腿，减少</w:t>
      </w:r>
      <w:r>
        <w:rPr/>
        <w:t> 群众和企业</w:t>
      </w:r>
      <w:r>
        <w:rPr>
          <w:rFonts w:ascii="Times New Roman" w:hAnsi="Times New Roman" w:cs="Times New Roman" w:eastAsia="Times New Roman" w:hint="default"/>
        </w:rPr>
        <w:t>300</w:t>
      </w:r>
      <w:r>
        <w:rPr/>
        <w:t>万次跑腿。</w:t>
      </w:r>
    </w:p>
    <w:p>
      <w:pPr>
        <w:pStyle w:val="BodyText"/>
        <w:spacing w:line="240" w:lineRule="auto" w:before="51"/>
        <w:ind w:left="513" w:right="982"/>
        <w:jc w:val="left"/>
      </w:pPr>
      <w:r>
        <w:rPr>
          <w:rFonts w:ascii="Times New Roman" w:hAnsi="Times New Roman" w:cs="Times New Roman" w:eastAsia="Times New Roman" w:hint="default"/>
        </w:rPr>
        <w:t>2019</w:t>
      </w:r>
      <w:r>
        <w:rPr/>
        <w:t>年，思特奇还荣获了</w:t>
      </w:r>
      <w:r>
        <w:rPr>
          <w:rFonts w:ascii="Times New Roman" w:hAnsi="Times New Roman" w:cs="Times New Roman" w:eastAsia="Times New Roman" w:hint="default"/>
        </w:rPr>
        <w:t>“</w:t>
      </w:r>
      <w:r>
        <w:rPr/>
        <w:t>年度新一代信息基础设施建设优秀解决方案奖</w:t>
      </w:r>
      <w:r>
        <w:rPr>
          <w:rFonts w:ascii="Times New Roman" w:hAnsi="Times New Roman" w:cs="Times New Roman" w:eastAsia="Times New Roman" w:hint="default"/>
        </w:rPr>
        <w:t>”</w:t>
      </w:r>
      <w:r>
        <w:rPr/>
        <w:t>等奖项。</w:t>
      </w:r>
    </w:p>
    <w:p>
      <w:pPr>
        <w:pStyle w:val="Heading4"/>
        <w:spacing w:line="240" w:lineRule="auto" w:before="80"/>
        <w:ind w:left="513" w:right="982"/>
        <w:jc w:val="left"/>
        <w:rPr>
          <w:b w:val="0"/>
          <w:bCs w:val="0"/>
        </w:rPr>
      </w:pPr>
      <w:r>
        <w:rPr>
          <w:rFonts w:ascii="Times New Roman" w:hAnsi="Times New Roman" w:cs="Times New Roman" w:eastAsia="Times New Roman" w:hint="default"/>
        </w:rPr>
        <w:t>8</w:t>
      </w:r>
      <w:r>
        <w:rPr/>
        <w:t>、易信企业云</w:t>
      </w:r>
      <w:r>
        <w:rPr>
          <w:b w:val="0"/>
          <w:bCs w:val="0"/>
        </w:rPr>
      </w:r>
    </w:p>
    <w:p>
      <w:pPr>
        <w:pStyle w:val="BodyText"/>
        <w:spacing w:line="307" w:lineRule="auto" w:before="85"/>
        <w:ind w:right="1129" w:firstLine="360"/>
        <w:jc w:val="both"/>
      </w:pPr>
      <w:r>
        <w:rPr/>
        <w:t>公司自行建设和运营的易信企业云服务（</w:t>
      </w:r>
      <w:r>
        <w:rPr>
          <w:rFonts w:ascii="Times New Roman" w:hAnsi="Times New Roman" w:cs="Times New Roman" w:eastAsia="Times New Roman" w:hint="default"/>
        </w:rPr>
        <w:t>Teamshub</w:t>
      </w:r>
      <w:r>
        <w:rPr/>
        <w:t>平台），提供内部管理、移动办公、外部营销、销售服务，支持企 业应用商店（</w:t>
      </w:r>
      <w:r>
        <w:rPr>
          <w:rFonts w:ascii="Times New Roman" w:hAnsi="Times New Roman" w:cs="Times New Roman" w:eastAsia="Times New Roman" w:hint="default"/>
        </w:rPr>
        <w:t>APP</w:t>
      </w:r>
      <w:r>
        <w:rPr/>
        <w:t>商店）功能及第三方的开放和合作，为企业提供安全、可靠、有保障的生态圈公有云服务。</w:t>
      </w:r>
      <w:r>
        <w:rPr>
          <w:spacing w:val="28"/>
        </w:rPr>
        <w:t> </w:t>
      </w:r>
      <w:r>
        <w:rPr/>
        <w:t>该产品提供</w:t>
      </w:r>
      <w:r>
        <w:rPr>
          <w:spacing w:val="-84"/>
        </w:rPr>
        <w:t> </w:t>
      </w:r>
      <w:r>
        <w:rPr>
          <w:spacing w:val="-84"/>
        </w:rPr>
      </w:r>
      <w:r>
        <w:rPr>
          <w:spacing w:val="-2"/>
        </w:rPr>
        <w:t>专注，高效，安全的通信解决方案：基于即时消息、视频会议、文档共享、会议室预订、流程审批、超级表单等多维工具提</w:t>
      </w:r>
      <w:r>
        <w:rPr>
          <w:spacing w:val="-65"/>
        </w:rPr>
        <w:t> </w:t>
      </w:r>
      <w:r>
        <w:rPr>
          <w:spacing w:val="-65"/>
        </w:rPr>
      </w:r>
      <w:r>
        <w:rPr/>
        <w:t>高办公效率。</w:t>
      </w:r>
    </w:p>
    <w:p>
      <w:pPr>
        <w:pStyle w:val="BodyText"/>
        <w:spacing w:line="300" w:lineRule="auto" w:before="65"/>
        <w:ind w:right="1133" w:firstLine="360"/>
        <w:jc w:val="both"/>
      </w:pPr>
      <w:r>
        <w:rPr>
          <w:rFonts w:ascii="Times New Roman" w:hAnsi="Times New Roman" w:cs="Times New Roman" w:eastAsia="Times New Roman" w:hint="default"/>
          <w:spacing w:val="-2"/>
        </w:rPr>
        <w:t>2019</w:t>
      </w:r>
      <w:r>
        <w:rPr>
          <w:spacing w:val="-2"/>
        </w:rPr>
        <w:t>年，易信的远程办公系统，专门为企业提供远程办公服务，视频会议实现企业内外部视频会议需求，一键生成视频</w:t>
      </w:r>
      <w:r>
        <w:rPr/>
        <w:t> 会议记录，视频会议可直接分享电脑桌面，实现零距离共享。通过链接分享、客户端邀请、输入会议</w:t>
      </w:r>
      <w:r>
        <w:rPr>
          <w:rFonts w:ascii="Times New Roman" w:hAnsi="Times New Roman" w:cs="Times New Roman" w:eastAsia="Times New Roman" w:hint="default"/>
        </w:rPr>
        <w:t>ID</w:t>
      </w:r>
      <w:r>
        <w:rPr/>
        <w:t>等方式，满足用户</w:t>
      </w:r>
      <w:r>
        <w:rPr>
          <w:spacing w:val="-10"/>
        </w:rPr>
        <w:t> </w:t>
      </w:r>
      <w:r>
        <w:rPr>
          <w:spacing w:val="-10"/>
        </w:rPr>
      </w:r>
      <w:r>
        <w:rPr/>
        <w:t>一键参会的需求，更加便捷高效。</w:t>
      </w:r>
    </w:p>
    <w:p>
      <w:pPr>
        <w:pStyle w:val="BodyText"/>
        <w:spacing w:line="312" w:lineRule="auto" w:before="72"/>
        <w:ind w:right="1033" w:firstLine="360"/>
        <w:jc w:val="left"/>
      </w:pPr>
      <w:r>
        <w:rPr>
          <w:spacing w:val="-2"/>
        </w:rPr>
        <w:t>在疫情防控期间，公司积极联合生态合作伙伴，充分发挥科技和生态优势，助力疫情防控工作开展和管理。目前，公司</w:t>
      </w:r>
      <w:r>
        <w:rPr/>
        <w:t> 易信在线办公系统、疫情</w:t>
      </w:r>
      <w:r>
        <w:rPr>
          <w:rFonts w:ascii="Times New Roman" w:hAnsi="Times New Roman" w:cs="Times New Roman" w:eastAsia="Times New Roman" w:hint="default"/>
        </w:rPr>
        <w:t>+</w:t>
      </w:r>
      <w:r>
        <w:rPr/>
        <w:t>社会治理平台、疫情监管应急平台、疫情人流监控分析产品、智能防疫贴身护卫产品、公众预警 信息发布与服务系统等多项产品服务和技术能力入选北京、四川、广东等多地政府关于疫情期间的优秀产品资源推荐目录， 部分产品已交付在武汉等地区使用，且在疫情期间免费。</w:t>
      </w:r>
    </w:p>
    <w:p>
      <w:pPr>
        <w:pStyle w:val="Heading4"/>
        <w:spacing w:line="240" w:lineRule="auto" w:before="40"/>
        <w:ind w:left="513" w:right="982"/>
        <w:jc w:val="left"/>
        <w:rPr>
          <w:b w:val="0"/>
          <w:bCs w:val="0"/>
        </w:rPr>
      </w:pPr>
      <w:r>
        <w:rPr>
          <w:rFonts w:ascii="Times New Roman" w:hAnsi="Times New Roman" w:cs="Times New Roman" w:eastAsia="Times New Roman" w:hint="default"/>
        </w:rPr>
        <w:t>9</w:t>
      </w:r>
      <w:r>
        <w:rPr/>
        <w:t>、物联网</w:t>
      </w:r>
      <w:r>
        <w:rPr>
          <w:b w:val="0"/>
          <w:bCs w:val="0"/>
        </w:rPr>
      </w:r>
    </w:p>
    <w:p>
      <w:pPr>
        <w:pStyle w:val="BodyText"/>
        <w:spacing w:line="240" w:lineRule="auto" w:before="82"/>
        <w:ind w:left="513" w:right="982"/>
        <w:jc w:val="left"/>
      </w:pPr>
      <w:r>
        <w:rPr/>
        <w:t>思特奇物联网业务，基于</w:t>
      </w:r>
      <w:r>
        <w:rPr>
          <w:rFonts w:ascii="Times New Roman" w:hAnsi="Times New Roman" w:cs="Times New Roman" w:eastAsia="Times New Roman" w:hint="default"/>
        </w:rPr>
        <w:t>10</w:t>
      </w:r>
      <w:r>
        <w:rPr/>
        <w:t>几年在平台规划、设计、开发、运营领域积累的先进技术和丰富经验，公司研发并上线了物</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1"/>
        <w:jc w:val="both"/>
      </w:pPr>
      <w:r>
        <w:rPr>
          <w:spacing w:val="-2"/>
        </w:rPr>
        <w:t>联网运营平台，为产业链中所有合作伙伴的产品服务、硬件、软件的广泛接入和融合提供支持与服务，实现技术、产品和服</w:t>
      </w:r>
      <w:r>
        <w:rPr>
          <w:spacing w:val="-67"/>
        </w:rPr>
        <w:t> </w:t>
      </w:r>
      <w:r>
        <w:rPr>
          <w:spacing w:val="-67"/>
        </w:rPr>
      </w:r>
      <w:r>
        <w:rPr>
          <w:spacing w:val="-2"/>
        </w:rPr>
        <w:t>务运营的端到端打通。不仅为合作伙伴提供全面、系统和丰富成熟的技术实现和接入，节省开发投入，免除许多设备测试和</w:t>
      </w:r>
      <w:r>
        <w:rPr>
          <w:spacing w:val="-65"/>
        </w:rPr>
        <w:t> </w:t>
      </w:r>
      <w:r>
        <w:rPr>
          <w:spacing w:val="-65"/>
        </w:rPr>
      </w:r>
      <w:r>
        <w:rPr>
          <w:spacing w:val="-2"/>
        </w:rPr>
        <w:t>接入壁垒，提供服务的时效性，也为合作伙伴的持续运营和经营保驾护航，实现物联网业务和大数据价值的深度挖掘、综合</w:t>
      </w:r>
      <w:r>
        <w:rPr>
          <w:spacing w:val="-65"/>
        </w:rPr>
        <w:t> </w:t>
      </w:r>
      <w:r>
        <w:rPr>
          <w:spacing w:val="-65"/>
        </w:rPr>
      </w:r>
      <w:r>
        <w:rPr>
          <w:spacing w:val="-2"/>
        </w:rPr>
        <w:t>运用、智慧运营。更为智慧城市、产业、行业、企业、个人消费者等客户提供整合物联网智慧运营服务，让物联网业务和技</w:t>
      </w:r>
      <w:r>
        <w:rPr>
          <w:spacing w:val="-71"/>
        </w:rPr>
        <w:t> </w:t>
      </w:r>
      <w:r>
        <w:rPr>
          <w:spacing w:val="-71"/>
        </w:rPr>
      </w:r>
      <w:r>
        <w:rPr/>
        <w:t>术真正贡献于监管、赋能于生产、造福于人民。</w:t>
      </w:r>
    </w:p>
    <w:p>
      <w:pPr>
        <w:pStyle w:val="BodyText"/>
        <w:spacing w:line="309" w:lineRule="auto" w:before="58"/>
        <w:ind w:right="1131" w:firstLine="360"/>
        <w:jc w:val="both"/>
      </w:pPr>
      <w:r>
        <w:rPr>
          <w:rFonts w:ascii="Times New Roman" w:hAnsi="Times New Roman" w:cs="Times New Roman" w:eastAsia="Times New Roman" w:hint="default"/>
          <w:spacing w:val="-2"/>
        </w:rPr>
        <w:t>2019</w:t>
      </w:r>
      <w:r>
        <w:rPr>
          <w:spacing w:val="-2"/>
        </w:rPr>
        <w:t>年，思特奇基于物联网平台，结合人工智能、大数据等技术，面向汽车制造企业车身焊接场景，进行焊接设备、焊</w:t>
      </w:r>
      <w:r>
        <w:rPr/>
        <w:t> </w:t>
      </w:r>
      <w:r>
        <w:rPr>
          <w:spacing w:val="-2"/>
        </w:rPr>
        <w:t>件和产品数据的物联网采集，实现云端数据存储。基于智能改进模型，提供设备状态监控、焊接质量监控和产品追溯工艺改</w:t>
      </w:r>
      <w:r>
        <w:rPr>
          <w:spacing w:val="-65"/>
        </w:rPr>
        <w:t> </w:t>
      </w:r>
      <w:r>
        <w:rPr>
          <w:spacing w:val="-65"/>
        </w:rPr>
      </w:r>
      <w:r>
        <w:rPr/>
        <w:t>进能力。</w:t>
      </w:r>
    </w:p>
    <w:p>
      <w:pPr>
        <w:pStyle w:val="BodyText"/>
        <w:spacing w:line="300" w:lineRule="auto" w:before="62"/>
        <w:ind w:right="982" w:firstLine="360"/>
        <w:jc w:val="left"/>
      </w:pPr>
      <w:r>
        <w:rPr>
          <w:rFonts w:ascii="Times New Roman" w:hAnsi="Times New Roman" w:cs="Times New Roman" w:eastAsia="Times New Roman" w:hint="default"/>
        </w:rPr>
        <w:t>2019</w:t>
      </w:r>
      <w:r>
        <w:rPr/>
        <w:t>年，公司推出智慧园区业务，面向园区安防、考勤、停车、能耗、服务、孵化、融资等场景，基于思特奇</w:t>
      </w:r>
      <w:r>
        <w:rPr>
          <w:rFonts w:ascii="Times New Roman" w:hAnsi="Times New Roman" w:cs="Times New Roman" w:eastAsia="Times New Roman" w:hint="default"/>
        </w:rPr>
        <w:t>EP</w:t>
      </w:r>
      <w:r>
        <w:rPr/>
        <w:t>架构</w:t>
      </w:r>
      <w:r>
        <w:rPr>
          <w:spacing w:val="2"/>
        </w:rPr>
        <w:t> </w:t>
      </w:r>
      <w:r>
        <w:rPr/>
        <w:t>和物联网等新兴技术，提供监管、服务、孵化等一系列服务，实现全方位合作运营，赋能园区和企业办公运营。</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spacing w:line="331" w:lineRule="auto" w:before="0"/>
        <w:ind w:left="575" w:right="6731" w:firstLine="0"/>
        <w:jc w:val="left"/>
        <w:rPr>
          <w:rFonts w:ascii="宋体" w:hAnsi="宋体" w:cs="宋体" w:eastAsia="宋体" w:hint="default"/>
          <w:sz w:val="21"/>
          <w:szCs w:val="21"/>
        </w:rPr>
      </w:pPr>
      <w:r>
        <w:rPr>
          <w:rFonts w:ascii="宋体" w:hAnsi="宋体" w:cs="宋体" w:eastAsia="宋体" w:hint="default"/>
          <w:b/>
          <w:bCs/>
          <w:sz w:val="21"/>
          <w:szCs w:val="21"/>
        </w:rPr>
        <w:t>（二）公司主要经营模式</w:t>
      </w:r>
      <w:r>
        <w:rPr>
          <w:rFonts w:ascii="宋体" w:hAnsi="宋体" w:cs="宋体" w:eastAsia="宋体" w:hint="default"/>
          <w:b/>
          <w:bCs/>
          <w:w w:val="100"/>
          <w:sz w:val="21"/>
          <w:szCs w:val="21"/>
        </w:rPr>
        <w:t> </w:t>
      </w:r>
      <w:r>
        <w:rPr>
          <w:rFonts w:ascii="宋体" w:hAnsi="宋体" w:cs="宋体" w:eastAsia="宋体" w:hint="default"/>
          <w:sz w:val="18"/>
          <w:szCs w:val="18"/>
        </w:rPr>
        <w:t>公司以员工为主体进行自主研发和生产运营。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7"/>
          <w:sz w:val="21"/>
          <w:szCs w:val="21"/>
        </w:rPr>
        <w:t> </w:t>
      </w:r>
      <w:r>
        <w:rPr>
          <w:rFonts w:ascii="宋体" w:hAnsi="宋体" w:cs="宋体" w:eastAsia="宋体" w:hint="default"/>
          <w:b/>
          <w:bCs/>
          <w:sz w:val="21"/>
          <w:szCs w:val="21"/>
        </w:rPr>
        <w:t>采购模式</w:t>
      </w:r>
      <w:r>
        <w:rPr>
          <w:rFonts w:ascii="宋体" w:hAnsi="宋体" w:cs="宋体" w:eastAsia="宋体" w:hint="default"/>
          <w:sz w:val="21"/>
          <w:szCs w:val="21"/>
        </w:rPr>
      </w:r>
    </w:p>
    <w:p>
      <w:pPr>
        <w:pStyle w:val="BodyText"/>
        <w:spacing w:line="316" w:lineRule="auto"/>
        <w:ind w:right="982" w:firstLine="360"/>
        <w:jc w:val="left"/>
      </w:pPr>
      <w:r>
        <w:rPr>
          <w:spacing w:val="-2"/>
        </w:rPr>
        <w:t>公司在业务开展过程中的对外采购主要包括软件外包服务采购和部分计算机、服务器等系统集成硬件设备采购。公司的</w:t>
      </w:r>
      <w:r>
        <w:rPr/>
        <w:t> 采购均严格按照相关采购制度执行，具体情况如下：</w:t>
      </w:r>
    </w:p>
    <w:p>
      <w:pPr>
        <w:pStyle w:val="BodyText"/>
        <w:spacing w:line="340" w:lineRule="auto" w:before="57"/>
        <w:ind w:left="513" w:right="982"/>
        <w:jc w:val="left"/>
      </w:pPr>
      <w:r>
        <w:rPr/>
        <w:t>（</w:t>
      </w:r>
      <w:r>
        <w:rPr>
          <w:rFonts w:ascii="Times New Roman" w:hAnsi="Times New Roman" w:cs="Times New Roman" w:eastAsia="Times New Roman" w:hint="default"/>
        </w:rPr>
        <w:t>1</w:t>
      </w:r>
      <w:r>
        <w:rPr/>
        <w:t>）软件服务采购 </w:t>
      </w:r>
      <w:r>
        <w:rPr>
          <w:spacing w:val="-2"/>
        </w:rPr>
        <w:t>出于降低自身人力成本，提高项目执行效率角度考虑，公司通常在两种情况下进行软件外包服务采购：一是为弥补软件</w:t>
      </w:r>
    </w:p>
    <w:p>
      <w:pPr>
        <w:pStyle w:val="BodyText"/>
        <w:spacing w:line="316" w:lineRule="auto" w:before="1"/>
        <w:ind w:right="1130"/>
        <w:jc w:val="both"/>
      </w:pPr>
      <w:r>
        <w:rPr>
          <w:spacing w:val="-2"/>
        </w:rPr>
        <w:t>开发项目的暂时性人手不足，将项目中部分非核心模块外包给第三方进行开发；二是将项目外围模块，如用户界面设计等部</w:t>
      </w:r>
      <w:r>
        <w:rPr>
          <w:spacing w:val="-63"/>
        </w:rPr>
        <w:t> </w:t>
      </w:r>
      <w:r>
        <w:rPr>
          <w:spacing w:val="-63"/>
        </w:rPr>
      </w:r>
      <w:r>
        <w:rPr/>
        <w:t>分外包给专业第三方进行开发。</w:t>
      </w:r>
    </w:p>
    <w:p>
      <w:pPr>
        <w:pStyle w:val="BodyText"/>
        <w:spacing w:line="319" w:lineRule="auto" w:before="59"/>
        <w:ind w:right="982" w:firstLine="360"/>
        <w:jc w:val="left"/>
      </w:pPr>
      <w:r>
        <w:rPr>
          <w:spacing w:val="-2"/>
        </w:rPr>
        <w:t>公司在报价、口碑、技术实力等多方面对软件外包供应商进行筛选，经过多年发展，公司已经建立了比较完善的供应商</w:t>
      </w:r>
      <w:r>
        <w:rPr/>
        <w:t> </w:t>
      </w:r>
      <w:r>
        <w:rPr>
          <w:spacing w:val="-4"/>
        </w:rPr>
        <w:t>管理体系，与主要供应商之间形成了良好稳定的合作关系。选定供应商后公司与其签订外包服务合同。外包工程实施完毕后，</w:t>
      </w:r>
      <w:r>
        <w:rPr>
          <w:spacing w:val="-44"/>
        </w:rPr>
        <w:t> </w:t>
      </w:r>
      <w:r>
        <w:rPr>
          <w:spacing w:val="-44"/>
        </w:rPr>
      </w:r>
      <w:r>
        <w:rPr>
          <w:spacing w:val="-2"/>
        </w:rPr>
        <w:t>公司组织产品部门和技术部门对项目进行验收。验收通过后，以对应的主合同通过公司客户阶段性验收为前提，在收到客户</w:t>
      </w:r>
      <w:r>
        <w:rPr>
          <w:spacing w:val="-63"/>
        </w:rPr>
        <w:t> </w:t>
      </w:r>
      <w:r>
        <w:rPr>
          <w:spacing w:val="-63"/>
        </w:rPr>
      </w:r>
      <w:r>
        <w:rPr/>
        <w:t>的阶段性付款后向供应商支付合同款项。</w:t>
      </w:r>
    </w:p>
    <w:p>
      <w:pPr>
        <w:pStyle w:val="BodyText"/>
        <w:spacing w:line="340" w:lineRule="auto" w:before="55"/>
        <w:ind w:left="513" w:right="982"/>
        <w:jc w:val="left"/>
      </w:pPr>
      <w:r>
        <w:rPr/>
        <w:t>（</w:t>
      </w:r>
      <w:r>
        <w:rPr>
          <w:rFonts w:ascii="Times New Roman" w:hAnsi="Times New Roman" w:cs="Times New Roman" w:eastAsia="Times New Roman" w:hint="default"/>
        </w:rPr>
        <w:t>2</w:t>
      </w:r>
      <w:r>
        <w:rPr/>
        <w:t>）计算机、服务器等系统集成硬件设备采购 </w:t>
      </w:r>
      <w:r>
        <w:rPr>
          <w:spacing w:val="-2"/>
        </w:rPr>
        <w:t>销售人员首先根据合同约定发出设备采购申请，由商务部门通过比价确定供应商，技术部门负责设备配置。项目运营部</w:t>
      </w:r>
    </w:p>
    <w:p>
      <w:pPr>
        <w:pStyle w:val="BodyText"/>
        <w:spacing w:line="240" w:lineRule="auto" w:before="1"/>
        <w:ind w:right="0"/>
        <w:jc w:val="both"/>
      </w:pPr>
      <w:r>
        <w:rPr/>
        <w:t>负责验收设备。验收通过后，公司按照合同约定向供应商支付货款。</w:t>
      </w:r>
    </w:p>
    <w:p>
      <w:pPr>
        <w:pStyle w:val="Heading4"/>
        <w:spacing w:line="240" w:lineRule="auto" w:before="94"/>
        <w:ind w:left="575" w:right="982"/>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产品开发及服务模式</w:t>
      </w:r>
      <w:r>
        <w:rPr>
          <w:b w:val="0"/>
          <w:bCs w:val="0"/>
        </w:rPr>
      </w:r>
    </w:p>
    <w:p>
      <w:pPr>
        <w:pStyle w:val="BodyText"/>
        <w:spacing w:line="340" w:lineRule="auto" w:before="82"/>
        <w:ind w:left="513" w:right="982"/>
        <w:jc w:val="left"/>
      </w:pPr>
      <w:r>
        <w:rPr/>
        <w:t>（</w:t>
      </w:r>
      <w:r>
        <w:rPr>
          <w:rFonts w:ascii="Times New Roman" w:hAnsi="Times New Roman" w:cs="Times New Roman" w:eastAsia="Times New Roman" w:hint="default"/>
        </w:rPr>
        <w:t>1</w:t>
      </w:r>
      <w:r>
        <w:rPr/>
        <w:t>）软件开发模式 </w:t>
      </w:r>
      <w:r>
        <w:rPr>
          <w:spacing w:val="-2"/>
        </w:rPr>
        <w:t>公司软件开发包括预研产品开发和定制开发。前者是公司基于技术发展趋势及市场需求，并结合过往项目经验总结预先</w:t>
      </w:r>
    </w:p>
    <w:p>
      <w:pPr>
        <w:pStyle w:val="BodyText"/>
        <w:spacing w:line="316" w:lineRule="auto" w:before="1"/>
        <w:ind w:right="1130"/>
        <w:jc w:val="both"/>
      </w:pPr>
      <w:r>
        <w:rPr>
          <w:spacing w:val="-2"/>
        </w:rPr>
        <w:t>研发的产品，是定制软件的基础，并不产生收入；后者则是公司根据客户的个性化需求，基于前期预研产品进行的应用系统</w:t>
      </w:r>
      <w:r>
        <w:rPr>
          <w:spacing w:val="-64"/>
        </w:rPr>
        <w:t> </w:t>
      </w:r>
      <w:r>
        <w:rPr>
          <w:spacing w:val="-64"/>
        </w:rPr>
      </w:r>
      <w:r>
        <w:rPr/>
        <w:t>开发。</w:t>
      </w:r>
    </w:p>
    <w:p>
      <w:pPr>
        <w:pStyle w:val="BodyText"/>
        <w:spacing w:line="338" w:lineRule="auto" w:before="60"/>
        <w:ind w:left="513" w:right="982"/>
        <w:jc w:val="left"/>
      </w:pPr>
      <w:r>
        <w:rPr/>
        <w:t>（</w:t>
      </w:r>
      <w:r>
        <w:rPr>
          <w:rFonts w:ascii="Times New Roman" w:hAnsi="Times New Roman" w:cs="Times New Roman" w:eastAsia="Times New Roman" w:hint="default"/>
        </w:rPr>
        <w:t>2</w:t>
      </w:r>
      <w:r>
        <w:rPr/>
        <w:t>）技术服务 </w:t>
      </w:r>
      <w:r>
        <w:rPr>
          <w:spacing w:val="-4"/>
        </w:rPr>
        <w:t>公司完成客户的软件开发后，将继续为客户提供维护服务，包括将客户需要实现的新功能嵌入原有系统和系统运营维护。</w:t>
      </w:r>
    </w:p>
    <w:p>
      <w:pPr>
        <w:pStyle w:val="BodyText"/>
        <w:spacing w:line="316" w:lineRule="auto" w:before="2"/>
        <w:ind w:right="1132"/>
        <w:jc w:val="both"/>
      </w:pPr>
      <w:r>
        <w:rPr>
          <w:spacing w:val="-2"/>
        </w:rPr>
        <w:t>公司的运维能力建立在已有的技术基础上，通过常驻外派、现场支持、远程诊断等手段保证客户系统新需求的实现和系统稳</w:t>
      </w:r>
      <w:r>
        <w:rPr>
          <w:spacing w:val="-65"/>
        </w:rPr>
        <w:t> </w:t>
      </w:r>
      <w:r>
        <w:rPr>
          <w:spacing w:val="-65"/>
        </w:rPr>
      </w:r>
      <w:r>
        <w:rPr/>
        <w:t>定运行。</w:t>
      </w:r>
    </w:p>
    <w:p>
      <w:pPr>
        <w:pStyle w:val="Heading4"/>
        <w:spacing w:line="240" w:lineRule="auto" w:before="36"/>
        <w:ind w:left="575" w:right="982"/>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销售模式</w:t>
      </w:r>
      <w:r>
        <w:rPr>
          <w:b w:val="0"/>
          <w:bCs w:val="0"/>
        </w:rPr>
      </w:r>
    </w:p>
    <w:p>
      <w:pPr>
        <w:pStyle w:val="BodyText"/>
        <w:spacing w:line="338" w:lineRule="auto" w:before="85"/>
        <w:ind w:left="513" w:right="982"/>
        <w:jc w:val="left"/>
      </w:pPr>
      <w:r>
        <w:rPr/>
        <w:t>（</w:t>
      </w:r>
      <w:r>
        <w:rPr>
          <w:rFonts w:ascii="Times New Roman" w:hAnsi="Times New Roman" w:cs="Times New Roman" w:eastAsia="Times New Roman" w:hint="default"/>
        </w:rPr>
        <w:t>1</w:t>
      </w:r>
      <w:r>
        <w:rPr/>
        <w:t>）软件开发、技术服务类 </w:t>
      </w:r>
      <w:r>
        <w:rPr>
          <w:spacing w:val="-2"/>
        </w:rPr>
        <w:t>公司针对不同客户，组织产品部门人员深度挖掘其个性化需求，并结合自身丰富的行业应用经验，提出最适合用户的解</w:t>
      </w:r>
    </w:p>
    <w:p>
      <w:pPr>
        <w:pStyle w:val="BodyText"/>
        <w:spacing w:line="360" w:lineRule="auto" w:before="2"/>
        <w:ind w:left="513" w:right="982" w:hanging="360"/>
        <w:jc w:val="left"/>
      </w:pPr>
      <w:r>
        <w:rPr/>
        <w:t>决方案。在双方充分沟通的基础上，最后以合同文本的方式确认用户的需求。 </w:t>
      </w:r>
      <w:r>
        <w:rPr>
          <w:spacing w:val="-2"/>
        </w:rPr>
        <w:t>公司软件开发业务的拓展通常有两类，一类是新增业务，另一类是老客户原有系统的升级改造、或者是系统技术服务业</w:t>
      </w:r>
    </w:p>
    <w:p>
      <w:pPr>
        <w:pStyle w:val="BodyText"/>
        <w:spacing w:line="222" w:lineRule="exact"/>
        <w:ind w:right="0"/>
        <w:jc w:val="both"/>
      </w:pPr>
      <w:r>
        <w:rPr/>
        <w:t>务。对于新增业务，公司首先由销售部门负责与客户相应的业务管理部门建立沟通关系，了解客户的潜在需求，其后由销售</w:t>
      </w:r>
    </w:p>
    <w:p>
      <w:pPr>
        <w:spacing w:after="0" w:line="222" w:lineRule="exact"/>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8"/>
        <w:jc w:val="both"/>
      </w:pPr>
      <w:r>
        <w:rPr>
          <w:spacing w:val="-2"/>
        </w:rPr>
        <w:t>部门引导产品、技术部门与客户沟通具体业务需求，确定和落实解决方案。然后由销售部门、产品部门和商务部门基于过往</w:t>
      </w:r>
      <w:r>
        <w:rPr>
          <w:spacing w:val="-62"/>
        </w:rPr>
        <w:t> </w:t>
      </w:r>
      <w:r>
        <w:rPr>
          <w:spacing w:val="-62"/>
        </w:rPr>
      </w:r>
      <w:r>
        <w:rPr>
          <w:spacing w:val="-2"/>
        </w:rPr>
        <w:t>项目经验和本次项目目标，共同制定竞标或定价方案，与客户协商价格、工期、收款等合同条款，最后由公司商务部门负责</w:t>
      </w:r>
      <w:r>
        <w:rPr>
          <w:spacing w:val="-67"/>
        </w:rPr>
        <w:t> </w:t>
      </w:r>
      <w:r>
        <w:rPr>
          <w:spacing w:val="-67"/>
        </w:rPr>
      </w:r>
      <w:r>
        <w:rPr/>
        <w:t>与客户签订合同。</w:t>
      </w:r>
    </w:p>
    <w:p>
      <w:pPr>
        <w:pStyle w:val="BodyText"/>
        <w:spacing w:line="316" w:lineRule="auto" w:before="58"/>
        <w:ind w:right="982" w:firstLine="360"/>
        <w:jc w:val="left"/>
      </w:pPr>
      <w:r>
        <w:rPr>
          <w:spacing w:val="-4"/>
        </w:rPr>
        <w:t>对于老客户原有系统的升级改造、或者是系统技术服务业务，通常由客户提出要求，派驻现场的工程师直接与客户沟通，</w:t>
      </w:r>
      <w:r>
        <w:rPr/>
        <w:t> </w:t>
      </w:r>
      <w:r>
        <w:rPr>
          <w:spacing w:val="-2"/>
        </w:rPr>
        <w:t>在销售部门和商务部门的辅助下根据投入的人力和工作总量报价，最后由商务部门负责商讨合同条款，签订合同。目前，软</w:t>
      </w:r>
      <w:r>
        <w:rPr>
          <w:spacing w:val="-66"/>
        </w:rPr>
        <w:t> </w:t>
      </w:r>
      <w:r>
        <w:rPr>
          <w:spacing w:val="-66"/>
        </w:rPr>
      </w:r>
      <w:r>
        <w:rPr/>
        <w:t>件开发和技术服务类是公司主要的生产经营方式。</w:t>
      </w:r>
    </w:p>
    <w:p>
      <w:pPr>
        <w:pStyle w:val="BodyText"/>
        <w:spacing w:line="340" w:lineRule="auto" w:before="57"/>
        <w:ind w:left="513" w:right="982"/>
        <w:jc w:val="left"/>
      </w:pPr>
      <w:r>
        <w:rPr/>
        <w:t>（</w:t>
      </w:r>
      <w:r>
        <w:rPr>
          <w:rFonts w:ascii="Times New Roman" w:hAnsi="Times New Roman" w:cs="Times New Roman" w:eastAsia="Times New Roman" w:hint="default"/>
        </w:rPr>
        <w:t>2</w:t>
      </w:r>
      <w:r>
        <w:rPr/>
        <w:t>）运营类 </w:t>
      </w:r>
      <w:r>
        <w:rPr>
          <w:spacing w:val="-2"/>
        </w:rPr>
        <w:t>运营类业务是指基于自主产品研发为客户提供持续的服务，通过与客户共同成长获得收益的商业模式。公司在原有软件</w:t>
      </w:r>
    </w:p>
    <w:p>
      <w:pPr>
        <w:pStyle w:val="BodyText"/>
        <w:spacing w:line="316" w:lineRule="auto" w:before="1"/>
        <w:ind w:right="1131"/>
        <w:jc w:val="both"/>
      </w:pPr>
      <w:r>
        <w:rPr>
          <w:spacing w:val="-2"/>
        </w:rPr>
        <w:t>开发和技术服务的基础上，将加大该类模式的投入，基于公司愿景和发展规划，公司对业务架构和组织进行调整，并在智慧</w:t>
      </w:r>
      <w:r>
        <w:rPr>
          <w:spacing w:val="-65"/>
        </w:rPr>
        <w:t> </w:t>
      </w:r>
      <w:r>
        <w:rPr>
          <w:spacing w:val="-65"/>
        </w:rPr>
      </w:r>
      <w:r>
        <w:rPr>
          <w:spacing w:val="-2"/>
        </w:rPr>
        <w:t>城市、大数据、物联网、电子商务产品的加强研发、运营推广，形成标准化、行业通用的服务，使其具备行业客户规模复制</w:t>
      </w:r>
      <w:r>
        <w:rPr>
          <w:spacing w:val="-73"/>
        </w:rPr>
        <w:t> </w:t>
      </w:r>
      <w:r>
        <w:rPr>
          <w:spacing w:val="-73"/>
        </w:rPr>
      </w:r>
      <w:r>
        <w:rPr/>
        <w:t>推广能力。</w:t>
      </w:r>
    </w:p>
    <w:p>
      <w:pPr>
        <w:pStyle w:val="BodyText"/>
        <w:spacing w:line="357" w:lineRule="auto" w:before="60"/>
        <w:ind w:left="513" w:right="3373"/>
        <w:jc w:val="left"/>
      </w:pPr>
      <w:r>
        <w:rPr/>
        <w:t>运营类业务与公司传统模式不同，是公司在万物互联网时代转型、规模发展的重要探索。 报告期内公司的主要经营模式未发生重大变化。</w:t>
      </w:r>
    </w:p>
    <w:p>
      <w:pPr>
        <w:spacing w:line="240" w:lineRule="auto" w:before="0"/>
        <w:rPr>
          <w:rFonts w:ascii="宋体" w:hAnsi="宋体" w:cs="宋体" w:eastAsia="宋体" w:hint="default"/>
          <w:sz w:val="18"/>
          <w:szCs w:val="18"/>
        </w:rPr>
      </w:pPr>
    </w:p>
    <w:p>
      <w:pPr>
        <w:pStyle w:val="Heading4"/>
        <w:spacing w:line="240" w:lineRule="auto" w:before="123"/>
        <w:ind w:left="575" w:right="982"/>
        <w:jc w:val="left"/>
        <w:rPr>
          <w:b w:val="0"/>
          <w:bCs w:val="0"/>
        </w:rPr>
      </w:pPr>
      <w:r>
        <w:rPr/>
        <w:t>（三）报告期内主要的业绩驱动因素</w:t>
      </w:r>
      <w:r>
        <w:rPr>
          <w:b w:val="0"/>
          <w:bCs w:val="0"/>
        </w:rPr>
      </w:r>
    </w:p>
    <w:p>
      <w:pPr>
        <w:pStyle w:val="BodyText"/>
        <w:spacing w:line="307" w:lineRule="auto" w:before="98"/>
        <w:ind w:right="1089" w:firstLine="360"/>
        <w:jc w:val="both"/>
      </w:pPr>
      <w:r>
        <w:rPr/>
        <w:t>报告期内，公司依托行业核心厂商地位，不断强化主营业务市场领域，进一步强化</w:t>
      </w:r>
      <w:r>
        <w:rPr>
          <w:rFonts w:ascii="Times New Roman" w:hAnsi="Times New Roman" w:cs="Times New Roman" w:eastAsia="Times New Roman" w:hint="default"/>
        </w:rPr>
        <w:t>5G</w:t>
      </w:r>
      <w:r>
        <w:rPr/>
        <w:t>电信运营商市场的核心地位；积 极拓展</w:t>
      </w:r>
      <w:r>
        <w:rPr>
          <w:rFonts w:ascii="Times New Roman" w:hAnsi="Times New Roman" w:cs="Times New Roman" w:eastAsia="Times New Roman" w:hint="default"/>
        </w:rPr>
        <w:t>5G+</w:t>
      </w:r>
      <w:r>
        <w:rPr/>
        <w:t>、人工智能、云和大数据、物联网等为基础的行业应用，并持续推进智能制造工业云、智慧城市、大数据运营、 </w:t>
      </w:r>
      <w:r>
        <w:rPr>
          <w:spacing w:val="-2"/>
        </w:rPr>
        <w:t>易信、智慧旅游、智慧园区等市场，构建主业和辅业竞相促进，互为依托的产业布局。通过辅业，进一步强化主业的竞争优</w:t>
      </w:r>
      <w:r>
        <w:rPr>
          <w:spacing w:val="-68"/>
        </w:rPr>
        <w:t> </w:t>
      </w:r>
      <w:r>
        <w:rPr>
          <w:spacing w:val="-68"/>
        </w:rPr>
      </w:r>
      <w:r>
        <w:rPr/>
        <w:t>势，又可以通过主业扩大辅业发展的双轮驱动模式。公司业绩驱动主要有以下几个因素：</w:t>
      </w:r>
    </w:p>
    <w:p>
      <w:pPr>
        <w:pStyle w:val="BodyText"/>
        <w:spacing w:line="300" w:lineRule="auto" w:before="67"/>
        <w:ind w:right="1033" w:firstLine="360"/>
        <w:jc w:val="left"/>
      </w:pPr>
      <w:r>
        <w:rPr/>
        <w:t>（</w:t>
      </w:r>
      <w:r>
        <w:rPr>
          <w:rFonts w:ascii="Times New Roman" w:hAnsi="Times New Roman" w:cs="Times New Roman" w:eastAsia="Times New Roman" w:hint="default"/>
        </w:rPr>
        <w:t>1</w:t>
      </w:r>
      <w:r>
        <w:rPr/>
        <w:t>）技术驱动：公司注重经营品质，以不断创新为导向，加大对研发的投入力度，加快对技术的研发进度，利用技术 创新优势，不断提高产品的质量和水平，完善产品功能，快速推出新技术、新产品，使公司在市场上具有持续核心竞争力。</w:t>
      </w:r>
    </w:p>
    <w:p>
      <w:pPr>
        <w:pStyle w:val="BodyText"/>
        <w:spacing w:line="309" w:lineRule="auto" w:before="72"/>
        <w:ind w:right="982" w:firstLine="360"/>
        <w:jc w:val="left"/>
      </w:pPr>
      <w:r>
        <w:rPr/>
        <w:t>（</w:t>
      </w:r>
      <w:r>
        <w:rPr>
          <w:rFonts w:ascii="Times New Roman" w:hAnsi="Times New Roman" w:cs="Times New Roman" w:eastAsia="Times New Roman" w:hint="default"/>
        </w:rPr>
        <w:t>2</w:t>
      </w:r>
      <w:r>
        <w:rPr/>
        <w:t>）市场驱动：公司以客户需求为核心，以为客户创造更大价值为责任，努力提升项目交付质量，采用迭代、循序渐 </w:t>
      </w:r>
      <w:r>
        <w:rPr>
          <w:spacing w:val="-4"/>
        </w:rPr>
        <w:t>进等方式确保项目及时、准确交付。依托公司现有资源和业务，通过提高产品质量与服务水平，积极拓展客户扩大市场份额，</w:t>
      </w:r>
      <w:r>
        <w:rPr>
          <w:spacing w:val="-46"/>
        </w:rPr>
        <w:t> </w:t>
      </w:r>
      <w:r>
        <w:rPr>
          <w:spacing w:val="-46"/>
        </w:rPr>
      </w:r>
      <w:r>
        <w:rPr/>
        <w:t>并由统一的团队开展统一需求分析和需求设计，缩短项目竣工周期，提高客户满意度，增强客户粘性。</w:t>
      </w:r>
    </w:p>
    <w:p>
      <w:pPr>
        <w:pStyle w:val="BodyText"/>
        <w:spacing w:line="312" w:lineRule="auto" w:before="62"/>
        <w:ind w:right="1131" w:firstLine="360"/>
        <w:jc w:val="both"/>
      </w:pPr>
      <w:r>
        <w:rPr/>
        <w:t>（</w:t>
      </w:r>
      <w:r>
        <w:rPr>
          <w:rFonts w:ascii="Times New Roman" w:hAnsi="Times New Roman" w:cs="Times New Roman" w:eastAsia="Times New Roman" w:hint="default"/>
        </w:rPr>
        <w:t>3</w:t>
      </w:r>
      <w:r>
        <w:rPr/>
        <w:t>）管理驱动：公司进一步优化管理控制体系，持续加强高效高质的组织绩效管理。实践</w:t>
      </w:r>
      <w:r>
        <w:rPr>
          <w:rFonts w:ascii="Times New Roman" w:hAnsi="Times New Roman" w:cs="Times New Roman" w:eastAsia="Times New Roman" w:hint="default"/>
        </w:rPr>
        <w:t>VES</w:t>
      </w:r>
      <w:r>
        <w:rPr/>
        <w:t>激励机制，大大增强员 </w:t>
      </w:r>
      <w:r>
        <w:rPr>
          <w:spacing w:val="-2"/>
        </w:rPr>
        <w:t>工主观能动性，不断从社会和高校引进优秀人才并持续培养。团队的不断优化，管理模式的持续改进，不仅大幅度降低公司</w:t>
      </w:r>
      <w:r>
        <w:rPr>
          <w:spacing w:val="-64"/>
        </w:rPr>
        <w:t> </w:t>
      </w:r>
      <w:r>
        <w:rPr>
          <w:spacing w:val="-64"/>
        </w:rPr>
      </w:r>
      <w:r>
        <w:rPr>
          <w:spacing w:val="-2"/>
        </w:rPr>
        <w:t>管理费用，同时在生产经营过程中不断进行产能提升、成本优化、节能降耗，使用新方法、新工具，提高公司生产效率，降</w:t>
      </w:r>
      <w:r>
        <w:rPr>
          <w:spacing w:val="-73"/>
        </w:rPr>
        <w:t> </w:t>
      </w:r>
      <w:r>
        <w:rPr>
          <w:spacing w:val="-73"/>
        </w:rPr>
      </w:r>
      <w:r>
        <w:rPr/>
        <w:t>低公司经营成本，提高公司毛利率。</w:t>
      </w:r>
    </w:p>
    <w:p>
      <w:pPr>
        <w:spacing w:line="240" w:lineRule="auto" w:before="0"/>
        <w:rPr>
          <w:rFonts w:ascii="宋体" w:hAnsi="宋体" w:cs="宋体" w:eastAsia="宋体" w:hint="default"/>
          <w:sz w:val="18"/>
          <w:szCs w:val="18"/>
        </w:rPr>
      </w:pPr>
    </w:p>
    <w:p>
      <w:pPr>
        <w:pStyle w:val="Heading4"/>
        <w:spacing w:line="240" w:lineRule="auto" w:before="157"/>
        <w:ind w:left="575" w:right="982"/>
        <w:jc w:val="left"/>
        <w:rPr>
          <w:b w:val="0"/>
          <w:bCs w:val="0"/>
        </w:rPr>
      </w:pPr>
      <w:r>
        <w:rPr/>
        <w:t>（四）报告期内公司所属行业的发展阶段、周期性特点以及公司所处的行业地位</w:t>
      </w:r>
      <w:r>
        <w:rPr>
          <w:b w:val="0"/>
          <w:bCs w:val="0"/>
        </w:rPr>
      </w:r>
    </w:p>
    <w:p>
      <w:pPr>
        <w:pStyle w:val="BodyText"/>
        <w:spacing w:line="300" w:lineRule="auto" w:before="98"/>
        <w:ind w:right="1053" w:firstLine="360"/>
        <w:jc w:val="left"/>
      </w:pPr>
      <w:r>
        <w:rPr/>
        <w:t>公司归属于</w:t>
      </w:r>
      <w:r>
        <w:rPr>
          <w:rFonts w:ascii="Times New Roman" w:hAnsi="Times New Roman" w:cs="Times New Roman" w:eastAsia="Times New Roman" w:hint="default"/>
        </w:rPr>
        <w:t>“</w:t>
      </w:r>
      <w:r>
        <w:rPr/>
        <w:t>软件和信息技术服务业</w:t>
      </w:r>
      <w:r>
        <w:rPr>
          <w:rFonts w:ascii="Times New Roman" w:hAnsi="Times New Roman" w:cs="Times New Roman" w:eastAsia="Times New Roman" w:hint="default"/>
        </w:rPr>
        <w:t>”</w:t>
      </w:r>
      <w:r>
        <w:rPr/>
        <w:t>，软件行业的主管部门是国家工业和信息化部。软件产业是国家战略性新兴产业， 是国民经济和社会信息化的重要基础，对国民经济的发展和综合竞争实力的增强具有举足轻重的作用。</w:t>
      </w:r>
    </w:p>
    <w:p>
      <w:pPr>
        <w:pStyle w:val="BodyText"/>
        <w:spacing w:line="300" w:lineRule="auto" w:before="72"/>
        <w:ind w:right="1129" w:firstLine="360"/>
        <w:jc w:val="both"/>
      </w:pPr>
      <w:r>
        <w:rPr/>
        <w:t>近年来，国家及相关部委陆续发布了《国家信息化发展战</w:t>
      </w:r>
      <w:r>
        <w:rPr>
          <w:spacing w:val="15"/>
        </w:rPr>
        <w:t> </w:t>
      </w:r>
      <w:r>
        <w:rPr/>
        <w:t>略纲要》、《</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国家信息化规划》、《软件和信息技 术服务业发展规划</w:t>
      </w:r>
      <w:r>
        <w:rPr>
          <w:spacing w:val="-2"/>
        </w:rPr>
        <w:t> </w:t>
      </w:r>
      <w:r>
        <w:rPr>
          <w:rFonts w:ascii="Times New Roman" w:hAnsi="Times New Roman" w:cs="Times New Roman" w:eastAsia="Times New Roman" w:hint="default"/>
        </w:rPr>
        <w:t>(2016-2020</w:t>
      </w:r>
      <w:r>
        <w:rPr>
          <w:rFonts w:ascii="Times New Roman" w:hAnsi="Times New Roman" w:cs="Times New Roman" w:eastAsia="Times New Roman" w:hint="default"/>
          <w:spacing w:val="43"/>
        </w:rPr>
        <w:t> </w:t>
      </w:r>
      <w:r>
        <w:rPr>
          <w:spacing w:val="-3"/>
        </w:rPr>
        <w:t>年</w:t>
      </w:r>
      <w:r>
        <w:rPr>
          <w:rFonts w:ascii="Times New Roman" w:hAnsi="Times New Roman" w:cs="Times New Roman" w:eastAsia="Times New Roman" w:hint="default"/>
          <w:spacing w:val="-3"/>
        </w:rPr>
        <w:t>)</w:t>
      </w:r>
      <w:r>
        <w:rPr>
          <w:spacing w:val="-3"/>
        </w:rPr>
        <w:t>》等鼓励信息技术发展的政策，支持企业加强自主技术创新、加快</w:t>
      </w:r>
      <w:r>
        <w:rPr>
          <w:rFonts w:ascii="Times New Roman" w:hAnsi="Times New Roman" w:cs="Times New Roman" w:eastAsia="Times New Roman" w:hint="default"/>
          <w:spacing w:val="-3"/>
        </w:rPr>
        <w:t>5G</w:t>
      </w:r>
      <w:r>
        <w:rPr>
          <w:spacing w:val="-3"/>
        </w:rPr>
        <w:t>规模组网等新一代信</w:t>
      </w:r>
      <w:r>
        <w:rPr>
          <w:spacing w:val="-87"/>
        </w:rPr>
        <w:t> </w:t>
      </w:r>
      <w:r>
        <w:rPr>
          <w:spacing w:val="-87"/>
        </w:rPr>
      </w:r>
      <w:r>
        <w:rPr/>
        <w:t>息基础设施建设。其中，国务院出台的《</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国家信息化规划》，明确提出加快推进</w:t>
      </w:r>
      <w:r>
        <w:rPr>
          <w:rFonts w:ascii="Times New Roman" w:hAnsi="Times New Roman" w:cs="Times New Roman" w:eastAsia="Times New Roman" w:hint="default"/>
        </w:rPr>
        <w:t>5G</w:t>
      </w:r>
      <w:r>
        <w:rPr/>
        <w:t>技术研究和产业化，统筹国内</w:t>
      </w:r>
      <w:r>
        <w:rPr>
          <w:spacing w:val="-22"/>
        </w:rPr>
        <w:t> </w:t>
      </w:r>
      <w:r>
        <w:rPr>
          <w:spacing w:val="-22"/>
        </w:rPr>
      </w:r>
      <w:r>
        <w:rPr/>
        <w:t>产学研用力 量，推进</w:t>
      </w:r>
      <w:r>
        <w:rPr>
          <w:rFonts w:ascii="Times New Roman" w:hAnsi="Times New Roman" w:cs="Times New Roman" w:eastAsia="Times New Roman" w:hint="default"/>
        </w:rPr>
        <w:t>5G</w:t>
      </w:r>
      <w:r>
        <w:rPr/>
        <w:t>关键技术研发、技术试验和标准制定，提升</w:t>
      </w:r>
      <w:r>
        <w:rPr>
          <w:rFonts w:ascii="Times New Roman" w:hAnsi="Times New Roman" w:cs="Times New Roman" w:eastAsia="Times New Roman" w:hint="default"/>
        </w:rPr>
        <w:t>5G</w:t>
      </w:r>
      <w:r>
        <w:rPr/>
        <w:t>组网能力、业务应用创新能力</w:t>
      </w:r>
      <w:r>
        <w:rPr>
          <w:rFonts w:ascii="Times New Roman" w:hAnsi="Times New Roman" w:cs="Times New Roman" w:eastAsia="Times New Roman" w:hint="default"/>
        </w:rPr>
        <w:t>;</w:t>
      </w:r>
      <w:r>
        <w:rPr/>
        <w:t>着眼</w:t>
      </w:r>
      <w:r>
        <w:rPr>
          <w:rFonts w:ascii="Times New Roman" w:hAnsi="Times New Roman" w:cs="Times New Roman" w:eastAsia="Times New Roman" w:hint="default"/>
        </w:rPr>
        <w:t>5G</w:t>
      </w:r>
      <w:r>
        <w:rPr/>
        <w:t>技术和业务长</w:t>
      </w:r>
      <w:r>
        <w:rPr>
          <w:spacing w:val="-78"/>
        </w:rPr>
        <w:t> </w:t>
      </w:r>
      <w:r>
        <w:rPr>
          <w:spacing w:val="-78"/>
        </w:rPr>
      </w:r>
      <w:r>
        <w:rPr>
          <w:spacing w:val="-2"/>
        </w:rPr>
        <w:t>期发展需求，统筹优化</w:t>
      </w:r>
      <w:r>
        <w:rPr>
          <w:rFonts w:ascii="Times New Roman" w:hAnsi="Times New Roman" w:cs="Times New Roman" w:eastAsia="Times New Roman" w:hint="default"/>
          <w:spacing w:val="-2"/>
        </w:rPr>
        <w:t>5G</w:t>
      </w:r>
      <w:r>
        <w:rPr>
          <w:spacing w:val="-2"/>
        </w:rPr>
        <w:t>频谱资源配置，加强</w:t>
      </w:r>
      <w:r>
        <w:rPr>
          <w:spacing w:val="-5"/>
        </w:rPr>
        <w:t> </w:t>
      </w:r>
      <w:r>
        <w:rPr>
          <w:spacing w:val="-1"/>
        </w:rPr>
        <w:t>无线电频谱管理。适时启动</w:t>
      </w:r>
      <w:r>
        <w:rPr>
          <w:rFonts w:ascii="Times New Roman" w:hAnsi="Times New Roman" w:cs="Times New Roman" w:eastAsia="Times New Roman" w:hint="default"/>
          <w:spacing w:val="-1"/>
        </w:rPr>
        <w:t>5G</w:t>
      </w:r>
      <w:r>
        <w:rPr>
          <w:spacing w:val="-1"/>
        </w:rPr>
        <w:t>商用，支持企业发展面向移动互联网、物联网</w:t>
      </w:r>
      <w:r>
        <w:rPr>
          <w:spacing w:val="-88"/>
        </w:rPr>
        <w:t> </w:t>
      </w:r>
      <w:r>
        <w:rPr>
          <w:spacing w:val="-88"/>
        </w:rPr>
      </w:r>
      <w:r>
        <w:rPr/>
        <w:t>的</w:t>
      </w:r>
      <w:r>
        <w:rPr>
          <w:rFonts w:ascii="Times New Roman" w:hAnsi="Times New Roman" w:cs="Times New Roman" w:eastAsia="Times New Roman" w:hint="default"/>
        </w:rPr>
        <w:t>5G</w:t>
      </w:r>
      <w:r>
        <w:rPr/>
        <w:t>创新应用，积极拓展</w:t>
      </w:r>
      <w:r>
        <w:rPr>
          <w:rFonts w:ascii="Times New Roman" w:hAnsi="Times New Roman" w:cs="Times New Roman" w:eastAsia="Times New Roman" w:hint="default"/>
        </w:rPr>
        <w:t>5G</w:t>
      </w:r>
      <w:r>
        <w:rPr/>
        <w:t>业务应用领域。在国家政策大力支持下，工业和信息化部于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月正式发放</w:t>
      </w:r>
      <w:r>
        <w:rPr>
          <w:rFonts w:ascii="Times New Roman" w:hAnsi="Times New Roman" w:cs="Times New Roman" w:eastAsia="Times New Roman" w:hint="default"/>
        </w:rPr>
        <w:t>5G</w:t>
      </w:r>
      <w:r>
        <w:rPr/>
        <w:t>商用牌照，</w:t>
      </w:r>
      <w:r>
        <w:rPr>
          <w:spacing w:val="-30"/>
        </w:rPr>
        <w:t> </w:t>
      </w:r>
      <w:r>
        <w:rPr>
          <w:spacing w:val="-30"/>
        </w:rPr>
      </w:r>
      <w:r>
        <w:rPr/>
        <w:t>商用时间较原定计划提前一年。</w:t>
      </w:r>
    </w:p>
    <w:p>
      <w:pPr>
        <w:pStyle w:val="BodyText"/>
        <w:spacing w:line="309" w:lineRule="auto" w:before="72"/>
        <w:ind w:right="1033"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日，在致第六届世界互联网大会的贺信中，习近平总书记指出</w:t>
      </w:r>
      <w:r>
        <w:rPr>
          <w:rFonts w:ascii="Times New Roman" w:hAnsi="Times New Roman" w:cs="Times New Roman" w:eastAsia="Times New Roman" w:hint="default"/>
        </w:rPr>
        <w:t>“</w:t>
      </w:r>
      <w:r>
        <w:rPr/>
        <w:t>当前，新一轮科技革命和产业变革加速演 </w:t>
      </w:r>
      <w:r>
        <w:rPr>
          <w:spacing w:val="-4"/>
        </w:rPr>
        <w:t>进，人工智能、大数据、物联网等新技术新应用新业态方兴未艾，互联网迎来了更加强劲的发展动能和更加广阔的发展空间。</w:t>
      </w:r>
      <w:r>
        <w:rPr>
          <w:spacing w:val="-46"/>
        </w:rPr>
        <w:t> </w:t>
      </w:r>
      <w:r>
        <w:rPr>
          <w:spacing w:val="-46"/>
        </w:rPr>
      </w:r>
      <w:r>
        <w:rPr/>
        <w:t>发展好、运用好、治理好互联网，让互联网更好造福人类，是国际社会的共同责任。各国应顺应时代潮流，勇担发展责任，</w:t>
      </w:r>
    </w:p>
    <w:p>
      <w:pPr>
        <w:spacing w:after="0" w:line="309"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共迎风险挑战，共同推进网络空间全球治理，努力推动构建网络空间命运共同体</w:t>
      </w:r>
      <w:r>
        <w:rPr>
          <w:rFonts w:ascii="Times New Roman" w:hAnsi="Times New Roman" w:cs="Times New Roman" w:eastAsia="Times New Roman" w:hint="default"/>
        </w:rPr>
        <w:t>”</w:t>
      </w:r>
      <w:r>
        <w:rPr/>
        <w:t>。为行业持续发展创造出有利的外部条件。</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4"/>
        <w:spacing w:line="240" w:lineRule="auto"/>
        <w:ind w:left="575" w:right="982"/>
        <w:jc w:val="left"/>
        <w:rPr>
          <w:b w:val="0"/>
          <w:bCs w:val="0"/>
        </w:rPr>
      </w:pPr>
      <w:r>
        <w:rPr>
          <w:rFonts w:ascii="Times New Roman" w:hAnsi="Times New Roman" w:cs="Times New Roman" w:eastAsia="Times New Roman" w:hint="default"/>
        </w:rPr>
        <w:t>1</w:t>
      </w:r>
      <w:r>
        <w:rPr/>
        <w:t>、市场情况</w:t>
      </w:r>
      <w:r>
        <w:rPr>
          <w:b w:val="0"/>
          <w:bCs w:val="0"/>
        </w:rPr>
      </w:r>
    </w:p>
    <w:p>
      <w:pPr>
        <w:pStyle w:val="BodyText"/>
        <w:spacing w:line="307" w:lineRule="auto" w:before="85"/>
        <w:ind w:right="1088" w:firstLine="360"/>
        <w:jc w:val="both"/>
      </w:pPr>
      <w:r>
        <w:rPr/>
        <w:t>公司产品主要应用于电信领域，随着电信运营商网络技术从</w:t>
      </w:r>
      <w:r>
        <w:rPr>
          <w:rFonts w:ascii="Times New Roman" w:hAnsi="Times New Roman" w:cs="Times New Roman" w:eastAsia="Times New Roman" w:hint="default"/>
        </w:rPr>
        <w:t>1G-5G</w:t>
      </w:r>
      <w:r>
        <w:rPr/>
        <w:t>的不断升级，电信业务种类持续丰富，叠加大数据、 </w:t>
      </w:r>
      <w:r>
        <w:rPr>
          <w:spacing w:val="-2"/>
        </w:rPr>
        <w:t>云计算等新技术的应用，运营商支撑及生态运营系统升级扩容需求强烈，电信运营商软件产品与服务市场规模不断扩大。根</w:t>
      </w:r>
      <w:r>
        <w:rPr>
          <w:spacing w:val="-63"/>
        </w:rPr>
        <w:t> </w:t>
      </w:r>
      <w:r>
        <w:rPr>
          <w:spacing w:val="-63"/>
        </w:rPr>
      </w:r>
      <w:r>
        <w:rPr/>
        <w:t>据 </w:t>
      </w:r>
      <w:r>
        <w:rPr>
          <w:rFonts w:ascii="Times New Roman" w:hAnsi="Times New Roman" w:cs="Times New Roman" w:eastAsia="Times New Roman" w:hint="default"/>
        </w:rPr>
        <w:t>Frost &amp; Suliva </w:t>
      </w:r>
      <w:r>
        <w:rPr/>
        <w:t>统计，中国电信软件产品及服务市场</w:t>
      </w:r>
      <w:r>
        <w:rPr>
          <w:rFonts w:ascii="Times New Roman" w:hAnsi="Times New Roman" w:cs="Times New Roman" w:eastAsia="Times New Roman" w:hint="default"/>
        </w:rPr>
        <w:t>(</w:t>
      </w:r>
      <w:r>
        <w:rPr/>
        <w:t>包含运营商支撑及</w:t>
      </w:r>
      <w:r>
        <w:rPr>
          <w:spacing w:val="-54"/>
        </w:rPr>
        <w:t> </w:t>
      </w:r>
      <w:r>
        <w:rPr/>
        <w:t>生态运营系统</w:t>
      </w:r>
      <w:r>
        <w:rPr>
          <w:rFonts w:ascii="Times New Roman" w:hAnsi="Times New Roman" w:cs="Times New Roman" w:eastAsia="Times New Roman" w:hint="default"/>
        </w:rPr>
        <w:t>)2017</w:t>
      </w:r>
      <w:r>
        <w:rPr/>
        <w:t>年市场规模达到</w:t>
      </w:r>
      <w:r>
        <w:rPr>
          <w:rFonts w:ascii="Times New Roman" w:hAnsi="Times New Roman" w:cs="Times New Roman" w:eastAsia="Times New Roman" w:hint="default"/>
        </w:rPr>
        <w:t>183</w:t>
      </w:r>
      <w:r>
        <w:rPr/>
        <w:t>亿元，未 来三年将保持</w:t>
      </w:r>
      <w:r>
        <w:rPr>
          <w:rFonts w:ascii="Times New Roman" w:hAnsi="Times New Roman" w:cs="Times New Roman" w:eastAsia="Times New Roman" w:hint="default"/>
        </w:rPr>
        <w:t>10%</w:t>
      </w:r>
      <w:r>
        <w:rPr/>
        <w:t>以上的增速。</w:t>
      </w:r>
    </w:p>
    <w:p>
      <w:pPr>
        <w:spacing w:line="240" w:lineRule="auto" w:before="12"/>
        <w:rPr>
          <w:rFonts w:ascii="宋体" w:hAnsi="宋体" w:cs="宋体" w:eastAsia="宋体" w:hint="default"/>
          <w:sz w:val="3"/>
          <w:szCs w:val="3"/>
        </w:rPr>
      </w:pPr>
    </w:p>
    <w:p>
      <w:pPr>
        <w:spacing w:line="3720" w:lineRule="exact"/>
        <w:ind w:left="1694"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391098" cy="236258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391098" cy="2362580"/>
                    </a:xfrm>
                    <a:prstGeom prst="rect">
                      <a:avLst/>
                    </a:prstGeom>
                  </pic:spPr>
                </pic:pic>
              </a:graphicData>
            </a:graphic>
          </wp:inline>
        </w:drawing>
      </w:r>
      <w:r>
        <w:rPr>
          <w:rFonts w:ascii="宋体" w:hAnsi="宋体" w:cs="宋体" w:eastAsia="宋体" w:hint="default"/>
          <w:position w:val="-73"/>
          <w:sz w:val="20"/>
          <w:szCs w:val="20"/>
        </w:rPr>
      </w:r>
    </w:p>
    <w:p>
      <w:pPr>
        <w:pStyle w:val="BodyText"/>
        <w:spacing w:line="309" w:lineRule="auto" w:before="59"/>
        <w:ind w:right="1135" w:firstLine="360"/>
        <w:jc w:val="both"/>
      </w:pPr>
      <w:r>
        <w:rPr>
          <w:spacing w:val="-2"/>
        </w:rPr>
        <w:t>近年来，云、大数据、人工智能等新技术快速发展，智慧城市、智能制造、智能办公等物联网新应用加速落地，正逐步</w:t>
      </w:r>
      <w:r>
        <w:rPr/>
        <w:t> 形成</w:t>
      </w:r>
      <w:r>
        <w:rPr>
          <w:rFonts w:ascii="Times New Roman" w:hAnsi="Times New Roman" w:cs="Times New Roman" w:eastAsia="Times New Roman" w:hint="default"/>
        </w:rPr>
        <w:t>5G</w:t>
      </w:r>
      <w:r>
        <w:rPr/>
        <w:t>应用生态圈，带来支撑及生态运营系统市场空间的进一步增长。行业迎来万物互联、智能制造时代，产品市场空间</w:t>
      </w:r>
      <w:r>
        <w:rPr>
          <w:spacing w:val="-43"/>
        </w:rPr>
        <w:t> </w:t>
      </w:r>
      <w:r>
        <w:rPr>
          <w:spacing w:val="-43"/>
        </w:rPr>
      </w:r>
      <w:r>
        <w:rPr/>
        <w:t>广阔。</w:t>
      </w:r>
    </w:p>
    <w:p>
      <w:pPr>
        <w:pStyle w:val="Heading4"/>
        <w:spacing w:line="240" w:lineRule="auto" w:before="42"/>
        <w:ind w:left="575" w:right="982"/>
        <w:jc w:val="left"/>
        <w:rPr>
          <w:b w:val="0"/>
          <w:bCs w:val="0"/>
        </w:rPr>
      </w:pPr>
      <w:r>
        <w:rPr>
          <w:rFonts w:ascii="Times New Roman" w:hAnsi="Times New Roman" w:cs="Times New Roman" w:eastAsia="Times New Roman" w:hint="default"/>
        </w:rPr>
        <w:t>2</w:t>
      </w:r>
      <w:r>
        <w:rPr/>
        <w:t>、业务情况</w:t>
      </w:r>
      <w:r>
        <w:rPr>
          <w:b w:val="0"/>
          <w:bCs w:val="0"/>
        </w:rPr>
      </w:r>
    </w:p>
    <w:p>
      <w:pPr>
        <w:pStyle w:val="BodyText"/>
        <w:spacing w:line="300" w:lineRule="auto" w:before="85"/>
        <w:ind w:right="1126"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月，工业和信息化部向中国电信、中国移动、中国联通、中国广电颁发</w:t>
      </w:r>
      <w:r>
        <w:rPr>
          <w:rFonts w:ascii="Times New Roman" w:hAnsi="Times New Roman" w:cs="Times New Roman" w:eastAsia="Times New Roman" w:hint="default"/>
        </w:rPr>
        <w:t>5G</w:t>
      </w:r>
      <w:r>
        <w:rPr/>
        <w:t>牌照，批准四家企业经营</w:t>
      </w:r>
      <w:r>
        <w:rPr>
          <w:rFonts w:ascii="Times New Roman" w:hAnsi="Times New Roman" w:cs="Times New Roman" w:eastAsia="Times New Roman" w:hint="default"/>
        </w:rPr>
        <w:t>“</w:t>
      </w:r>
      <w:r>
        <w:rPr/>
        <w:t>第五代数</w:t>
      </w:r>
      <w:r>
        <w:rPr>
          <w:spacing w:val="2"/>
        </w:rPr>
        <w:t> </w:t>
      </w:r>
      <w:r>
        <w:rPr/>
        <w:t>字蜂窝移动通信业务</w:t>
      </w:r>
      <w:r>
        <w:rPr>
          <w:rFonts w:ascii="Times New Roman" w:hAnsi="Times New Roman" w:cs="Times New Roman" w:eastAsia="Times New Roman" w:hint="default"/>
        </w:rPr>
        <w:t>”</w:t>
      </w:r>
      <w:r>
        <w:rPr/>
        <w:t>，标志着我国进入</w:t>
      </w:r>
      <w:r>
        <w:rPr>
          <w:rFonts w:ascii="Times New Roman" w:hAnsi="Times New Roman" w:cs="Times New Roman" w:eastAsia="Times New Roman" w:hint="default"/>
        </w:rPr>
        <w:t>5G</w:t>
      </w:r>
      <w:r>
        <w:rPr/>
        <w:t>商用时代。</w:t>
      </w:r>
    </w:p>
    <w:p>
      <w:pPr>
        <w:pStyle w:val="BodyText"/>
        <w:spacing w:line="300" w:lineRule="auto" w:before="51"/>
        <w:ind w:right="1130" w:firstLine="360"/>
        <w:jc w:val="both"/>
      </w:pPr>
      <w:r>
        <w:rPr>
          <w:rFonts w:ascii="Times New Roman" w:hAnsi="Times New Roman" w:cs="Times New Roman" w:eastAsia="Times New Roman" w:hint="default"/>
        </w:rPr>
        <w:t>5G</w:t>
      </w:r>
      <w:r>
        <w:rPr>
          <w:rFonts w:ascii="Times New Roman" w:hAnsi="Times New Roman" w:cs="Times New Roman" w:eastAsia="Times New Roman" w:hint="default"/>
          <w:spacing w:val="18"/>
        </w:rPr>
        <w:t> </w:t>
      </w:r>
      <w:r>
        <w:rPr>
          <w:spacing w:val="-2"/>
        </w:rPr>
        <w:t>时代电信运营商的业务范围将不断拓展，推动支撑及生态运营系统升级换代。</w:t>
      </w:r>
      <w:r>
        <w:rPr>
          <w:rFonts w:ascii="Times New Roman" w:hAnsi="Times New Roman" w:cs="Times New Roman" w:eastAsia="Times New Roman" w:hint="default"/>
          <w:spacing w:val="-2"/>
        </w:rPr>
        <w:t>5G</w:t>
      </w:r>
      <w:r>
        <w:rPr>
          <w:spacing w:val="-2"/>
        </w:rPr>
        <w:t>具有高速度、低时延、高可靠等特</w:t>
      </w:r>
      <w:r>
        <w:rPr/>
        <w:t> 点，构建起高速、移动、安全、泛在的新一代信息基础设施。相比</w:t>
      </w:r>
      <w:r>
        <w:rPr>
          <w:spacing w:val="17"/>
        </w:rPr>
        <w:t> </w:t>
      </w:r>
      <w:r>
        <w:rPr>
          <w:rFonts w:ascii="Times New Roman" w:hAnsi="Times New Roman" w:cs="Times New Roman" w:eastAsia="Times New Roman" w:hint="default"/>
        </w:rPr>
        <w:t>1G-4G</w:t>
      </w:r>
      <w:r>
        <w:rPr/>
        <w:t>，</w:t>
      </w:r>
      <w:r>
        <w:rPr>
          <w:rFonts w:ascii="Times New Roman" w:hAnsi="Times New Roman" w:cs="Times New Roman" w:eastAsia="Times New Roman" w:hint="default"/>
        </w:rPr>
        <w:t>5G</w:t>
      </w:r>
      <w:r>
        <w:rPr/>
        <w:t>将从</w:t>
      </w:r>
      <w:r>
        <w:rPr>
          <w:rFonts w:ascii="Times New Roman" w:hAnsi="Times New Roman" w:cs="Times New Roman" w:eastAsia="Times New Roman" w:hint="default"/>
        </w:rPr>
        <w:t>“</w:t>
      </w:r>
      <w:r>
        <w:rPr/>
        <w:t>人与人</w:t>
      </w:r>
      <w:r>
        <w:rPr>
          <w:rFonts w:ascii="Times New Roman" w:hAnsi="Times New Roman" w:cs="Times New Roman" w:eastAsia="Times New Roman" w:hint="default"/>
        </w:rPr>
        <w:t>”</w:t>
      </w:r>
      <w:r>
        <w:rPr/>
        <w:t>的通信连接扩展到万物互联，</w:t>
      </w:r>
      <w:r>
        <w:rPr>
          <w:spacing w:val="-85"/>
        </w:rPr>
        <w:t> </w:t>
      </w:r>
      <w:r>
        <w:rPr>
          <w:spacing w:val="-85"/>
        </w:rPr>
      </w:r>
      <w:r>
        <w:rPr/>
        <w:t>电信运营商的业务范围亦将随之由移动互联网向移动物联网拓展。为适应</w:t>
      </w:r>
      <w:r>
        <w:rPr>
          <w:rFonts w:ascii="Times New Roman" w:hAnsi="Times New Roman" w:cs="Times New Roman" w:eastAsia="Times New Roman" w:hint="default"/>
        </w:rPr>
        <w:t>5G</w:t>
      </w:r>
      <w:r>
        <w:rPr/>
        <w:t>业务发展要求，电信运营商支撑及生态运营系</w:t>
      </w:r>
      <w:r>
        <w:rPr>
          <w:spacing w:val="-39"/>
        </w:rPr>
        <w:t> </w:t>
      </w:r>
      <w:r>
        <w:rPr>
          <w:spacing w:val="-39"/>
        </w:rPr>
      </w:r>
      <w:r>
        <w:rPr/>
        <w:t>统</w:t>
      </w:r>
      <w:r>
        <w:rPr>
          <w:spacing w:val="17"/>
        </w:rPr>
        <w:t> </w:t>
      </w:r>
      <w:r>
        <w:rPr>
          <w:spacing w:val="-2"/>
        </w:rPr>
        <w:t>需不断升级扩容</w:t>
      </w:r>
      <w:r>
        <w:rPr>
          <w:rFonts w:ascii="Times New Roman" w:hAnsi="Times New Roman" w:cs="Times New Roman" w:eastAsia="Times New Roman" w:hint="default"/>
          <w:spacing w:val="-2"/>
        </w:rPr>
        <w:t>:</w:t>
      </w:r>
      <w:r>
        <w:rPr>
          <w:spacing w:val="-2"/>
        </w:rPr>
        <w:t>一方面，支撑及生态运营系统既要统筹考虑</w:t>
      </w:r>
      <w:r>
        <w:rPr>
          <w:rFonts w:ascii="Times New Roman" w:hAnsi="Times New Roman" w:cs="Times New Roman" w:eastAsia="Times New Roman" w:hint="default"/>
          <w:spacing w:val="-2"/>
        </w:rPr>
        <w:t>5G</w:t>
      </w:r>
      <w:r>
        <w:rPr>
          <w:spacing w:val="-2"/>
        </w:rPr>
        <w:t>新需求和发展趋势，还要兼容和保持原有业务的开展和完</w:t>
      </w:r>
      <w:r>
        <w:rPr>
          <w:spacing w:val="-85"/>
        </w:rPr>
        <w:t> </w:t>
      </w:r>
      <w:r>
        <w:rPr>
          <w:spacing w:val="-85"/>
        </w:rPr>
      </w:r>
      <w:r>
        <w:rPr/>
        <w:t>善</w:t>
      </w:r>
      <w:r>
        <w:rPr>
          <w:rFonts w:ascii="Times New Roman" w:hAnsi="Times New Roman" w:cs="Times New Roman" w:eastAsia="Times New Roman" w:hint="default"/>
        </w:rPr>
        <w:t>;</w:t>
      </w:r>
      <w:r>
        <w:rPr/>
        <w:t>另一方面，支撑及生态</w:t>
      </w:r>
      <w:r>
        <w:rPr>
          <w:spacing w:val="-42"/>
        </w:rPr>
        <w:t> </w:t>
      </w:r>
      <w:r>
        <w:rPr/>
        <w:t>运营系统不仅要遵照电信行业标准，还要外延其支撑能力，深入到用户和合作伙伴的业务运营过</w:t>
      </w:r>
      <w:r>
        <w:rPr/>
        <w:t> 程中，兼容</w:t>
      </w:r>
      <w:r>
        <w:rPr>
          <w:rFonts w:ascii="Times New Roman" w:hAnsi="Times New Roman" w:cs="Times New Roman" w:eastAsia="Times New Roman" w:hint="default"/>
        </w:rPr>
        <w:t>5G</w:t>
      </w:r>
      <w:r>
        <w:rPr/>
        <w:t>生态圈的需求。</w:t>
      </w:r>
    </w:p>
    <w:p>
      <w:pPr>
        <w:pStyle w:val="BodyText"/>
        <w:spacing w:line="307" w:lineRule="auto" w:before="53"/>
        <w:ind w:right="1130" w:firstLine="360"/>
        <w:jc w:val="both"/>
      </w:pPr>
      <w:r>
        <w:rPr>
          <w:rFonts w:ascii="Times New Roman" w:hAnsi="Times New Roman" w:cs="Times New Roman" w:eastAsia="Times New Roman" w:hint="default"/>
        </w:rPr>
        <w:t>5G</w:t>
      </w:r>
      <w:r>
        <w:rPr/>
        <w:t>丰富的应用场景将助推支撑及生态运营系统持续增长。根据国际电信联盟</w:t>
      </w:r>
      <w:r>
        <w:rPr>
          <w:spacing w:val="36"/>
        </w:rPr>
        <w:t> </w:t>
      </w:r>
      <w:r>
        <w:rPr>
          <w:rFonts w:ascii="Times New Roman" w:hAnsi="Times New Roman" w:cs="Times New Roman" w:eastAsia="Times New Roman" w:hint="default"/>
        </w:rPr>
        <w:t>(ITU)</w:t>
      </w:r>
      <w:r>
        <w:rPr/>
        <w:t>的定义，</w:t>
      </w:r>
      <w:r>
        <w:rPr>
          <w:rFonts w:ascii="Times New Roman" w:hAnsi="Times New Roman" w:cs="Times New Roman" w:eastAsia="Times New Roman" w:hint="default"/>
        </w:rPr>
        <w:t>5G</w:t>
      </w:r>
      <w:r>
        <w:rPr/>
        <w:t>主要有增强型移动宽带 </w:t>
      </w:r>
      <w:r>
        <w:rPr>
          <w:rFonts w:ascii="Times New Roman" w:hAnsi="Times New Roman" w:cs="Times New Roman" w:eastAsia="Times New Roman" w:hint="default"/>
        </w:rPr>
        <w:t>(eMBB)</w:t>
      </w:r>
      <w:r>
        <w:rPr/>
        <w:t>、海量机器类通信</w:t>
      </w:r>
      <w:r>
        <w:rPr>
          <w:rFonts w:ascii="Times New Roman" w:hAnsi="Times New Roman" w:cs="Times New Roman" w:eastAsia="Times New Roman" w:hint="default"/>
        </w:rPr>
        <w:t>(mMTC) </w:t>
      </w:r>
      <w:r>
        <w:rPr/>
        <w:t>及低时延高可靠通信</w:t>
      </w:r>
      <w:r>
        <w:rPr>
          <w:rFonts w:ascii="Times New Roman" w:hAnsi="Times New Roman" w:cs="Times New Roman" w:eastAsia="Times New Roman" w:hint="default"/>
        </w:rPr>
        <w:t>(uRLLC)</w:t>
      </w:r>
      <w:r>
        <w:rPr/>
        <w:t>三大应用场景，这些应用场景将接入车辆、工业设备、医</w:t>
      </w:r>
      <w:r>
        <w:rPr>
          <w:spacing w:val="-81"/>
        </w:rPr>
        <w:t> </w:t>
      </w:r>
      <w:r>
        <w:rPr>
          <w:spacing w:val="-81"/>
        </w:rPr>
      </w:r>
      <w:r>
        <w:rPr/>
        <w:t>疗设备</w:t>
      </w:r>
      <w:r>
        <w:rPr>
          <w:spacing w:val="-32"/>
        </w:rPr>
        <w:t> </w:t>
      </w:r>
      <w:r>
        <w:rPr>
          <w:spacing w:val="-7"/>
        </w:rPr>
        <w:t>、家居等更多终端，支撑及生态</w:t>
      </w:r>
      <w:r>
        <w:rPr>
          <w:spacing w:val="-32"/>
        </w:rPr>
        <w:t> </w:t>
      </w:r>
      <w:r>
        <w:rPr/>
        <w:t>运营系统</w:t>
      </w:r>
      <w:r>
        <w:rPr>
          <w:spacing w:val="-32"/>
        </w:rPr>
        <w:t> </w:t>
      </w:r>
      <w:r>
        <w:rPr/>
        <w:t>作为电信运营商的核心业务系统，将长期受益各种新应用产生的计费、</w:t>
      </w:r>
      <w:r>
        <w:rPr>
          <w:spacing w:val="-70"/>
        </w:rPr>
        <w:t> </w:t>
      </w:r>
      <w:r>
        <w:rPr/>
        <w:t>运</w:t>
      </w:r>
      <w:r>
        <w:rPr>
          <w:w w:val="99"/>
        </w:rPr>
        <w:t> </w:t>
      </w:r>
      <w:r>
        <w:rPr/>
        <w:t>维、客户管理等新需求，迎来持续快速发展期。</w:t>
      </w:r>
    </w:p>
    <w:p>
      <w:pPr>
        <w:pStyle w:val="BodyText"/>
        <w:spacing w:line="316" w:lineRule="auto" w:before="67"/>
        <w:ind w:right="1132" w:firstLine="360"/>
        <w:jc w:val="both"/>
      </w:pPr>
      <w:r>
        <w:rPr>
          <w:spacing w:val="-2"/>
        </w:rPr>
        <w:t>上述市场、业务的变化，对支撑系统的运行效率、数据量、处理能力和稳定性不断提出更高的要求，同时要求业务运营</w:t>
      </w:r>
      <w:r>
        <w:rPr/>
        <w:t> </w:t>
      </w:r>
      <w:r>
        <w:rPr>
          <w:spacing w:val="-2"/>
        </w:rPr>
        <w:t>支撑系统卓越的采集、分析、加工、交易、应用等能力，为已具有一定市场规模和技术积累的公司带来更好的发展契机和更</w:t>
      </w:r>
      <w:r>
        <w:rPr>
          <w:spacing w:val="-65"/>
        </w:rPr>
        <w:t> </w:t>
      </w:r>
      <w:r>
        <w:rPr>
          <w:spacing w:val="-65"/>
        </w:rPr>
      </w:r>
      <w:r>
        <w:rPr/>
        <w:t>广阔的市场前景。</w:t>
      </w:r>
    </w:p>
    <w:p>
      <w:pPr>
        <w:pStyle w:val="Heading4"/>
        <w:spacing w:line="240" w:lineRule="auto" w:before="34"/>
        <w:ind w:left="575" w:right="982"/>
        <w:jc w:val="left"/>
        <w:rPr>
          <w:b w:val="0"/>
          <w:bCs w:val="0"/>
        </w:rPr>
      </w:pPr>
      <w:r>
        <w:rPr>
          <w:rFonts w:ascii="Times New Roman" w:hAnsi="Times New Roman" w:cs="Times New Roman" w:eastAsia="Times New Roman" w:hint="default"/>
        </w:rPr>
        <w:t>3</w:t>
      </w:r>
      <w:r>
        <w:rPr/>
        <w:t>、行业地位</w:t>
      </w:r>
      <w:r>
        <w:rPr>
          <w:b w:val="0"/>
          <w:bCs w:val="0"/>
        </w:rPr>
      </w:r>
    </w:p>
    <w:p>
      <w:pPr>
        <w:pStyle w:val="BodyText"/>
        <w:spacing w:line="309" w:lineRule="auto" w:before="85"/>
        <w:ind w:right="1130" w:firstLine="360"/>
        <w:jc w:val="both"/>
      </w:pPr>
      <w:r>
        <w:rPr>
          <w:spacing w:val="-2"/>
        </w:rPr>
        <w:t>作为国内领先的电信运营商核心业务系统提供商，公司</w:t>
      </w:r>
      <w:r>
        <w:rPr>
          <w:rFonts w:ascii="Times New Roman" w:hAnsi="Times New Roman" w:cs="Times New Roman" w:eastAsia="Times New Roman" w:hint="default"/>
          <w:spacing w:val="-2"/>
        </w:rPr>
        <w:t>20</w:t>
      </w:r>
      <w:r>
        <w:rPr>
          <w:spacing w:val="-2"/>
        </w:rPr>
        <w:t>多年来一直专注于电信运营商核心系统，一贯准确把握市场方</w:t>
      </w:r>
      <w:r>
        <w:rPr/>
        <w:t> </w:t>
      </w:r>
      <w:r>
        <w:rPr>
          <w:spacing w:val="-2"/>
        </w:rPr>
        <w:t>向，研究开发适应客户需求的技术和产品，为客户提供的服务贯穿于业务运营支撑软件开发的前端咨询、开发实施和后期技</w:t>
      </w:r>
      <w:r>
        <w:rPr>
          <w:spacing w:val="-63"/>
        </w:rPr>
        <w:t> </w:t>
      </w:r>
      <w:r>
        <w:rPr>
          <w:spacing w:val="-63"/>
        </w:rPr>
      </w:r>
      <w:r>
        <w:rPr/>
        <w:t>术维护，降低公司经营决策与市场需求相背离的经营风险，成为电信行业的核心厂商。</w:t>
      </w:r>
    </w:p>
    <w:p>
      <w:pPr>
        <w:pStyle w:val="BodyText"/>
        <w:spacing w:line="240" w:lineRule="auto" w:before="65"/>
        <w:ind w:left="513" w:right="982"/>
        <w:jc w:val="left"/>
      </w:pPr>
      <w:r>
        <w:rPr/>
        <w:t>同时，依托成熟完整的</w:t>
      </w:r>
      <w:r>
        <w:rPr>
          <w:rFonts w:ascii="Times New Roman" w:hAnsi="Times New Roman" w:cs="Times New Roman" w:eastAsia="Times New Roman" w:hint="default"/>
        </w:rPr>
        <w:t>PaaS</w:t>
      </w:r>
      <w:r>
        <w:rPr/>
        <w:t>和</w:t>
      </w:r>
      <w:r>
        <w:rPr>
          <w:rFonts w:ascii="Times New Roman" w:hAnsi="Times New Roman" w:cs="Times New Roman" w:eastAsia="Times New Roman" w:hint="default"/>
        </w:rPr>
        <w:t>IaaS</w:t>
      </w:r>
      <w:r>
        <w:rPr/>
        <w:t>产品，公司以先进的技术，结合良好的运营和服务机制，逐渐建立并完善了具有竞争</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力的公有云和大数据服务，并成为了云和大数据行业的主力厂商。</w:t>
      </w:r>
    </w:p>
    <w:p>
      <w:pPr>
        <w:pStyle w:val="BodyText"/>
        <w:spacing w:line="300" w:lineRule="auto" w:before="117"/>
        <w:ind w:right="1130" w:firstLine="360"/>
        <w:jc w:val="both"/>
      </w:pPr>
      <w:r>
        <w:rPr>
          <w:rFonts w:ascii="Times New Roman" w:hAnsi="Times New Roman" w:cs="Times New Roman" w:eastAsia="Times New Roman" w:hint="default"/>
        </w:rPr>
        <w:t>2019</w:t>
      </w:r>
      <w:r>
        <w:rPr/>
        <w:t>年，公司荣获</w:t>
      </w:r>
      <w:r>
        <w:rPr>
          <w:rFonts w:ascii="Times New Roman" w:hAnsi="Times New Roman" w:cs="Times New Roman" w:eastAsia="Times New Roman" w:hint="default"/>
        </w:rPr>
        <w:t>“2019</w:t>
      </w:r>
      <w:r>
        <w:rPr/>
        <w:t>中国大数据企业</w:t>
      </w:r>
      <w:r>
        <w:rPr>
          <w:rFonts w:ascii="Times New Roman" w:hAnsi="Times New Roman" w:cs="Times New Roman" w:eastAsia="Times New Roman" w:hint="default"/>
        </w:rPr>
        <w:t>50</w:t>
      </w:r>
      <w:r>
        <w:rPr/>
        <w:t>强</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w:t>
      </w:r>
      <w:r>
        <w:rPr/>
        <w:t>北京市软件企业核心竞争力评价</w:t>
      </w:r>
      <w:r>
        <w:rPr>
          <w:rFonts w:ascii="Times New Roman" w:hAnsi="Times New Roman" w:cs="Times New Roman" w:eastAsia="Times New Roman" w:hint="default"/>
        </w:rPr>
        <w:t>-</w:t>
      </w:r>
      <w:r>
        <w:rPr/>
        <w:t>规模型</w:t>
      </w:r>
      <w:r>
        <w:rPr>
          <w:rFonts w:ascii="Times New Roman" w:hAnsi="Times New Roman" w:cs="Times New Roman" w:eastAsia="Times New Roman" w:hint="default"/>
        </w:rPr>
        <w:t>”</w:t>
      </w:r>
      <w:r>
        <w:rPr/>
        <w:t>；连续三年荣登</w:t>
      </w:r>
      <w:r>
        <w:rPr>
          <w:rFonts w:ascii="Times New Roman" w:hAnsi="Times New Roman" w:cs="Times New Roman" w:eastAsia="Times New Roman" w:hint="default"/>
        </w:rPr>
        <w:t>“2019</w:t>
      </w:r>
      <w:r>
        <w:rPr/>
        <w:t>北 京软件和信息服务业综合实力百强</w:t>
      </w:r>
      <w:r>
        <w:rPr>
          <w:rFonts w:ascii="Times New Roman" w:hAnsi="Times New Roman" w:cs="Times New Roman" w:eastAsia="Times New Roman" w:hint="default"/>
        </w:rPr>
        <w:t>”</w:t>
      </w:r>
      <w:r>
        <w:rPr/>
        <w:t>榜单；获评</w:t>
      </w:r>
      <w:r>
        <w:rPr>
          <w:rFonts w:ascii="Times New Roman" w:hAnsi="Times New Roman" w:cs="Times New Roman" w:eastAsia="Times New Roman" w:hint="default"/>
        </w:rPr>
        <w:t>“2018</w:t>
      </w:r>
      <w:r>
        <w:rPr/>
        <w:t>年度纳税信用</w:t>
      </w:r>
      <w:r>
        <w:rPr>
          <w:rFonts w:ascii="Times New Roman" w:hAnsi="Times New Roman" w:cs="Times New Roman" w:eastAsia="Times New Roman" w:hint="default"/>
        </w:rPr>
        <w:t>A</w:t>
      </w:r>
      <w:r>
        <w:rPr/>
        <w:t>级纳税人</w:t>
      </w:r>
      <w:r>
        <w:rPr>
          <w:rFonts w:ascii="Times New Roman" w:hAnsi="Times New Roman" w:cs="Times New Roman" w:eastAsia="Times New Roman" w:hint="default"/>
        </w:rPr>
        <w:t>”</w:t>
      </w:r>
      <w:r>
        <w:rPr/>
        <w:t>名单、</w:t>
      </w:r>
      <w:r>
        <w:rPr>
          <w:rFonts w:ascii="Times New Roman" w:hAnsi="Times New Roman" w:cs="Times New Roman" w:eastAsia="Times New Roman" w:hint="default"/>
        </w:rPr>
        <w:t>“2018</w:t>
      </w:r>
      <w:r>
        <w:rPr/>
        <w:t>年度中关村知识产权重点示范企</w:t>
      </w:r>
      <w:r>
        <w:rPr>
          <w:spacing w:val="-85"/>
        </w:rPr>
        <w:t> </w:t>
      </w:r>
      <w:r>
        <w:rPr>
          <w:spacing w:val="-85"/>
        </w:rPr>
      </w:r>
      <w:r>
        <w:rPr/>
        <w:t>业</w:t>
      </w:r>
      <w:r>
        <w:rPr>
          <w:rFonts w:ascii="Times New Roman" w:hAnsi="Times New Roman" w:cs="Times New Roman" w:eastAsia="Times New Roman" w:hint="default"/>
        </w:rPr>
        <w:t>”</w:t>
      </w:r>
      <w:r>
        <w:rPr/>
        <w:t>，强势通过</w:t>
      </w:r>
      <w:r>
        <w:rPr>
          <w:rFonts w:ascii="Times New Roman" w:hAnsi="Times New Roman" w:cs="Times New Roman" w:eastAsia="Times New Roman" w:hint="default"/>
        </w:rPr>
        <w:t>“CMMI5</w:t>
      </w:r>
      <w:r>
        <w:rPr/>
        <w:t>级复评认证</w:t>
      </w:r>
      <w:r>
        <w:rPr>
          <w:rFonts w:ascii="Times New Roman" w:hAnsi="Times New Roman" w:cs="Times New Roman" w:eastAsia="Times New Roman" w:hint="default"/>
        </w:rPr>
        <w:t>”</w:t>
      </w:r>
      <w:r>
        <w:rPr/>
        <w:t>，创建的高成熟度质量管理体系得到最佳赞许。</w:t>
      </w:r>
    </w:p>
    <w:p>
      <w:pPr>
        <w:spacing w:line="240" w:lineRule="auto" w:before="0"/>
        <w:rPr>
          <w:rFonts w:ascii="宋体" w:hAnsi="宋体" w:cs="宋体" w:eastAsia="宋体" w:hint="default"/>
          <w:sz w:val="18"/>
          <w:szCs w:val="18"/>
        </w:rPr>
      </w:pPr>
    </w:p>
    <w:p>
      <w:pPr>
        <w:pStyle w:val="Heading4"/>
        <w:spacing w:line="240" w:lineRule="auto" w:before="145"/>
        <w:ind w:left="575" w:right="982"/>
        <w:jc w:val="left"/>
        <w:rPr>
          <w:b w:val="0"/>
          <w:bCs w:val="0"/>
        </w:rPr>
      </w:pPr>
      <w:r>
        <w:rPr/>
        <w:t>（五）客户所处行业的发展情况</w:t>
      </w:r>
      <w:r>
        <w:rPr>
          <w:b w:val="0"/>
          <w:bCs w:val="0"/>
        </w:rPr>
      </w:r>
    </w:p>
    <w:p>
      <w:pPr>
        <w:pStyle w:val="BodyText"/>
        <w:spacing w:line="240" w:lineRule="auto" w:before="101"/>
        <w:ind w:left="513" w:right="982"/>
        <w:jc w:val="left"/>
      </w:pPr>
      <w:r>
        <w:rPr/>
        <w:t>报告期内，我国经济由高速增长阶段稳步向高质量发展阶段迈进，经济发展质量在持续改善，</w:t>
      </w:r>
      <w:r>
        <w:rPr>
          <w:rFonts w:ascii="Times New Roman" w:hAnsi="Times New Roman" w:cs="Times New Roman" w:eastAsia="Times New Roman" w:hint="default"/>
        </w:rPr>
        <w:t>2015</w:t>
      </w:r>
      <w:r>
        <w:rPr/>
        <w:t>年以来</w:t>
      </w:r>
      <w:r>
        <w:rPr>
          <w:rFonts w:ascii="Times New Roman" w:hAnsi="Times New Roman" w:cs="Times New Roman" w:eastAsia="Times New Roman" w:hint="default"/>
        </w:rPr>
        <w:t>GDP</w:t>
      </w:r>
      <w:r>
        <w:rPr/>
        <w:t>增速连续</w:t>
      </w:r>
    </w:p>
    <w:p>
      <w:pPr>
        <w:pStyle w:val="BodyText"/>
        <w:spacing w:line="338" w:lineRule="auto" w:before="63"/>
        <w:ind w:left="513" w:right="982" w:hanging="360"/>
        <w:jc w:val="left"/>
      </w:pPr>
      <w:r>
        <w:rPr>
          <w:rFonts w:ascii="Times New Roman" w:hAnsi="Times New Roman" w:cs="Times New Roman" w:eastAsia="Times New Roman" w:hint="default"/>
        </w:rPr>
        <w:t>15</w:t>
      </w:r>
      <w:r>
        <w:rPr/>
        <w:t>个季度稳定在</w:t>
      </w:r>
      <w:r>
        <w:rPr>
          <w:rFonts w:ascii="Times New Roman" w:hAnsi="Times New Roman" w:cs="Times New Roman" w:eastAsia="Times New Roman" w:hint="default"/>
        </w:rPr>
        <w:t>6.5%-7%</w:t>
      </w:r>
      <w:r>
        <w:rPr/>
        <w:t>之间，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CPI</w:t>
      </w:r>
      <w:r>
        <w:rPr/>
        <w:t>同比增长</w:t>
      </w:r>
      <w:r>
        <w:rPr>
          <w:rFonts w:ascii="Times New Roman" w:hAnsi="Times New Roman" w:cs="Times New Roman" w:eastAsia="Times New Roman" w:hint="default"/>
        </w:rPr>
        <w:t>2.1%</w:t>
      </w:r>
      <w:r>
        <w:rPr/>
        <w:t>，居民消费价格涨幅温和。</w:t>
      </w:r>
      <w:r>
        <w:rPr>
          <w:w w:val="99"/>
        </w:rPr>
        <w:t> </w:t>
      </w:r>
      <w:r>
        <w:rPr/>
        <w:t>工信部数据显示，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11</w:t>
      </w:r>
      <w:r>
        <w:rPr/>
        <w:t>月，电信业务总量、移动互联网接入流量、</w:t>
      </w:r>
      <w:r>
        <w:rPr>
          <w:rFonts w:ascii="Times New Roman" w:hAnsi="Times New Roman" w:cs="Times New Roman" w:eastAsia="Times New Roman" w:hint="default"/>
        </w:rPr>
        <w:t>DOU(</w:t>
      </w:r>
      <w:r>
        <w:rPr/>
        <w:t>平均每位用户每月上网流量</w:t>
      </w:r>
      <w:r>
        <w:rPr>
          <w:rFonts w:ascii="Times New Roman" w:hAnsi="Times New Roman" w:cs="Times New Roman" w:eastAsia="Times New Roman" w:hint="default"/>
        </w:rPr>
        <w:t>)</w:t>
      </w:r>
      <w:r>
        <w:rPr/>
        <w:t>等数据</w:t>
      </w:r>
    </w:p>
    <w:p>
      <w:pPr>
        <w:pStyle w:val="BodyText"/>
        <w:spacing w:line="217" w:lineRule="exact"/>
        <w:ind w:right="982"/>
        <w:jc w:val="left"/>
      </w:pPr>
      <w:r>
        <w:rPr/>
        <w:t>增速均超三位数；移动和宽带用户的增长超出预期，在庞大的用户基数上继续实现快速增长；电信资费的下降有效地刺激了</w:t>
      </w:r>
    </w:p>
    <w:p>
      <w:pPr>
        <w:pStyle w:val="BodyText"/>
        <w:spacing w:line="300" w:lineRule="auto" w:before="76"/>
        <w:ind w:right="982"/>
        <w:jc w:val="left"/>
      </w:pPr>
      <w:r>
        <w:rPr>
          <w:spacing w:val="-1"/>
        </w:rPr>
        <w:t>用户对电信服务需求，增长驱动力从服务普及转向业务上量。</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6</w:t>
      </w:r>
      <w:r>
        <w:rPr>
          <w:spacing w:val="-1"/>
        </w:rPr>
        <w:t>日，三大电信运营商获得全国范围</w:t>
      </w:r>
      <w:r>
        <w:rPr>
          <w:rFonts w:ascii="Times New Roman" w:hAnsi="Times New Roman" w:cs="Times New Roman" w:eastAsia="Times New Roman" w:hint="default"/>
          <w:spacing w:val="-1"/>
        </w:rPr>
        <w:t>5G</w:t>
      </w:r>
      <w:r>
        <w:rPr>
          <w:spacing w:val="-1"/>
        </w:rPr>
        <w:t>中低频段试</w:t>
      </w:r>
      <w:r>
        <w:rPr>
          <w:spacing w:val="-66"/>
        </w:rPr>
        <w:t> </w:t>
      </w:r>
      <w:r>
        <w:rPr>
          <w:spacing w:val="-66"/>
        </w:rPr>
      </w:r>
      <w:r>
        <w:rPr/>
        <w:t>验频率许可，</w:t>
      </w:r>
      <w:r>
        <w:rPr>
          <w:rFonts w:ascii="Times New Roman" w:hAnsi="Times New Roman" w:cs="Times New Roman" w:eastAsia="Times New Roman" w:hint="default"/>
        </w:rPr>
        <w:t>5G</w:t>
      </w:r>
      <w:r>
        <w:rPr/>
        <w:t>商用加速推进，</w:t>
      </w:r>
      <w:r>
        <w:rPr>
          <w:rFonts w:ascii="Times New Roman" w:hAnsi="Times New Roman" w:cs="Times New Roman" w:eastAsia="Times New Roman" w:hint="default"/>
        </w:rPr>
        <w:t>5G</w:t>
      </w:r>
      <w:r>
        <w:rPr/>
        <w:t>产业链将持续受益。</w:t>
      </w:r>
    </w:p>
    <w:p>
      <w:pPr>
        <w:pStyle w:val="BodyText"/>
        <w:spacing w:line="307" w:lineRule="auto" w:before="53"/>
        <w:ind w:right="982" w:firstLine="360"/>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日，工信部召开加快推进</w:t>
      </w:r>
      <w:r>
        <w:rPr>
          <w:rFonts w:ascii="Times New Roman" w:hAnsi="Times New Roman" w:cs="Times New Roman" w:eastAsia="Times New Roman" w:hint="default"/>
        </w:rPr>
        <w:t>5G</w:t>
      </w:r>
      <w:r>
        <w:rPr/>
        <w:t>发展、做好信息通信业复工复产工作电视电话会议，强调在在做好疫情防控工 作的同时，扎实做好</w:t>
      </w:r>
      <w:r>
        <w:rPr>
          <w:rFonts w:ascii="Times New Roman" w:hAnsi="Times New Roman" w:cs="Times New Roman" w:eastAsia="Times New Roman" w:hint="default"/>
        </w:rPr>
        <w:t>5G</w:t>
      </w:r>
      <w:r>
        <w:rPr/>
        <w:t>发展和复工复产工作，努力完成全年发展目标任务。会议明确要加快</w:t>
      </w:r>
      <w:r>
        <w:rPr>
          <w:rFonts w:ascii="Times New Roman" w:hAnsi="Times New Roman" w:cs="Times New Roman" w:eastAsia="Times New Roman" w:hint="default"/>
        </w:rPr>
        <w:t>5G</w:t>
      </w:r>
      <w:r>
        <w:rPr/>
        <w:t>商用步伐，提出从加强统筹</w:t>
      </w:r>
      <w:r>
        <w:rPr>
          <w:spacing w:val="-73"/>
        </w:rPr>
        <w:t> </w:t>
      </w:r>
      <w:r>
        <w:rPr>
          <w:spacing w:val="-73"/>
        </w:rPr>
      </w:r>
      <w:r>
        <w:rPr>
          <w:spacing w:val="-4"/>
        </w:rPr>
        <w:t>协调、加快建设进度、推动融合发展和丰富应用场景四方面推动信息通信业高质量发展。基础电信企业要及时评估疫情影响，</w:t>
      </w:r>
      <w:r>
        <w:rPr>
          <w:spacing w:val="-44"/>
        </w:rPr>
        <w:t> </w:t>
      </w:r>
      <w:r>
        <w:rPr>
          <w:spacing w:val="-44"/>
        </w:rPr>
      </w:r>
      <w:r>
        <w:rPr/>
        <w:t>制定和优化</w:t>
      </w:r>
      <w:r>
        <w:rPr>
          <w:rFonts w:ascii="Times New Roman" w:hAnsi="Times New Roman" w:cs="Times New Roman" w:eastAsia="Times New Roman" w:hint="default"/>
        </w:rPr>
        <w:t>5G</w:t>
      </w:r>
      <w:r>
        <w:rPr/>
        <w:t>网络建设计划，加快</w:t>
      </w:r>
      <w:r>
        <w:rPr>
          <w:rFonts w:ascii="Times New Roman" w:hAnsi="Times New Roman" w:cs="Times New Roman" w:eastAsia="Times New Roman" w:hint="default"/>
        </w:rPr>
        <w:t>5G</w:t>
      </w:r>
      <w:r>
        <w:rPr/>
        <w:t>特别是独立组网建设步伐，切实发挥</w:t>
      </w:r>
      <w:r>
        <w:rPr>
          <w:rFonts w:ascii="Times New Roman" w:hAnsi="Times New Roman" w:cs="Times New Roman" w:eastAsia="Times New Roman" w:hint="default"/>
        </w:rPr>
        <w:t>5G</w:t>
      </w:r>
      <w:r>
        <w:rPr/>
        <w:t>建设对</w:t>
      </w:r>
      <w:r>
        <w:rPr>
          <w:rFonts w:ascii="Times New Roman" w:hAnsi="Times New Roman" w:cs="Times New Roman" w:eastAsia="Times New Roman" w:hint="default"/>
        </w:rPr>
        <w:t>“</w:t>
      </w:r>
      <w:r>
        <w:rPr/>
        <w:t>稳投资</w:t>
      </w:r>
      <w:r>
        <w:rPr>
          <w:rFonts w:ascii="Times New Roman" w:hAnsi="Times New Roman" w:cs="Times New Roman" w:eastAsia="Times New Roman" w:hint="default"/>
        </w:rPr>
        <w:t>”</w:t>
      </w:r>
      <w:r>
        <w:rPr/>
        <w:t>、带动产业链发展的积极作用</w:t>
      </w:r>
    </w:p>
    <w:p>
      <w:pPr>
        <w:pStyle w:val="BodyText"/>
        <w:spacing w:line="307" w:lineRule="auto" w:before="129"/>
        <w:ind w:right="1134" w:firstLine="360"/>
        <w:jc w:val="both"/>
      </w:pPr>
      <w:r>
        <w:rPr/>
        <w:t>随着</w:t>
      </w:r>
      <w:r>
        <w:rPr>
          <w:rFonts w:ascii="Times New Roman" w:hAnsi="Times New Roman" w:cs="Times New Roman" w:eastAsia="Times New Roman" w:hint="default"/>
        </w:rPr>
        <w:t>5G</w:t>
      </w:r>
      <w:r>
        <w:rPr/>
        <w:t>的快速展开，整个电信市场将迎接万物互联时代的到来，信息将突破时空限制实现人与万物的智能互联，计费 </w:t>
      </w:r>
      <w:r>
        <w:rPr>
          <w:spacing w:val="-2"/>
        </w:rPr>
        <w:t>对象除了个人用户，还有工业企业用户，这些变化将对支撑系统的运行效率、数据量、处理能力和稳定性提出更高要求，同</w:t>
      </w:r>
      <w:r>
        <w:rPr>
          <w:spacing w:val="-67"/>
        </w:rPr>
        <w:t> </w:t>
      </w:r>
      <w:r>
        <w:rPr>
          <w:spacing w:val="-67"/>
        </w:rPr>
      </w:r>
      <w:r>
        <w:rPr/>
        <w:t>时云、大数据和物联网、人工智能将在</w:t>
      </w:r>
      <w:r>
        <w:rPr>
          <w:rFonts w:ascii="Times New Roman" w:hAnsi="Times New Roman" w:cs="Times New Roman" w:eastAsia="Times New Roman" w:hint="default"/>
        </w:rPr>
        <w:t>5G</w:t>
      </w:r>
      <w:r>
        <w:rPr/>
        <w:t>时代逐渐成熟、落地，整个产业将拥抱全新业态，重构生态合作。</w:t>
      </w:r>
    </w:p>
    <w:p>
      <w:pPr>
        <w:pStyle w:val="BodyText"/>
        <w:spacing w:line="307" w:lineRule="auto" w:before="129"/>
        <w:ind w:right="1133" w:firstLine="360"/>
        <w:jc w:val="both"/>
      </w:pPr>
      <w:r>
        <w:rPr>
          <w:spacing w:val="-2"/>
        </w:rPr>
        <w:t>应对外部因素的变化情况，公司持续密切关注产业政策、市场变化，推进对行业发展的战略把握，持续投入产品和技术</w:t>
      </w:r>
      <w:r>
        <w:rPr/>
        <w:t> 研发，不断提升生产方式的敏捷和完善，并提高领导力和管理水平，通过生态链的建设和运营</w:t>
      </w:r>
      <w:r>
        <w:rPr>
          <w:rFonts w:ascii="Times New Roman" w:hAnsi="Times New Roman" w:cs="Times New Roman" w:eastAsia="Times New Roman" w:hint="default"/>
        </w:rPr>
        <w:t>,</w:t>
      </w:r>
      <w:r>
        <w:rPr/>
        <w:t>着力发展生态链下的云和大</w:t>
      </w:r>
      <w:r>
        <w:rPr>
          <w:spacing w:val="-45"/>
        </w:rPr>
        <w:t> </w:t>
      </w:r>
      <w:r>
        <w:rPr>
          <w:spacing w:val="-45"/>
        </w:rPr>
      </w:r>
      <w:r>
        <w:rPr/>
        <w:t>数据服务、万物互联、智慧城市、虚拟运营商等市场；创新营造以价值运营为核心的合作共赢的智慧运营和谐生态体系。</w:t>
      </w:r>
    </w:p>
    <w:p>
      <w:pPr>
        <w:spacing w:line="240" w:lineRule="auto" w:before="6"/>
        <w:rPr>
          <w:rFonts w:ascii="宋体" w:hAnsi="宋体" w:cs="宋体" w:eastAsia="宋体" w:hint="default"/>
          <w:sz w:val="21"/>
          <w:szCs w:val="21"/>
        </w:rPr>
      </w:pPr>
    </w:p>
    <w:p>
      <w:pPr>
        <w:pStyle w:val="Heading2"/>
        <w:spacing w:line="240" w:lineRule="auto"/>
        <w:ind w:right="982"/>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20"/>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297"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年末余额较年初增加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9,110.14</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136.05%</w:t>
            </w:r>
            <w:r>
              <w:rPr>
                <w:rFonts w:ascii="宋体" w:hAnsi="宋体" w:cs="宋体" w:eastAsia="宋体" w:hint="default"/>
                <w:spacing w:val="-3"/>
                <w:sz w:val="18"/>
                <w:szCs w:val="18"/>
              </w:rPr>
              <w:t>，主要原因是成都</w:t>
            </w:r>
            <w:r>
              <w:rPr>
                <w:rFonts w:ascii="宋体" w:hAnsi="宋体" w:cs="宋体" w:eastAsia="宋体" w:hint="default"/>
                <w:sz w:val="18"/>
                <w:szCs w:val="18"/>
              </w:rPr>
              <w:t> 子公司购入办公楼所致。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年末余额较年初余额增加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875.08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100.97%</w:t>
            </w:r>
            <w:r>
              <w:rPr>
                <w:rFonts w:ascii="宋体" w:hAnsi="宋体" w:cs="宋体" w:eastAsia="宋体" w:hint="default"/>
                <w:sz w:val="18"/>
                <w:szCs w:val="18"/>
              </w:rPr>
              <w:t>，主要原因是 研发资本化项目达到预定可使用状态转至无形资产所致。</w:t>
            </w:r>
          </w:p>
        </w:tc>
      </w:tr>
      <w:tr>
        <w:trPr>
          <w:trHeight w:val="392"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297"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年末余额较年初余额减少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3,546.57</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万元，下降</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100.00%</w:t>
            </w:r>
            <w:r>
              <w:rPr>
                <w:rFonts w:ascii="宋体" w:hAnsi="宋体" w:cs="宋体" w:eastAsia="宋体" w:hint="default"/>
                <w:spacing w:val="-4"/>
                <w:sz w:val="18"/>
                <w:szCs w:val="18"/>
              </w:rPr>
              <w:t>，主要原因是</w:t>
            </w:r>
            <w:r>
              <w:rPr>
                <w:rFonts w:ascii="宋体" w:hAnsi="宋体" w:cs="宋体" w:eastAsia="宋体" w:hint="default"/>
                <w:sz w:val="18"/>
                <w:szCs w:val="18"/>
              </w:rPr>
              <w:t> 成都易信购入办公楼转固所致。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0"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年末余额较年初减少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1,814.43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万元，下降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74.22%</w:t>
            </w:r>
            <w:r>
              <w:rPr>
                <w:rFonts w:ascii="宋体" w:hAnsi="宋体" w:cs="宋体" w:eastAsia="宋体" w:hint="default"/>
                <w:sz w:val="18"/>
                <w:szCs w:val="18"/>
              </w:rPr>
              <w:t>，主要原因是 国债逆回购减少所致。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年末余额较年初增加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984.55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207.48%</w:t>
            </w:r>
            <w:r>
              <w:rPr>
                <w:rFonts w:ascii="宋体" w:hAnsi="宋体" w:cs="宋体" w:eastAsia="宋体" w:hint="default"/>
                <w:sz w:val="18"/>
                <w:szCs w:val="18"/>
              </w:rPr>
              <w:t>，主要原因是研发 项目资本化所致。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年末余额较年初增加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30,453.49</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万元，增长</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4827.06%</w:t>
            </w:r>
            <w:r>
              <w:rPr>
                <w:rFonts w:ascii="宋体" w:hAnsi="宋体" w:cs="宋体" w:eastAsia="宋体" w:hint="default"/>
                <w:spacing w:val="-4"/>
                <w:sz w:val="18"/>
                <w:szCs w:val="18"/>
              </w:rPr>
              <w:t>，主要原</w:t>
            </w:r>
            <w:r>
              <w:rPr>
                <w:rFonts w:ascii="宋体" w:hAnsi="宋体" w:cs="宋体" w:eastAsia="宋体" w:hint="default"/>
                <w:sz w:val="18"/>
                <w:szCs w:val="18"/>
              </w:rPr>
              <w:t> 因是预付北京万毓地产购房款所致。</w:t>
            </w:r>
          </w:p>
        </w:tc>
      </w:tr>
    </w:tbl>
    <w:p>
      <w:pPr>
        <w:spacing w:after="0" w:line="30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b/>
          <w:bCs/>
          <w:sz w:val="24"/>
          <w:szCs w:val="24"/>
        </w:rPr>
      </w:pPr>
    </w:p>
    <w:p>
      <w:pPr>
        <w:pStyle w:val="Heading4"/>
        <w:spacing w:line="240" w:lineRule="auto" w:before="36"/>
        <w:ind w:right="982"/>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1066"/>
        <w:gridCol w:w="1063"/>
        <w:gridCol w:w="1241"/>
        <w:gridCol w:w="886"/>
        <w:gridCol w:w="1064"/>
        <w:gridCol w:w="1063"/>
        <w:gridCol w:w="1066"/>
        <w:gridCol w:w="1063"/>
        <w:gridCol w:w="1059"/>
      </w:tblGrid>
      <w:tr>
        <w:trPr>
          <w:trHeight w:val="102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8" w:right="74" w:hanging="269"/>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收益状况</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358"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易信掌中云</w:t>
            </w:r>
          </w:p>
        </w:tc>
        <w:tc>
          <w:tcPr>
            <w:tcW w:w="1063" w:type="dxa"/>
            <w:tcBorders>
              <w:top w:val="single" w:sz="4" w:space="0" w:color="000000"/>
              <w:left w:val="single" w:sz="4" w:space="0" w:color="000000"/>
              <w:bottom w:val="nil" w:sz="6" w:space="0" w:color="auto"/>
              <w:right w:val="single" w:sz="4" w:space="0" w:color="000000"/>
            </w:tcBorders>
          </w:tcPr>
          <w:p>
            <w:pPr/>
          </w:p>
        </w:tc>
        <w:tc>
          <w:tcPr>
            <w:tcW w:w="1241" w:type="dxa"/>
            <w:tcBorders>
              <w:top w:val="single" w:sz="4" w:space="0" w:color="000000"/>
              <w:left w:val="single" w:sz="4" w:space="0" w:color="000000"/>
              <w:bottom w:val="nil" w:sz="6" w:space="0" w:color="auto"/>
              <w:right w:val="single" w:sz="4" w:space="0" w:color="000000"/>
            </w:tcBorders>
          </w:tcPr>
          <w:p>
            <w:pPr/>
          </w:p>
        </w:tc>
        <w:tc>
          <w:tcPr>
            <w:tcW w:w="886"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59"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信息技术有</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4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2,443,797.04</w:t>
            </w:r>
          </w:p>
        </w:tc>
        <w:tc>
          <w:tcPr>
            <w:tcW w:w="8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95" w:right="0"/>
              <w:jc w:val="left"/>
              <w:rPr>
                <w:rFonts w:ascii="Times New Roman" w:hAnsi="Times New Roman" w:cs="Times New Roman" w:eastAsia="Times New Roman" w:hint="default"/>
                <w:sz w:val="18"/>
                <w:szCs w:val="18"/>
              </w:rPr>
            </w:pPr>
            <w:r>
              <w:rPr>
                <w:rFonts w:ascii="Times New Roman"/>
                <w:sz w:val="18"/>
              </w:rPr>
              <w:t>0.31%</w:t>
            </w: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063" w:type="dxa"/>
            <w:tcBorders>
              <w:top w:val="nil" w:sz="6" w:space="0" w:color="auto"/>
              <w:left w:val="single" w:sz="4" w:space="0" w:color="000000"/>
              <w:bottom w:val="single" w:sz="4" w:space="0" w:color="000000"/>
              <w:right w:val="single" w:sz="4" w:space="0" w:color="000000"/>
            </w:tcBorders>
          </w:tcPr>
          <w:p>
            <w:pPr/>
          </w:p>
        </w:tc>
        <w:tc>
          <w:tcPr>
            <w:tcW w:w="1241" w:type="dxa"/>
            <w:tcBorders>
              <w:top w:val="nil" w:sz="6" w:space="0" w:color="auto"/>
              <w:left w:val="single" w:sz="4" w:space="0" w:color="000000"/>
              <w:bottom w:val="single" w:sz="4" w:space="0" w:color="000000"/>
              <w:right w:val="single" w:sz="4" w:space="0" w:color="000000"/>
            </w:tcBorders>
          </w:tcPr>
          <w:p>
            <w:pPr/>
          </w:p>
        </w:tc>
        <w:tc>
          <w:tcPr>
            <w:tcW w:w="886"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59"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982" w:firstLine="360"/>
        <w:jc w:val="left"/>
      </w:pPr>
      <w:r>
        <w:rPr>
          <w:spacing w:val="-3"/>
        </w:rPr>
        <w:t>公司以技术为核心竞争力的发展战略贯穿于公司管理的整个的生命周期。</w:t>
      </w:r>
      <w:r>
        <w:rPr>
          <w:rFonts w:ascii="Times New Roman" w:hAnsi="Times New Roman" w:cs="Times New Roman" w:eastAsia="Times New Roman" w:hint="default"/>
          <w:spacing w:val="-3"/>
        </w:rPr>
        <w:t>2019</w:t>
      </w:r>
      <w:r>
        <w:rPr>
          <w:spacing w:val="-3"/>
        </w:rPr>
        <w:t>年，公司集中优势技术团队，重点发力</w:t>
      </w:r>
      <w:r>
        <w:rPr>
          <w:rFonts w:ascii="Times New Roman" w:hAnsi="Times New Roman" w:cs="Times New Roman" w:eastAsia="Times New Roman" w:hint="default"/>
          <w:spacing w:val="-3"/>
        </w:rPr>
        <w:t>5G</w:t>
      </w:r>
      <w:r>
        <w:rPr>
          <w:rFonts w:ascii="Times New Roman" w:hAnsi="Times New Roman" w:cs="Times New Roman" w:eastAsia="Times New Roman" w:hint="default"/>
          <w:spacing w:val="1"/>
          <w:w w:val="99"/>
        </w:rPr>
        <w:t> </w:t>
      </w:r>
      <w:r>
        <w:rPr/>
        <w:t>及</w:t>
      </w:r>
      <w:r>
        <w:rPr>
          <w:rFonts w:ascii="Times New Roman" w:hAnsi="Times New Roman" w:cs="Times New Roman" w:eastAsia="Times New Roman" w:hint="default"/>
        </w:rPr>
        <w:t>5G+</w:t>
      </w:r>
      <w:r>
        <w:rPr/>
        <w:t>等产品的研发工作，储备具有自身优势的</w:t>
      </w:r>
      <w:r>
        <w:rPr>
          <w:rFonts w:ascii="Times New Roman" w:hAnsi="Times New Roman" w:cs="Times New Roman" w:eastAsia="Times New Roman" w:hint="default"/>
        </w:rPr>
        <w:t>5G</w:t>
      </w:r>
      <w:r>
        <w:rPr/>
        <w:t>产业链解决方案，打造服务于</w:t>
      </w:r>
      <w:r>
        <w:rPr>
          <w:rFonts w:ascii="Times New Roman" w:hAnsi="Times New Roman" w:cs="Times New Roman" w:eastAsia="Times New Roman" w:hint="default"/>
        </w:rPr>
        <w:t>5G</w:t>
      </w:r>
      <w:r>
        <w:rPr/>
        <w:t>产业链各参与方的相关产品。</w:t>
      </w:r>
    </w:p>
    <w:p>
      <w:pPr>
        <w:pStyle w:val="BodyText"/>
        <w:spacing w:line="297" w:lineRule="auto" w:before="135"/>
        <w:ind w:right="982" w:firstLine="360"/>
        <w:jc w:val="left"/>
      </w:pPr>
      <w:r>
        <w:rPr>
          <w:spacing w:val="-1"/>
        </w:rPr>
        <w:t>在</w:t>
      </w:r>
      <w:r>
        <w:rPr>
          <w:rFonts w:ascii="Times New Roman" w:hAnsi="Times New Roman" w:cs="Times New Roman" w:eastAsia="Times New Roman" w:hint="default"/>
          <w:spacing w:val="-1"/>
        </w:rPr>
        <w:t>AI</w:t>
      </w:r>
      <w:r>
        <w:rPr>
          <w:spacing w:val="-1"/>
        </w:rPr>
        <w:t>智能产业布局上，公司聚焦</w:t>
      </w:r>
      <w:r>
        <w:rPr>
          <w:rFonts w:ascii="Times New Roman" w:hAnsi="Times New Roman" w:cs="Times New Roman" w:eastAsia="Times New Roman" w:hint="default"/>
          <w:spacing w:val="-1"/>
        </w:rPr>
        <w:t>AI</w:t>
      </w:r>
      <w:r>
        <w:rPr>
          <w:spacing w:val="-1"/>
        </w:rPr>
        <w:t>技术、算法模型和开放服务等，致力于打造智能平台，为公司一系列产品技术赋能，</w:t>
      </w:r>
      <w:r>
        <w:rPr/>
        <w:t> 公司的智能产品线团队，为企业聚智，为创新赋能，实现价值创造。</w:t>
      </w:r>
    </w:p>
    <w:p>
      <w:pPr>
        <w:pStyle w:val="BodyText"/>
        <w:spacing w:line="316" w:lineRule="auto" w:before="74"/>
        <w:ind w:right="982" w:firstLine="360"/>
        <w:jc w:val="left"/>
      </w:pPr>
      <w:r>
        <w:rPr>
          <w:spacing w:val="-2"/>
        </w:rPr>
        <w:t>报告期内，公司加强了基础研发，特别是在基本模型和模型管理、算法、基于网络编码的网络效率和存储效率提升、人</w:t>
      </w:r>
      <w:r>
        <w:rPr/>
        <w:t> 工智能领域的系统智能化架构及智能化处理、物联网基础平台、</w:t>
      </w:r>
      <w:r>
        <w:rPr>
          <w:rFonts w:ascii="Times New Roman" w:hAnsi="Times New Roman" w:cs="Times New Roman" w:eastAsia="Times New Roman" w:hint="default"/>
        </w:rPr>
        <w:t>5G</w:t>
      </w:r>
      <w:r>
        <w:rPr/>
        <w:t>等方面的基础研发；</w:t>
      </w:r>
    </w:p>
    <w:p>
      <w:pPr>
        <w:pStyle w:val="BodyText"/>
        <w:spacing w:line="300" w:lineRule="auto" w:before="37"/>
        <w:ind w:right="1117" w:firstLine="360"/>
        <w:jc w:val="left"/>
      </w:pPr>
      <w:r>
        <w:rPr>
          <w:spacing w:val="-1"/>
        </w:rPr>
        <w:t>加强了公司在云、大数据、区块链、</w:t>
      </w:r>
      <w:r>
        <w:rPr>
          <w:rFonts w:ascii="Times New Roman" w:hAnsi="Times New Roman" w:cs="Times New Roman" w:eastAsia="Times New Roman" w:hint="default"/>
          <w:spacing w:val="-1"/>
        </w:rPr>
        <w:t>AI</w:t>
      </w:r>
      <w:r>
        <w:rPr>
          <w:spacing w:val="-1"/>
        </w:rPr>
        <w:t>、</w:t>
      </w:r>
      <w:r>
        <w:rPr>
          <w:rFonts w:ascii="Times New Roman" w:hAnsi="Times New Roman" w:cs="Times New Roman" w:eastAsia="Times New Roman" w:hint="default"/>
          <w:spacing w:val="-1"/>
        </w:rPr>
        <w:t>5G</w:t>
      </w:r>
      <w:r>
        <w:rPr>
          <w:spacing w:val="-1"/>
        </w:rPr>
        <w:t>等领域的技术领先优势，夯实了思特奇</w:t>
      </w:r>
      <w:r>
        <w:rPr>
          <w:rFonts w:ascii="Times New Roman" w:hAnsi="Times New Roman" w:cs="Times New Roman" w:eastAsia="Times New Roman" w:hint="default"/>
          <w:spacing w:val="-1"/>
        </w:rPr>
        <w:t>EP+APP</w:t>
      </w:r>
      <w:r>
        <w:rPr>
          <w:spacing w:val="-1"/>
        </w:rPr>
        <w:t>架构平台。公司不断完善已</w:t>
      </w:r>
      <w:r>
        <w:rPr/>
        <w:t> 有的云、大数据、区块链技术平台，并创新建立</w:t>
      </w:r>
      <w:r>
        <w:rPr>
          <w:rFonts w:ascii="Times New Roman" w:hAnsi="Times New Roman" w:cs="Times New Roman" w:eastAsia="Times New Roman" w:hint="default"/>
        </w:rPr>
        <w:t>AI</w:t>
      </w:r>
      <w:r>
        <w:rPr>
          <w:rFonts w:ascii="Times New Roman" w:hAnsi="Times New Roman" w:cs="Times New Roman" w:eastAsia="Times New Roman" w:hint="default"/>
          <w:spacing w:val="-4"/>
        </w:rPr>
        <w:t> </w:t>
      </w:r>
      <w:r>
        <w:rPr>
          <w:rFonts w:ascii="Times New Roman" w:hAnsi="Times New Roman" w:cs="Times New Roman" w:eastAsia="Times New Roman" w:hint="default"/>
        </w:rPr>
        <w:t>PaaS</w:t>
      </w:r>
      <w:r>
        <w:rPr/>
        <w:t>平台以及多种</w:t>
      </w:r>
      <w:r>
        <w:rPr>
          <w:rFonts w:ascii="Times New Roman" w:hAnsi="Times New Roman" w:cs="Times New Roman" w:eastAsia="Times New Roman" w:hint="default"/>
        </w:rPr>
        <w:t>AI</w:t>
      </w:r>
      <w:r>
        <w:rPr/>
        <w:t>应用能力平台。</w:t>
      </w:r>
    </w:p>
    <w:p>
      <w:pPr>
        <w:pStyle w:val="BodyText"/>
        <w:spacing w:line="300" w:lineRule="auto" w:before="53"/>
        <w:ind w:right="1143" w:firstLine="360"/>
        <w:jc w:val="left"/>
      </w:pPr>
      <w:r>
        <w:rPr/>
        <w:t>报告期内，公司共获得</w:t>
      </w:r>
      <w:r>
        <w:rPr>
          <w:rFonts w:ascii="Times New Roman" w:hAnsi="Times New Roman" w:cs="Times New Roman" w:eastAsia="Times New Roman" w:hint="default"/>
        </w:rPr>
        <w:t>33</w:t>
      </w:r>
      <w:r>
        <w:rPr/>
        <w:t>项发明专利，</w:t>
      </w:r>
      <w:r>
        <w:rPr>
          <w:rFonts w:ascii="Times New Roman" w:hAnsi="Times New Roman" w:cs="Times New Roman" w:eastAsia="Times New Roman" w:hint="default"/>
        </w:rPr>
        <w:t>53</w:t>
      </w:r>
      <w:r>
        <w:rPr/>
        <w:t>个软件著作权；公司对</w:t>
      </w:r>
      <w:r>
        <w:rPr>
          <w:rFonts w:ascii="Times New Roman" w:hAnsi="Times New Roman" w:cs="Times New Roman" w:eastAsia="Times New Roman" w:hint="default"/>
        </w:rPr>
        <w:t>3</w:t>
      </w:r>
      <w:r>
        <w:rPr/>
        <w:t>项资质进行了再认证，并取得</w:t>
      </w:r>
      <w:r>
        <w:rPr>
          <w:rFonts w:ascii="Times New Roman" w:hAnsi="Times New Roman" w:cs="Times New Roman" w:eastAsia="Times New Roman" w:hint="default"/>
        </w:rPr>
        <w:t>“</w:t>
      </w:r>
      <w:r>
        <w:rPr/>
        <w:t>北京市企业技术中心</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资质（已公示，尚未领取证书）。具体如下：</w:t>
      </w:r>
    </w:p>
    <w:p>
      <w:pPr>
        <w:pStyle w:val="Heading5"/>
        <w:spacing w:line="240" w:lineRule="auto" w:before="32"/>
        <w:ind w:right="982"/>
        <w:jc w:val="left"/>
        <w:rPr>
          <w:b w:val="0"/>
          <w:bCs w:val="0"/>
        </w:rPr>
      </w:pPr>
      <w:r>
        <w:rPr>
          <w:rFonts w:ascii="Times New Roman" w:hAnsi="Times New Roman" w:cs="Times New Roman" w:eastAsia="Times New Roman" w:hint="default"/>
        </w:rPr>
        <w:t>1</w:t>
      </w:r>
      <w:r>
        <w:rPr/>
        <w:t>、公司发明专利情况</w:t>
      </w:r>
      <w:r>
        <w:rPr>
          <w:b w:val="0"/>
          <w:bCs w:val="0"/>
        </w:rPr>
      </w:r>
    </w:p>
    <w:p>
      <w:pPr>
        <w:spacing w:line="240" w:lineRule="auto" w:before="13"/>
        <w:rPr>
          <w:rFonts w:ascii="宋体" w:hAnsi="宋体" w:cs="宋体" w:eastAsia="宋体" w:hint="default"/>
          <w:b/>
          <w:bCs/>
          <w:sz w:val="3"/>
          <w:szCs w:val="3"/>
        </w:rPr>
      </w:pPr>
    </w:p>
    <w:tbl>
      <w:tblPr>
        <w:tblW w:w="0" w:type="auto"/>
        <w:jc w:val="left"/>
        <w:tblInd w:w="556" w:type="dxa"/>
        <w:tblLayout w:type="fixed"/>
        <w:tblCellMar>
          <w:top w:w="0" w:type="dxa"/>
          <w:left w:w="0" w:type="dxa"/>
          <w:bottom w:w="0" w:type="dxa"/>
          <w:right w:w="0" w:type="dxa"/>
        </w:tblCellMar>
        <w:tblLook w:val="01E0"/>
      </w:tblPr>
      <w:tblGrid>
        <w:gridCol w:w="396"/>
        <w:gridCol w:w="1844"/>
        <w:gridCol w:w="1277"/>
        <w:gridCol w:w="1224"/>
        <w:gridCol w:w="3053"/>
        <w:gridCol w:w="1025"/>
      </w:tblGrid>
      <w:tr>
        <w:trPr>
          <w:trHeight w:val="346"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b/>
                <w:bCs/>
                <w:sz w:val="18"/>
                <w:szCs w:val="18"/>
              </w:rPr>
              <w:t>权利人</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证书号码</w:t>
            </w:r>
            <w:r>
              <w:rPr>
                <w:rFonts w:ascii="宋体" w:hAnsi="宋体" w:cs="宋体" w:eastAsia="宋体" w:hint="default"/>
                <w:sz w:val="18"/>
                <w:szCs w:val="18"/>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6" w:right="0"/>
              <w:jc w:val="left"/>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权利期限</w:t>
            </w:r>
            <w:r>
              <w:rPr>
                <w:rFonts w:ascii="宋体" w:hAnsi="宋体" w:cs="宋体" w:eastAsia="宋体" w:hint="default"/>
                <w:sz w:val="18"/>
                <w:szCs w:val="18"/>
              </w:rPr>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3590379</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25" w:right="0"/>
              <w:jc w:val="left"/>
              <w:rPr>
                <w:rFonts w:ascii="Times New Roman" w:hAnsi="Times New Roman" w:cs="Times New Roman" w:eastAsia="Times New Roman" w:hint="default"/>
                <w:sz w:val="18"/>
                <w:szCs w:val="18"/>
              </w:rPr>
            </w:pPr>
            <w:r>
              <w:rPr>
                <w:rFonts w:ascii="Times New Roman"/>
                <w:sz w:val="18"/>
              </w:rPr>
              <w:t>ZL 2017</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0058224.1</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152"/>
              <w:jc w:val="left"/>
              <w:rPr>
                <w:rFonts w:ascii="宋体" w:hAnsi="宋体" w:cs="宋体" w:eastAsia="宋体" w:hint="default"/>
                <w:sz w:val="18"/>
                <w:szCs w:val="18"/>
              </w:rPr>
            </w:pPr>
            <w:r>
              <w:rPr>
                <w:rFonts w:ascii="宋体" w:hAnsi="宋体" w:cs="宋体" w:eastAsia="宋体" w:hint="default"/>
                <w:sz w:val="18"/>
                <w:szCs w:val="18"/>
              </w:rPr>
              <w:t>手机短信通知格式的调整配置方法及 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3588041</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0292934.6</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2"/>
              <w:jc w:val="left"/>
              <w:rPr>
                <w:rFonts w:ascii="宋体" w:hAnsi="宋体" w:cs="宋体" w:eastAsia="宋体" w:hint="default"/>
                <w:sz w:val="18"/>
                <w:szCs w:val="18"/>
              </w:rPr>
            </w:pPr>
            <w:r>
              <w:rPr>
                <w:rFonts w:ascii="宋体" w:hAnsi="宋体" w:cs="宋体" w:eastAsia="宋体" w:hint="default"/>
                <w:sz w:val="18"/>
                <w:szCs w:val="18"/>
              </w:rPr>
              <w:t>一种多渠道服务请求统一接入的方法 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58"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3586581</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203" w:right="198" w:firstLine="21"/>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r>
              <w:rPr>
                <w:rFonts w:ascii="Times New Roman"/>
                <w:sz w:val="18"/>
              </w:rPr>
              <w:t> 0290369.X</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2"/>
              <w:jc w:val="left"/>
              <w:rPr>
                <w:rFonts w:ascii="宋体" w:hAnsi="宋体" w:cs="宋体" w:eastAsia="宋体" w:hint="default"/>
                <w:sz w:val="18"/>
                <w:szCs w:val="18"/>
              </w:rPr>
            </w:pPr>
            <w:r>
              <w:rPr>
                <w:rFonts w:ascii="宋体" w:hAnsi="宋体" w:cs="宋体" w:eastAsia="宋体" w:hint="default"/>
                <w:sz w:val="18"/>
                <w:szCs w:val="18"/>
              </w:rPr>
              <w:t>一种消息实时动态夹带推送方法及系 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3621342</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25" w:right="0"/>
              <w:jc w:val="left"/>
              <w:rPr>
                <w:rFonts w:ascii="Times New Roman" w:hAnsi="Times New Roman" w:cs="Times New Roman" w:eastAsia="Times New Roman" w:hint="default"/>
                <w:sz w:val="18"/>
                <w:szCs w:val="18"/>
              </w:rPr>
            </w:pPr>
            <w:r>
              <w:rPr>
                <w:rFonts w:ascii="Times New Roman"/>
                <w:sz w:val="18"/>
              </w:rPr>
              <w:t>ZL 2017</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0391652.6</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redis</w:t>
            </w:r>
            <w:r>
              <w:rPr>
                <w:rFonts w:ascii="宋体" w:hAnsi="宋体" w:cs="宋体" w:eastAsia="宋体" w:hint="default"/>
                <w:sz w:val="18"/>
                <w:szCs w:val="18"/>
              </w:rPr>
              <w:t>的排队方法和系统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58"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3631921</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0289753.8</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60"/>
              <w:jc w:val="left"/>
              <w:rPr>
                <w:rFonts w:ascii="宋体" w:hAnsi="宋体" w:cs="宋体" w:eastAsia="宋体" w:hint="default"/>
                <w:sz w:val="18"/>
                <w:szCs w:val="18"/>
              </w:rPr>
            </w:pPr>
            <w:r>
              <w:rPr>
                <w:rFonts w:ascii="宋体" w:hAnsi="宋体" w:cs="宋体" w:eastAsia="宋体" w:hint="default"/>
                <w:sz w:val="18"/>
                <w:szCs w:val="18"/>
              </w:rPr>
              <w:t>一种基于内存数据库和</w:t>
            </w:r>
            <w:r>
              <w:rPr>
                <w:rFonts w:ascii="Times New Roman" w:hAnsi="Times New Roman" w:cs="Times New Roman" w:eastAsia="Times New Roman" w:hint="default"/>
                <w:sz w:val="18"/>
                <w:szCs w:val="18"/>
              </w:rPr>
              <w:t>Hbase</w:t>
            </w:r>
            <w:r>
              <w:rPr>
                <w:rFonts w:ascii="宋体" w:hAnsi="宋体" w:cs="宋体" w:eastAsia="宋体" w:hint="default"/>
                <w:sz w:val="18"/>
                <w:szCs w:val="18"/>
              </w:rPr>
              <w:t>存取大数 据的方法及系统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3647380</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0228449.2</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一种动态号码分配方法和系统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3205715</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0484610.8</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2"/>
              <w:jc w:val="left"/>
              <w:rPr>
                <w:rFonts w:ascii="宋体" w:hAnsi="宋体" w:cs="宋体" w:eastAsia="宋体" w:hint="default"/>
                <w:sz w:val="18"/>
                <w:szCs w:val="18"/>
              </w:rPr>
            </w:pPr>
            <w:r>
              <w:rPr>
                <w:rFonts w:ascii="宋体" w:hAnsi="宋体" w:cs="宋体" w:eastAsia="宋体" w:hint="default"/>
                <w:sz w:val="18"/>
                <w:szCs w:val="18"/>
              </w:rPr>
              <w:t>一种基于数字混淆加密的网页访问方 法及系统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2035.08.06</w:t>
            </w:r>
          </w:p>
        </w:tc>
      </w:tr>
      <w:tr>
        <w:trPr>
          <w:trHeight w:val="658"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3203615</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0230675.4</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TCP</w:t>
            </w:r>
            <w:r>
              <w:rPr>
                <w:rFonts w:ascii="宋体" w:hAnsi="宋体" w:cs="宋体" w:eastAsia="宋体" w:hint="default"/>
                <w:sz w:val="18"/>
                <w:szCs w:val="18"/>
              </w:rPr>
              <w:t>长连接的服务实现方法和 装置</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2036.04.13</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3212896</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25"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0484510.5</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152"/>
              <w:jc w:val="left"/>
              <w:rPr>
                <w:rFonts w:ascii="宋体" w:hAnsi="宋体" w:cs="宋体" w:eastAsia="宋体" w:hint="default"/>
                <w:sz w:val="18"/>
                <w:szCs w:val="18"/>
              </w:rPr>
            </w:pPr>
            <w:r>
              <w:rPr>
                <w:rFonts w:ascii="宋体" w:hAnsi="宋体" w:cs="宋体" w:eastAsia="宋体" w:hint="default"/>
                <w:sz w:val="18"/>
                <w:szCs w:val="18"/>
              </w:rPr>
              <w:t>一种交易无损的分布式部署方法及系 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2035.08.06</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556" w:type="dxa"/>
        <w:tblLayout w:type="fixed"/>
        <w:tblCellMar>
          <w:top w:w="0" w:type="dxa"/>
          <w:left w:w="0" w:type="dxa"/>
          <w:bottom w:w="0" w:type="dxa"/>
          <w:right w:w="0" w:type="dxa"/>
        </w:tblCellMar>
        <w:tblLook w:val="01E0"/>
      </w:tblPr>
      <w:tblGrid>
        <w:gridCol w:w="396"/>
        <w:gridCol w:w="1844"/>
        <w:gridCol w:w="1277"/>
        <w:gridCol w:w="1224"/>
        <w:gridCol w:w="3053"/>
        <w:gridCol w:w="1025"/>
      </w:tblGrid>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3218737</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0236627.6</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52"/>
              <w:jc w:val="left"/>
              <w:rPr>
                <w:rFonts w:ascii="宋体" w:hAnsi="宋体" w:cs="宋体" w:eastAsia="宋体" w:hint="default"/>
                <w:sz w:val="18"/>
                <w:szCs w:val="18"/>
              </w:rPr>
            </w:pPr>
            <w:r>
              <w:rPr>
                <w:rFonts w:ascii="宋体" w:hAnsi="宋体" w:cs="宋体" w:eastAsia="宋体" w:hint="default"/>
                <w:sz w:val="18"/>
                <w:szCs w:val="18"/>
              </w:rPr>
              <w:t>一种分布式系统中最优主机的选择方 法及系统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2036.04.14</w:t>
            </w:r>
          </w:p>
        </w:tc>
      </w:tr>
      <w:tr>
        <w:trPr>
          <w:trHeight w:val="658"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11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3224708</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203" w:right="198" w:firstLine="21"/>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r>
              <w:rPr>
                <w:rFonts w:ascii="Times New Roman"/>
                <w:sz w:val="18"/>
              </w:rPr>
              <w:t> 0482560.X</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2"/>
              <w:jc w:val="left"/>
              <w:rPr>
                <w:rFonts w:ascii="宋体" w:hAnsi="宋体" w:cs="宋体" w:eastAsia="宋体" w:hint="default"/>
                <w:sz w:val="18"/>
                <w:szCs w:val="18"/>
              </w:rPr>
            </w:pPr>
            <w:r>
              <w:rPr>
                <w:rFonts w:ascii="宋体" w:hAnsi="宋体" w:cs="宋体" w:eastAsia="宋体" w:hint="default"/>
                <w:sz w:val="18"/>
                <w:szCs w:val="18"/>
              </w:rPr>
              <w:t>一种消息安全发送接收方法及发送接 收装置</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2035.08.06</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12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3227458</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25"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0484641.3</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152"/>
              <w:jc w:val="left"/>
              <w:rPr>
                <w:rFonts w:ascii="宋体" w:hAnsi="宋体" w:cs="宋体" w:eastAsia="宋体" w:hint="default"/>
                <w:sz w:val="18"/>
                <w:szCs w:val="18"/>
              </w:rPr>
            </w:pPr>
            <w:r>
              <w:rPr>
                <w:rFonts w:ascii="宋体" w:hAnsi="宋体" w:cs="宋体" w:eastAsia="宋体" w:hint="default"/>
                <w:sz w:val="18"/>
                <w:szCs w:val="18"/>
              </w:rPr>
              <w:t>一种基于融合通信技术实现电视云遥 控的方法和系统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2035.08.06</w:t>
            </w:r>
          </w:p>
        </w:tc>
      </w:tr>
      <w:tr>
        <w:trPr>
          <w:trHeight w:val="658"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13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3268327</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0486223.8</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2"/>
              <w:jc w:val="left"/>
              <w:rPr>
                <w:rFonts w:ascii="宋体" w:hAnsi="宋体" w:cs="宋体" w:eastAsia="宋体" w:hint="default"/>
                <w:sz w:val="18"/>
                <w:szCs w:val="18"/>
              </w:rPr>
            </w:pPr>
            <w:r>
              <w:rPr>
                <w:rFonts w:ascii="宋体" w:hAnsi="宋体" w:cs="宋体" w:eastAsia="宋体" w:hint="default"/>
                <w:sz w:val="18"/>
                <w:szCs w:val="18"/>
              </w:rPr>
              <w:t>一种构建大数据分布式日志的方法和 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2035.08.09</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14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3269659</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0228553.1</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152"/>
              <w:jc w:val="left"/>
              <w:rPr>
                <w:rFonts w:ascii="宋体" w:hAnsi="宋体" w:cs="宋体" w:eastAsia="宋体" w:hint="default"/>
                <w:sz w:val="18"/>
                <w:szCs w:val="18"/>
              </w:rPr>
            </w:pPr>
            <w:r>
              <w:rPr>
                <w:rFonts w:ascii="宋体" w:hAnsi="宋体" w:cs="宋体" w:eastAsia="宋体" w:hint="default"/>
                <w:sz w:val="18"/>
                <w:szCs w:val="18"/>
              </w:rPr>
              <w:t>一种基于云管理平台的智能部署及过 程监控系统及方法</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2036.04.12</w:t>
            </w:r>
          </w:p>
        </w:tc>
      </w:tr>
      <w:tr>
        <w:trPr>
          <w:trHeight w:val="658"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15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3292619</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0484735.0</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52"/>
              <w:jc w:val="left"/>
              <w:rPr>
                <w:rFonts w:ascii="宋体" w:hAnsi="宋体" w:cs="宋体" w:eastAsia="宋体" w:hint="default"/>
                <w:sz w:val="18"/>
                <w:szCs w:val="18"/>
              </w:rPr>
            </w:pPr>
            <w:r>
              <w:rPr>
                <w:rFonts w:ascii="宋体" w:hAnsi="宋体" w:cs="宋体" w:eastAsia="宋体" w:hint="default"/>
                <w:sz w:val="18"/>
                <w:szCs w:val="18"/>
              </w:rPr>
              <w:t>数据一致性差异原因的分析和定位的 方法及系统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2035.8.6</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16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3304481</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25" w:right="0"/>
              <w:jc w:val="left"/>
              <w:rPr>
                <w:rFonts w:ascii="Times New Roman" w:hAnsi="Times New Roman" w:cs="Times New Roman" w:eastAsia="Times New Roman" w:hint="default"/>
                <w:sz w:val="18"/>
                <w:szCs w:val="18"/>
              </w:rPr>
            </w:pPr>
            <w:r>
              <w:rPr>
                <w:rFonts w:ascii="Times New Roman"/>
                <w:sz w:val="18"/>
              </w:rPr>
              <w:t>ZL 2015</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0490546.4</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4" w:right="91"/>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ibatis</w:t>
            </w:r>
            <w:r>
              <w:rPr>
                <w:rFonts w:ascii="宋体" w:hAnsi="宋体" w:cs="宋体" w:eastAsia="宋体" w:hint="default"/>
                <w:sz w:val="18"/>
                <w:szCs w:val="18"/>
              </w:rPr>
              <w:t>实现</w:t>
            </w:r>
            <w:r>
              <w:rPr>
                <w:rFonts w:ascii="Times New Roman" w:hAnsi="Times New Roman" w:cs="Times New Roman" w:eastAsia="Times New Roman" w:hint="default"/>
                <w:sz w:val="18"/>
                <w:szCs w:val="18"/>
              </w:rPr>
              <w:t>sql</w:t>
            </w:r>
            <w:r>
              <w:rPr>
                <w:rFonts w:ascii="宋体" w:hAnsi="宋体" w:cs="宋体" w:eastAsia="宋体" w:hint="default"/>
                <w:sz w:val="18"/>
                <w:szCs w:val="18"/>
              </w:rPr>
              <w:t>动态配置的方法 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2035.8.10</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17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3306821</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0031592.2</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2"/>
              <w:jc w:val="left"/>
              <w:rPr>
                <w:rFonts w:ascii="宋体" w:hAnsi="宋体" w:cs="宋体" w:eastAsia="宋体" w:hint="default"/>
                <w:sz w:val="18"/>
                <w:szCs w:val="18"/>
              </w:rPr>
            </w:pPr>
            <w:r>
              <w:rPr>
                <w:rFonts w:ascii="宋体" w:hAnsi="宋体" w:cs="宋体" w:eastAsia="宋体" w:hint="default"/>
                <w:sz w:val="18"/>
                <w:szCs w:val="18"/>
              </w:rPr>
              <w:t>一种电信网络用户的交往圈挖掘方法 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2036.1.14</w:t>
            </w:r>
          </w:p>
        </w:tc>
      </w:tr>
      <w:tr>
        <w:trPr>
          <w:trHeight w:val="658"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18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3308674</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0232812.8</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1"/>
              <w:jc w:val="left"/>
              <w:rPr>
                <w:rFonts w:ascii="宋体" w:hAnsi="宋体" w:cs="宋体" w:eastAsia="宋体" w:hint="default"/>
                <w:sz w:val="18"/>
                <w:szCs w:val="18"/>
              </w:rPr>
            </w:pPr>
            <w:r>
              <w:rPr>
                <w:rFonts w:ascii="宋体" w:hAnsi="宋体" w:cs="宋体" w:eastAsia="宋体" w:hint="default"/>
                <w:sz w:val="18"/>
                <w:szCs w:val="18"/>
              </w:rPr>
              <w:t>一种基于百度地图</w:t>
            </w:r>
            <w:r>
              <w:rPr>
                <w:rFonts w:ascii="Times New Roman" w:hAnsi="Times New Roman" w:cs="Times New Roman" w:eastAsia="Times New Roman" w:hint="default"/>
                <w:sz w:val="18"/>
                <w:szCs w:val="18"/>
              </w:rPr>
              <w:t>API</w:t>
            </w:r>
            <w:r>
              <w:rPr>
                <w:rFonts w:ascii="宋体" w:hAnsi="宋体" w:cs="宋体" w:eastAsia="宋体" w:hint="default"/>
                <w:sz w:val="18"/>
                <w:szCs w:val="18"/>
              </w:rPr>
              <w:t>的基站扇形优化 方法及系统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2036.4.14</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19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3308777</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4"/>
              <w:ind w:left="203" w:right="198" w:firstLine="21"/>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r>
              <w:rPr>
                <w:rFonts w:ascii="Times New Roman"/>
                <w:sz w:val="18"/>
              </w:rPr>
              <w:t> 0232826.X</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152"/>
              <w:jc w:val="left"/>
              <w:rPr>
                <w:rFonts w:ascii="宋体" w:hAnsi="宋体" w:cs="宋体" w:eastAsia="宋体" w:hint="default"/>
                <w:sz w:val="18"/>
                <w:szCs w:val="18"/>
              </w:rPr>
            </w:pPr>
            <w:r>
              <w:rPr>
                <w:rFonts w:ascii="宋体" w:hAnsi="宋体" w:cs="宋体" w:eastAsia="宋体" w:hint="default"/>
                <w:sz w:val="18"/>
                <w:szCs w:val="18"/>
              </w:rPr>
              <w:t>不同移动终端平台与后端服务器的数 据交互方法及系统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2036.4.14</w:t>
            </w:r>
          </w:p>
        </w:tc>
      </w:tr>
      <w:tr>
        <w:trPr>
          <w:trHeight w:val="658"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20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3291732</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0319928.5</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2"/>
              <w:jc w:val="left"/>
              <w:rPr>
                <w:rFonts w:ascii="宋体" w:hAnsi="宋体" w:cs="宋体" w:eastAsia="宋体" w:hint="default"/>
                <w:sz w:val="18"/>
                <w:szCs w:val="18"/>
              </w:rPr>
            </w:pPr>
            <w:r>
              <w:rPr>
                <w:rFonts w:ascii="宋体" w:hAnsi="宋体" w:cs="宋体" w:eastAsia="宋体" w:hint="default"/>
                <w:sz w:val="18"/>
                <w:szCs w:val="18"/>
              </w:rPr>
              <w:t>一种基于云环境下的应用同步和发布 方法及系统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2036.5.12</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18"/>
                <w:szCs w:val="18"/>
              </w:rPr>
            </w:pPr>
            <w:r>
              <w:rPr>
                <w:rFonts w:ascii="Times New Roman"/>
                <w:sz w:val="18"/>
              </w:rPr>
              <w:t>21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3"/>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3324742</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0319933.6</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3"/>
              <w:ind w:left="4" w:right="161"/>
              <w:jc w:val="left"/>
              <w:rPr>
                <w:rFonts w:ascii="宋体" w:hAnsi="宋体" w:cs="宋体" w:eastAsia="宋体" w:hint="default"/>
                <w:sz w:val="18"/>
                <w:szCs w:val="18"/>
              </w:rPr>
            </w:pPr>
            <w:r>
              <w:rPr>
                <w:rFonts w:ascii="宋体" w:hAnsi="宋体" w:cs="宋体" w:eastAsia="宋体" w:hint="default"/>
                <w:sz w:val="18"/>
                <w:szCs w:val="18"/>
              </w:rPr>
              <w:t>一种基于关系型数据库形成</w:t>
            </w:r>
            <w:r>
              <w:rPr>
                <w:rFonts w:ascii="Times New Roman" w:hAnsi="Times New Roman" w:cs="Times New Roman" w:eastAsia="Times New Roman" w:hint="default"/>
                <w:sz w:val="18"/>
                <w:szCs w:val="18"/>
              </w:rPr>
              <w:t>Hive</w:t>
            </w:r>
            <w:r>
              <w:rPr>
                <w:rFonts w:ascii="宋体" w:hAnsi="宋体" w:cs="宋体" w:eastAsia="宋体" w:hint="default"/>
                <w:sz w:val="18"/>
                <w:szCs w:val="18"/>
              </w:rPr>
              <w:t>数据 仓库的方法及系统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2036.5.12</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22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3328902</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0236006.8</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一种基于数据库的剔重方法及系统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2036.4.14</w:t>
            </w:r>
          </w:p>
        </w:tc>
      </w:tr>
      <w:tr>
        <w:trPr>
          <w:trHeight w:val="658"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23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3348309</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203" w:right="198" w:firstLine="21"/>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r>
              <w:rPr>
                <w:rFonts w:ascii="Times New Roman"/>
                <w:sz w:val="18"/>
              </w:rPr>
              <w:t> 0290986.X</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2"/>
                <w:sz w:val="18"/>
                <w:szCs w:val="18"/>
              </w:rPr>
              <w:t>一种数据存储、数据读取方法及对应的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2036.5.4</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24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3377655</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0236973.4</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一种消息处理方法和系统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2036.4.14</w:t>
            </w:r>
          </w:p>
        </w:tc>
      </w:tr>
      <w:tr>
        <w:trPr>
          <w:trHeight w:val="658"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25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3377656</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0238173.6</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2"/>
              <w:jc w:val="left"/>
              <w:rPr>
                <w:rFonts w:ascii="宋体" w:hAnsi="宋体" w:cs="宋体" w:eastAsia="宋体" w:hint="default"/>
                <w:sz w:val="18"/>
                <w:szCs w:val="18"/>
              </w:rPr>
            </w:pPr>
            <w:r>
              <w:rPr>
                <w:rFonts w:ascii="宋体" w:hAnsi="宋体" w:cs="宋体" w:eastAsia="宋体" w:hint="default"/>
                <w:sz w:val="18"/>
                <w:szCs w:val="18"/>
              </w:rPr>
              <w:t>一种分布式数据库跨库关联查询方法 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2036.4.17</w:t>
            </w:r>
          </w:p>
        </w:tc>
      </w:tr>
      <w:tr>
        <w:trPr>
          <w:trHeight w:val="661"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26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2"/>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3386017</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0230315.4</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一种从后台服务端处理</w:t>
            </w:r>
            <w:r>
              <w:rPr>
                <w:rFonts w:ascii="Times New Roman" w:hAnsi="Times New Roman" w:cs="Times New Roman" w:eastAsia="Times New Roman" w:hint="default"/>
                <w:sz w:val="18"/>
                <w:szCs w:val="18"/>
              </w:rPr>
              <w:t>HTML</w:t>
            </w:r>
            <w:r>
              <w:rPr>
                <w:rFonts w:ascii="宋体" w:hAnsi="宋体" w:cs="宋体" w:eastAsia="宋体" w:hint="default"/>
                <w:sz w:val="18"/>
                <w:szCs w:val="18"/>
              </w:rPr>
              <w:t>页面嵌套 的方法及系统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2036.4.12</w:t>
            </w:r>
          </w:p>
        </w:tc>
      </w:tr>
      <w:tr>
        <w:trPr>
          <w:trHeight w:val="658"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27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3389216</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0232573.6</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一种负载均衡分配的方法及系统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2036.4.13</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28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3387228</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0290787.9</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152"/>
              <w:jc w:val="left"/>
              <w:rPr>
                <w:rFonts w:ascii="宋体" w:hAnsi="宋体" w:cs="宋体" w:eastAsia="宋体" w:hint="default"/>
                <w:sz w:val="18"/>
                <w:szCs w:val="18"/>
              </w:rPr>
            </w:pPr>
            <w:r>
              <w:rPr>
                <w:rFonts w:ascii="宋体" w:hAnsi="宋体" w:cs="宋体" w:eastAsia="宋体" w:hint="default"/>
                <w:sz w:val="18"/>
                <w:szCs w:val="18"/>
              </w:rPr>
              <w:t>一种基于后台数据库配置进行数据下 载的方法和系统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2036.5.3</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29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3396420</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0228328.8</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2"/>
              <w:jc w:val="left"/>
              <w:rPr>
                <w:rFonts w:ascii="宋体" w:hAnsi="宋体" w:cs="宋体" w:eastAsia="宋体" w:hint="default"/>
                <w:sz w:val="18"/>
                <w:szCs w:val="18"/>
              </w:rPr>
            </w:pPr>
            <w:r>
              <w:rPr>
                <w:rFonts w:ascii="宋体" w:hAnsi="宋体" w:cs="宋体" w:eastAsia="宋体" w:hint="default"/>
                <w:sz w:val="18"/>
                <w:szCs w:val="18"/>
              </w:rPr>
              <w:t>一种基于网络连接池化的网络通信方 法及系统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2036.4.12</w:t>
            </w:r>
          </w:p>
        </w:tc>
      </w:tr>
      <w:tr>
        <w:trPr>
          <w:trHeight w:val="658"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30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3434512</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0228344.7</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一种实现大数据同步的方法和系统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2036.4.12</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556" w:type="dxa"/>
        <w:tblLayout w:type="fixed"/>
        <w:tblCellMar>
          <w:top w:w="0" w:type="dxa"/>
          <w:left w:w="0" w:type="dxa"/>
          <w:bottom w:w="0" w:type="dxa"/>
          <w:right w:w="0" w:type="dxa"/>
        </w:tblCellMar>
        <w:tblLook w:val="01E0"/>
      </w:tblPr>
      <w:tblGrid>
        <w:gridCol w:w="396"/>
        <w:gridCol w:w="1844"/>
        <w:gridCol w:w="1277"/>
        <w:gridCol w:w="1224"/>
        <w:gridCol w:w="3053"/>
        <w:gridCol w:w="1025"/>
      </w:tblGrid>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31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3467719</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0290314.9</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一种高负载的自动处理方法及系统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58"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32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3532079</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0290625.5</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2"/>
              <w:jc w:val="left"/>
              <w:rPr>
                <w:rFonts w:ascii="宋体" w:hAnsi="宋体" w:cs="宋体" w:eastAsia="宋体" w:hint="default"/>
                <w:sz w:val="18"/>
                <w:szCs w:val="18"/>
              </w:rPr>
            </w:pPr>
            <w:r>
              <w:rPr>
                <w:rFonts w:ascii="宋体" w:hAnsi="宋体" w:cs="宋体" w:eastAsia="宋体" w:hint="default"/>
                <w:sz w:val="18"/>
                <w:szCs w:val="18"/>
              </w:rPr>
              <w:t>一种内存数据库的主备复制方法及内 存数据库系统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60" w:hRule="exact"/>
        </w:trPr>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z w:val="18"/>
              </w:rPr>
              <w:t>33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22"/>
              <w:jc w:val="left"/>
              <w:rPr>
                <w:rFonts w:ascii="宋体" w:hAnsi="宋体" w:cs="宋体" w:eastAsia="宋体" w:hint="default"/>
                <w:sz w:val="18"/>
                <w:szCs w:val="18"/>
              </w:rPr>
            </w:pPr>
            <w:r>
              <w:rPr>
                <w:rFonts w:ascii="宋体" w:hAnsi="宋体" w:cs="宋体" w:eastAsia="宋体" w:hint="default"/>
                <w:sz w:val="18"/>
                <w:szCs w:val="18"/>
              </w:rPr>
              <w:t>北京思特奇信息技术股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31"/>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3566042</w:t>
            </w:r>
            <w:r>
              <w:rPr>
                <w:rFonts w:ascii="宋体" w:hAnsi="宋体" w:cs="宋体" w:eastAsia="宋体" w:hint="default"/>
                <w:sz w:val="18"/>
                <w:szCs w:val="18"/>
              </w:rPr>
              <w:t>号</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25" w:right="0"/>
              <w:jc w:val="left"/>
              <w:rPr>
                <w:rFonts w:ascii="Times New Roman" w:hAnsi="Times New Roman" w:cs="Times New Roman" w:eastAsia="Times New Roman" w:hint="default"/>
                <w:sz w:val="18"/>
                <w:szCs w:val="18"/>
              </w:rPr>
            </w:pPr>
            <w:r>
              <w:rPr>
                <w:rFonts w:ascii="Times New Roman"/>
                <w:sz w:val="18"/>
              </w:rPr>
              <w:t>ZL 2016</w:t>
            </w:r>
            <w:r>
              <w:rPr>
                <w:rFonts w:ascii="Times New Roman"/>
                <w:spacing w:val="-1"/>
                <w:sz w:val="18"/>
              </w:rPr>
              <w:t> </w:t>
            </w:r>
            <w:r>
              <w:rPr>
                <w:rFonts w:ascii="Times New Roman"/>
                <w:sz w:val="18"/>
              </w:rPr>
              <w:t>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0294333.9</w:t>
            </w:r>
          </w:p>
        </w:tc>
        <w:tc>
          <w:tcPr>
            <w:tcW w:w="3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一种发送短信的通道分配方法及系统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Times New Roman" w:hAnsi="Times New Roman" w:cs="Times New Roman" w:eastAsia="Times New Roman" w:hint="default"/>
          <w:sz w:val="24"/>
          <w:szCs w:val="24"/>
        </w:rPr>
      </w:pPr>
    </w:p>
    <w:p>
      <w:pPr>
        <w:pStyle w:val="Heading5"/>
        <w:spacing w:line="240" w:lineRule="auto"/>
        <w:ind w:right="982"/>
        <w:jc w:val="left"/>
        <w:rPr>
          <w:b w:val="0"/>
          <w:bCs w:val="0"/>
        </w:rPr>
      </w:pPr>
      <w:r>
        <w:rPr>
          <w:rFonts w:ascii="Times New Roman" w:hAnsi="Times New Roman" w:cs="Times New Roman" w:eastAsia="Times New Roman" w:hint="default"/>
        </w:rPr>
        <w:t>2</w:t>
      </w:r>
      <w:r>
        <w:rPr/>
        <w:t>、公司软件著作权情况</w:t>
      </w:r>
      <w:r>
        <w:rPr>
          <w:b w:val="0"/>
          <w:bCs w:val="0"/>
        </w:rPr>
      </w:r>
    </w:p>
    <w:p>
      <w:pPr>
        <w:spacing w:line="240" w:lineRule="auto" w:before="13"/>
        <w:rPr>
          <w:rFonts w:ascii="宋体" w:hAnsi="宋体" w:cs="宋体" w:eastAsia="宋体" w:hint="default"/>
          <w:b/>
          <w:bCs/>
          <w:sz w:val="3"/>
          <w:szCs w:val="3"/>
        </w:rPr>
      </w:pPr>
    </w:p>
    <w:tbl>
      <w:tblPr>
        <w:tblW w:w="0" w:type="auto"/>
        <w:jc w:val="left"/>
        <w:tblInd w:w="431" w:type="dxa"/>
        <w:tblLayout w:type="fixed"/>
        <w:tblCellMar>
          <w:top w:w="0" w:type="dxa"/>
          <w:left w:w="0" w:type="dxa"/>
          <w:bottom w:w="0" w:type="dxa"/>
          <w:right w:w="0" w:type="dxa"/>
        </w:tblCellMar>
        <w:tblLook w:val="01E0"/>
      </w:tblPr>
      <w:tblGrid>
        <w:gridCol w:w="703"/>
        <w:gridCol w:w="3010"/>
        <w:gridCol w:w="795"/>
        <w:gridCol w:w="1428"/>
        <w:gridCol w:w="1529"/>
        <w:gridCol w:w="1604"/>
      </w:tblGrid>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软件全称</w:t>
            </w:r>
            <w:r>
              <w:rPr>
                <w:rFonts w:ascii="宋体" w:hAnsi="宋体" w:cs="宋体" w:eastAsia="宋体" w:hint="default"/>
                <w:sz w:val="18"/>
                <w:szCs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首次发表日期</w:t>
            </w:r>
            <w:r>
              <w:rPr>
                <w:rFonts w:ascii="宋体" w:hAnsi="宋体" w:cs="宋体" w:eastAsia="宋体" w:hint="default"/>
                <w:sz w:val="18"/>
                <w:szCs w:val="18"/>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登记日期</w:t>
            </w:r>
            <w:r>
              <w:rPr>
                <w:rFonts w:ascii="宋体" w:hAnsi="宋体" w:cs="宋体" w:eastAsia="宋体" w:hint="default"/>
                <w:sz w:val="18"/>
                <w:szCs w:val="18"/>
              </w:rPr>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思特奇智能云货架系统</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2019SR1320047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661"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2"/>
              <w:ind w:left="4" w:right="-7"/>
              <w:jc w:val="left"/>
              <w:rPr>
                <w:rFonts w:ascii="宋体" w:hAnsi="宋体" w:cs="宋体" w:eastAsia="宋体" w:hint="default"/>
                <w:sz w:val="18"/>
                <w:szCs w:val="18"/>
              </w:rPr>
            </w:pPr>
            <w:r>
              <w:rPr>
                <w:rFonts w:ascii="宋体" w:hAnsi="宋体" w:cs="宋体" w:eastAsia="宋体" w:hint="default"/>
                <w:spacing w:val="7"/>
                <w:sz w:val="18"/>
                <w:szCs w:val="18"/>
              </w:rPr>
              <w:t>思特奇智能焊接机器人焊接过程物联 </w:t>
            </w:r>
            <w:r>
              <w:rPr>
                <w:rFonts w:ascii="宋体" w:hAnsi="宋体" w:cs="宋体" w:eastAsia="宋体" w:hint="default"/>
                <w:sz w:val="18"/>
                <w:szCs w:val="18"/>
              </w:rPr>
              <w:t>网数据采集和工艺改进系统</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2019SR1319702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w:t>
            </w:r>
            <w:r>
              <w:rPr>
                <w:rFonts w:ascii="Times New Roman" w:hAnsi="Times New Roman" w:cs="Times New Roman" w:eastAsia="Times New Roman" w:hint="default"/>
                <w:sz w:val="18"/>
                <w:szCs w:val="18"/>
              </w:rPr>
              <w:t>IaaS</w:t>
            </w:r>
            <w:r>
              <w:rPr>
                <w:rFonts w:ascii="宋体" w:hAnsi="宋体" w:cs="宋体" w:eastAsia="宋体" w:hint="default"/>
                <w:sz w:val="18"/>
                <w:szCs w:val="18"/>
              </w:rPr>
              <w:t>云计算平台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2019SR1318761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4</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思特奇实时触发预警平台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2019SR1316887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思特奇集客运营平台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2019SR1318258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6</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w:t>
            </w:r>
            <w:r>
              <w:rPr>
                <w:rFonts w:ascii="Times New Roman" w:hAnsi="Times New Roman" w:cs="Times New Roman" w:eastAsia="Times New Roman" w:hint="default"/>
                <w:sz w:val="18"/>
                <w:szCs w:val="18"/>
              </w:rPr>
              <w:t>5G</w:t>
            </w:r>
            <w:r>
              <w:rPr>
                <w:rFonts w:ascii="宋体" w:hAnsi="宋体" w:cs="宋体" w:eastAsia="宋体" w:hint="default"/>
                <w:sz w:val="18"/>
                <w:szCs w:val="18"/>
              </w:rPr>
              <w:t>网络切片服务运营平台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2019SR1318601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思特奇权益中心系统</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2019SR1319121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思特奇智能运维分析平台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2019SR1319379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9</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思特奇政企运营平台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V1.0.2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2019SR1319369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w:t>
            </w:r>
            <w:r>
              <w:rPr>
                <w:rFonts w:ascii="Times New Roman" w:hAnsi="Times New Roman" w:cs="Times New Roman" w:eastAsia="Times New Roman" w:hint="default"/>
                <w:sz w:val="18"/>
                <w:szCs w:val="18"/>
              </w:rPr>
              <w:t>SDN</w:t>
            </w:r>
            <w:r>
              <w:rPr>
                <w:rFonts w:ascii="宋体" w:hAnsi="宋体" w:cs="宋体" w:eastAsia="宋体" w:hint="default"/>
                <w:sz w:val="18"/>
                <w:szCs w:val="18"/>
              </w:rPr>
              <w:t>控制平台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2019SR1036732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11</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思特奇微服务网关平台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2019SR1014270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12</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思特奇分布式内存数据库系统</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V7.0.0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2019SR1037037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13</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思特奇分布式流计算平台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V2.0.0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2019SR1036614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14</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思特奇统一运维</w:t>
            </w:r>
            <w:r>
              <w:rPr>
                <w:rFonts w:ascii="Times New Roman" w:hAnsi="Times New Roman" w:cs="Times New Roman" w:eastAsia="Times New Roman" w:hint="default"/>
                <w:sz w:val="18"/>
                <w:szCs w:val="18"/>
              </w:rPr>
              <w:t>OP</w:t>
            </w:r>
            <w:r>
              <w:rPr>
                <w:rFonts w:ascii="宋体" w:hAnsi="宋体" w:cs="宋体" w:eastAsia="宋体" w:hint="default"/>
                <w:sz w:val="18"/>
                <w:szCs w:val="18"/>
              </w:rPr>
              <w:t>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2019SR1036738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65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15</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
              <w:jc w:val="left"/>
              <w:rPr>
                <w:rFonts w:ascii="宋体" w:hAnsi="宋体" w:cs="宋体" w:eastAsia="宋体" w:hint="default"/>
                <w:sz w:val="18"/>
                <w:szCs w:val="18"/>
              </w:rPr>
            </w:pPr>
            <w:r>
              <w:rPr>
                <w:rFonts w:ascii="宋体" w:hAnsi="宋体" w:cs="宋体" w:eastAsia="宋体" w:hint="default"/>
                <w:spacing w:val="7"/>
                <w:sz w:val="18"/>
                <w:szCs w:val="18"/>
              </w:rPr>
              <w:t>思特奇大数据标签库标签应用工具软 </w:t>
            </w:r>
            <w:r>
              <w:rPr>
                <w:rFonts w:ascii="宋体" w:hAnsi="宋体" w:cs="宋体" w:eastAsia="宋体" w:hint="default"/>
                <w:sz w:val="18"/>
                <w:szCs w:val="18"/>
              </w:rPr>
              <w:t>件</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2019SR1036730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16</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思特奇智慧赋能平台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V2.0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2019SR1036504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17</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思特奇物联网业务支撑平台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2019SR1036740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18</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思特奇服务编排平台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2019SR0533471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19</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思特奇智慧城市体征中心平台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2019SR0533484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思特奇智慧城市智慧治理中心平台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2019SR0533482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349"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21</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思特奇服务集成平台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V6.0.0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2019SR0526787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22</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思特奇智能终端资源管理系统</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V2.0.0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2019SR0524232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23</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思特奇政务大数据目录平台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V4.0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2019SR0524212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24</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思特奇政务大数据开放平台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V2.0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2019SR0524199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25</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思特奇智能算法开放运营服务平台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2019SR0520902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26</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思特奇业务规则引擎软件</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V5.1.0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2019SR0520914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27</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思特奇政务大数据服务平台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2019SR0522259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28</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思特奇政务大数据共享交换平台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V2.0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2019SR0522358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29</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思特奇分布式共享</w:t>
            </w:r>
            <w:r>
              <w:rPr>
                <w:rFonts w:ascii="Times New Roman" w:hAnsi="Times New Roman" w:cs="Times New Roman" w:eastAsia="Times New Roman" w:hint="default"/>
                <w:sz w:val="18"/>
                <w:szCs w:val="18"/>
              </w:rPr>
              <w:t>Session</w:t>
            </w:r>
            <w:r>
              <w:rPr>
                <w:rFonts w:ascii="宋体" w:hAnsi="宋体" w:cs="宋体" w:eastAsia="宋体" w:hint="default"/>
                <w:sz w:val="18"/>
                <w:szCs w:val="18"/>
              </w:rPr>
              <w:t>软件</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2019SR0536817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471" w:type="dxa"/>
        <w:tblLayout w:type="fixed"/>
        <w:tblCellMar>
          <w:top w:w="0" w:type="dxa"/>
          <w:left w:w="0" w:type="dxa"/>
          <w:bottom w:w="0" w:type="dxa"/>
          <w:right w:w="0" w:type="dxa"/>
        </w:tblCellMar>
        <w:tblLook w:val="01E0"/>
      </w:tblPr>
      <w:tblGrid>
        <w:gridCol w:w="703"/>
        <w:gridCol w:w="3010"/>
        <w:gridCol w:w="795"/>
        <w:gridCol w:w="1428"/>
        <w:gridCol w:w="1529"/>
        <w:gridCol w:w="1604"/>
      </w:tblGrid>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30</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思特奇终端资源管理系统</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V2.0.0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2019SR0572193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31</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思特奇动态表单开发平台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V2.5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2019SR0545238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54" w:right="0"/>
              <w:jc w:val="left"/>
              <w:rPr>
                <w:rFonts w:ascii="Times New Roman" w:hAnsi="Times New Roman" w:cs="Times New Roman" w:eastAsia="Times New Roman" w:hint="default"/>
                <w:sz w:val="18"/>
                <w:szCs w:val="18"/>
              </w:rPr>
            </w:pPr>
            <w:r>
              <w:rPr>
                <w:rFonts w:ascii="Times New Roman"/>
                <w:sz w:val="18"/>
              </w:rPr>
              <w:t>32</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思特奇分布式数据库系统</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V4.1.0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2019SR0537101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33</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思特奇能力开放运营平台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2019SR0522999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54" w:right="0"/>
              <w:jc w:val="left"/>
              <w:rPr>
                <w:rFonts w:ascii="Times New Roman" w:hAnsi="Times New Roman" w:cs="Times New Roman" w:eastAsia="Times New Roman" w:hint="default"/>
                <w:sz w:val="18"/>
                <w:szCs w:val="18"/>
              </w:rPr>
            </w:pPr>
            <w:r>
              <w:rPr>
                <w:rFonts w:ascii="Times New Roman"/>
                <w:sz w:val="18"/>
              </w:rPr>
              <w:t>34</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思特奇分布式缓存系统</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V2.5.0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2019SR0526014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35</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思特奇高性能服务框架系统</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V2.1.0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2019SR0526076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54" w:right="0"/>
              <w:jc w:val="left"/>
              <w:rPr>
                <w:rFonts w:ascii="Times New Roman" w:hAnsi="Times New Roman" w:cs="Times New Roman" w:eastAsia="Times New Roman" w:hint="default"/>
                <w:sz w:val="18"/>
                <w:szCs w:val="18"/>
              </w:rPr>
            </w:pPr>
            <w:r>
              <w:rPr>
                <w:rFonts w:ascii="Times New Roman"/>
                <w:sz w:val="18"/>
              </w:rPr>
              <w:t>36</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思特奇营销业务资源管理系统</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V4.1.0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2019SR0521759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37</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思特奇合作伙伴</w:t>
            </w:r>
            <w:r>
              <w:rPr>
                <w:rFonts w:ascii="Times New Roman" w:hAnsi="Times New Roman" w:cs="Times New Roman" w:eastAsia="Times New Roman" w:hint="default"/>
                <w:sz w:val="18"/>
                <w:szCs w:val="18"/>
              </w:rPr>
              <w:t>OP</w:t>
            </w:r>
            <w:r>
              <w:rPr>
                <w:rFonts w:ascii="宋体" w:hAnsi="宋体" w:cs="宋体" w:eastAsia="宋体" w:hint="default"/>
                <w:sz w:val="18"/>
                <w:szCs w:val="18"/>
              </w:rPr>
              <w:t>系统</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2019SR0533457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38</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思特奇合作伙伴门户系统</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2019SR0533455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54" w:right="0"/>
              <w:jc w:val="left"/>
              <w:rPr>
                <w:rFonts w:ascii="Times New Roman" w:hAnsi="Times New Roman" w:cs="Times New Roman" w:eastAsia="Times New Roman" w:hint="default"/>
                <w:sz w:val="18"/>
                <w:szCs w:val="18"/>
              </w:rPr>
            </w:pPr>
            <w:r>
              <w:rPr>
                <w:rFonts w:ascii="Times New Roman"/>
                <w:sz w:val="18"/>
              </w:rPr>
              <w:t>39</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思特奇结算能力平台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2019SR0533461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40</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思特奇智慧城市运营管理中心平台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V1.0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2019SR0533479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54" w:right="0"/>
              <w:jc w:val="left"/>
              <w:rPr>
                <w:rFonts w:ascii="Times New Roman" w:hAnsi="Times New Roman" w:cs="Times New Roman" w:eastAsia="Times New Roman" w:hint="default"/>
                <w:sz w:val="18"/>
                <w:szCs w:val="18"/>
              </w:rPr>
            </w:pPr>
            <w:r>
              <w:rPr>
                <w:rFonts w:ascii="Times New Roman"/>
                <w:sz w:val="18"/>
              </w:rPr>
              <w:t>41</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思特奇易体验系统</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V5.0.0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2019SR0741543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42</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思特奇虚拟化产品</w:t>
            </w:r>
            <w:r>
              <w:rPr>
                <w:rFonts w:ascii="Times New Roman" w:hAnsi="Times New Roman" w:cs="Times New Roman" w:eastAsia="Times New Roman" w:hint="default"/>
                <w:sz w:val="18"/>
                <w:szCs w:val="18"/>
              </w:rPr>
              <w:t>iSVM</w:t>
            </w:r>
            <w:r>
              <w:rPr>
                <w:rFonts w:ascii="宋体" w:hAnsi="宋体" w:cs="宋体" w:eastAsia="宋体" w:hint="default"/>
                <w:sz w:val="18"/>
                <w:szCs w:val="18"/>
              </w:rPr>
              <w:t>系统</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V2.0.0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2019SR0303041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43</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思特奇智慧城市技术能力整合平台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V2.0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2019SR0256676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54" w:right="0"/>
              <w:jc w:val="left"/>
              <w:rPr>
                <w:rFonts w:ascii="Times New Roman" w:hAnsi="Times New Roman" w:cs="Times New Roman" w:eastAsia="Times New Roman" w:hint="default"/>
                <w:sz w:val="18"/>
                <w:szCs w:val="18"/>
              </w:rPr>
            </w:pPr>
            <w:r>
              <w:rPr>
                <w:rFonts w:ascii="Times New Roman"/>
                <w:sz w:val="18"/>
              </w:rPr>
              <w:t>44</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思特奇新一代商务平台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2019SR0256670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45</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思特奇移动应用开发平台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V5.0.0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2019SR0256656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54" w:right="0"/>
              <w:jc w:val="left"/>
              <w:rPr>
                <w:rFonts w:ascii="Times New Roman" w:hAnsi="Times New Roman" w:cs="Times New Roman" w:eastAsia="Times New Roman" w:hint="default"/>
                <w:sz w:val="18"/>
                <w:szCs w:val="18"/>
              </w:rPr>
            </w:pPr>
            <w:r>
              <w:rPr>
                <w:rFonts w:ascii="Times New Roman"/>
                <w:sz w:val="18"/>
              </w:rPr>
              <w:t>46</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思特奇智慧城市能力运营管理平台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V2.0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2019SR0258185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47</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思特奇智慧城市信息能力整合平台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V2.0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2019SR0258181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54" w:right="0"/>
              <w:jc w:val="left"/>
              <w:rPr>
                <w:rFonts w:ascii="Times New Roman" w:hAnsi="Times New Roman" w:cs="Times New Roman" w:eastAsia="Times New Roman" w:hint="default"/>
                <w:sz w:val="18"/>
                <w:szCs w:val="18"/>
              </w:rPr>
            </w:pPr>
            <w:r>
              <w:rPr>
                <w:rFonts w:ascii="Times New Roman"/>
                <w:sz w:val="18"/>
              </w:rPr>
              <w:t>48</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思特奇智慧城市业务能力整合平台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V2.0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2019SR0258178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49</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思特奇智慧城市能力开放平台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V2.0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2019SR0258174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50</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思特奇智慧城市能力共享平台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V2.0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2019SR0258059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54" w:right="0"/>
              <w:jc w:val="left"/>
              <w:rPr>
                <w:rFonts w:ascii="Times New Roman" w:hAnsi="Times New Roman" w:cs="Times New Roman" w:eastAsia="Times New Roman" w:hint="default"/>
                <w:sz w:val="18"/>
                <w:szCs w:val="18"/>
              </w:rPr>
            </w:pPr>
            <w:r>
              <w:rPr>
                <w:rFonts w:ascii="Times New Roman"/>
                <w:sz w:val="18"/>
              </w:rPr>
              <w:t>51</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思特奇开发交付与运维一体化平台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Times New Roman"/>
                <w:sz w:val="18"/>
              </w:rPr>
              <w:t>V1.5.0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Times New Roman"/>
                <w:sz w:val="18"/>
              </w:rPr>
              <w:t>2019SR0256946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346"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52</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思特奇智慧城市能力整合支撑平台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V2.0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2019SR0257994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348" w:hRule="exact"/>
        </w:trPr>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54" w:right="0"/>
              <w:jc w:val="left"/>
              <w:rPr>
                <w:rFonts w:ascii="Times New Roman" w:hAnsi="Times New Roman" w:cs="Times New Roman" w:eastAsia="Times New Roman" w:hint="default"/>
                <w:sz w:val="18"/>
                <w:szCs w:val="18"/>
              </w:rPr>
            </w:pPr>
            <w:r>
              <w:rPr>
                <w:rFonts w:ascii="Times New Roman"/>
                <w:sz w:val="18"/>
              </w:rPr>
              <w:t>53</w:t>
            </w:r>
          </w:p>
        </w:tc>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思特奇计费预测算法平台</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V1.0.0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2019SR0256939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21"/>
          <w:szCs w:val="21"/>
        </w:rPr>
      </w:pPr>
    </w:p>
    <w:p>
      <w:pPr>
        <w:pStyle w:val="Heading5"/>
        <w:spacing w:line="240" w:lineRule="auto"/>
        <w:ind w:left="553" w:right="0"/>
        <w:jc w:val="left"/>
        <w:rPr>
          <w:b w:val="0"/>
          <w:bCs w:val="0"/>
        </w:rPr>
      </w:pPr>
      <w:r>
        <w:rPr>
          <w:rFonts w:ascii="Times New Roman" w:hAnsi="Times New Roman" w:cs="Times New Roman" w:eastAsia="Times New Roman" w:hint="default"/>
        </w:rPr>
        <w:t>3</w:t>
      </w:r>
      <w:r>
        <w:rPr/>
        <w:t>、国家及行业资质再认证情况</w:t>
      </w:r>
      <w:r>
        <w:rPr>
          <w:b w:val="0"/>
          <w:bCs w:val="0"/>
        </w:rPr>
      </w:r>
    </w:p>
    <w:p>
      <w:pPr>
        <w:spacing w:line="240" w:lineRule="auto" w:before="13"/>
        <w:rPr>
          <w:rFonts w:ascii="宋体" w:hAnsi="宋体" w:cs="宋体" w:eastAsia="宋体" w:hint="default"/>
          <w:b/>
          <w:bCs/>
          <w:sz w:val="3"/>
          <w:szCs w:val="3"/>
        </w:rPr>
      </w:pPr>
    </w:p>
    <w:tbl>
      <w:tblPr>
        <w:tblW w:w="0" w:type="auto"/>
        <w:jc w:val="left"/>
        <w:tblInd w:w="459" w:type="dxa"/>
        <w:tblLayout w:type="fixed"/>
        <w:tblCellMar>
          <w:top w:w="0" w:type="dxa"/>
          <w:left w:w="0" w:type="dxa"/>
          <w:bottom w:w="0" w:type="dxa"/>
          <w:right w:w="0" w:type="dxa"/>
        </w:tblCellMar>
        <w:tblLook w:val="01E0"/>
      </w:tblPr>
      <w:tblGrid>
        <w:gridCol w:w="559"/>
        <w:gridCol w:w="2295"/>
        <w:gridCol w:w="2110"/>
        <w:gridCol w:w="2269"/>
        <w:gridCol w:w="1860"/>
      </w:tblGrid>
      <w:tr>
        <w:trPr>
          <w:trHeight w:val="348" w:hRule="exact"/>
        </w:trPr>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资质名称</w:t>
            </w:r>
            <w:r>
              <w:rPr>
                <w:rFonts w:ascii="宋体" w:hAnsi="宋体" w:cs="宋体" w:eastAsia="宋体" w:hint="default"/>
                <w:sz w:val="18"/>
                <w:szCs w:val="18"/>
              </w:rPr>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b/>
                <w:bCs/>
                <w:sz w:val="18"/>
                <w:szCs w:val="18"/>
              </w:rPr>
              <w:t>证书编码或批准文号</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739" w:hRule="exact"/>
        </w:trPr>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CMMI5</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5663</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1"/>
              <w:ind w:left="731" w:right="84" w:hanging="648"/>
              <w:jc w:val="left"/>
              <w:rPr>
                <w:rFonts w:ascii="宋体" w:hAnsi="宋体" w:cs="宋体" w:eastAsia="宋体" w:hint="default"/>
                <w:sz w:val="20"/>
                <w:szCs w:val="20"/>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CMMI</w:t>
            </w:r>
            <w:r>
              <w:rPr>
                <w:rFonts w:ascii="宋体" w:hAnsi="宋体" w:cs="宋体" w:eastAsia="宋体" w:hint="default"/>
                <w:sz w:val="18"/>
                <w:szCs w:val="18"/>
              </w:rPr>
              <w:t>研究院（</w:t>
            </w:r>
            <w:r>
              <w:rPr>
                <w:rFonts w:ascii="Times New Roman" w:hAnsi="Times New Roman" w:cs="Times New Roman" w:eastAsia="Times New Roman" w:hint="default"/>
                <w:sz w:val="18"/>
                <w:szCs w:val="18"/>
              </w:rPr>
              <w:t>CMMI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Institute</w:t>
            </w:r>
            <w:r>
              <w:rPr>
                <w:rFonts w:ascii="宋体" w:hAnsi="宋体" w:cs="宋体" w:eastAsia="宋体" w:hint="default"/>
                <w:sz w:val="20"/>
                <w:szCs w:val="20"/>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2019.12.28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再认证</w:t>
            </w:r>
          </w:p>
        </w:tc>
      </w:tr>
      <w:tr>
        <w:trPr>
          <w:trHeight w:val="346" w:hRule="exact"/>
        </w:trPr>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ISO20000</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IT</w:t>
            </w:r>
            <w:r>
              <w:rPr>
                <w:rFonts w:ascii="宋体" w:hAnsi="宋体" w:cs="宋体" w:eastAsia="宋体" w:hint="default"/>
                <w:sz w:val="18"/>
                <w:szCs w:val="18"/>
              </w:rPr>
              <w:t>服务管理体系</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0112019ITSM020R1CDNV</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北京塞西认证有限责任公司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2019.4.5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再认证</w:t>
            </w:r>
          </w:p>
        </w:tc>
      </w:tr>
      <w:tr>
        <w:trPr>
          <w:trHeight w:val="348" w:hRule="exact"/>
        </w:trPr>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3</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ISO27001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信息安全管理体系</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01119IS20033RIM</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北京塞西认证有限责任公司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2019.4.5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再认证</w:t>
            </w:r>
          </w:p>
        </w:tc>
      </w:tr>
    </w:tbl>
    <w:p>
      <w:pPr>
        <w:spacing w:line="240" w:lineRule="auto" w:before="4"/>
        <w:rPr>
          <w:rFonts w:ascii="宋体" w:hAnsi="宋体" w:cs="宋体" w:eastAsia="宋体" w:hint="default"/>
          <w:b/>
          <w:bCs/>
          <w:sz w:val="21"/>
          <w:szCs w:val="21"/>
        </w:rPr>
      </w:pPr>
    </w:p>
    <w:p>
      <w:pPr>
        <w:pStyle w:val="BodyText"/>
        <w:spacing w:line="240" w:lineRule="auto" w:before="44"/>
        <w:ind w:left="553" w:right="0"/>
        <w:jc w:val="left"/>
      </w:pPr>
      <w:r>
        <w:rPr/>
        <w:t>报告期内，公司子公司共获得</w:t>
      </w:r>
      <w:r>
        <w:rPr>
          <w:rFonts w:ascii="Times New Roman" w:hAnsi="Times New Roman" w:cs="Times New Roman" w:eastAsia="Times New Roman" w:hint="default"/>
        </w:rPr>
        <w:t>102</w:t>
      </w:r>
      <w:r>
        <w:rPr/>
        <w:t>个软件著作权，</w:t>
      </w:r>
      <w:r>
        <w:rPr>
          <w:rFonts w:ascii="Times New Roman" w:hAnsi="Times New Roman" w:cs="Times New Roman" w:eastAsia="Times New Roman" w:hint="default"/>
        </w:rPr>
        <w:t>1</w:t>
      </w:r>
      <w:r>
        <w:rPr/>
        <w:t>项登记注册的商标证书，具体如下：</w:t>
      </w:r>
    </w:p>
    <w:p>
      <w:pPr>
        <w:pStyle w:val="Heading5"/>
        <w:spacing w:line="240" w:lineRule="auto" w:before="63"/>
        <w:ind w:left="553" w:right="0"/>
        <w:jc w:val="left"/>
        <w:rPr>
          <w:b w:val="0"/>
          <w:bCs w:val="0"/>
        </w:rPr>
      </w:pPr>
      <w:r>
        <w:rPr>
          <w:rFonts w:ascii="Times New Roman" w:hAnsi="Times New Roman" w:cs="Times New Roman" w:eastAsia="Times New Roman" w:hint="default"/>
        </w:rPr>
        <w:t>1</w:t>
      </w:r>
      <w:r>
        <w:rPr/>
        <w:t>、子公司软件著作权情况</w:t>
      </w:r>
      <w:r>
        <w:rPr>
          <w:b w:val="0"/>
          <w:bCs w:val="0"/>
        </w:rPr>
      </w:r>
    </w:p>
    <w:p>
      <w:pPr>
        <w:spacing w:line="240" w:lineRule="auto" w:before="13"/>
        <w:rPr>
          <w:rFonts w:ascii="宋体" w:hAnsi="宋体" w:cs="宋体" w:eastAsia="宋体" w:hint="default"/>
          <w:b/>
          <w:bCs/>
          <w:sz w:val="3"/>
          <w:szCs w:val="3"/>
        </w:rPr>
      </w:pPr>
    </w:p>
    <w:tbl>
      <w:tblPr>
        <w:tblW w:w="0" w:type="auto"/>
        <w:jc w:val="left"/>
        <w:tblInd w:w="108" w:type="dxa"/>
        <w:tblLayout w:type="fixed"/>
        <w:tblCellMar>
          <w:top w:w="0" w:type="dxa"/>
          <w:left w:w="0" w:type="dxa"/>
          <w:bottom w:w="0" w:type="dxa"/>
          <w:right w:w="0" w:type="dxa"/>
        </w:tblCellMar>
        <w:tblLook w:val="01E0"/>
      </w:tblPr>
      <w:tblGrid>
        <w:gridCol w:w="624"/>
        <w:gridCol w:w="1702"/>
        <w:gridCol w:w="1846"/>
        <w:gridCol w:w="773"/>
        <w:gridCol w:w="1644"/>
        <w:gridCol w:w="1645"/>
        <w:gridCol w:w="1560"/>
      </w:tblGrid>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9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软件全称</w:t>
            </w:r>
            <w:r>
              <w:rPr>
                <w:rFonts w:ascii="宋体" w:hAnsi="宋体" w:cs="宋体" w:eastAsia="宋体" w:hint="default"/>
                <w:sz w:val="18"/>
                <w:szCs w:val="18"/>
              </w:rPr>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69"/>
              <w:jc w:val="right"/>
              <w:rPr>
                <w:rFonts w:ascii="宋体" w:hAnsi="宋体" w:cs="宋体" w:eastAsia="宋体" w:hint="default"/>
                <w:sz w:val="18"/>
                <w:szCs w:val="18"/>
              </w:rPr>
            </w:pPr>
            <w:r>
              <w:rPr>
                <w:rFonts w:ascii="宋体" w:hAnsi="宋体" w:cs="宋体" w:eastAsia="宋体" w:hint="default"/>
                <w:b/>
                <w:bCs/>
                <w:w w:val="95"/>
                <w:sz w:val="18"/>
                <w:szCs w:val="18"/>
              </w:rPr>
              <w:t>首次发表日期</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09"/>
              <w:jc w:val="right"/>
              <w:rPr>
                <w:rFonts w:ascii="宋体" w:hAnsi="宋体" w:cs="宋体" w:eastAsia="宋体" w:hint="default"/>
                <w:sz w:val="18"/>
                <w:szCs w:val="18"/>
              </w:rPr>
            </w:pPr>
            <w:r>
              <w:rPr>
                <w:rFonts w:ascii="宋体" w:hAnsi="宋体" w:cs="宋体" w:eastAsia="宋体" w:hint="default"/>
                <w:b/>
                <w:bCs/>
                <w:w w:val="95"/>
                <w:sz w:val="18"/>
                <w:szCs w:val="18"/>
              </w:rPr>
              <w:t>登记日期</w:t>
            </w:r>
            <w:r>
              <w:rPr>
                <w:rFonts w:ascii="宋体" w:hAnsi="宋体" w:cs="宋体" w:eastAsia="宋体" w:hint="default"/>
                <w:sz w:val="18"/>
                <w:szCs w:val="18"/>
              </w:rPr>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
              <w:jc w:val="center"/>
              <w:rPr>
                <w:rFonts w:ascii="宋体" w:hAnsi="宋体" w:cs="宋体" w:eastAsia="宋体" w:hint="default"/>
                <w:sz w:val="18"/>
                <w:szCs w:val="18"/>
              </w:rPr>
            </w:pPr>
            <w:r>
              <w:rPr>
                <w:rFonts w:ascii="宋体" w:hAnsi="宋体" w:cs="宋体" w:eastAsia="宋体" w:hint="default"/>
                <w:sz w:val="18"/>
                <w:szCs w:val="18"/>
              </w:rPr>
              <w:t>无限易信基础管理软件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2019R11L118098</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6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无限易信客户接触管理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软件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2019R11L118112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6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624"/>
        <w:gridCol w:w="1702"/>
        <w:gridCol w:w="1846"/>
        <w:gridCol w:w="773"/>
        <w:gridCol w:w="1644"/>
        <w:gridCol w:w="1645"/>
        <w:gridCol w:w="1560"/>
      </w:tblGrid>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无限易信智能日志分析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软件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V1.2.0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2019R11L118120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无限易信日志统一分析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V1.3.0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2019R11L118126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无限易信智慧城市能力</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整合开放平台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V2.0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2019R11L154477</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无限易信数字城市智慧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治理中心平台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2019R11L154523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无限易信政务数据资源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目录平台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V4.0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2019R11L154612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73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无限易信数字城市运行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体征中心平台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2019R11L162891</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4"/>
              <w:jc w:val="left"/>
              <w:rPr>
                <w:rFonts w:ascii="宋体" w:hAnsi="宋体" w:cs="宋体" w:eastAsia="宋体" w:hint="default"/>
                <w:sz w:val="18"/>
                <w:szCs w:val="18"/>
              </w:rPr>
            </w:pPr>
            <w:r>
              <w:rPr>
                <w:rFonts w:ascii="宋体" w:hAnsi="宋体" w:cs="宋体" w:eastAsia="宋体" w:hint="default"/>
                <w:sz w:val="18"/>
                <w:szCs w:val="18"/>
              </w:rPr>
              <w:t>无限易信数字城市运营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管理中心平台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2019R11L162926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4"/>
              <w:jc w:val="left"/>
              <w:rPr>
                <w:rFonts w:ascii="宋体" w:hAnsi="宋体" w:cs="宋体" w:eastAsia="宋体" w:hint="default"/>
                <w:sz w:val="18"/>
                <w:szCs w:val="18"/>
              </w:rPr>
            </w:pPr>
            <w:r>
              <w:rPr>
                <w:rFonts w:ascii="宋体" w:hAnsi="宋体" w:cs="宋体" w:eastAsia="宋体" w:hint="default"/>
                <w:sz w:val="18"/>
                <w:szCs w:val="18"/>
              </w:rPr>
              <w:t>无限易信政务数据服务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管理平台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2019R11L163004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11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4"/>
              <w:jc w:val="left"/>
              <w:rPr>
                <w:rFonts w:ascii="宋体" w:hAnsi="宋体" w:cs="宋体" w:eastAsia="宋体" w:hint="default"/>
                <w:sz w:val="18"/>
                <w:szCs w:val="18"/>
              </w:rPr>
            </w:pPr>
            <w:r>
              <w:rPr>
                <w:rFonts w:ascii="宋体" w:hAnsi="宋体" w:cs="宋体" w:eastAsia="宋体" w:hint="default"/>
                <w:sz w:val="18"/>
                <w:szCs w:val="18"/>
              </w:rPr>
              <w:t>无限易信政务数据综合</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处理平台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V2.0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2019R11L163048</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12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4"/>
              <w:jc w:val="left"/>
              <w:rPr>
                <w:rFonts w:ascii="宋体" w:hAnsi="宋体" w:cs="宋体" w:eastAsia="宋体" w:hint="default"/>
                <w:sz w:val="18"/>
                <w:szCs w:val="18"/>
              </w:rPr>
            </w:pPr>
            <w:r>
              <w:rPr>
                <w:rFonts w:ascii="宋体" w:hAnsi="宋体" w:cs="宋体" w:eastAsia="宋体" w:hint="default"/>
                <w:sz w:val="18"/>
                <w:szCs w:val="18"/>
              </w:rPr>
              <w:t>无限易信智慧城市技术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能力共享支撑平台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V2.0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2019R11L163185</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4"/>
              <w:jc w:val="left"/>
              <w:rPr>
                <w:rFonts w:ascii="宋体" w:hAnsi="宋体" w:cs="宋体" w:eastAsia="宋体" w:hint="default"/>
                <w:sz w:val="18"/>
                <w:szCs w:val="18"/>
              </w:rPr>
            </w:pPr>
            <w:r>
              <w:rPr>
                <w:rFonts w:ascii="宋体" w:hAnsi="宋体" w:cs="宋体" w:eastAsia="宋体" w:hint="default"/>
                <w:sz w:val="18"/>
                <w:szCs w:val="18"/>
              </w:rPr>
              <w:t>无限易信智慧城市能力</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共享支撑平台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V2.0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2019R11L163233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无限易信智慧城市能力</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整合共享平台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V2.0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2019R11L163281</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无限易信智慧城市信息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能力共享支撑平台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V2.0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2019R11L163456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北京无限易信科技有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无限易信政务数据统一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开放平台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V2.0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2019R11L163979</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太原思特奇信息技术 </w:t>
            </w:r>
            <w:r>
              <w:rPr>
                <w:rFonts w:ascii="宋体" w:hAnsi="宋体" w:cs="宋体" w:eastAsia="宋体" w:hint="default"/>
                <w:sz w:val="18"/>
                <w:szCs w:val="18"/>
              </w:rPr>
              <w:t>有限责任公司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票据管理系统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3"/>
              <w:ind w:left="333" w:right="41" w:hanging="289"/>
              <w:jc w:val="left"/>
              <w:rPr>
                <w:rFonts w:ascii="Times New Roman" w:hAnsi="Times New Roman" w:cs="Times New Roman" w:eastAsia="Times New Roman" w:hint="default"/>
                <w:sz w:val="18"/>
                <w:szCs w:val="18"/>
              </w:rPr>
            </w:pPr>
            <w:r>
              <w:rPr>
                <w:rFonts w:ascii="Times New Roman"/>
                <w:sz w:val="18"/>
              </w:rPr>
              <w:t>V10.8.12 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2019R11L104582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太原思特奇信息技术 </w:t>
            </w:r>
            <w:r>
              <w:rPr>
                <w:rFonts w:ascii="宋体" w:hAnsi="宋体" w:cs="宋体" w:eastAsia="宋体" w:hint="default"/>
                <w:sz w:val="18"/>
                <w:szCs w:val="18"/>
              </w:rPr>
              <w:t>有限责任公司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欠费管理系统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3"/>
              <w:ind w:left="333" w:right="41" w:hanging="289"/>
              <w:jc w:val="left"/>
              <w:rPr>
                <w:rFonts w:ascii="Times New Roman" w:hAnsi="Times New Roman" w:cs="Times New Roman" w:eastAsia="Times New Roman" w:hint="default"/>
                <w:sz w:val="18"/>
                <w:szCs w:val="18"/>
              </w:rPr>
            </w:pPr>
            <w:r>
              <w:rPr>
                <w:rFonts w:ascii="Times New Roman"/>
                <w:sz w:val="18"/>
              </w:rPr>
              <w:t>V10.8.12 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2019R11L104583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太原思特奇信息技术 </w:t>
            </w:r>
            <w:r>
              <w:rPr>
                <w:rFonts w:ascii="宋体" w:hAnsi="宋体" w:cs="宋体" w:eastAsia="宋体" w:hint="default"/>
                <w:sz w:val="18"/>
                <w:szCs w:val="18"/>
              </w:rPr>
              <w:t>有限责任公司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缴费管理系统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3"/>
              <w:ind w:left="333" w:right="41" w:hanging="289"/>
              <w:jc w:val="left"/>
              <w:rPr>
                <w:rFonts w:ascii="Times New Roman" w:hAnsi="Times New Roman" w:cs="Times New Roman" w:eastAsia="Times New Roman" w:hint="default"/>
                <w:sz w:val="18"/>
                <w:szCs w:val="18"/>
              </w:rPr>
            </w:pPr>
            <w:r>
              <w:rPr>
                <w:rFonts w:ascii="Times New Roman"/>
                <w:sz w:val="18"/>
              </w:rPr>
              <w:t>V10.8.12 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2019R11L104584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太原思特奇信息技术 </w:t>
            </w:r>
            <w:r>
              <w:rPr>
                <w:rFonts w:ascii="宋体" w:hAnsi="宋体" w:cs="宋体" w:eastAsia="宋体" w:hint="default"/>
                <w:sz w:val="18"/>
                <w:szCs w:val="18"/>
              </w:rPr>
              <w:t>有限责任公司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信用控制平台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3"/>
              <w:ind w:left="333" w:right="41" w:hanging="289"/>
              <w:jc w:val="left"/>
              <w:rPr>
                <w:rFonts w:ascii="Times New Roman" w:hAnsi="Times New Roman" w:cs="Times New Roman" w:eastAsia="Times New Roman" w:hint="default"/>
                <w:sz w:val="18"/>
                <w:szCs w:val="18"/>
              </w:rPr>
            </w:pPr>
            <w:r>
              <w:rPr>
                <w:rFonts w:ascii="Times New Roman"/>
                <w:sz w:val="18"/>
              </w:rPr>
              <w:t>V10.8.12 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2019R11L104585</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43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21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太原思特奇信息技术</w:t>
            </w:r>
            <w:r>
              <w:rPr>
                <w:rFonts w:ascii="宋体" w:hAnsi="宋体" w:cs="宋体" w:eastAsia="宋体" w:hint="default"/>
                <w:sz w:val="18"/>
                <w:szCs w:val="18"/>
              </w:rPr>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账务核算管理系统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V10.8.12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2019R11L104586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624"/>
        <w:gridCol w:w="1702"/>
        <w:gridCol w:w="1846"/>
        <w:gridCol w:w="773"/>
        <w:gridCol w:w="1644"/>
        <w:gridCol w:w="1645"/>
        <w:gridCol w:w="1560"/>
      </w:tblGrid>
      <w:tr>
        <w:trPr>
          <w:trHeight w:val="387" w:hRule="exact"/>
        </w:trPr>
        <w:tc>
          <w:tcPr>
            <w:tcW w:w="62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846" w:type="dxa"/>
            <w:tcBorders>
              <w:top w:val="single" w:sz="6" w:space="0" w:color="000000"/>
              <w:left w:val="single" w:sz="6" w:space="0" w:color="000000"/>
              <w:bottom w:val="single" w:sz="6" w:space="0" w:color="000000"/>
              <w:right w:val="single" w:sz="6" w:space="0" w:color="000000"/>
            </w:tcBorders>
          </w:tcPr>
          <w:p>
            <w:pP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w:t>
            </w:r>
          </w:p>
        </w:tc>
        <w:tc>
          <w:tcPr>
            <w:tcW w:w="1644"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太原思特奇信息技术 </w:t>
            </w:r>
            <w:r>
              <w:rPr>
                <w:rFonts w:ascii="宋体" w:hAnsi="宋体" w:cs="宋体" w:eastAsia="宋体" w:hint="default"/>
                <w:sz w:val="18"/>
                <w:szCs w:val="18"/>
              </w:rPr>
              <w:t>有限责任公司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4"/>
              <w:jc w:val="left"/>
              <w:rPr>
                <w:rFonts w:ascii="宋体" w:hAnsi="宋体" w:cs="宋体" w:eastAsia="宋体" w:hint="default"/>
                <w:sz w:val="18"/>
                <w:szCs w:val="18"/>
              </w:rPr>
            </w:pPr>
            <w:r>
              <w:rPr>
                <w:rFonts w:ascii="宋体" w:hAnsi="宋体" w:cs="宋体" w:eastAsia="宋体" w:hint="default"/>
                <w:sz w:val="18"/>
                <w:szCs w:val="18"/>
              </w:rPr>
              <w:t>代理商末梢业务受理系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2019R11L104618</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23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太原思特奇信息技术 </w:t>
            </w:r>
            <w:r>
              <w:rPr>
                <w:rFonts w:ascii="宋体" w:hAnsi="宋体" w:cs="宋体" w:eastAsia="宋体" w:hint="default"/>
                <w:sz w:val="18"/>
                <w:szCs w:val="18"/>
              </w:rPr>
              <w:t>有限责任公司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渠道集中化系统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2019R11L104621</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24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太原思特奇信息技术 </w:t>
            </w:r>
            <w:r>
              <w:rPr>
                <w:rFonts w:ascii="宋体" w:hAnsi="宋体" w:cs="宋体" w:eastAsia="宋体" w:hint="default"/>
                <w:sz w:val="18"/>
                <w:szCs w:val="18"/>
              </w:rPr>
              <w:t>有限责任公司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数据服务开放平台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V2.0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2019R11L165144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25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太原思特奇信息技术 </w:t>
            </w:r>
            <w:r>
              <w:rPr>
                <w:rFonts w:ascii="宋体" w:hAnsi="宋体" w:cs="宋体" w:eastAsia="宋体" w:hint="default"/>
                <w:sz w:val="18"/>
                <w:szCs w:val="18"/>
              </w:rPr>
              <w:t>有限责任公司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报表分析工具软件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2019R11L165062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26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太原思特奇信息技术 </w:t>
            </w:r>
            <w:r>
              <w:rPr>
                <w:rFonts w:ascii="宋体" w:hAnsi="宋体" w:cs="宋体" w:eastAsia="宋体" w:hint="default"/>
                <w:sz w:val="18"/>
                <w:szCs w:val="18"/>
              </w:rPr>
              <w:t>有限责任公司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自助分析平台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2019R11L164822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27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太原思特奇信息技术 </w:t>
            </w:r>
            <w:r>
              <w:rPr>
                <w:rFonts w:ascii="宋体" w:hAnsi="宋体" w:cs="宋体" w:eastAsia="宋体" w:hint="default"/>
                <w:sz w:val="18"/>
                <w:szCs w:val="18"/>
              </w:rPr>
              <w:t>有限责任公司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数据采集处理平台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2019R11L165601</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28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哈尔滨易位科技有限 </w:t>
            </w:r>
            <w:r>
              <w:rPr>
                <w:rFonts w:ascii="宋体" w:hAnsi="宋体" w:cs="宋体" w:eastAsia="宋体" w:hint="default"/>
                <w:sz w:val="18"/>
                <w:szCs w:val="18"/>
              </w:rPr>
              <w:t>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BILLING</w:t>
            </w:r>
            <w:r>
              <w:rPr>
                <w:rFonts w:ascii="宋体" w:hAnsi="宋体" w:cs="宋体" w:eastAsia="宋体" w:hint="default"/>
                <w:sz w:val="18"/>
                <w:szCs w:val="18"/>
              </w:rPr>
              <w:t>技术组件系统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2019R11L104564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哈尔滨易位科技有限 </w:t>
            </w:r>
            <w:r>
              <w:rPr>
                <w:rFonts w:ascii="宋体" w:hAnsi="宋体" w:cs="宋体" w:eastAsia="宋体" w:hint="default"/>
                <w:sz w:val="18"/>
                <w:szCs w:val="18"/>
              </w:rPr>
              <w:t>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BOSS</w:t>
            </w:r>
            <w:r>
              <w:rPr>
                <w:rFonts w:ascii="宋体" w:hAnsi="宋体" w:cs="宋体" w:eastAsia="宋体" w:hint="default"/>
                <w:sz w:val="18"/>
                <w:szCs w:val="18"/>
              </w:rPr>
              <w:t>订购通软件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V2.0.0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2019R11L104565</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73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30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哈尔滨易位科技有限 </w:t>
            </w:r>
            <w:r>
              <w:rPr>
                <w:rFonts w:ascii="宋体" w:hAnsi="宋体" w:cs="宋体" w:eastAsia="宋体" w:hint="default"/>
                <w:sz w:val="18"/>
                <w:szCs w:val="18"/>
              </w:rPr>
              <w:t>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BOSS</w:t>
            </w:r>
            <w:r>
              <w:rPr>
                <w:rFonts w:ascii="宋体" w:hAnsi="宋体" w:cs="宋体" w:eastAsia="宋体" w:hint="default"/>
                <w:sz w:val="18"/>
                <w:szCs w:val="18"/>
              </w:rPr>
              <w:t>金融通软件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2019R11L104566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5" w:right="0"/>
              <w:jc w:val="center"/>
              <w:rPr>
                <w:rFonts w:ascii="Times New Roman" w:hAnsi="Times New Roman" w:cs="Times New Roman" w:eastAsia="Times New Roman" w:hint="default"/>
                <w:sz w:val="18"/>
                <w:szCs w:val="18"/>
              </w:rPr>
            </w:pPr>
            <w:r>
              <w:rPr>
                <w:rFonts w:ascii="Times New Roman"/>
                <w:sz w:val="18"/>
              </w:rPr>
              <w:t>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哈尔滨易位科技有限 </w:t>
            </w:r>
            <w:r>
              <w:rPr>
                <w:rFonts w:ascii="宋体" w:hAnsi="宋体" w:cs="宋体" w:eastAsia="宋体" w:hint="default"/>
                <w:sz w:val="18"/>
                <w:szCs w:val="18"/>
              </w:rPr>
              <w:t>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4"/>
              <w:jc w:val="left"/>
              <w:rPr>
                <w:rFonts w:ascii="宋体" w:hAnsi="宋体" w:cs="宋体" w:eastAsia="宋体" w:hint="default"/>
                <w:sz w:val="18"/>
                <w:szCs w:val="18"/>
              </w:rPr>
            </w:pPr>
            <w:r>
              <w:rPr>
                <w:rFonts w:ascii="宋体" w:hAnsi="宋体" w:cs="宋体" w:eastAsia="宋体" w:hint="default"/>
                <w:sz w:val="18"/>
                <w:szCs w:val="18"/>
              </w:rPr>
              <w:t>分布式对象操作引擎软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 w:right="0"/>
              <w:jc w:val="center"/>
              <w:rPr>
                <w:rFonts w:ascii="Times New Roman" w:hAnsi="Times New Roman" w:cs="Times New Roman" w:eastAsia="Times New Roman" w:hint="default"/>
                <w:sz w:val="18"/>
                <w:szCs w:val="18"/>
              </w:rPr>
            </w:pPr>
            <w:r>
              <w:rPr>
                <w:rFonts w:ascii="Times New Roman"/>
                <w:sz w:val="18"/>
              </w:rPr>
              <w:t>2019R11L104567</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32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哈尔滨易位科技有限 </w:t>
            </w:r>
            <w:r>
              <w:rPr>
                <w:rFonts w:ascii="宋体" w:hAnsi="宋体" w:cs="宋体" w:eastAsia="宋体" w:hint="default"/>
                <w:sz w:val="18"/>
                <w:szCs w:val="18"/>
              </w:rPr>
              <w:t>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集成定单中心平台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V2.0.0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2019R11L104568</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33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哈尔滨易位科技有限 </w:t>
            </w:r>
            <w:r>
              <w:rPr>
                <w:rFonts w:ascii="宋体" w:hAnsi="宋体" w:cs="宋体" w:eastAsia="宋体" w:hint="default"/>
                <w:sz w:val="18"/>
                <w:szCs w:val="18"/>
              </w:rPr>
              <w:t>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客户管理系统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V6.0.0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2019R11L104569</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34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哈尔滨易位科技有限 </w:t>
            </w:r>
            <w:r>
              <w:rPr>
                <w:rFonts w:ascii="宋体" w:hAnsi="宋体" w:cs="宋体" w:eastAsia="宋体" w:hint="default"/>
                <w:sz w:val="18"/>
                <w:szCs w:val="18"/>
              </w:rPr>
              <w:t>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电子商务系统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V3.0.0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2019R11L104570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35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哈尔滨易位科技有限 </w:t>
            </w:r>
            <w:r>
              <w:rPr>
                <w:rFonts w:ascii="宋体" w:hAnsi="宋体" w:cs="宋体" w:eastAsia="宋体" w:hint="default"/>
                <w:sz w:val="18"/>
                <w:szCs w:val="18"/>
              </w:rPr>
              <w:t>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电子渠道系统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V2.0.1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2019R11L104571</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36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哈尔滨易位科技有限 </w:t>
            </w:r>
            <w:r>
              <w:rPr>
                <w:rFonts w:ascii="宋体" w:hAnsi="宋体" w:cs="宋体" w:eastAsia="宋体" w:hint="default"/>
                <w:sz w:val="18"/>
                <w:szCs w:val="18"/>
              </w:rPr>
              <w:t>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文件数据库系统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V8.0.0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2019R11L104572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哈尔滨易位科技有限 </w:t>
            </w:r>
            <w:r>
              <w:rPr>
                <w:rFonts w:ascii="宋体" w:hAnsi="宋体" w:cs="宋体" w:eastAsia="宋体" w:hint="default"/>
                <w:sz w:val="18"/>
                <w:szCs w:val="18"/>
              </w:rPr>
              <w:t>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业务流程管理平台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V4.0.0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2019R11L104573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38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哈尔滨易位科技有限 </w:t>
            </w:r>
            <w:r>
              <w:rPr>
                <w:rFonts w:ascii="宋体" w:hAnsi="宋体" w:cs="宋体" w:eastAsia="宋体" w:hint="default"/>
                <w:sz w:val="18"/>
                <w:szCs w:val="18"/>
              </w:rPr>
              <w:t>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大数据标签管理应用软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2019R11L165860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39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PaaS</w:t>
            </w:r>
            <w:r>
              <w:rPr>
                <w:rFonts w:ascii="宋体" w:hAnsi="宋体" w:cs="宋体" w:eastAsia="宋体" w:hint="default"/>
                <w:sz w:val="18"/>
                <w:szCs w:val="18"/>
              </w:rPr>
              <w:t>管理平台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V1.5.0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2019SR11L104505</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624"/>
        <w:gridCol w:w="1702"/>
        <w:gridCol w:w="1846"/>
        <w:gridCol w:w="773"/>
        <w:gridCol w:w="1644"/>
        <w:gridCol w:w="1645"/>
        <w:gridCol w:w="1560"/>
      </w:tblGrid>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40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对象存储备份系统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V1.3.2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2019SR11L104508</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41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客户评价软件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2019SR11L104513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42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容灾备份系统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V2.5.1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2019SR11L104514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43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客户经理统一门户软件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2019SR11L104519</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44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客户服务软件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V2.0.0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2019SR11L104524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3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电信受理门户软件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2019SR11L104525</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46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深圳思特奇信息技术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2" w:right="-10"/>
              <w:jc w:val="left"/>
              <w:rPr>
                <w:rFonts w:ascii="宋体" w:hAnsi="宋体" w:cs="宋体" w:eastAsia="宋体" w:hint="default"/>
                <w:sz w:val="18"/>
                <w:szCs w:val="18"/>
              </w:rPr>
            </w:pPr>
            <w:r>
              <w:rPr>
                <w:rFonts w:ascii="宋体" w:hAnsi="宋体" w:cs="宋体" w:eastAsia="宋体" w:hint="default"/>
                <w:spacing w:val="9"/>
                <w:sz w:val="18"/>
                <w:szCs w:val="18"/>
              </w:rPr>
              <w:t>地理信息系统</w:t>
            </w:r>
            <w:r>
              <w:rPr>
                <w:rFonts w:ascii="Times New Roman" w:hAnsi="Times New Roman" w:cs="Times New Roman" w:eastAsia="Times New Roman" w:hint="default"/>
                <w:spacing w:val="9"/>
                <w:sz w:val="18"/>
                <w:szCs w:val="18"/>
              </w:rPr>
              <w:t>GIS</w:t>
            </w:r>
            <w:r>
              <w:rPr>
                <w:rFonts w:ascii="宋体" w:hAnsi="宋体" w:cs="宋体" w:eastAsia="宋体" w:hint="default"/>
                <w:spacing w:val="9"/>
                <w:sz w:val="18"/>
                <w:szCs w:val="18"/>
              </w:rPr>
              <w:t>应用</w:t>
            </w:r>
            <w:r>
              <w:rPr>
                <w:rFonts w:ascii="宋体" w:hAnsi="宋体" w:cs="宋体" w:eastAsia="宋体" w:hint="default"/>
                <w:spacing w:val="-83"/>
                <w:sz w:val="18"/>
                <w:szCs w:val="18"/>
              </w:rPr>
              <w:t> </w:t>
            </w:r>
            <w:r>
              <w:rPr>
                <w:rFonts w:ascii="宋体" w:hAnsi="宋体" w:cs="宋体" w:eastAsia="宋体" w:hint="default"/>
                <w:sz w:val="18"/>
                <w:szCs w:val="18"/>
              </w:rPr>
              <w:t>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2019SR11L104528</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47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深圳思特奇信息技术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4"/>
              <w:jc w:val="left"/>
              <w:rPr>
                <w:rFonts w:ascii="宋体" w:hAnsi="宋体" w:cs="宋体" w:eastAsia="宋体" w:hint="default"/>
                <w:sz w:val="18"/>
                <w:szCs w:val="18"/>
              </w:rPr>
            </w:pPr>
            <w:r>
              <w:rPr>
                <w:rFonts w:ascii="宋体" w:hAnsi="宋体" w:cs="宋体" w:eastAsia="宋体" w:hint="default"/>
                <w:sz w:val="18"/>
                <w:szCs w:val="18"/>
              </w:rPr>
              <w:t>大数据标签库聚合取数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2019SR0918869</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未发表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48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深圳思特奇信息技术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3"/>
              <w:ind w:left="2" w:right="-8"/>
              <w:jc w:val="left"/>
              <w:rPr>
                <w:rFonts w:ascii="宋体" w:hAnsi="宋体" w:cs="宋体" w:eastAsia="宋体" w:hint="default"/>
                <w:sz w:val="18"/>
                <w:szCs w:val="18"/>
              </w:rPr>
            </w:pPr>
            <w:r>
              <w:rPr>
                <w:rFonts w:ascii="宋体" w:hAnsi="宋体" w:cs="宋体" w:eastAsia="宋体" w:hint="default"/>
                <w:spacing w:val="5"/>
                <w:sz w:val="18"/>
                <w:szCs w:val="18"/>
              </w:rPr>
              <w:t>渠道终端</w:t>
            </w:r>
            <w:r>
              <w:rPr>
                <w:rFonts w:ascii="Times New Roman" w:hAnsi="Times New Roman" w:cs="Times New Roman" w:eastAsia="Times New Roman" w:hint="default"/>
                <w:spacing w:val="5"/>
                <w:sz w:val="18"/>
                <w:szCs w:val="18"/>
              </w:rPr>
              <w:t>B2B</w:t>
            </w:r>
            <w:r>
              <w:rPr>
                <w:rFonts w:ascii="宋体" w:hAnsi="宋体" w:cs="宋体" w:eastAsia="宋体" w:hint="default"/>
                <w:spacing w:val="5"/>
                <w:sz w:val="18"/>
                <w:szCs w:val="18"/>
              </w:rPr>
              <w:t>销售平台</w:t>
            </w:r>
            <w:r>
              <w:rPr>
                <w:rFonts w:ascii="宋体" w:hAnsi="宋体" w:cs="宋体" w:eastAsia="宋体" w:hint="default"/>
                <w:spacing w:val="-83"/>
                <w:sz w:val="18"/>
                <w:szCs w:val="18"/>
              </w:rPr>
              <w:t> </w:t>
            </w:r>
            <w:r>
              <w:rPr>
                <w:rFonts w:ascii="宋体" w:hAnsi="宋体" w:cs="宋体" w:eastAsia="宋体" w:hint="default"/>
                <w:sz w:val="18"/>
                <w:szCs w:val="18"/>
              </w:rPr>
              <w:t>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2019SR0918277</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深圳思特奇信息技术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数据业务受理系统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2019SR0918273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深圳思特奇信息技术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w:t>
            </w:r>
            <w:r>
              <w:rPr>
                <w:rFonts w:ascii="宋体" w:hAnsi="宋体" w:cs="宋体" w:eastAsia="宋体" w:hint="default"/>
                <w:sz w:val="18"/>
                <w:szCs w:val="18"/>
              </w:rPr>
              <w:t>管理平台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2019SR0918275</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51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端到端性能管理系统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V1.5.0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2019R11L113796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大数据平台运维系统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V1.5.0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2019R11L113893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53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静态页面发布系统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2019R11L113984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54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Docker</w:t>
            </w:r>
            <w:r>
              <w:rPr>
                <w:rFonts w:ascii="宋体" w:hAnsi="宋体" w:cs="宋体" w:eastAsia="宋体" w:hint="default"/>
                <w:sz w:val="18"/>
                <w:szCs w:val="18"/>
              </w:rPr>
              <w:t>管理平台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V1.2.0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2019R11L116862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省分一级系统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V2.1.1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2019R11L117930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56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智能数据传输系统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V3.0.0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2019R11L117847</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73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57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在线咨询系统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2019R11L118080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43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58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w:t>
            </w:r>
            <w:r>
              <w:rPr>
                <w:rFonts w:ascii="宋体" w:hAnsi="宋体" w:cs="宋体" w:eastAsia="宋体" w:hint="default"/>
                <w:sz w:val="18"/>
                <w:szCs w:val="18"/>
              </w:rPr>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增值业务支撑平台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V1.0.3</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2019R11L118081</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624"/>
        <w:gridCol w:w="1702"/>
        <w:gridCol w:w="1846"/>
        <w:gridCol w:w="773"/>
        <w:gridCol w:w="1644"/>
        <w:gridCol w:w="1645"/>
        <w:gridCol w:w="1560"/>
      </w:tblGrid>
      <w:tr>
        <w:trPr>
          <w:trHeight w:val="387" w:hRule="exact"/>
        </w:trPr>
        <w:tc>
          <w:tcPr>
            <w:tcW w:w="62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
        </w:tc>
        <w:tc>
          <w:tcPr>
            <w:tcW w:w="773"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59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智能营销运营平台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V3.0.0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2019R11L118084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基层党建平台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V2.1.0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2019R11L118088</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61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翼销售系统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V4.4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2019R11L118092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62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营维助手系统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V4.9</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2019R11L118094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63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应用集成平台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2019R11L118756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64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分布式文件系统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V1.5.0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Times New Roman" w:hAnsi="Times New Roman" w:cs="Times New Roman" w:eastAsia="Times New Roman" w:hint="default"/>
                <w:sz w:val="18"/>
                <w:szCs w:val="18"/>
              </w:rPr>
            </w:pPr>
            <w:r>
              <w:rPr>
                <w:rFonts w:ascii="Times New Roman"/>
                <w:sz w:val="18"/>
              </w:rPr>
              <w:t>2019SR0553409</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65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w:t>
            </w:r>
            <w:r>
              <w:rPr>
                <w:rFonts w:ascii="宋体" w:hAnsi="宋体" w:cs="宋体" w:eastAsia="宋体" w:hint="default"/>
                <w:sz w:val="18"/>
                <w:szCs w:val="18"/>
              </w:rPr>
              <w:t>统一服务平台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V5.0.0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Times New Roman" w:hAnsi="Times New Roman" w:cs="Times New Roman" w:eastAsia="Times New Roman" w:hint="default"/>
                <w:sz w:val="18"/>
                <w:szCs w:val="18"/>
              </w:rPr>
            </w:pPr>
            <w:r>
              <w:rPr>
                <w:rFonts w:ascii="Times New Roman"/>
                <w:sz w:val="18"/>
              </w:rPr>
              <w:t>2019SR0555866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1051"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66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上海实均信息技术有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both"/>
              <w:rPr>
                <w:rFonts w:ascii="宋体" w:hAnsi="宋体" w:cs="宋体" w:eastAsia="宋体" w:hint="default"/>
                <w:sz w:val="18"/>
                <w:szCs w:val="18"/>
              </w:rPr>
            </w:pPr>
            <w:r>
              <w:rPr>
                <w:rFonts w:ascii="宋体" w:hAnsi="宋体" w:cs="宋体" w:eastAsia="宋体" w:hint="default"/>
                <w:sz w:val="18"/>
                <w:szCs w:val="18"/>
              </w:rPr>
              <w:t>智能焊接机器人焊接过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程物联网数据采集和工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艺改进系统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Times New Roman" w:hAnsi="Times New Roman" w:cs="Times New Roman" w:eastAsia="Times New Roman" w:hint="default"/>
                <w:sz w:val="18"/>
                <w:szCs w:val="18"/>
              </w:rPr>
            </w:pPr>
            <w:r>
              <w:rPr>
                <w:rFonts w:ascii="Times New Roman"/>
                <w:sz w:val="18"/>
              </w:rPr>
              <w:t>2019SR0557696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73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67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四川思特奇信息技术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网上商城运营平台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2019R11L104643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68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四川思特奇信息技术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短信营业厅系统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V2.0.0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2019R11L104660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69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四川思特奇信息技术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经营分析决策支持软件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2019R11L104676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70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四川思特奇信息技术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统一投诉系统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V5.0.0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2019R11L104697</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四川思特奇信息技术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能力发布平台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2019R11L104713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72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四川思特奇信息技术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经营数据统计分析系统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2019R11L108033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73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四川思特奇信息技术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中台生产中心平台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2019R11L108180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74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四川思特奇信息技术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分布式消息队列平台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V4.0.1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2019R11L108268</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75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四川思特奇信息技术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易售系统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V2.1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2019R11L022134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76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四川思特奇信息技术</w:t>
            </w:r>
            <w:r>
              <w:rPr>
                <w:rFonts w:ascii="宋体" w:hAnsi="宋体" w:cs="宋体" w:eastAsia="宋体" w:hint="default"/>
                <w:sz w:val="18"/>
                <w:szCs w:val="18"/>
              </w:rPr>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客户评价软件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Times New Roman" w:hAnsi="Times New Roman" w:cs="Times New Roman" w:eastAsia="Times New Roman" w:hint="default"/>
                <w:sz w:val="18"/>
                <w:szCs w:val="18"/>
              </w:rPr>
            </w:pPr>
            <w:r>
              <w:rPr>
                <w:rFonts w:ascii="Times New Roman"/>
                <w:sz w:val="18"/>
              </w:rPr>
              <w:t>2019SR0561059</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624"/>
        <w:gridCol w:w="1702"/>
        <w:gridCol w:w="1846"/>
        <w:gridCol w:w="773"/>
        <w:gridCol w:w="1644"/>
        <w:gridCol w:w="1645"/>
        <w:gridCol w:w="1560"/>
      </w:tblGrid>
      <w:tr>
        <w:trPr>
          <w:trHeight w:val="387" w:hRule="exact"/>
        </w:trPr>
        <w:tc>
          <w:tcPr>
            <w:tcW w:w="62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
        </w:tc>
        <w:tc>
          <w:tcPr>
            <w:tcW w:w="773"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
        </w:tc>
        <w:tc>
          <w:tcPr>
            <w:tcW w:w="164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四川思特奇信息技术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服务请求</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V6.0.12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2019SR0803925</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78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重庆思特奇信息技术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Iaas</w:t>
            </w:r>
            <w:r>
              <w:rPr>
                <w:rFonts w:ascii="宋体" w:hAnsi="宋体" w:cs="宋体" w:eastAsia="宋体" w:hint="default"/>
                <w:sz w:val="18"/>
                <w:szCs w:val="18"/>
              </w:rPr>
              <w:t>公有云管理平台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V1.7.0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2019R11L104574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79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重庆思特奇信息技术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集客管理平台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2019R11L120123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80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重庆思特奇信息技术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智能终端设备资源管理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V2.0.0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2019R11L104576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81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重庆思特奇信息技术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企业级云管理平台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V2.6.0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2019R11L104577</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82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重庆思特奇信息技术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易账处理系统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V2.0.0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2019R11L118831</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83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重庆思特奇信息技术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易账管理系统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2019R11L118920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84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重庆思特奇信息技术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自助终端系统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V2.0.0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2019R11L104580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3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85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重庆思特奇信息技术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接入网资源管理系统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2019R11L104581</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5" w:right="0"/>
              <w:jc w:val="center"/>
              <w:rPr>
                <w:rFonts w:ascii="Times New Roman" w:hAnsi="Times New Roman" w:cs="Times New Roman" w:eastAsia="Times New Roman" w:hint="default"/>
                <w:sz w:val="18"/>
                <w:szCs w:val="18"/>
              </w:rPr>
            </w:pPr>
            <w:r>
              <w:rPr>
                <w:rFonts w:ascii="Times New Roman"/>
                <w:sz w:val="18"/>
              </w:rPr>
              <w:t>86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重庆思特奇信息技术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手机终端管理系统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V2.0.0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60" w:right="0"/>
              <w:jc w:val="left"/>
              <w:rPr>
                <w:rFonts w:ascii="Times New Roman" w:hAnsi="Times New Roman" w:cs="Times New Roman" w:eastAsia="Times New Roman" w:hint="default"/>
                <w:sz w:val="18"/>
                <w:szCs w:val="18"/>
              </w:rPr>
            </w:pPr>
            <w:r>
              <w:rPr>
                <w:rFonts w:ascii="Times New Roman"/>
                <w:sz w:val="18"/>
              </w:rPr>
              <w:t>2019R11L108399</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87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重庆思特奇信息技术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财务列报计算引擎平台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2019R11L165719</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88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重庆思特奇信息技术 </w:t>
            </w:r>
            <w:r>
              <w:rPr>
                <w:rFonts w:ascii="宋体" w:hAnsi="宋体" w:cs="宋体" w:eastAsia="宋体" w:hint="default"/>
                <w:sz w:val="18"/>
                <w:szCs w:val="18"/>
              </w:rPr>
              <w:t>有限公司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实时营销中心平台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2019SR0560004</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89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深圳花儿数据技术有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运维之眼平台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2019SR0579007</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90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深圳花儿数据技术有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应用性能监控系统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V2.0.0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2019SR0578043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r>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91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深圳花儿数据技术有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z w:val="18"/>
                <w:szCs w:val="18"/>
              </w:rPr>
              <w:t>网络编码分布式对象存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储系统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Times New Roman" w:hAnsi="Times New Roman" w:cs="Times New Roman" w:eastAsia="Times New Roman" w:hint="default"/>
                <w:sz w:val="18"/>
                <w:szCs w:val="18"/>
              </w:rPr>
            </w:pPr>
            <w:r>
              <w:rPr>
                <w:rFonts w:ascii="Times New Roman"/>
                <w:sz w:val="18"/>
              </w:rPr>
              <w:t>2019SR0541573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92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3"/>
              <w:jc w:val="left"/>
              <w:rPr>
                <w:rFonts w:ascii="宋体" w:hAnsi="宋体" w:cs="宋体" w:eastAsia="宋体" w:hint="default"/>
                <w:sz w:val="18"/>
                <w:szCs w:val="18"/>
              </w:rPr>
            </w:pPr>
            <w:r>
              <w:rPr>
                <w:rFonts w:ascii="宋体" w:hAnsi="宋体" w:cs="宋体" w:eastAsia="宋体" w:hint="default"/>
                <w:spacing w:val="6"/>
                <w:sz w:val="18"/>
                <w:szCs w:val="18"/>
              </w:rPr>
              <w:t>深圳花儿数据技术有</w:t>
            </w:r>
            <w:r>
              <w:rPr>
                <w:rFonts w:ascii="宋体" w:hAnsi="宋体" w:cs="宋体" w:eastAsia="宋体" w:hint="default"/>
                <w:sz w:val="18"/>
                <w:szCs w:val="18"/>
              </w:rPr>
              <w:t> 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云运维管理平台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Times New Roman" w:hAnsi="Times New Roman" w:cs="Times New Roman" w:eastAsia="Times New Roman" w:hint="default"/>
                <w:sz w:val="18"/>
                <w:szCs w:val="18"/>
              </w:rPr>
            </w:pPr>
            <w:r>
              <w:rPr>
                <w:rFonts w:ascii="Times New Roman"/>
                <w:sz w:val="18"/>
              </w:rPr>
              <w:t>2019SR0541106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93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深圳花儿数据技术有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自动化运维集成平台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Times New Roman" w:hAnsi="Times New Roman" w:cs="Times New Roman" w:eastAsia="Times New Roman" w:hint="default"/>
                <w:sz w:val="18"/>
                <w:szCs w:val="18"/>
              </w:rPr>
            </w:pPr>
            <w:r>
              <w:rPr>
                <w:rFonts w:ascii="Times New Roman"/>
                <w:sz w:val="18"/>
              </w:rPr>
              <w:t>2019SR0541105</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94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深圳花儿数据技术有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统一配置中心平台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Times New Roman" w:hAnsi="Times New Roman" w:cs="Times New Roman" w:eastAsia="Times New Roman" w:hint="default"/>
                <w:sz w:val="18"/>
                <w:szCs w:val="18"/>
              </w:rPr>
            </w:pPr>
            <w:r>
              <w:rPr>
                <w:rFonts w:ascii="Times New Roman"/>
                <w:sz w:val="18"/>
              </w:rPr>
              <w:t>2019SR0520922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624"/>
        <w:gridCol w:w="1702"/>
        <w:gridCol w:w="1846"/>
        <w:gridCol w:w="773"/>
        <w:gridCol w:w="1644"/>
        <w:gridCol w:w="1645"/>
        <w:gridCol w:w="1560"/>
      </w:tblGrid>
      <w:tr>
        <w:trPr>
          <w:trHeight w:val="740"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6" w:right="0"/>
              <w:jc w:val="left"/>
              <w:rPr>
                <w:rFonts w:ascii="Times New Roman" w:hAnsi="Times New Roman" w:cs="Times New Roman" w:eastAsia="Times New Roman" w:hint="default"/>
                <w:sz w:val="18"/>
                <w:szCs w:val="18"/>
              </w:rPr>
            </w:pPr>
            <w:r>
              <w:rPr>
                <w:rFonts w:ascii="Times New Roman"/>
                <w:sz w:val="18"/>
              </w:rPr>
              <w:t>95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深圳花儿数据技术有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需求管理平台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2019SR0520919</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6" w:right="0"/>
              <w:jc w:val="left"/>
              <w:rPr>
                <w:rFonts w:ascii="Times New Roman" w:hAnsi="Times New Roman" w:cs="Times New Roman" w:eastAsia="Times New Roman" w:hint="default"/>
                <w:sz w:val="18"/>
                <w:szCs w:val="18"/>
              </w:rPr>
            </w:pPr>
            <w:r>
              <w:rPr>
                <w:rFonts w:ascii="Times New Roman"/>
                <w:sz w:val="18"/>
              </w:rPr>
              <w:t>96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深圳花儿数据技术有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BO</w:t>
            </w:r>
            <w:r>
              <w:rPr>
                <w:rFonts w:ascii="Times New Roman" w:hAnsi="Times New Roman" w:cs="Times New Roman" w:eastAsia="Times New Roman" w:hint="default"/>
                <w:spacing w:val="-30"/>
                <w:sz w:val="18"/>
                <w:szCs w:val="18"/>
              </w:rPr>
              <w:t> </w:t>
            </w:r>
            <w:r>
              <w:rPr>
                <w:rFonts w:ascii="宋体" w:hAnsi="宋体" w:cs="宋体" w:eastAsia="宋体" w:hint="default"/>
                <w:spacing w:val="14"/>
                <w:sz w:val="18"/>
                <w:szCs w:val="18"/>
              </w:rPr>
              <w:t>端到端运营监控系</w:t>
            </w:r>
            <w:r>
              <w:rPr>
                <w:rFonts w:ascii="宋体" w:hAnsi="宋体" w:cs="宋体" w:eastAsia="宋体" w:hint="default"/>
                <w:spacing w:val="-74"/>
                <w:sz w:val="18"/>
                <w:szCs w:val="18"/>
              </w:rPr>
              <w:t> </w:t>
            </w:r>
            <w:r>
              <w:rPr>
                <w:rFonts w:ascii="宋体" w:hAnsi="宋体" w:cs="宋体" w:eastAsia="宋体" w:hint="default"/>
                <w:sz w:val="18"/>
                <w:szCs w:val="18"/>
              </w:rPr>
              <w:t>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2019SR0522447</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6" w:right="0"/>
              <w:jc w:val="left"/>
              <w:rPr>
                <w:rFonts w:ascii="Times New Roman" w:hAnsi="Times New Roman" w:cs="Times New Roman" w:eastAsia="Times New Roman" w:hint="default"/>
                <w:sz w:val="18"/>
                <w:szCs w:val="18"/>
              </w:rPr>
            </w:pPr>
            <w:r>
              <w:rPr>
                <w:rFonts w:ascii="Times New Roman"/>
                <w:sz w:val="18"/>
              </w:rPr>
              <w:t>97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深圳花儿数据技术有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旁路探测系统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2019SR0522433</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6" w:right="0"/>
              <w:jc w:val="left"/>
              <w:rPr>
                <w:rFonts w:ascii="Times New Roman" w:hAnsi="Times New Roman" w:cs="Times New Roman" w:eastAsia="Times New Roman" w:hint="default"/>
                <w:sz w:val="18"/>
                <w:szCs w:val="18"/>
              </w:rPr>
            </w:pPr>
            <w:r>
              <w:rPr>
                <w:rFonts w:ascii="Times New Roman"/>
                <w:sz w:val="18"/>
              </w:rPr>
              <w:t>98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深圳花儿数据技术有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负载均衡器软件</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2019SR0523439</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6" w:right="0"/>
              <w:jc w:val="left"/>
              <w:rPr>
                <w:rFonts w:ascii="Times New Roman" w:hAnsi="Times New Roman" w:cs="Times New Roman" w:eastAsia="Times New Roman" w:hint="default"/>
                <w:sz w:val="18"/>
                <w:szCs w:val="18"/>
              </w:rPr>
            </w:pPr>
            <w:r>
              <w:rPr>
                <w:rFonts w:ascii="Times New Roman"/>
                <w:sz w:val="18"/>
              </w:rPr>
              <w:t>99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深圳花儿数据技术有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Iaas</w:t>
            </w:r>
            <w:r>
              <w:rPr>
                <w:rFonts w:ascii="宋体" w:hAnsi="宋体" w:cs="宋体" w:eastAsia="宋体" w:hint="default"/>
                <w:sz w:val="18"/>
                <w:szCs w:val="18"/>
              </w:rPr>
              <w:t>云平台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2019SR0523065</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73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0" w:right="0"/>
              <w:jc w:val="lef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pacing w:val="7"/>
                <w:sz w:val="18"/>
                <w:szCs w:val="18"/>
              </w:rPr>
              <w:t>深圳花儿数据技术有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DevOps</w:t>
            </w:r>
            <w:r>
              <w:rPr>
                <w:rFonts w:ascii="宋体" w:hAnsi="宋体" w:cs="宋体" w:eastAsia="宋体" w:hint="default"/>
                <w:sz w:val="18"/>
                <w:szCs w:val="18"/>
              </w:rPr>
              <w:t>平台</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2019SR0524072</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739"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101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广州大奇数据科技有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大奇数据靶向预警系统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2019SR1320760</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742"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102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pacing w:val="7"/>
                <w:sz w:val="18"/>
                <w:szCs w:val="18"/>
              </w:rPr>
              <w:t>广州大奇数据科技有 </w:t>
            </w:r>
            <w:r>
              <w:rPr>
                <w:rFonts w:ascii="宋体" w:hAnsi="宋体" w:cs="宋体" w:eastAsia="宋体" w:hint="default"/>
                <w:sz w:val="18"/>
                <w:szCs w:val="18"/>
              </w:rPr>
              <w:t>限公司</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4"/>
              <w:jc w:val="left"/>
              <w:rPr>
                <w:rFonts w:ascii="宋体" w:hAnsi="宋体" w:cs="宋体" w:eastAsia="宋体" w:hint="default"/>
                <w:sz w:val="18"/>
                <w:szCs w:val="18"/>
              </w:rPr>
            </w:pPr>
            <w:r>
              <w:rPr>
                <w:rFonts w:ascii="宋体" w:hAnsi="宋体" w:cs="宋体" w:eastAsia="宋体" w:hint="default"/>
                <w:sz w:val="18"/>
                <w:szCs w:val="18"/>
              </w:rPr>
              <w:t>大奇数据实时触发预警</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系统</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V1.0.0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2019SR1316931</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bl>
    <w:p>
      <w:pPr>
        <w:spacing w:line="240" w:lineRule="auto" w:before="2"/>
        <w:rPr>
          <w:rFonts w:ascii="Times New Roman" w:hAnsi="Times New Roman" w:cs="Times New Roman" w:eastAsia="Times New Roman" w:hint="default"/>
          <w:sz w:val="24"/>
          <w:szCs w:val="24"/>
        </w:rPr>
      </w:pPr>
    </w:p>
    <w:p>
      <w:pPr>
        <w:pStyle w:val="Heading5"/>
        <w:spacing w:line="240" w:lineRule="auto"/>
        <w:ind w:left="553" w:right="0"/>
        <w:jc w:val="left"/>
        <w:rPr>
          <w:b w:val="0"/>
          <w:bCs w:val="0"/>
        </w:rPr>
      </w:pPr>
      <w:r>
        <w:rPr>
          <w:rFonts w:ascii="Times New Roman" w:hAnsi="Times New Roman" w:cs="Times New Roman" w:eastAsia="Times New Roman" w:hint="default"/>
        </w:rPr>
        <w:t>2</w:t>
      </w:r>
      <w:r>
        <w:rPr/>
        <w:t>、子公司登记注册的商标证书情况</w:t>
      </w:r>
      <w:r>
        <w:rPr>
          <w:b w:val="0"/>
          <w:bCs w:val="0"/>
        </w:rPr>
      </w:r>
    </w:p>
    <w:p>
      <w:pPr>
        <w:spacing w:line="240" w:lineRule="auto" w:before="13"/>
        <w:rPr>
          <w:rFonts w:ascii="宋体" w:hAnsi="宋体" w:cs="宋体" w:eastAsia="宋体" w:hint="default"/>
          <w:b/>
          <w:bCs/>
          <w:sz w:val="3"/>
          <w:szCs w:val="3"/>
        </w:rPr>
      </w:pPr>
    </w:p>
    <w:tbl>
      <w:tblPr>
        <w:tblW w:w="0" w:type="auto"/>
        <w:jc w:val="left"/>
        <w:tblInd w:w="101" w:type="dxa"/>
        <w:tblLayout w:type="fixed"/>
        <w:tblCellMar>
          <w:top w:w="0" w:type="dxa"/>
          <w:left w:w="0" w:type="dxa"/>
          <w:bottom w:w="0" w:type="dxa"/>
          <w:right w:w="0" w:type="dxa"/>
        </w:tblCellMar>
        <w:tblLook w:val="01E0"/>
      </w:tblPr>
      <w:tblGrid>
        <w:gridCol w:w="560"/>
        <w:gridCol w:w="2127"/>
        <w:gridCol w:w="2410"/>
        <w:gridCol w:w="1416"/>
        <w:gridCol w:w="1277"/>
        <w:gridCol w:w="2019"/>
      </w:tblGrid>
      <w:tr>
        <w:trPr>
          <w:trHeight w:val="346" w:hRule="exact"/>
        </w:trPr>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商标标识</w:t>
            </w:r>
            <w:r>
              <w:rPr>
                <w:rFonts w:ascii="宋体" w:hAnsi="宋体" w:cs="宋体" w:eastAsia="宋体" w:hint="default"/>
                <w:sz w:val="18"/>
                <w:szCs w:val="18"/>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商标注册证编号</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注册有效期</w:t>
            </w:r>
            <w:r>
              <w:rPr>
                <w:rFonts w:ascii="宋体" w:hAnsi="宋体" w:cs="宋体" w:eastAsia="宋体" w:hint="default"/>
                <w:sz w:val="18"/>
                <w:szCs w:val="18"/>
              </w:rPr>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核定服务项目</w:t>
            </w:r>
            <w:r>
              <w:rPr>
                <w:rFonts w:ascii="宋体" w:hAnsi="宋体" w:cs="宋体" w:eastAsia="宋体" w:hint="default"/>
                <w:sz w:val="18"/>
                <w:szCs w:val="18"/>
              </w:rPr>
            </w:r>
          </w:p>
        </w:tc>
      </w:tr>
      <w:tr>
        <w:trPr>
          <w:trHeight w:val="348" w:hRule="exact"/>
        </w:trPr>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Future of Smart</w:t>
            </w:r>
            <w:r>
              <w:rPr>
                <w:rFonts w:ascii="Times New Roman"/>
                <w:spacing w:val="-4"/>
                <w:sz w:val="21"/>
              </w:rPr>
              <w:t> </w:t>
            </w:r>
            <w:r>
              <w:rPr>
                <w:rFonts w:ascii="Times New Roman"/>
                <w:sz w:val="21"/>
              </w:rPr>
              <w:t>City</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北京无限易信科技有限公司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33975710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类；</w:t>
            </w:r>
            <w:r>
              <w:rPr>
                <w:rFonts w:ascii="Times New Roman" w:hAnsi="Times New Roman" w:cs="Times New Roman" w:eastAsia="Times New Roman" w:hint="default"/>
                <w:sz w:val="18"/>
                <w:szCs w:val="18"/>
              </w:rPr>
              <w:t>35</w:t>
            </w:r>
            <w:r>
              <w:rPr>
                <w:rFonts w:ascii="宋体" w:hAnsi="宋体" w:cs="宋体" w:eastAsia="宋体" w:hint="default"/>
                <w:sz w:val="18"/>
                <w:szCs w:val="18"/>
              </w:rPr>
              <w:t>类；</w:t>
            </w:r>
            <w:r>
              <w:rPr>
                <w:rFonts w:ascii="Times New Roman" w:hAnsi="Times New Roman" w:cs="Times New Roman" w:eastAsia="Times New Roman" w:hint="default"/>
                <w:sz w:val="18"/>
                <w:szCs w:val="18"/>
              </w:rPr>
              <w:t>38</w:t>
            </w:r>
            <w:r>
              <w:rPr>
                <w:rFonts w:ascii="宋体" w:hAnsi="宋体" w:cs="宋体" w:eastAsia="宋体" w:hint="default"/>
                <w:sz w:val="18"/>
                <w:szCs w:val="18"/>
              </w:rPr>
              <w:t>类；</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r>
    </w:tbl>
    <w:p>
      <w:pPr>
        <w:spacing w:after="0" w:line="240" w:lineRule="auto"/>
        <w:jc w:val="center"/>
        <w:rPr>
          <w:rFonts w:ascii="宋体" w:hAnsi="宋体" w:cs="宋体" w:eastAsia="宋体" w:hint="default"/>
          <w:sz w:val="18"/>
          <w:szCs w:val="18"/>
        </w:rPr>
        <w:sectPr>
          <w:pgSz w:w="11910" w:h="16840"/>
          <w:pgMar w:header="748" w:footer="974" w:top="1060" w:bottom="1160" w:left="94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3045" w:right="982"/>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82"/>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82" w:firstLine="360"/>
        <w:jc w:val="left"/>
      </w:pPr>
      <w:r>
        <w:rPr>
          <w:spacing w:val="-2"/>
        </w:rPr>
        <w:t>作为电信业务运营与支撑领域的核心厂商，思特奇为中国移动、中国联通、中国电信和广电网络等诸多运营商提供客户</w:t>
      </w:r>
      <w:r>
        <w:rPr/>
        <w:t> 关系管理、计费、大数据、移动互联网、业务保障等核心业务系统的全面解决方案。</w:t>
      </w:r>
    </w:p>
    <w:p>
      <w:pPr>
        <w:pStyle w:val="BodyText"/>
        <w:spacing w:line="316" w:lineRule="auto" w:before="139"/>
        <w:ind w:right="982" w:firstLine="360"/>
        <w:jc w:val="left"/>
      </w:pPr>
      <w:r>
        <w:rPr>
          <w:spacing w:val="-2"/>
        </w:rPr>
        <w:t>在智慧城市建设上，成立了专业的智慧城市支撑运营团队，报告期内，思特奇智慧城市产品涵盖了智慧运营平台、数据</w:t>
      </w:r>
      <w:r>
        <w:rPr/>
        <w:t> 大脑、城市能力提升平台、互联网</w:t>
      </w:r>
      <w:r>
        <w:rPr>
          <w:rFonts w:ascii="Times New Roman" w:hAnsi="Times New Roman" w:cs="Times New Roman" w:eastAsia="Times New Roman" w:hint="default"/>
        </w:rPr>
        <w:t>+</w:t>
      </w:r>
      <w:r>
        <w:rPr/>
        <w:t>政务服务门户、综合立体网格、智慧社区等。</w:t>
      </w:r>
    </w:p>
    <w:p>
      <w:pPr>
        <w:pStyle w:val="BodyText"/>
        <w:spacing w:line="319" w:lineRule="auto" w:before="119"/>
        <w:ind w:right="1033" w:firstLine="360"/>
        <w:jc w:val="left"/>
      </w:pPr>
      <w:r>
        <w:rPr/>
        <w:t>在大数据运营方面，思特奇提供全面的大数据运营行业解决方案。思特奇的大数据气象产品和服务，在国家气象预报、 </w:t>
      </w:r>
      <w:r>
        <w:rPr>
          <w:spacing w:val="-2"/>
        </w:rPr>
        <w:t>防灾减灾、应急人口疏散和管理等方面实现应用，基于大数据的广告营销平台，为企业提供了更精准的营销形式及营销效果</w:t>
      </w:r>
      <w:r>
        <w:rPr>
          <w:spacing w:val="-63"/>
        </w:rPr>
        <w:t> </w:t>
      </w:r>
      <w:r>
        <w:rPr>
          <w:spacing w:val="-63"/>
        </w:rPr>
      </w:r>
      <w:r>
        <w:rPr>
          <w:spacing w:val="-4"/>
        </w:rPr>
        <w:t>的评估；流动人口管理系统，为流动人口的管理、服务、就业、招商、引资、高端人才的引入和管理方面提供了重要的依据。</w:t>
      </w:r>
    </w:p>
    <w:p>
      <w:pPr>
        <w:pStyle w:val="BodyText"/>
        <w:spacing w:line="300" w:lineRule="auto" w:before="137"/>
        <w:ind w:right="982" w:firstLine="360"/>
        <w:jc w:val="left"/>
      </w:pPr>
      <w:r>
        <w:rPr/>
        <w:t>在</w:t>
      </w:r>
      <w:r>
        <w:rPr>
          <w:rFonts w:ascii="Times New Roman" w:hAnsi="Times New Roman" w:cs="Times New Roman" w:eastAsia="Times New Roman" w:hint="default"/>
        </w:rPr>
        <w:t>AI</w:t>
      </w:r>
      <w:r>
        <w:rPr/>
        <w:t>智能产业布局上，思特奇聚焦</w:t>
      </w:r>
      <w:r>
        <w:rPr>
          <w:rFonts w:ascii="Times New Roman" w:hAnsi="Times New Roman" w:cs="Times New Roman" w:eastAsia="Times New Roman" w:hint="default"/>
        </w:rPr>
        <w:t>AI</w:t>
      </w:r>
      <w:r>
        <w:rPr/>
        <w:t>技术、算法模型和开放服务等，致力于打造智能平台，为公司一系列产品技术赋 能，公司的智能产品线团队，为企业聚智，为创新赋能，实现价值创造。</w:t>
      </w:r>
    </w:p>
    <w:p>
      <w:pPr>
        <w:spacing w:line="240" w:lineRule="auto" w:before="4"/>
        <w:rPr>
          <w:rFonts w:ascii="宋体" w:hAnsi="宋体" w:cs="宋体" w:eastAsia="宋体" w:hint="default"/>
          <w:sz w:val="14"/>
          <w:szCs w:val="14"/>
        </w:rPr>
      </w:pPr>
    </w:p>
    <w:p>
      <w:pPr>
        <w:pStyle w:val="BodyText"/>
        <w:spacing w:line="309" w:lineRule="auto"/>
        <w:ind w:right="1037" w:firstLine="422"/>
        <w:jc w:val="left"/>
      </w:pPr>
      <w:r>
        <w:rPr>
          <w:spacing w:val="-2"/>
        </w:rPr>
        <w:t>公司秉承以技术为核心，依托深厚的资源积累及前瞻性的产品布局，以市场需求为导向，围绕</w:t>
      </w:r>
      <w:r>
        <w:rPr>
          <w:rFonts w:ascii="Times New Roman" w:hAnsi="Times New Roman" w:cs="Times New Roman" w:eastAsia="Times New Roman" w:hint="default"/>
          <w:spacing w:val="-2"/>
        </w:rPr>
        <w:t>5G</w:t>
      </w:r>
      <w:r>
        <w:rPr>
          <w:spacing w:val="-2"/>
        </w:rPr>
        <w:t>、人工智能、云计算、</w:t>
      </w:r>
      <w:r>
        <w:rPr/>
        <w:t> </w:t>
      </w:r>
      <w:r>
        <w:rPr>
          <w:spacing w:val="-2"/>
        </w:rPr>
        <w:t>大数据、移动互联网、物联网等方向，不断拓展和创新，积极贯彻落实企业发展战略与年度经营计划，总体上保持了良好的</w:t>
      </w:r>
      <w:r>
        <w:rPr>
          <w:spacing w:val="-67"/>
        </w:rPr>
        <w:t> </w:t>
      </w:r>
      <w:r>
        <w:rPr>
          <w:spacing w:val="-67"/>
        </w:rPr>
      </w:r>
      <w:r>
        <w:rPr/>
        <w:t>发展态势。</w:t>
      </w:r>
    </w:p>
    <w:p>
      <w:pPr>
        <w:spacing w:line="240" w:lineRule="auto" w:before="10"/>
        <w:rPr>
          <w:rFonts w:ascii="宋体" w:hAnsi="宋体" w:cs="宋体" w:eastAsia="宋体" w:hint="default"/>
          <w:sz w:val="13"/>
          <w:szCs w:val="13"/>
        </w:rPr>
      </w:pPr>
    </w:p>
    <w:p>
      <w:pPr>
        <w:pStyle w:val="BodyText"/>
        <w:spacing w:line="240" w:lineRule="auto"/>
        <w:ind w:left="575" w:right="982"/>
        <w:jc w:val="left"/>
      </w:pPr>
      <w:r>
        <w:rPr>
          <w:rFonts w:ascii="Times New Roman" w:hAnsi="Times New Roman" w:cs="Times New Roman" w:eastAsia="Times New Roman" w:hint="default"/>
        </w:rPr>
        <w:t>2019</w:t>
      </w:r>
      <w:r>
        <w:rPr/>
        <w:t>年度，公司实现营业收入为人民币</w:t>
      </w:r>
      <w:r>
        <w:rPr>
          <w:rFonts w:ascii="Times New Roman" w:hAnsi="Times New Roman" w:cs="Times New Roman" w:eastAsia="Times New Roman" w:hint="default"/>
        </w:rPr>
        <w:t>85,977.99</w:t>
      </w:r>
      <w:r>
        <w:rPr/>
        <w:t>万元，较去年同期增长</w:t>
      </w:r>
      <w:r>
        <w:rPr>
          <w:rFonts w:ascii="Times New Roman" w:hAnsi="Times New Roman" w:cs="Times New Roman" w:eastAsia="Times New Roman" w:hint="default"/>
        </w:rPr>
        <w:t>9.15%</w:t>
      </w:r>
      <w:r>
        <w:rPr/>
        <w:t>；归属于上市公司股东的净利润为人民币</w:t>
      </w:r>
    </w:p>
    <w:p>
      <w:pPr>
        <w:pStyle w:val="BodyText"/>
        <w:spacing w:line="300" w:lineRule="auto" w:before="63"/>
        <w:ind w:right="982"/>
        <w:jc w:val="left"/>
      </w:pPr>
      <w:r>
        <w:rPr>
          <w:rFonts w:ascii="Times New Roman" w:hAnsi="Times New Roman" w:cs="Times New Roman" w:eastAsia="Times New Roman" w:hint="default"/>
        </w:rPr>
        <w:t>9,102.05</w:t>
      </w:r>
      <w:r>
        <w:rPr/>
        <w:t>万元，较去年同期增长</w:t>
      </w:r>
      <w:r>
        <w:rPr>
          <w:rFonts w:ascii="Times New Roman" w:hAnsi="Times New Roman" w:cs="Times New Roman" w:eastAsia="Times New Roman" w:hint="default"/>
        </w:rPr>
        <w:t>6.69%</w:t>
      </w:r>
      <w:r>
        <w:rPr/>
        <w:t>。业绩持续稳健增长，核心客户和业务稳定，完成了本年度内各项重点项目目标和工</w:t>
      </w:r>
      <w:r>
        <w:rPr>
          <w:spacing w:val="-23"/>
        </w:rPr>
        <w:t> </w:t>
      </w:r>
      <w:r>
        <w:rPr>
          <w:spacing w:val="-23"/>
        </w:rPr>
      </w:r>
      <w:r>
        <w:rPr/>
        <w:t>作任务。</w:t>
      </w:r>
    </w:p>
    <w:p>
      <w:pPr>
        <w:spacing w:line="240" w:lineRule="auto" w:before="5"/>
        <w:rPr>
          <w:rFonts w:ascii="宋体" w:hAnsi="宋体" w:cs="宋体" w:eastAsia="宋体" w:hint="default"/>
          <w:sz w:val="14"/>
          <w:szCs w:val="14"/>
        </w:rPr>
      </w:pPr>
    </w:p>
    <w:p>
      <w:pPr>
        <w:pStyle w:val="BodyText"/>
        <w:spacing w:line="300" w:lineRule="auto"/>
        <w:ind w:right="982" w:firstLine="422"/>
        <w:jc w:val="left"/>
      </w:pPr>
      <w:r>
        <w:rPr>
          <w:rFonts w:ascii="Times New Roman" w:hAnsi="Times New Roman" w:cs="Times New Roman" w:eastAsia="Times New Roman" w:hint="default"/>
          <w:spacing w:val="-3"/>
        </w:rPr>
        <w:t>2019</w:t>
      </w:r>
      <w:r>
        <w:rPr>
          <w:spacing w:val="-3"/>
        </w:rPr>
        <w:t>年公司各项业务平稳发展，收入分布进一步合理；其中从收入结构上看</w:t>
      </w:r>
      <w:r>
        <w:rPr>
          <w:rFonts w:ascii="Times New Roman" w:hAnsi="Times New Roman" w:cs="Times New Roman" w:eastAsia="Times New Roman" w:hint="default"/>
          <w:spacing w:val="-3"/>
        </w:rPr>
        <w:t>CRM</w:t>
      </w:r>
      <w:r>
        <w:rPr>
          <w:spacing w:val="-3"/>
        </w:rPr>
        <w:t>占比</w:t>
      </w:r>
      <w:r>
        <w:rPr>
          <w:rFonts w:ascii="Times New Roman" w:hAnsi="Times New Roman" w:cs="Times New Roman" w:eastAsia="Times New Roman" w:hint="default"/>
          <w:spacing w:val="-3"/>
        </w:rPr>
        <w:t>33.47%</w:t>
      </w:r>
      <w:r>
        <w:rPr>
          <w:spacing w:val="-3"/>
        </w:rPr>
        <w:t>，移动互联网占比</w:t>
      </w:r>
      <w:r>
        <w:rPr>
          <w:rFonts w:ascii="Times New Roman" w:hAnsi="Times New Roman" w:cs="Times New Roman" w:eastAsia="Times New Roman" w:hint="default"/>
          <w:spacing w:val="-3"/>
        </w:rPr>
        <w:t>20.51%</w:t>
      </w:r>
      <w:r>
        <w:rPr>
          <w:spacing w:val="-3"/>
        </w:rPr>
        <w:t>，</w:t>
      </w:r>
      <w:r>
        <w:rPr/>
        <w:t> </w:t>
      </w:r>
      <w:r>
        <w:rPr>
          <w:rFonts w:ascii="Times New Roman" w:hAnsi="Times New Roman" w:cs="Times New Roman" w:eastAsia="Times New Roman" w:hint="default"/>
        </w:rPr>
        <w:t>BILLING</w:t>
      </w:r>
      <w:r>
        <w:rPr/>
        <w:t>占比</w:t>
      </w:r>
      <w:r>
        <w:rPr>
          <w:rFonts w:ascii="Times New Roman" w:hAnsi="Times New Roman" w:cs="Times New Roman" w:eastAsia="Times New Roman" w:hint="default"/>
        </w:rPr>
        <w:t>14.96%</w:t>
      </w:r>
      <w:r>
        <w:rPr/>
        <w:t>，大数据占比</w:t>
      </w:r>
      <w:r>
        <w:rPr>
          <w:rFonts w:ascii="Times New Roman" w:hAnsi="Times New Roman" w:cs="Times New Roman" w:eastAsia="Times New Roman" w:hint="default"/>
        </w:rPr>
        <w:t>10.20%</w:t>
      </w:r>
      <w:r>
        <w:rPr/>
        <w:t>，云计算占比</w:t>
      </w:r>
      <w:r>
        <w:rPr>
          <w:rFonts w:ascii="Times New Roman" w:hAnsi="Times New Roman" w:cs="Times New Roman" w:eastAsia="Times New Roman" w:hint="default"/>
        </w:rPr>
        <w:t>10.18%</w:t>
      </w:r>
      <w:r>
        <w:rPr/>
        <w:t>，</w:t>
      </w:r>
      <w:r>
        <w:rPr>
          <w:rFonts w:ascii="Times New Roman" w:hAnsi="Times New Roman" w:cs="Times New Roman" w:eastAsia="Times New Roman" w:hint="default"/>
        </w:rPr>
        <w:t>PaaS</w:t>
      </w:r>
      <w:r>
        <w:rPr/>
        <w:t>占比</w:t>
      </w:r>
      <w:r>
        <w:rPr>
          <w:rFonts w:ascii="Times New Roman" w:hAnsi="Times New Roman" w:cs="Times New Roman" w:eastAsia="Times New Roman" w:hint="default"/>
        </w:rPr>
        <w:t>5.16%</w:t>
      </w:r>
      <w:r>
        <w:rPr/>
        <w:t>，智慧城市占比</w:t>
      </w:r>
      <w:r>
        <w:rPr>
          <w:rFonts w:ascii="Times New Roman" w:hAnsi="Times New Roman" w:cs="Times New Roman" w:eastAsia="Times New Roman" w:hint="default"/>
        </w:rPr>
        <w:t>2.82%</w:t>
      </w:r>
      <w:r>
        <w:rPr/>
        <w:t>，</w:t>
      </w:r>
      <w:r>
        <w:rPr>
          <w:rFonts w:ascii="Times New Roman" w:hAnsi="Times New Roman" w:cs="Times New Roman" w:eastAsia="Times New Roman" w:hint="default"/>
        </w:rPr>
        <w:t>AI</w:t>
      </w:r>
      <w:r>
        <w:rPr/>
        <w:t>占比</w:t>
      </w:r>
      <w:r>
        <w:rPr>
          <w:rFonts w:ascii="Times New Roman" w:hAnsi="Times New Roman" w:cs="Times New Roman" w:eastAsia="Times New Roman" w:hint="default"/>
        </w:rPr>
        <w:t>1.94%</w:t>
      </w:r>
      <w:r>
        <w:rPr/>
        <w:t>。</w:t>
      </w:r>
    </w:p>
    <w:p>
      <w:pPr>
        <w:spacing w:line="240" w:lineRule="auto" w:before="12"/>
        <w:rPr>
          <w:rFonts w:ascii="宋体" w:hAnsi="宋体" w:cs="宋体" w:eastAsia="宋体" w:hint="default"/>
          <w:sz w:val="12"/>
          <w:szCs w:val="12"/>
        </w:rPr>
      </w:pPr>
    </w:p>
    <w:p>
      <w:pPr>
        <w:pStyle w:val="BodyText"/>
        <w:spacing w:line="300" w:lineRule="auto"/>
        <w:ind w:right="1129" w:firstLine="422"/>
        <w:jc w:val="left"/>
      </w:pPr>
      <w:r>
        <w:rPr/>
        <w:t>从上述数据看出公司的核心业务收入稳定，其中</w:t>
      </w:r>
      <w:r>
        <w:rPr>
          <w:rFonts w:ascii="Times New Roman" w:hAnsi="Times New Roman" w:cs="Times New Roman" w:eastAsia="Times New Roman" w:hint="default"/>
        </w:rPr>
        <w:t>CRM+BILLING</w:t>
      </w:r>
      <w:r>
        <w:rPr/>
        <w:t>的</w:t>
      </w:r>
      <w:r>
        <w:rPr>
          <w:rFonts w:ascii="Times New Roman" w:hAnsi="Times New Roman" w:cs="Times New Roman" w:eastAsia="Times New Roman" w:hint="default"/>
        </w:rPr>
        <w:t>BOSS</w:t>
      </w:r>
      <w:r>
        <w:rPr/>
        <w:t>系统占收入的</w:t>
      </w:r>
      <w:r>
        <w:rPr>
          <w:rFonts w:ascii="Times New Roman" w:hAnsi="Times New Roman" w:cs="Times New Roman" w:eastAsia="Times New Roman" w:hint="default"/>
        </w:rPr>
        <w:t>48%</w:t>
      </w:r>
      <w:r>
        <w:rPr/>
        <w:t>；移动互联网业务继续平稳 发展占了</w:t>
      </w:r>
      <w:r>
        <w:rPr>
          <w:rFonts w:ascii="Times New Roman" w:hAnsi="Times New Roman" w:cs="Times New Roman" w:eastAsia="Times New Roman" w:hint="default"/>
        </w:rPr>
        <w:t>20.51%</w:t>
      </w:r>
      <w:r>
        <w:rPr/>
        <w:t>；</w:t>
      </w:r>
    </w:p>
    <w:p>
      <w:pPr>
        <w:spacing w:line="240" w:lineRule="auto" w:before="12"/>
        <w:rPr>
          <w:rFonts w:ascii="宋体" w:hAnsi="宋体" w:cs="宋体" w:eastAsia="宋体" w:hint="default"/>
          <w:sz w:val="12"/>
          <w:szCs w:val="12"/>
        </w:rPr>
      </w:pPr>
    </w:p>
    <w:p>
      <w:pPr>
        <w:pStyle w:val="BodyText"/>
        <w:spacing w:line="300" w:lineRule="auto"/>
        <w:ind w:right="982" w:firstLine="422"/>
        <w:jc w:val="left"/>
      </w:pPr>
      <w:r>
        <w:rPr/>
        <w:t>从收入结构上看，公司的云和大数据业务发展快速，合计占比逾</w:t>
      </w:r>
      <w:r>
        <w:rPr>
          <w:rFonts w:ascii="Times New Roman" w:hAnsi="Times New Roman" w:cs="Times New Roman" w:eastAsia="Times New Roman" w:hint="default"/>
        </w:rPr>
        <w:t>20%</w:t>
      </w:r>
      <w:r>
        <w:rPr/>
        <w:t>，逐渐成为公司的主力收入来源，成为公司新的 支柱业务；</w:t>
      </w:r>
    </w:p>
    <w:p>
      <w:pPr>
        <w:spacing w:line="240" w:lineRule="auto" w:before="4"/>
        <w:rPr>
          <w:rFonts w:ascii="宋体" w:hAnsi="宋体" w:cs="宋体" w:eastAsia="宋体" w:hint="default"/>
          <w:sz w:val="14"/>
          <w:szCs w:val="14"/>
        </w:rPr>
      </w:pPr>
    </w:p>
    <w:p>
      <w:pPr>
        <w:pStyle w:val="BodyText"/>
        <w:spacing w:line="300" w:lineRule="auto"/>
        <w:ind w:right="982" w:firstLine="422"/>
        <w:jc w:val="left"/>
      </w:pPr>
      <w:r>
        <w:rPr/>
        <w:t>公司正在培育的</w:t>
      </w:r>
      <w:r>
        <w:rPr>
          <w:rFonts w:ascii="Times New Roman" w:hAnsi="Times New Roman" w:cs="Times New Roman" w:eastAsia="Times New Roman" w:hint="default"/>
        </w:rPr>
        <w:t>PaaS</w:t>
      </w:r>
      <w:r>
        <w:rPr/>
        <w:t>、智慧城市、</w:t>
      </w:r>
      <w:r>
        <w:rPr>
          <w:rFonts w:ascii="Times New Roman" w:hAnsi="Times New Roman" w:cs="Times New Roman" w:eastAsia="Times New Roman" w:hint="default"/>
        </w:rPr>
        <w:t>AI</w:t>
      </w:r>
      <w:r>
        <w:rPr/>
        <w:t>等产品也表现不俗，收入合计占比近</w:t>
      </w:r>
      <w:r>
        <w:rPr>
          <w:rFonts w:ascii="Times New Roman" w:hAnsi="Times New Roman" w:cs="Times New Roman" w:eastAsia="Times New Roman" w:hint="default"/>
        </w:rPr>
        <w:t>10%</w:t>
      </w:r>
      <w:r>
        <w:rPr/>
        <w:t>，经过几年的培育将会成为公司新的收 入增长点；</w:t>
      </w:r>
    </w:p>
    <w:p>
      <w:pPr>
        <w:spacing w:line="240" w:lineRule="auto" w:before="5"/>
        <w:rPr>
          <w:rFonts w:ascii="宋体" w:hAnsi="宋体" w:cs="宋体" w:eastAsia="宋体" w:hint="default"/>
          <w:sz w:val="14"/>
          <w:szCs w:val="14"/>
        </w:rPr>
      </w:pPr>
    </w:p>
    <w:p>
      <w:pPr>
        <w:pStyle w:val="BodyText"/>
        <w:spacing w:line="316" w:lineRule="auto"/>
        <w:ind w:right="982" w:firstLine="422"/>
        <w:jc w:val="left"/>
      </w:pPr>
      <w:r>
        <w:rPr>
          <w:spacing w:val="-2"/>
        </w:rPr>
        <w:t>从以上看出公司的核心业务、主力业务和培育业务收入比布局合理。核心业务的稳定保证了公司盈利能力的持续稳定；</w:t>
      </w:r>
      <w:r>
        <w:rPr/>
        <w:t> 主力业务为公司的发展提供了新的动力；孵化业务的成长，保证了公司长远的竞争能力和竞争优势。</w:t>
      </w:r>
    </w:p>
    <w:p>
      <w:pPr>
        <w:spacing w:line="240" w:lineRule="auto" w:before="11"/>
        <w:rPr>
          <w:rFonts w:ascii="宋体" w:hAnsi="宋体" w:cs="宋体" w:eastAsia="宋体" w:hint="default"/>
          <w:sz w:val="15"/>
          <w:szCs w:val="15"/>
        </w:rPr>
      </w:pPr>
    </w:p>
    <w:p>
      <w:pPr>
        <w:pStyle w:val="Heading4"/>
        <w:spacing w:line="297" w:lineRule="auto"/>
        <w:ind w:right="1120" w:firstLine="420"/>
        <w:jc w:val="left"/>
        <w:rPr>
          <w:b w:val="0"/>
          <w:bCs w:val="0"/>
        </w:rPr>
      </w:pPr>
      <w:r>
        <w:rPr/>
        <w:t>（一）</w:t>
      </w:r>
      <w:r>
        <w:rPr>
          <w:spacing w:val="18"/>
        </w:rPr>
        <w:t> </w:t>
      </w:r>
      <w:r>
        <w:rPr/>
        <w:t>在市场方面：提升以</w:t>
      </w:r>
      <w:r>
        <w:rPr>
          <w:rFonts w:ascii="Times New Roman" w:hAnsi="Times New Roman" w:cs="Times New Roman" w:eastAsia="Times New Roman" w:hint="default"/>
        </w:rPr>
        <w:t>5G</w:t>
      </w:r>
      <w:r>
        <w:rPr/>
        <w:t>为核心的传统运营商市场的占有率；在新市场方面打造</w:t>
      </w:r>
      <w:r>
        <w:rPr>
          <w:rFonts w:ascii="Times New Roman" w:hAnsi="Times New Roman" w:cs="Times New Roman" w:eastAsia="Times New Roman" w:hint="default"/>
        </w:rPr>
        <w:t>5G+</w:t>
      </w:r>
      <w:r>
        <w:rPr/>
        <w:t>行业的新</w:t>
      </w:r>
      <w:r>
        <w:rPr>
          <w:w w:val="100"/>
        </w:rPr>
        <w:t> </w:t>
      </w:r>
      <w:r>
        <w:rPr/>
        <w:t>市场的拓展力度</w:t>
      </w:r>
      <w:r>
        <w:rPr>
          <w:b w:val="0"/>
          <w:bCs w:val="0"/>
        </w:rPr>
      </w:r>
    </w:p>
    <w:p>
      <w:pPr>
        <w:pStyle w:val="BodyText"/>
        <w:spacing w:line="300" w:lineRule="auto" w:before="158"/>
        <w:ind w:right="1133" w:firstLine="360"/>
        <w:jc w:val="both"/>
      </w:pPr>
      <w:r>
        <w:rPr>
          <w:rFonts w:ascii="Times New Roman" w:hAnsi="Times New Roman" w:cs="Times New Roman" w:eastAsia="Times New Roman" w:hint="default"/>
        </w:rPr>
        <w:t>2019</w:t>
      </w:r>
      <w:r>
        <w:rPr/>
        <w:t>年，电信运营商为公司贡献了绝大部分的收入和利润来源，公司围绕</w:t>
      </w:r>
      <w:r>
        <w:rPr>
          <w:rFonts w:ascii="Times New Roman" w:hAnsi="Times New Roman" w:cs="Times New Roman" w:eastAsia="Times New Roman" w:hint="default"/>
        </w:rPr>
        <w:t>5G</w:t>
      </w:r>
      <w:r>
        <w:rPr/>
        <w:t>加大市场开拓力度，伴随着中国在</w:t>
      </w:r>
      <w:r>
        <w:rPr>
          <w:rFonts w:ascii="Times New Roman" w:hAnsi="Times New Roman" w:cs="Times New Roman" w:eastAsia="Times New Roman" w:hint="default"/>
        </w:rPr>
        <w:t>5G</w:t>
      </w:r>
      <w:r>
        <w:rPr/>
        <w:t>领域 从终端到系统、到硬件的全面落地，思特奇也积极布局，紧跟</w:t>
      </w:r>
      <w:r>
        <w:rPr>
          <w:rFonts w:ascii="Times New Roman" w:hAnsi="Times New Roman" w:cs="Times New Roman" w:eastAsia="Times New Roman" w:hint="default"/>
        </w:rPr>
        <w:t>5G</w:t>
      </w:r>
      <w:r>
        <w:rPr/>
        <w:t>领域新技术的发展，推升公司产品和技术的全面升级，以</w:t>
      </w:r>
      <w:r>
        <w:rPr>
          <w:spacing w:val="-40"/>
        </w:rPr>
        <w:t> </w:t>
      </w:r>
      <w:r>
        <w:rPr>
          <w:spacing w:val="-40"/>
        </w:rPr>
      </w:r>
      <w:r>
        <w:rPr/>
        <w:t>进一步巩固公司核心厂商的优势地位。</w:t>
      </w:r>
    </w:p>
    <w:p>
      <w:pPr>
        <w:pStyle w:val="BodyText"/>
        <w:spacing w:line="300" w:lineRule="auto" w:before="69"/>
        <w:ind w:right="982" w:firstLine="360"/>
        <w:jc w:val="left"/>
      </w:pPr>
      <w:r>
        <w:rPr>
          <w:spacing w:val="-2"/>
        </w:rPr>
        <w:t>公司在云计算、大数据方面拥有众多成功案例和成熟产品，</w:t>
      </w:r>
      <w:r>
        <w:rPr>
          <w:rFonts w:ascii="Times New Roman" w:hAnsi="Times New Roman" w:cs="Times New Roman" w:eastAsia="Times New Roman" w:hint="default"/>
          <w:spacing w:val="-2"/>
        </w:rPr>
        <w:t>2019</w:t>
      </w:r>
      <w:r>
        <w:rPr>
          <w:spacing w:val="-2"/>
        </w:rPr>
        <w:t>公司布局区块链、人工智能、容器化微服务、物联网等</w:t>
      </w:r>
      <w:r>
        <w:rPr/>
        <w:t> 方向，成立了</w:t>
      </w:r>
      <w:r>
        <w:rPr>
          <w:rFonts w:ascii="Times New Roman" w:hAnsi="Times New Roman" w:cs="Times New Roman" w:eastAsia="Times New Roman" w:hint="default"/>
        </w:rPr>
        <w:t>AI</w:t>
      </w:r>
      <w:r>
        <w:rPr/>
        <w:t>产品线，原有产品大量引入区块链和微服务技术，提高产品价值和市场竞争力；公司的人工智能产品已经</w:t>
      </w:r>
    </w:p>
    <w:p>
      <w:pPr>
        <w:spacing w:after="0" w:line="30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982"/>
        <w:jc w:val="left"/>
      </w:pPr>
      <w:r>
        <w:rPr/>
        <w:t>在众多运营商智慧营业厅等场景成功落地并得到用户好评，公司核心</w:t>
      </w:r>
      <w:r>
        <w:rPr>
          <w:rFonts w:ascii="Times New Roman" w:hAnsi="Times New Roman" w:cs="Times New Roman" w:eastAsia="Times New Roman" w:hint="default"/>
        </w:rPr>
        <w:t>CRM</w:t>
      </w:r>
      <w:r>
        <w:rPr/>
        <w:t>等产品微服务架构已经上线并提高产品的高性能</w:t>
      </w:r>
      <w:r>
        <w:rPr>
          <w:spacing w:val="-42"/>
        </w:rPr>
        <w:t> </w:t>
      </w:r>
      <w:r>
        <w:rPr>
          <w:spacing w:val="-42"/>
        </w:rPr>
      </w:r>
      <w:r>
        <w:rPr/>
        <w:t>和便捷化部署能力，公司所有核心产品均已完成云化升级并</w:t>
      </w:r>
      <w:r>
        <w:rPr>
          <w:rFonts w:ascii="Times New Roman" w:hAnsi="Times New Roman" w:cs="Times New Roman" w:eastAsia="Times New Roman" w:hint="default"/>
        </w:rPr>
        <w:t>100%</w:t>
      </w:r>
      <w:r>
        <w:rPr/>
        <w:t>覆盖已有用户系统。</w:t>
      </w:r>
    </w:p>
    <w:p>
      <w:pPr>
        <w:pStyle w:val="BodyText"/>
        <w:spacing w:line="300" w:lineRule="auto" w:before="53"/>
        <w:ind w:right="1130" w:firstLine="360"/>
        <w:jc w:val="both"/>
      </w:pPr>
      <w:r>
        <w:rPr>
          <w:rFonts w:ascii="Times New Roman" w:hAnsi="Times New Roman" w:cs="Times New Roman" w:eastAsia="Times New Roman" w:hint="default"/>
          <w:spacing w:val="-1"/>
        </w:rPr>
        <w:t>1</w:t>
      </w:r>
      <w:r>
        <w:rPr>
          <w:spacing w:val="-1"/>
        </w:rPr>
        <w:t>、在运营商传统支撑市场方面，公司重点推广新一代智能计费的</w:t>
      </w:r>
      <w:r>
        <w:rPr>
          <w:rFonts w:ascii="Times New Roman" w:hAnsi="Times New Roman" w:cs="Times New Roman" w:eastAsia="Times New Roman" w:hint="default"/>
          <w:spacing w:val="-1"/>
        </w:rPr>
        <w:t>5G</w:t>
      </w:r>
      <w:r>
        <w:rPr>
          <w:spacing w:val="-1"/>
        </w:rPr>
        <w:t>业务运营支撑系统，包括新一代</w:t>
      </w:r>
      <w:r>
        <w:rPr>
          <w:rFonts w:ascii="Times New Roman" w:hAnsi="Times New Roman" w:cs="Times New Roman" w:eastAsia="Times New Roman" w:hint="default"/>
          <w:spacing w:val="-1"/>
        </w:rPr>
        <w:t>OSS</w:t>
      </w:r>
      <w:r>
        <w:rPr>
          <w:spacing w:val="-1"/>
        </w:rPr>
        <w:t>系统、</w:t>
      </w:r>
      <w:r>
        <w:rPr>
          <w:rFonts w:ascii="Times New Roman" w:hAnsi="Times New Roman" w:cs="Times New Roman" w:eastAsia="Times New Roman" w:hint="default"/>
          <w:spacing w:val="-1"/>
        </w:rPr>
        <w:t>5G</w:t>
      </w:r>
      <w:r>
        <w:rPr>
          <w:spacing w:val="-1"/>
        </w:rPr>
        <w:t>切片</w:t>
      </w:r>
      <w:r>
        <w:rPr/>
        <w:t> </w:t>
      </w:r>
      <w:r>
        <w:rPr>
          <w:spacing w:val="-2"/>
        </w:rPr>
        <w:t>运营服务平台、</w:t>
      </w:r>
      <w:r>
        <w:rPr>
          <w:rFonts w:ascii="Times New Roman" w:hAnsi="Times New Roman" w:cs="Times New Roman" w:eastAsia="Times New Roman" w:hint="default"/>
          <w:spacing w:val="-2"/>
        </w:rPr>
        <w:t>5G</w:t>
      </w:r>
      <w:r>
        <w:rPr>
          <w:spacing w:val="-2"/>
        </w:rPr>
        <w:t>计费、</w:t>
      </w:r>
      <w:r>
        <w:rPr>
          <w:rFonts w:ascii="Times New Roman" w:hAnsi="Times New Roman" w:cs="Times New Roman" w:eastAsia="Times New Roman" w:hint="default"/>
          <w:spacing w:val="-2"/>
        </w:rPr>
        <w:t>5G</w:t>
      </w:r>
      <w:r>
        <w:rPr>
          <w:spacing w:val="-2"/>
        </w:rPr>
        <w:t>合作伙伴管理等面向电信运营商的</w:t>
      </w:r>
      <w:r>
        <w:rPr>
          <w:rFonts w:ascii="Times New Roman" w:hAnsi="Times New Roman" w:cs="Times New Roman" w:eastAsia="Times New Roman" w:hint="default"/>
          <w:spacing w:val="-2"/>
        </w:rPr>
        <w:t>5G</w:t>
      </w:r>
      <w:r>
        <w:rPr>
          <w:spacing w:val="-2"/>
        </w:rPr>
        <w:t>系列产品，可以独立支撑各类</w:t>
      </w:r>
      <w:r>
        <w:rPr>
          <w:rFonts w:ascii="Times New Roman" w:hAnsi="Times New Roman" w:cs="Times New Roman" w:eastAsia="Times New Roman" w:hint="default"/>
          <w:spacing w:val="-2"/>
        </w:rPr>
        <w:t>5G</w:t>
      </w:r>
      <w:r>
        <w:rPr>
          <w:spacing w:val="-2"/>
        </w:rPr>
        <w:t>业务从产品提供到销售服</w:t>
      </w:r>
      <w:r>
        <w:rPr>
          <w:spacing w:val="-43"/>
        </w:rPr>
        <w:t> </w:t>
      </w:r>
      <w:r>
        <w:rPr>
          <w:spacing w:val="-43"/>
        </w:rPr>
      </w:r>
      <w:r>
        <w:rPr/>
        <w:t>务以及开通、计费整体端到端业务流程，以帮助运营商快速实现</w:t>
      </w:r>
      <w:r>
        <w:rPr>
          <w:rFonts w:ascii="Times New Roman" w:hAnsi="Times New Roman" w:cs="Times New Roman" w:eastAsia="Times New Roman" w:hint="default"/>
        </w:rPr>
        <w:t>5G</w:t>
      </w:r>
      <w:r>
        <w:rPr/>
        <w:t>的商用落地。</w:t>
      </w:r>
      <w:r>
        <w:rPr>
          <w:rFonts w:ascii="Times New Roman" w:hAnsi="Times New Roman" w:cs="Times New Roman" w:eastAsia="Times New Roman" w:hint="default"/>
        </w:rPr>
        <w:t>2019</w:t>
      </w:r>
      <w:r>
        <w:rPr/>
        <w:t>年思特奇以上系统在运营商全面地铺</w:t>
      </w:r>
      <w:r>
        <w:rPr>
          <w:spacing w:val="-42"/>
        </w:rPr>
        <w:t> </w:t>
      </w:r>
      <w:r>
        <w:rPr>
          <w:spacing w:val="-42"/>
        </w:rPr>
      </w:r>
      <w:r>
        <w:rPr/>
        <w:t>开，为公司下一步发展，打下坚实的市场基础。</w:t>
      </w:r>
    </w:p>
    <w:p>
      <w:pPr>
        <w:pStyle w:val="BodyText"/>
        <w:spacing w:line="300" w:lineRule="auto" w:before="70"/>
        <w:ind w:right="982" w:firstLine="360"/>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spacing w:val="-3"/>
        </w:rPr>
        <w:t>年，公司在非运营商市场积极的打造</w:t>
      </w:r>
      <w:r>
        <w:rPr>
          <w:rFonts w:ascii="Times New Roman" w:hAnsi="Times New Roman" w:cs="Times New Roman" w:eastAsia="Times New Roman" w:hint="default"/>
          <w:spacing w:val="-3"/>
        </w:rPr>
        <w:t>5G+</w:t>
      </w:r>
      <w:r>
        <w:rPr>
          <w:spacing w:val="-3"/>
        </w:rPr>
        <w:t>战略，将</w:t>
      </w:r>
      <w:r>
        <w:rPr>
          <w:rFonts w:ascii="Times New Roman" w:hAnsi="Times New Roman" w:cs="Times New Roman" w:eastAsia="Times New Roman" w:hint="default"/>
          <w:spacing w:val="-3"/>
        </w:rPr>
        <w:t>5G</w:t>
      </w:r>
      <w:r>
        <w:rPr>
          <w:spacing w:val="-3"/>
        </w:rPr>
        <w:t>和行业相结合，创造新的增长点，加快</w:t>
      </w:r>
      <w:r>
        <w:rPr>
          <w:rFonts w:ascii="Times New Roman" w:hAnsi="Times New Roman" w:cs="Times New Roman" w:eastAsia="Times New Roman" w:hint="default"/>
          <w:spacing w:val="-3"/>
        </w:rPr>
        <w:t>5G</w:t>
      </w:r>
      <w:r>
        <w:rPr>
          <w:spacing w:val="-3"/>
        </w:rPr>
        <w:t>向企业侧的布局。</w:t>
      </w:r>
      <w:r>
        <w:rPr/>
        <w:t> 公司重点研发</w:t>
      </w:r>
      <w:r>
        <w:rPr>
          <w:rFonts w:ascii="Times New Roman" w:hAnsi="Times New Roman" w:cs="Times New Roman" w:eastAsia="Times New Roman" w:hint="default"/>
        </w:rPr>
        <w:t>5G+</w:t>
      </w:r>
      <w:r>
        <w:rPr/>
        <w:t>智慧城市、智能制造、智慧园区、智慧旅游等产品，积极布局产业生态链，构建合作伙伴生态联盟，形成 公司</w:t>
      </w:r>
      <w:r>
        <w:rPr>
          <w:rFonts w:ascii="Times New Roman" w:hAnsi="Times New Roman" w:cs="Times New Roman" w:eastAsia="Times New Roman" w:hint="default"/>
        </w:rPr>
        <w:t>5G</w:t>
      </w:r>
      <w:r>
        <w:rPr/>
        <w:t>和</w:t>
      </w:r>
      <w:r>
        <w:rPr>
          <w:rFonts w:ascii="Times New Roman" w:hAnsi="Times New Roman" w:cs="Times New Roman" w:eastAsia="Times New Roman" w:hint="default"/>
        </w:rPr>
        <w:t>5G+</w:t>
      </w:r>
      <w:r>
        <w:rPr/>
        <w:t>的战略布局，形成公司未来发展双轮驱动的战略。</w:t>
      </w:r>
    </w:p>
    <w:p>
      <w:pPr>
        <w:pStyle w:val="BodyText"/>
        <w:spacing w:line="307" w:lineRule="auto" w:before="53"/>
        <w:ind w:right="1130"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年，公司加快推进人工智能业务发展。形成了基于知识图谱的智能决策系统、易问、业务图像稽核平台、智能 </w:t>
      </w:r>
      <w:r>
        <w:rPr>
          <w:spacing w:val="-2"/>
        </w:rPr>
        <w:t>客服助手、以及面向智能运营的</w:t>
      </w:r>
      <w:r>
        <w:rPr>
          <w:rFonts w:ascii="Times New Roman" w:hAnsi="Times New Roman" w:cs="Times New Roman" w:eastAsia="Times New Roman" w:hint="default"/>
          <w:spacing w:val="-2"/>
        </w:rPr>
        <w:t>AIOPS</w:t>
      </w:r>
      <w:r>
        <w:rPr>
          <w:spacing w:val="-2"/>
        </w:rPr>
        <w:t>产品。这些</w:t>
      </w:r>
      <w:r>
        <w:rPr>
          <w:rFonts w:ascii="Times New Roman" w:hAnsi="Times New Roman" w:cs="Times New Roman" w:eastAsia="Times New Roman" w:hint="default"/>
          <w:spacing w:val="-2"/>
        </w:rPr>
        <w:t>AI</w:t>
      </w:r>
      <w:r>
        <w:rPr>
          <w:spacing w:val="-2"/>
        </w:rPr>
        <w:t>产品应用于原始单据稽核、智慧营业厅、在线客服、知识库、营销推荐</w:t>
      </w:r>
      <w:r>
        <w:rPr>
          <w:spacing w:val="-57"/>
        </w:rPr>
        <w:t> </w:t>
      </w:r>
      <w:r>
        <w:rPr>
          <w:spacing w:val="-57"/>
        </w:rPr>
      </w:r>
      <w:r>
        <w:rPr>
          <w:spacing w:val="-2"/>
        </w:rPr>
        <w:t>等多种业务场景，大幅提高了业务效率，降低人工参与度，整体提升了业务系统的智能化水平，推动了人工智能应用产品的</w:t>
      </w:r>
      <w:r>
        <w:rPr>
          <w:spacing w:val="-64"/>
        </w:rPr>
        <w:t> </w:t>
      </w:r>
      <w:r>
        <w:rPr>
          <w:spacing w:val="-64"/>
        </w:rPr>
      </w:r>
      <w:r>
        <w:rPr/>
        <w:t>发展。</w:t>
      </w:r>
    </w:p>
    <w:p>
      <w:pPr>
        <w:spacing w:line="240" w:lineRule="auto" w:before="5"/>
        <w:rPr>
          <w:rFonts w:ascii="宋体" w:hAnsi="宋体" w:cs="宋体" w:eastAsia="宋体" w:hint="default"/>
          <w:sz w:val="16"/>
          <w:szCs w:val="16"/>
        </w:rPr>
      </w:pPr>
    </w:p>
    <w:p>
      <w:pPr>
        <w:pStyle w:val="Heading4"/>
        <w:spacing w:line="297" w:lineRule="auto"/>
        <w:ind w:right="1133" w:firstLine="420"/>
        <w:jc w:val="both"/>
        <w:rPr>
          <w:b w:val="0"/>
          <w:bCs w:val="0"/>
        </w:rPr>
      </w:pPr>
      <w:r>
        <w:rPr/>
        <w:t>（二）在研发方面：公司继续加大在</w:t>
      </w:r>
      <w:r>
        <w:rPr>
          <w:rFonts w:ascii="Times New Roman" w:hAnsi="Times New Roman" w:cs="Times New Roman" w:eastAsia="Times New Roman" w:hint="default"/>
        </w:rPr>
        <w:t>5G</w:t>
      </w:r>
      <w:r>
        <w:rPr/>
        <w:t>领域研发，同时加快在人工智能，区块链、物联网等方面的</w:t>
      </w:r>
      <w:r>
        <w:rPr>
          <w:w w:val="100"/>
        </w:rPr>
        <w:t> </w:t>
      </w:r>
      <w:r>
        <w:rPr/>
        <w:t>研发投入；扩大技术领先优势</w:t>
      </w:r>
      <w:r>
        <w:rPr>
          <w:b w:val="0"/>
          <w:bCs w:val="0"/>
        </w:rPr>
      </w:r>
    </w:p>
    <w:p>
      <w:pPr>
        <w:pStyle w:val="BodyText"/>
        <w:spacing w:line="300" w:lineRule="auto" w:before="158"/>
        <w:ind w:right="1132" w:firstLine="360"/>
        <w:jc w:val="both"/>
      </w:pPr>
      <w:r>
        <w:rPr/>
        <w:t>思特奇</w:t>
      </w:r>
      <w:r>
        <w:rPr>
          <w:rFonts w:ascii="Times New Roman" w:hAnsi="Times New Roman" w:cs="Times New Roman" w:eastAsia="Times New Roman" w:hint="default"/>
        </w:rPr>
        <w:t>20</w:t>
      </w:r>
      <w:r>
        <w:rPr/>
        <w:t>年来一直坚持技术研发投入，随着中国</w:t>
      </w:r>
      <w:r>
        <w:rPr>
          <w:rFonts w:ascii="Times New Roman" w:hAnsi="Times New Roman" w:cs="Times New Roman" w:eastAsia="Times New Roman" w:hint="default"/>
        </w:rPr>
        <w:t>5G</w:t>
      </w:r>
      <w:r>
        <w:rPr/>
        <w:t>正式商用，思特奇积极布局，加大研发投入，紧跟</w:t>
      </w:r>
      <w:r>
        <w:rPr>
          <w:rFonts w:ascii="Times New Roman" w:hAnsi="Times New Roman" w:cs="Times New Roman" w:eastAsia="Times New Roman" w:hint="default"/>
        </w:rPr>
        <w:t>5G</w:t>
      </w:r>
      <w:r>
        <w:rPr/>
        <w:t>领域新技术的 发展，推升公司产品和技术的全面升级，以进一步巩固公司核心厂商的优势地位。报告期内，在</w:t>
      </w:r>
      <w:r>
        <w:rPr>
          <w:rFonts w:ascii="Times New Roman" w:hAnsi="Times New Roman" w:cs="Times New Roman" w:eastAsia="Times New Roman" w:hint="default"/>
        </w:rPr>
        <w:t>5G</w:t>
      </w:r>
      <w:r>
        <w:rPr/>
        <w:t>新增市场方面，公司重</w:t>
      </w:r>
      <w:r>
        <w:rPr>
          <w:spacing w:val="-38"/>
        </w:rPr>
        <w:t> </w:t>
      </w:r>
      <w:r>
        <w:rPr>
          <w:spacing w:val="-38"/>
        </w:rPr>
      </w:r>
      <w:r>
        <w:rPr/>
        <w:t>点发力</w:t>
      </w:r>
      <w:r>
        <w:rPr>
          <w:rFonts w:ascii="Times New Roman" w:hAnsi="Times New Roman" w:cs="Times New Roman" w:eastAsia="Times New Roman" w:hint="default"/>
        </w:rPr>
        <w:t>5G</w:t>
      </w:r>
      <w:r>
        <w:rPr/>
        <w:t>体系研发。</w:t>
      </w:r>
    </w:p>
    <w:p>
      <w:pPr>
        <w:pStyle w:val="BodyText"/>
        <w:spacing w:line="300" w:lineRule="auto" w:before="53"/>
        <w:ind w:right="1133" w:firstLine="360"/>
        <w:jc w:val="both"/>
      </w:pPr>
      <w:r>
        <w:rPr>
          <w:rFonts w:ascii="Times New Roman" w:hAnsi="Times New Roman" w:cs="Times New Roman" w:eastAsia="Times New Roman" w:hint="default"/>
        </w:rPr>
        <w:t>1</w:t>
      </w:r>
      <w:r>
        <w:rPr/>
        <w:t>、在技术方面深入研究云网一体化、</w:t>
      </w:r>
      <w:r>
        <w:rPr>
          <w:rFonts w:ascii="Times New Roman" w:hAnsi="Times New Roman" w:cs="Times New Roman" w:eastAsia="Times New Roman" w:hint="default"/>
        </w:rPr>
        <w:t>SDN/NFV</w:t>
      </w:r>
      <w:r>
        <w:rPr/>
        <w:t>、边缘计算、</w:t>
      </w:r>
      <w:r>
        <w:rPr>
          <w:rFonts w:ascii="Times New Roman" w:hAnsi="Times New Roman" w:cs="Times New Roman" w:eastAsia="Times New Roman" w:hint="default"/>
        </w:rPr>
        <w:t>5G</w:t>
      </w:r>
      <w:r>
        <w:rPr/>
        <w:t>网络切片编排等</w:t>
      </w:r>
      <w:r>
        <w:rPr>
          <w:rFonts w:ascii="Times New Roman" w:hAnsi="Times New Roman" w:cs="Times New Roman" w:eastAsia="Times New Roman" w:hint="default"/>
        </w:rPr>
        <w:t>5G</w:t>
      </w:r>
      <w:r>
        <w:rPr/>
        <w:t>核心技术，初步形成了</w:t>
      </w:r>
      <w:r>
        <w:rPr>
          <w:rFonts w:ascii="Times New Roman" w:hAnsi="Times New Roman" w:cs="Times New Roman" w:eastAsia="Times New Roman" w:hint="default"/>
        </w:rPr>
        <w:t>5G</w:t>
      </w:r>
      <w:r>
        <w:rPr/>
        <w:t>整体解决 方案，并着手研发服务于整个</w:t>
      </w:r>
      <w:r>
        <w:rPr>
          <w:rFonts w:ascii="Times New Roman" w:hAnsi="Times New Roman" w:cs="Times New Roman" w:eastAsia="Times New Roman" w:hint="default"/>
        </w:rPr>
        <w:t>5G</w:t>
      </w:r>
      <w:r>
        <w:rPr/>
        <w:t>产业链的相关产品平台。</w:t>
      </w:r>
    </w:p>
    <w:p>
      <w:pPr>
        <w:pStyle w:val="BodyText"/>
        <w:spacing w:line="300" w:lineRule="auto" w:before="51"/>
        <w:ind w:right="1026" w:firstLine="360"/>
        <w:jc w:val="left"/>
      </w:pPr>
      <w:r>
        <w:rPr>
          <w:rFonts w:ascii="Times New Roman" w:hAnsi="Times New Roman" w:cs="Times New Roman" w:eastAsia="Times New Roman" w:hint="default"/>
        </w:rPr>
        <w:t>2</w:t>
      </w:r>
      <w:r>
        <w:rPr/>
        <w:t>、在运营商传统支撑市场方面，公司重点研发新一代云网融合的</w:t>
      </w:r>
      <w:r>
        <w:rPr>
          <w:rFonts w:ascii="Times New Roman" w:hAnsi="Times New Roman" w:cs="Times New Roman" w:eastAsia="Times New Roman" w:hint="default"/>
        </w:rPr>
        <w:t>5G</w:t>
      </w:r>
      <w:r>
        <w:rPr/>
        <w:t>业务运营支撑系统，包括新一代</w:t>
      </w:r>
      <w:r>
        <w:rPr>
          <w:rFonts w:ascii="Times New Roman" w:hAnsi="Times New Roman" w:cs="Times New Roman" w:eastAsia="Times New Roman" w:hint="default"/>
        </w:rPr>
        <w:t>OSS</w:t>
      </w:r>
      <w:r>
        <w:rPr/>
        <w:t>系统、</w:t>
      </w:r>
      <w:r>
        <w:rPr>
          <w:rFonts w:ascii="Times New Roman" w:hAnsi="Times New Roman" w:cs="Times New Roman" w:eastAsia="Times New Roman" w:hint="default"/>
        </w:rPr>
        <w:t>5G</w:t>
      </w:r>
      <w:r>
        <w:rPr/>
        <w:t>切片 </w:t>
      </w:r>
      <w:r>
        <w:rPr>
          <w:spacing w:val="-4"/>
        </w:rPr>
        <w:t>运营服务平台、</w:t>
      </w:r>
      <w:r>
        <w:rPr>
          <w:rFonts w:ascii="Times New Roman" w:hAnsi="Times New Roman" w:cs="Times New Roman" w:eastAsia="Times New Roman" w:hint="default"/>
          <w:spacing w:val="-4"/>
        </w:rPr>
        <w:t>5G</w:t>
      </w:r>
      <w:r>
        <w:rPr>
          <w:spacing w:val="-4"/>
        </w:rPr>
        <w:t>计费、</w:t>
      </w:r>
      <w:r>
        <w:rPr>
          <w:rFonts w:ascii="Times New Roman" w:hAnsi="Times New Roman" w:cs="Times New Roman" w:eastAsia="Times New Roman" w:hint="default"/>
          <w:spacing w:val="-4"/>
        </w:rPr>
        <w:t>5G</w:t>
      </w:r>
      <w:r>
        <w:rPr>
          <w:spacing w:val="-4"/>
        </w:rPr>
        <w:t>合作伙伴管理、以及面向</w:t>
      </w:r>
      <w:r>
        <w:rPr>
          <w:rFonts w:ascii="Times New Roman" w:hAnsi="Times New Roman" w:cs="Times New Roman" w:eastAsia="Times New Roman" w:hint="default"/>
          <w:spacing w:val="-4"/>
        </w:rPr>
        <w:t>5G</w:t>
      </w:r>
      <w:r>
        <w:rPr>
          <w:rFonts w:ascii="Times New Roman" w:hAnsi="Times New Roman" w:cs="Times New Roman" w:eastAsia="Times New Roman" w:hint="default"/>
        </w:rPr>
        <w:t> </w:t>
      </w:r>
      <w:r>
        <w:rPr/>
        <w:t>三大类场景的</w:t>
      </w:r>
      <w:r>
        <w:rPr>
          <w:rFonts w:ascii="Times New Roman" w:hAnsi="Times New Roman" w:cs="Times New Roman" w:eastAsia="Times New Roman" w:hint="default"/>
        </w:rPr>
        <w:t>eMBB</w:t>
      </w:r>
      <w:r>
        <w:rPr/>
        <w:t>运营平台、</w:t>
      </w:r>
      <w:r>
        <w:rPr>
          <w:rFonts w:ascii="Times New Roman" w:hAnsi="Times New Roman" w:cs="Times New Roman" w:eastAsia="Times New Roman" w:hint="default"/>
        </w:rPr>
        <w:t>mMTC</w:t>
      </w:r>
      <w:r>
        <w:rPr/>
        <w:t>运营平台、</w:t>
      </w:r>
      <w:r>
        <w:rPr>
          <w:rFonts w:ascii="Times New Roman" w:hAnsi="Times New Roman" w:cs="Times New Roman" w:eastAsia="Times New Roman" w:hint="default"/>
        </w:rPr>
        <w:t>uRRLC</w:t>
      </w:r>
      <w:r>
        <w:rPr/>
        <w:t>运营平台； 面向电信运营商的</w:t>
      </w:r>
      <w:r>
        <w:rPr>
          <w:rFonts w:ascii="Times New Roman" w:hAnsi="Times New Roman" w:cs="Times New Roman" w:eastAsia="Times New Roman" w:hint="default"/>
        </w:rPr>
        <w:t>5G</w:t>
      </w:r>
      <w:r>
        <w:rPr/>
        <w:t>系列产品，可以独立支撑各类</w:t>
      </w:r>
      <w:r>
        <w:rPr>
          <w:rFonts w:ascii="Times New Roman" w:hAnsi="Times New Roman" w:cs="Times New Roman" w:eastAsia="Times New Roman" w:hint="default"/>
        </w:rPr>
        <w:t>5G</w:t>
      </w:r>
      <w:r>
        <w:rPr/>
        <w:t>业务从产品提供到销售服务以及开通、计费整体端到端业务流程，以</w:t>
      </w:r>
      <w:r>
        <w:rPr>
          <w:spacing w:val="-75"/>
        </w:rPr>
        <w:t> </w:t>
      </w:r>
      <w:r>
        <w:rPr>
          <w:spacing w:val="-75"/>
        </w:rPr>
      </w:r>
      <w:r>
        <w:rPr/>
        <w:t>帮助运营商快速实现</w:t>
      </w:r>
      <w:r>
        <w:rPr>
          <w:rFonts w:ascii="Times New Roman" w:hAnsi="Times New Roman" w:cs="Times New Roman" w:eastAsia="Times New Roman" w:hint="default"/>
        </w:rPr>
        <w:t>5G</w:t>
      </w:r>
      <w:r>
        <w:rPr/>
        <w:t>的商用落地。</w:t>
      </w:r>
    </w:p>
    <w:p>
      <w:pPr>
        <w:pStyle w:val="BodyText"/>
        <w:spacing w:line="300" w:lineRule="auto" w:before="53"/>
        <w:ind w:right="1126" w:firstLine="360"/>
        <w:jc w:val="both"/>
      </w:pPr>
      <w:r>
        <w:rPr>
          <w:rFonts w:ascii="Times New Roman" w:hAnsi="Times New Roman" w:cs="Times New Roman" w:eastAsia="Times New Roman" w:hint="default"/>
          <w:spacing w:val="-2"/>
        </w:rPr>
        <w:t>3</w:t>
      </w:r>
      <w:r>
        <w:rPr>
          <w:spacing w:val="-2"/>
        </w:rPr>
        <w:t>、在物联网方面，公司投入力量，研发物联网云平台，包括</w:t>
      </w:r>
      <w:r>
        <w:rPr>
          <w:rFonts w:ascii="Times New Roman" w:hAnsi="Times New Roman" w:cs="Times New Roman" w:eastAsia="Times New Roman" w:hint="default"/>
          <w:spacing w:val="-2"/>
        </w:rPr>
        <w:t>IoT</w:t>
      </w:r>
      <w:r>
        <w:rPr>
          <w:spacing w:val="-2"/>
        </w:rPr>
        <w:t>基础平台、</w:t>
      </w:r>
      <w:r>
        <w:rPr>
          <w:rFonts w:ascii="Times New Roman" w:hAnsi="Times New Roman" w:cs="Times New Roman" w:eastAsia="Times New Roman" w:hint="default"/>
          <w:spacing w:val="-2"/>
        </w:rPr>
        <w:t>IoT</w:t>
      </w:r>
      <w:r>
        <w:rPr>
          <w:spacing w:val="-2"/>
        </w:rPr>
        <w:t>运营平台、以及各类</w:t>
      </w:r>
      <w:r>
        <w:rPr>
          <w:rFonts w:ascii="Times New Roman" w:hAnsi="Times New Roman" w:cs="Times New Roman" w:eastAsia="Times New Roman" w:hint="default"/>
          <w:spacing w:val="-2"/>
        </w:rPr>
        <w:t>IoT</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1"/>
        </w:rPr>
        <w:t>APP</w:t>
      </w:r>
      <w:r>
        <w:rPr>
          <w:spacing w:val="-1"/>
        </w:rPr>
        <w:t>等产品，提</w:t>
      </w:r>
      <w:r>
        <w:rPr/>
        <w:t> </w:t>
      </w:r>
      <w:r>
        <w:rPr>
          <w:spacing w:val="-1"/>
        </w:rPr>
        <w:t>供物联网设备接入、物联网运营服务。物联网云平台，对底层各类</w:t>
      </w:r>
      <w:r>
        <w:rPr>
          <w:rFonts w:ascii="Times New Roman" w:hAnsi="Times New Roman" w:cs="Times New Roman" w:eastAsia="Times New Roman" w:hint="default"/>
          <w:spacing w:val="-1"/>
        </w:rPr>
        <w:t>IoT</w:t>
      </w:r>
      <w:r>
        <w:rPr>
          <w:spacing w:val="-1"/>
        </w:rPr>
        <w:t>设备的协议适配接入，实时监测各类设备状态</w:t>
      </w:r>
      <w:r>
        <w:rPr>
          <w:rFonts w:ascii="Times New Roman" w:hAnsi="Times New Roman" w:cs="Times New Roman" w:eastAsia="Times New Roman" w:hint="default"/>
          <w:spacing w:val="-1"/>
        </w:rPr>
        <w:t>,</w:t>
      </w:r>
      <w:r>
        <w:rPr>
          <w:spacing w:val="-1"/>
        </w:rPr>
        <w:t>对上层</w:t>
      </w:r>
      <w:r>
        <w:rPr>
          <w:spacing w:val="-68"/>
        </w:rPr>
        <w:t> </w:t>
      </w:r>
      <w:r>
        <w:rPr/>
        <w:t>的各类</w:t>
      </w:r>
      <w:r>
        <w:rPr>
          <w:rFonts w:ascii="Times New Roman" w:hAnsi="Times New Roman" w:cs="Times New Roman" w:eastAsia="Times New Roman" w:hint="default"/>
        </w:rPr>
        <w:t>5G</w:t>
      </w:r>
      <w:r>
        <w:rPr/>
        <w:t>行业应用进行统一注册、服务支撑、运营管理。</w:t>
      </w:r>
    </w:p>
    <w:p>
      <w:pPr>
        <w:pStyle w:val="BodyText"/>
        <w:spacing w:line="307" w:lineRule="auto" w:before="53"/>
        <w:ind w:right="1130" w:firstLine="360"/>
        <w:jc w:val="both"/>
      </w:pPr>
      <w:r>
        <w:rPr>
          <w:rFonts w:ascii="Times New Roman" w:hAnsi="Times New Roman" w:cs="Times New Roman" w:eastAsia="Times New Roman" w:hint="default"/>
          <w:spacing w:val="-1"/>
        </w:rPr>
        <w:t>4</w:t>
      </w:r>
      <w:r>
        <w:rPr>
          <w:spacing w:val="-1"/>
        </w:rPr>
        <w:t>、在人工智能方面，公司完成了智能算法开放运营平台，面向</w:t>
      </w:r>
      <w:r>
        <w:rPr>
          <w:rFonts w:ascii="Times New Roman" w:hAnsi="Times New Roman" w:cs="Times New Roman" w:eastAsia="Times New Roman" w:hint="default"/>
          <w:spacing w:val="-1"/>
        </w:rPr>
        <w:t>AI</w:t>
      </w:r>
      <w:r>
        <w:rPr>
          <w:spacing w:val="-1"/>
        </w:rPr>
        <w:t>开发者和</w:t>
      </w:r>
      <w:r>
        <w:rPr>
          <w:rFonts w:ascii="Times New Roman" w:hAnsi="Times New Roman" w:cs="Times New Roman" w:eastAsia="Times New Roman" w:hint="default"/>
          <w:spacing w:val="-1"/>
        </w:rPr>
        <w:t>AI</w:t>
      </w:r>
      <w:r>
        <w:rPr>
          <w:spacing w:val="-1"/>
        </w:rPr>
        <w:t>应用使用者，可以通过工具化、图形化的</w:t>
      </w:r>
      <w:r>
        <w:rPr/>
        <w:t> 方式，开发各类业务模型算法，最终以服务的方式提供上层</w:t>
      </w:r>
      <w:r>
        <w:rPr>
          <w:rFonts w:ascii="Times New Roman" w:hAnsi="Times New Roman" w:cs="Times New Roman" w:eastAsia="Times New Roman" w:hint="default"/>
        </w:rPr>
        <w:t>AI</w:t>
      </w:r>
      <w:r>
        <w:rPr/>
        <w:t>应用，推进</w:t>
      </w:r>
      <w:r>
        <w:rPr>
          <w:rFonts w:ascii="Times New Roman" w:hAnsi="Times New Roman" w:cs="Times New Roman" w:eastAsia="Times New Roman" w:hint="default"/>
        </w:rPr>
        <w:t>AI</w:t>
      </w:r>
      <w:r>
        <w:rPr/>
        <w:t>快速落地。智能交互平台，主要应用于</w:t>
      </w:r>
      <w:r>
        <w:rPr>
          <w:rFonts w:ascii="Times New Roman" w:hAnsi="Times New Roman" w:cs="Times New Roman" w:eastAsia="Times New Roman" w:hint="default"/>
        </w:rPr>
        <w:t>AI</w:t>
      </w:r>
      <w:r>
        <w:rPr/>
        <w:t>人机</w:t>
      </w:r>
      <w:r>
        <w:rPr>
          <w:spacing w:val="-31"/>
        </w:rPr>
        <w:t> </w:t>
      </w:r>
      <w:r>
        <w:rPr>
          <w:spacing w:val="-2"/>
        </w:rPr>
        <w:t>交互计算机视觉领域，其封装底层各类人脸识别、动态手势识别、自然特征识别、图像识别、声纹指纹识别算法，使上层应</w:t>
      </w:r>
      <w:r>
        <w:rPr>
          <w:spacing w:val="-68"/>
        </w:rPr>
        <w:t> </w:t>
      </w:r>
      <w:r>
        <w:rPr>
          <w:spacing w:val="-68"/>
        </w:rPr>
      </w:r>
      <w:r>
        <w:rPr/>
        <w:t>用可以透明访问各类</w:t>
      </w:r>
      <w:r>
        <w:rPr>
          <w:rFonts w:ascii="Times New Roman" w:hAnsi="Times New Roman" w:cs="Times New Roman" w:eastAsia="Times New Roman" w:hint="default"/>
        </w:rPr>
        <w:t>AI</w:t>
      </w:r>
      <w:r>
        <w:rPr/>
        <w:t>识别设备，调用下相关算法组件。</w:t>
      </w:r>
    </w:p>
    <w:p>
      <w:pPr>
        <w:spacing w:line="240" w:lineRule="auto" w:before="10"/>
        <w:rPr>
          <w:rFonts w:ascii="宋体" w:hAnsi="宋体" w:cs="宋体" w:eastAsia="宋体" w:hint="default"/>
          <w:sz w:val="14"/>
          <w:szCs w:val="14"/>
        </w:rPr>
      </w:pPr>
    </w:p>
    <w:p>
      <w:pPr>
        <w:pStyle w:val="Heading4"/>
        <w:spacing w:line="240" w:lineRule="auto"/>
        <w:ind w:left="635" w:right="982"/>
        <w:jc w:val="left"/>
        <w:rPr>
          <w:b w:val="0"/>
          <w:bCs w:val="0"/>
        </w:rPr>
      </w:pPr>
      <w:r>
        <w:rPr/>
        <w:t>（三）在人力资源方面：稳步推进人才升级战略，完善公司文化，强化价值管理体系建设</w:t>
      </w:r>
      <w:r>
        <w:rPr>
          <w:b w:val="0"/>
          <w:bCs w:val="0"/>
        </w:rPr>
      </w:r>
    </w:p>
    <w:p>
      <w:pPr>
        <w:spacing w:line="450" w:lineRule="atLeast" w:before="11"/>
        <w:ind w:left="513" w:right="1033" w:firstLine="1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、加强人才队伍建设，提高人才队伍的科技含量</w:t>
      </w:r>
      <w:r>
        <w:rPr>
          <w:rFonts w:ascii="宋体" w:hAnsi="宋体" w:cs="宋体" w:eastAsia="宋体" w:hint="default"/>
          <w:b/>
          <w:bCs/>
          <w:w w:val="99"/>
          <w:sz w:val="18"/>
          <w:szCs w:val="18"/>
        </w:rPr>
        <w:t> </w:t>
      </w:r>
      <w:r>
        <w:rPr>
          <w:rFonts w:ascii="宋体" w:hAnsi="宋体" w:cs="宋体" w:eastAsia="宋体" w:hint="default"/>
          <w:sz w:val="18"/>
          <w:szCs w:val="18"/>
        </w:rPr>
        <w:t>公司利用五年时间，以培养为主，挖掘为辅，引进为补充，全力打造了一支有职业素养、能打硬仗、懂专业、善经营，</w:t>
      </w:r>
    </w:p>
    <w:p>
      <w:pPr>
        <w:pStyle w:val="BodyText"/>
        <w:spacing w:line="357" w:lineRule="auto" w:before="76"/>
        <w:ind w:left="513" w:right="982" w:hanging="360"/>
        <w:jc w:val="left"/>
      </w:pPr>
      <w:r>
        <w:rPr/>
        <w:t>能管理的具有高技术含量的人才队伍。 </w:t>
      </w:r>
      <w:r>
        <w:rPr>
          <w:spacing w:val="-4"/>
        </w:rPr>
        <w:t>拓展国内优秀高校资源（双一流院校为主）的途径，通过与高校建立人才共同培养机制，发掘符合公司发展的优秀人才。</w:t>
      </w:r>
    </w:p>
    <w:p>
      <w:pPr>
        <w:pStyle w:val="BodyText"/>
        <w:spacing w:line="237" w:lineRule="exact"/>
        <w:ind w:right="982"/>
        <w:jc w:val="left"/>
      </w:pPr>
      <w:r>
        <w:rPr/>
        <w:t>同时，公司与电子科技大学、西安交通大学等院校，在联合培养、联合办学和联合研发等方面进行工作探索，</w:t>
      </w:r>
      <w:r>
        <w:rPr>
          <w:rFonts w:ascii="Times New Roman" w:hAnsi="Times New Roman" w:cs="Times New Roman" w:eastAsia="Times New Roman" w:hint="default"/>
        </w:rPr>
        <w:t>2019</w:t>
      </w:r>
      <w:r>
        <w:rPr/>
        <w:t>年公司与</w:t>
      </w:r>
    </w:p>
    <w:p>
      <w:pPr>
        <w:pStyle w:val="BodyText"/>
        <w:spacing w:line="240" w:lineRule="auto" w:before="63"/>
        <w:ind w:right="982"/>
        <w:jc w:val="left"/>
      </w:pPr>
      <w:r>
        <w:rPr/>
        <w:t>电子科技大学联合成立了</w:t>
      </w:r>
      <w:r>
        <w:rPr>
          <w:rFonts w:ascii="Times New Roman" w:hAnsi="Times New Roman" w:cs="Times New Roman" w:eastAsia="Times New Roman" w:hint="default"/>
        </w:rPr>
        <w:t>“</w:t>
      </w:r>
      <w:r>
        <w:rPr/>
        <w:t>未来信息科技联合研究院</w:t>
      </w:r>
      <w:r>
        <w:rPr>
          <w:rFonts w:ascii="Times New Roman" w:hAnsi="Times New Roman" w:cs="Times New Roman" w:eastAsia="Times New Roman" w:hint="default"/>
        </w:rPr>
        <w:t>”</w:t>
      </w:r>
      <w:r>
        <w:rPr/>
        <w:t>。</w:t>
      </w:r>
    </w:p>
    <w:p>
      <w:pPr>
        <w:pStyle w:val="BodyText"/>
        <w:spacing w:line="300" w:lineRule="auto" w:before="103"/>
        <w:ind w:right="1040" w:firstLine="360"/>
        <w:jc w:val="both"/>
      </w:pPr>
      <w:r>
        <w:rPr/>
        <w:t>为加快内部人员的培养，公司成立了</w:t>
      </w:r>
      <w:r>
        <w:rPr>
          <w:rFonts w:ascii="Times New Roman" w:hAnsi="Times New Roman" w:cs="Times New Roman" w:eastAsia="Times New Roman" w:hint="default"/>
        </w:rPr>
        <w:t>“</w:t>
      </w:r>
      <w:r>
        <w:rPr/>
        <w:t>未来之星训练营</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，建立内部人才的挖掘和选拔机制，以促使内部人才快速成长； 通过培养方式的实践，</w:t>
      </w:r>
      <w:r>
        <w:rPr>
          <w:spacing w:val="6"/>
        </w:rPr>
        <w:t> </w:t>
      </w:r>
      <w:r>
        <w:rPr>
          <w:rFonts w:ascii="Times New Roman" w:hAnsi="Times New Roman" w:cs="Times New Roman" w:eastAsia="Times New Roman" w:hint="default"/>
        </w:rPr>
        <w:t>2019</w:t>
      </w:r>
      <w:r>
        <w:rPr/>
        <w:t>年形成了人才综合素质、工作技能等画像，对员工进行全生命周期提升和学习计划的指导，加</w:t>
      </w:r>
    </w:p>
    <w:p>
      <w:pPr>
        <w:spacing w:after="0" w:line="300"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快人才的晋升速度。</w:t>
      </w:r>
    </w:p>
    <w:p>
      <w:pPr>
        <w:spacing w:line="450" w:lineRule="atLeast" w:before="34"/>
        <w:ind w:left="513" w:right="982" w:firstLine="1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、凝聚共识，加强公司文化建设</w:t>
      </w:r>
      <w:r>
        <w:rPr>
          <w:rFonts w:ascii="宋体" w:hAnsi="宋体" w:cs="宋体" w:eastAsia="宋体" w:hint="default"/>
          <w:b/>
          <w:bCs/>
          <w:w w:val="99"/>
          <w:sz w:val="18"/>
          <w:szCs w:val="18"/>
        </w:rPr>
        <w:t> </w:t>
      </w:r>
      <w:r>
        <w:rPr>
          <w:rFonts w:ascii="宋体" w:hAnsi="宋体" w:cs="宋体" w:eastAsia="宋体" w:hint="default"/>
          <w:spacing w:val="-2"/>
          <w:sz w:val="18"/>
          <w:szCs w:val="18"/>
        </w:rPr>
        <w:t>目前，市场竞争越来越激烈，人才成为竞争的根本。若要在日益激烈的竞争市场上立于不败之地，需要提高建设企业文</w:t>
      </w:r>
    </w:p>
    <w:p>
      <w:pPr>
        <w:pStyle w:val="BodyText"/>
        <w:spacing w:line="240" w:lineRule="auto" w:before="76"/>
        <w:ind w:right="982"/>
        <w:jc w:val="left"/>
      </w:pPr>
      <w:r>
        <w:rPr/>
        <w:t>化的意识，重视加强企业文化建设，不断增强企业凝聚力，方能促进企业持续健康发展。</w:t>
      </w:r>
    </w:p>
    <w:p>
      <w:pPr>
        <w:pStyle w:val="BodyText"/>
        <w:spacing w:line="309" w:lineRule="auto" w:before="117"/>
        <w:ind w:right="982" w:firstLine="360"/>
        <w:jc w:val="left"/>
      </w:pPr>
      <w:r>
        <w:rPr/>
        <w:t>报告期内，公司围绕</w:t>
      </w:r>
      <w:r>
        <w:rPr>
          <w:rFonts w:ascii="Times New Roman" w:hAnsi="Times New Roman" w:cs="Times New Roman" w:eastAsia="Times New Roman" w:hint="default"/>
        </w:rPr>
        <w:t>“</w:t>
      </w:r>
      <w:r>
        <w:rPr/>
        <w:t>学习、</w:t>
      </w:r>
      <w:r>
        <w:rPr>
          <w:spacing w:val="-30"/>
        </w:rPr>
        <w:t> </w:t>
      </w:r>
      <w:r>
        <w:rPr/>
        <w:t>思考、</w:t>
      </w:r>
      <w:r>
        <w:rPr>
          <w:spacing w:val="-31"/>
        </w:rPr>
        <w:t> </w:t>
      </w:r>
      <w:r>
        <w:rPr/>
        <w:t>创新、</w:t>
      </w:r>
      <w:r>
        <w:rPr>
          <w:spacing w:val="-31"/>
        </w:rPr>
        <w:t> </w:t>
      </w:r>
      <w:r>
        <w:rPr/>
        <w:t>行动、</w:t>
      </w:r>
      <w:r>
        <w:rPr>
          <w:spacing w:val="-30"/>
        </w:rPr>
        <w:t> </w:t>
      </w:r>
      <w:r>
        <w:rPr/>
        <w:t>改进、</w:t>
      </w:r>
      <w:r>
        <w:rPr>
          <w:spacing w:val="-32"/>
        </w:rPr>
        <w:t> </w:t>
      </w:r>
      <w:r>
        <w:rPr/>
        <w:t>成功</w:t>
      </w:r>
      <w:r>
        <w:rPr>
          <w:rFonts w:ascii="Times New Roman" w:hAnsi="Times New Roman" w:cs="Times New Roman" w:eastAsia="Times New Roman" w:hint="default"/>
        </w:rPr>
        <w:t>”</w:t>
      </w:r>
      <w:r>
        <w:rPr/>
        <w:t>的企业文化宗旨，开展多样化文化建设，通过技术论 </w:t>
      </w:r>
      <w:r>
        <w:rPr>
          <w:spacing w:val="-2"/>
        </w:rPr>
        <w:t>坛、分享知识、讨论问题、读书角等方式宣贯及传承公司文化，打造健康的企业文化生态圈。依据岗位序列明确一岗一表的</w:t>
      </w:r>
      <w:r>
        <w:rPr>
          <w:spacing w:val="-65"/>
        </w:rPr>
        <w:t> </w:t>
      </w:r>
      <w:r>
        <w:rPr>
          <w:spacing w:val="-65"/>
        </w:rPr>
      </w:r>
      <w:r>
        <w:rPr>
          <w:spacing w:val="-4"/>
        </w:rPr>
        <w:t>岗位学习框架，通过标准化和定制化学习方式，持续构建全员学习体系。加强管理围绕领导力模型，明确管理者的使命责任，</w:t>
      </w:r>
      <w:r>
        <w:rPr>
          <w:spacing w:val="-46"/>
        </w:rPr>
        <w:t> </w:t>
      </w:r>
      <w:r>
        <w:rPr>
          <w:spacing w:val="-46"/>
        </w:rPr>
      </w:r>
      <w:r>
        <w:rPr/>
        <w:t>持续为客户创造价值。通过开展年度</w:t>
      </w:r>
      <w:r>
        <w:rPr>
          <w:rFonts w:ascii="Times New Roman" w:hAnsi="Times New Roman" w:cs="Times New Roman" w:eastAsia="Times New Roman" w:hint="default"/>
        </w:rPr>
        <w:t>360</w:t>
      </w:r>
      <w:r>
        <w:rPr/>
        <w:t>评估、改进计划、</w:t>
      </w:r>
      <w:r>
        <w:rPr>
          <w:rFonts w:ascii="Times New Roman" w:hAnsi="Times New Roman" w:cs="Times New Roman" w:eastAsia="Times New Roman" w:hint="default"/>
        </w:rPr>
        <w:t>“</w:t>
      </w:r>
      <w:r>
        <w:rPr/>
        <w:t>雏鹰计划</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培鹰计划</w:t>
      </w:r>
      <w:r>
        <w:rPr>
          <w:rFonts w:ascii="Times New Roman" w:hAnsi="Times New Roman" w:cs="Times New Roman" w:eastAsia="Times New Roman" w:hint="default"/>
        </w:rPr>
        <w:t>”</w:t>
      </w:r>
      <w:r>
        <w:rPr/>
        <w:t>，持续落实领导力发展和培养，构建管</w:t>
      </w:r>
      <w:r>
        <w:rPr>
          <w:spacing w:val="-48"/>
        </w:rPr>
        <w:t> </w:t>
      </w:r>
      <w:r>
        <w:rPr>
          <w:spacing w:val="-48"/>
        </w:rPr>
      </w:r>
      <w:r>
        <w:rPr/>
        <w:t>理者后备人才梯队。在变革中强化存量管理，开拓增量管理渠道。</w:t>
      </w:r>
    </w:p>
    <w:p>
      <w:pPr>
        <w:spacing w:line="468" w:lineRule="exact" w:before="16"/>
        <w:ind w:left="513" w:right="982" w:firstLine="1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15"/>
          <w:sz w:val="18"/>
          <w:szCs w:val="18"/>
        </w:rPr>
        <w:t> </w:t>
      </w:r>
      <w:r>
        <w:rPr>
          <w:rFonts w:ascii="宋体" w:hAnsi="宋体" w:cs="宋体" w:eastAsia="宋体" w:hint="default"/>
          <w:b/>
          <w:bCs/>
          <w:sz w:val="18"/>
          <w:szCs w:val="18"/>
        </w:rPr>
        <w:t>提升</w:t>
      </w:r>
      <w:r>
        <w:rPr>
          <w:rFonts w:ascii="Times New Roman" w:hAnsi="Times New Roman" w:cs="Times New Roman" w:eastAsia="Times New Roman" w:hint="default"/>
          <w:b/>
          <w:bCs/>
          <w:sz w:val="18"/>
          <w:szCs w:val="18"/>
        </w:rPr>
        <w:t>VES</w:t>
      </w:r>
      <w:r>
        <w:rPr>
          <w:rFonts w:ascii="宋体" w:hAnsi="宋体" w:cs="宋体" w:eastAsia="宋体" w:hint="default"/>
          <w:b/>
          <w:bCs/>
          <w:sz w:val="18"/>
          <w:szCs w:val="18"/>
        </w:rPr>
        <w:t>体系建设，实行员工生命周期下的岗位价值评估运营</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报告期内，公司继续践行思特奇价值评估体系，以提升生产效率、人均创利、价值创造为目标，细分岗位，推进岗位价</w:t>
      </w:r>
    </w:p>
    <w:p>
      <w:pPr>
        <w:pStyle w:val="BodyText"/>
        <w:spacing w:line="357" w:lineRule="auto" w:before="8"/>
        <w:ind w:left="513" w:right="982" w:hanging="360"/>
        <w:jc w:val="left"/>
      </w:pPr>
      <w:r>
        <w:rPr/>
        <w:t>值评估运营的实施。 </w:t>
      </w:r>
      <w:r>
        <w:rPr>
          <w:spacing w:val="-2"/>
        </w:rPr>
        <w:t>对标岗位交付要求及时评估反馈，避免事后评估，宽泛性评估岗位价值评估不同于传统意义的月度考核，工作交付结果</w:t>
      </w:r>
    </w:p>
    <w:p>
      <w:pPr>
        <w:pStyle w:val="BodyText"/>
        <w:spacing w:line="224" w:lineRule="exact"/>
        <w:ind w:right="982"/>
        <w:jc w:val="left"/>
      </w:pPr>
      <w:r>
        <w:rPr>
          <w:spacing w:val="-4"/>
        </w:rPr>
        <w:t>在日常生产及工作过程产生，主要来源于每项工作按计划交付后的评估数据，员工可以及时了解评估结果及差异，调整改进。</w:t>
      </w:r>
    </w:p>
    <w:p>
      <w:pPr>
        <w:pStyle w:val="BodyText"/>
        <w:spacing w:line="316" w:lineRule="auto" w:before="117"/>
        <w:ind w:right="1131" w:firstLine="360"/>
        <w:jc w:val="both"/>
      </w:pPr>
      <w:r>
        <w:rPr>
          <w:spacing w:val="-2"/>
        </w:rPr>
        <w:t>通过工作交付，形成员工交付画像，主动管理，提升个体及团队战斗力。通过岗位价值评估结果变化趋势区别出从潜力</w:t>
      </w:r>
      <w:r>
        <w:rPr/>
        <w:t> </w:t>
      </w:r>
      <w:r>
        <w:rPr>
          <w:spacing w:val="-2"/>
        </w:rPr>
        <w:t>到业绩优秀、良好、合格、不合格的人员，形成员工生命周期画像，对不同员工及时进行激励、保留、管理干预，改善组织</w:t>
      </w:r>
      <w:r>
        <w:rPr>
          <w:spacing w:val="-68"/>
        </w:rPr>
        <w:t> </w:t>
      </w:r>
      <w:r>
        <w:rPr>
          <w:spacing w:val="-68"/>
        </w:rPr>
      </w:r>
      <w:r>
        <w:rPr/>
        <w:t>健康，提升产品和项目交付水平。</w:t>
      </w:r>
    </w:p>
    <w:p>
      <w:pPr>
        <w:pStyle w:val="BodyText"/>
        <w:spacing w:line="316" w:lineRule="auto" w:before="59"/>
        <w:ind w:right="982" w:firstLine="360"/>
        <w:jc w:val="left"/>
      </w:pPr>
      <w:r>
        <w:rPr>
          <w:spacing w:val="-2"/>
        </w:rPr>
        <w:t>积累评估运营经验，迭代改进，更好地支撑团队价值创造。通过岗位价值评估运营积累交付数据及标杆案例，在迭代过</w:t>
      </w:r>
      <w:r>
        <w:rPr/>
        <w:t> 程中推进产品单元及岗位交付评估标准、岗位标签的优化，使之更加有效的支撑业务发展和价值创造。</w:t>
      </w:r>
    </w:p>
    <w:p>
      <w:pPr>
        <w:spacing w:line="240" w:lineRule="auto" w:before="9"/>
        <w:rPr>
          <w:rFonts w:ascii="宋体" w:hAnsi="宋体" w:cs="宋体" w:eastAsia="宋体" w:hint="default"/>
          <w:sz w:val="20"/>
          <w:szCs w:val="20"/>
        </w:rPr>
      </w:pPr>
    </w:p>
    <w:p>
      <w:pPr>
        <w:pStyle w:val="Heading2"/>
        <w:spacing w:line="240" w:lineRule="auto"/>
        <w:ind w:right="982"/>
        <w:jc w:val="left"/>
        <w:rPr>
          <w:b w:val="0"/>
          <w:bCs w:val="0"/>
        </w:rPr>
      </w:pPr>
      <w:r>
        <w:rPr/>
        <w:t>二、主营业务分析</w:t>
      </w:r>
      <w:r>
        <w:rPr>
          <w:b w:val="0"/>
          <w:bCs w:val="0"/>
        </w:rPr>
      </w:r>
    </w:p>
    <w:p>
      <w:pPr>
        <w:spacing w:line="240" w:lineRule="auto" w:before="10"/>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982"/>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t>营业收入整体情况</w:t>
      </w:r>
    </w:p>
    <w:p>
      <w:pPr>
        <w:pStyle w:val="BodyText"/>
        <w:spacing w:line="240" w:lineRule="auto" w:before="115"/>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859,779,941.79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787,696,203.48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9.15%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798,471,860.60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742,713,048.06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21,217,333.57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25,240,094.09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40,090,747.62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19,743,061.33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103.06%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562,063,257.53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476,771,246.67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297,593,406.54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308,182,947.63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104,128.56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2,539,131.60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19,149.16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202,877.58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-90.56%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230,152,189.71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205,823,102.62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11.82%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143,502,128.55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157,712,282.42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-9.01%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241,560,709.61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191,225,459.16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26.32%</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117,301,936.89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128,232,986.34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-8.52%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44,954,135.23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34,807,851.03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29.15%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31,644,656.90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28,018,913.90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18,442,326.54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22,639,599.84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32,221,858.36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19,236,008.17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67.51%</w:t>
            </w:r>
          </w:p>
        </w:tc>
      </w:tr>
    </w:tbl>
    <w:p>
      <w:pPr>
        <w:pStyle w:val="BodyText"/>
        <w:spacing w:line="240" w:lineRule="auto" w:before="51"/>
        <w:ind w:right="98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19"/>
        <w:gridCol w:w="1009"/>
        <w:gridCol w:w="1008"/>
        <w:gridCol w:w="1013"/>
        <w:gridCol w:w="1010"/>
        <w:gridCol w:w="1003"/>
        <w:gridCol w:w="1006"/>
        <w:gridCol w:w="1001"/>
        <w:gridCol w:w="1004"/>
      </w:tblGrid>
      <w:tr>
        <w:trPr>
          <w:trHeight w:val="403" w:hRule="exact"/>
        </w:trPr>
        <w:tc>
          <w:tcPr>
            <w:tcW w:w="1519"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519" w:type="dxa"/>
            <w:vMerge/>
            <w:tcBorders>
              <w:left w:val="single" w:sz="4" w:space="0" w:color="000000"/>
              <w:bottom w:val="single" w:sz="4" w:space="0" w:color="000000"/>
              <w:right w:val="single" w:sz="4" w:space="0" w:color="000000"/>
            </w:tcBorders>
            <w:shd w:val="clear" w:color="auto" w:fill="D2D2D2"/>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6" w:hRule="exact"/>
        </w:trPr>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88,170,328.8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204,503,680.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156,118,466.</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410,987,466.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71,949,261.3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168,779,344.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145,434,607.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401,532,990.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r>
      <w:tr>
        <w:trPr>
          <w:trHeight w:val="713" w:hRule="exact"/>
        </w:trPr>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-41,522,834.</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33,926,214.4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11,186,815.5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87,430,282.1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-49,246,582.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36,270,049.0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16,130,955.4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82,161,240.0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360" w:lineRule="auto" w:before="51"/>
        <w:ind w:left="513" w:right="982" w:hanging="360"/>
        <w:jc w:val="left"/>
      </w:pPr>
      <w:r>
        <w:rPr/>
        <w:t>说明经营季节性（或周期性）发生的原因及波动风险 </w:t>
      </w:r>
      <w:r>
        <w:rPr>
          <w:spacing w:val="-2"/>
        </w:rPr>
        <w:t>公司主要客户为中国移动、中国联通和中国电信三大电信运营商，其信息化建设的预算立项、审批和采购招标一般安排</w:t>
      </w:r>
    </w:p>
    <w:p>
      <w:pPr>
        <w:pStyle w:val="BodyText"/>
        <w:spacing w:line="222" w:lineRule="exact"/>
        <w:ind w:right="982"/>
        <w:jc w:val="left"/>
      </w:pPr>
      <w:r>
        <w:rPr/>
        <w:t>在每年的第一、二季度。且该等客户对合同的签署以及软件产品的验收和货款支付有较长的审核周期，第四季度尤其是年末</w:t>
      </w:r>
    </w:p>
    <w:p>
      <w:pPr>
        <w:pStyle w:val="BodyText"/>
        <w:spacing w:line="240" w:lineRule="auto" w:before="76"/>
        <w:ind w:right="982"/>
        <w:jc w:val="left"/>
      </w:pPr>
      <w:r>
        <w:rPr/>
        <w:t>通常是签署合同、出具验收报告和支付的高峰期。因此公司收入相对会集中在第四季度体现。</w:t>
      </w:r>
    </w:p>
    <w:p>
      <w:pPr>
        <w:spacing w:line="240" w:lineRule="auto" w:before="11"/>
        <w:rPr>
          <w:rFonts w:ascii="宋体" w:hAnsi="宋体" w:cs="宋体" w:eastAsia="宋体" w:hint="default"/>
          <w:sz w:val="26"/>
          <w:szCs w:val="26"/>
        </w:rPr>
      </w:pPr>
    </w:p>
    <w:p>
      <w:pPr>
        <w:pStyle w:val="Heading4"/>
        <w:spacing w:line="240" w:lineRule="auto"/>
        <w:ind w:right="982"/>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8"/>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798,471,860.60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399,480,690.81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0" w:right="0"/>
              <w:jc w:val="left"/>
              <w:rPr>
                <w:rFonts w:ascii="Times New Roman" w:hAnsi="Times New Roman" w:cs="Times New Roman" w:eastAsia="Times New Roman" w:hint="default"/>
                <w:sz w:val="18"/>
                <w:szCs w:val="18"/>
              </w:rPr>
            </w:pPr>
            <w:r>
              <w:rPr>
                <w:rFonts w:ascii="Times New Roman"/>
                <w:sz w:val="18"/>
              </w:rPr>
              <w:t>49.97%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8" w:right="0"/>
              <w:jc w:val="left"/>
              <w:rPr>
                <w:rFonts w:ascii="Times New Roman" w:hAnsi="Times New Roman" w:cs="Times New Roman" w:eastAsia="Times New Roman" w:hint="default"/>
                <w:sz w:val="18"/>
                <w:szCs w:val="18"/>
              </w:rPr>
            </w:pPr>
            <w:r>
              <w:rPr>
                <w:rFonts w:ascii="Times New Roman"/>
                <w:sz w:val="18"/>
              </w:rPr>
              <w:t>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7" w:right="0"/>
              <w:jc w:val="left"/>
              <w:rPr>
                <w:rFonts w:ascii="Times New Roman" w:hAnsi="Times New Roman" w:cs="Times New Roman" w:eastAsia="Times New Roman" w:hint="default"/>
                <w:sz w:val="18"/>
                <w:szCs w:val="18"/>
              </w:rPr>
            </w:pPr>
            <w:r>
              <w:rPr>
                <w:rFonts w:ascii="Times New Roman"/>
                <w:sz w:val="18"/>
              </w:rPr>
              <w:t>11.86%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4" w:right="0"/>
              <w:jc w:val="left"/>
              <w:rPr>
                <w:rFonts w:ascii="Times New Roman" w:hAnsi="Times New Roman" w:cs="Times New Roman" w:eastAsia="Times New Roman" w:hint="default"/>
                <w:sz w:val="18"/>
                <w:szCs w:val="18"/>
              </w:rPr>
            </w:pPr>
            <w:r>
              <w:rPr>
                <w:rFonts w:ascii="Times New Roman"/>
                <w:sz w:val="18"/>
              </w:rPr>
              <w:t>-1.95%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20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BILLING</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128,585,070.30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54,550,580.51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CRM</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287,792,705.02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146,133,355.81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3.15%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87,734,208.39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45,602,815.38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移动互连网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176,295,832.02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82,022,654.82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15.06%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3.31%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87,480,387.11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49,850,801.65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-7.72%</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230,152,189.71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104,127,305.95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143,502,128.55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77,767,823.70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-9.01%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-7.36%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-0.96%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241,560,709.61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114,088,332.94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117,301,936.89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54,730,618.92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-15.25%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3.70%</w:t>
            </w:r>
          </w:p>
        </w:tc>
      </w:tr>
    </w:tbl>
    <w:p>
      <w:pPr>
        <w:pStyle w:val="BodyText"/>
        <w:spacing w:line="240" w:lineRule="auto" w:before="51"/>
        <w:ind w:left="213"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left="2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left="213"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left="213"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5"/>
          <w:szCs w:val="25"/>
        </w:rPr>
      </w:pPr>
    </w:p>
    <w:p>
      <w:pPr>
        <w:pStyle w:val="Heading4"/>
        <w:spacing w:line="240" w:lineRule="auto"/>
        <w:ind w:left="213"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5"/>
        <w:gridCol w:w="1016"/>
        <w:gridCol w:w="1366"/>
        <w:gridCol w:w="1368"/>
        <w:gridCol w:w="1369"/>
        <w:gridCol w:w="1366"/>
        <w:gridCol w:w="1368"/>
      </w:tblGrid>
      <w:tr>
        <w:trPr>
          <w:trHeight w:val="401"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016"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327,191,481.84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304,426,691.32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15,616,837.36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15,279,234.36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-0.28%</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技术协作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49,856,473.37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40,941,600.87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1.13%</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7,002,700.46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6,177,134.50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0.05%</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27,995,336.92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22,029,212.43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0.88%</w:t>
            </w:r>
          </w:p>
        </w:tc>
      </w:tr>
    </w:tbl>
    <w:p>
      <w:pPr>
        <w:pStyle w:val="BodyText"/>
        <w:spacing w:line="240" w:lineRule="auto" w:before="51"/>
        <w:ind w:left="213" w:right="0"/>
        <w:jc w:val="left"/>
      </w:pPr>
      <w:r>
        <w:rPr/>
        <w:t>说明</w:t>
      </w:r>
    </w:p>
    <w:p>
      <w:pPr>
        <w:pStyle w:val="BodyText"/>
        <w:spacing w:line="240" w:lineRule="auto" w:before="117"/>
        <w:ind w:left="213" w:right="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4"/>
        <w:spacing w:line="240" w:lineRule="auto"/>
        <w:ind w:left="213"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590" w:type="dxa"/>
        <w:tblLayout w:type="fixed"/>
        <w:tblCellMar>
          <w:top w:w="0" w:type="dxa"/>
          <w:left w:w="0" w:type="dxa"/>
          <w:bottom w:w="0" w:type="dxa"/>
          <w:right w:w="0" w:type="dxa"/>
        </w:tblCellMar>
        <w:tblLook w:val="01E0"/>
      </w:tblPr>
      <w:tblGrid>
        <w:gridCol w:w="893"/>
        <w:gridCol w:w="2921"/>
        <w:gridCol w:w="1932"/>
        <w:gridCol w:w="1707"/>
        <w:gridCol w:w="1416"/>
      </w:tblGrid>
      <w:tr>
        <w:trPr>
          <w:trHeight w:val="348" w:hRule="exact"/>
        </w:trPr>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0"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认缴出资（万元）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认缴出资比例</w:t>
            </w:r>
          </w:p>
        </w:tc>
      </w:tr>
      <w:tr>
        <w:trPr>
          <w:trHeight w:val="346" w:hRule="exact"/>
        </w:trPr>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广州大奇数据科技有限公司</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0"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20" w:right="0"/>
        </w:sectPr>
      </w:pPr>
    </w:p>
    <w:p>
      <w:pPr>
        <w:spacing w:line="240" w:lineRule="auto" w:before="8"/>
        <w:rPr>
          <w:rFonts w:ascii="宋体" w:hAnsi="宋体" w:cs="宋体" w:eastAsia="宋体" w:hint="default"/>
          <w:sz w:val="24"/>
          <w:szCs w:val="24"/>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2"/>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324,939,389.65</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37.79%</w:t>
            </w:r>
          </w:p>
        </w:tc>
      </w:tr>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2"/>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97,284,867.35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11.32%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73,296,551.38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8.53%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71,655,932.13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8.33%</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41,900,552.30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40,801,486.49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324,939,389.65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37.79%</w:t>
            </w:r>
          </w:p>
        </w:tc>
      </w:tr>
    </w:tbl>
    <w:p>
      <w:pPr>
        <w:pStyle w:val="BodyText"/>
        <w:spacing w:line="240" w:lineRule="auto" w:before="51"/>
        <w:ind w:right="982"/>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28,163,054.03</w:t>
            </w:r>
          </w:p>
        </w:tc>
      </w:tr>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34.91%</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82"/>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9.30%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6,749,056.44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8.37%</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6,616,709.25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8.20%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4,313,892.00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5.35%</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2,983,396.34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28,163,054.03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34.91%</w:t>
            </w:r>
          </w:p>
        </w:tc>
      </w:tr>
    </w:tbl>
    <w:p>
      <w:pPr>
        <w:pStyle w:val="BodyText"/>
        <w:spacing w:line="240" w:lineRule="auto" w:before="51"/>
        <w:ind w:right="982"/>
        <w:jc w:val="left"/>
      </w:pPr>
      <w:r>
        <w:rPr/>
        <w:t>主要供应商其他情况说明</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2"/>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9"/>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103,426,427.75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96,899,823.05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6.74%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53,111,421.01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50,428,000.79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5.32%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18,432,215.75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8,072,468.47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借款利息增加所致</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167,526,109.28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148,006,109.77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13.19%</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12"/>
          <w:szCs w:val="12"/>
        </w:rPr>
      </w:pPr>
    </w:p>
    <w:p>
      <w:pPr>
        <w:pStyle w:val="Heading5"/>
        <w:tabs>
          <w:tab w:pos="1463" w:val="left" w:leader="none"/>
          <w:tab w:pos="3624" w:val="left" w:leader="none"/>
          <w:tab w:pos="7431" w:val="left" w:leader="none"/>
        </w:tabs>
        <w:spacing w:line="240" w:lineRule="auto" w:before="0"/>
        <w:ind w:left="400" w:right="982"/>
        <w:jc w:val="left"/>
        <w:rPr>
          <w:b w:val="0"/>
          <w:bCs w:val="0"/>
        </w:rPr>
      </w:pPr>
      <w:r>
        <w:rPr/>
        <w:pict>
          <v:group style="position:absolute;margin-left:58.344002pt;margin-top:-4.128274pt;width:478.55pt;height:472.85pt;mso-position-horizontal-relative:page;mso-position-vertical-relative:paragraph;z-index:-1166944" coordorigin="1167,-83" coordsize="9571,9457">
            <v:group style="position:absolute;left:1181;top:-68;width:1121;height:2" coordorigin="1181,-68" coordsize="1121,2">
              <v:shape style="position:absolute;left:1181;top:-68;width:1121;height:2" coordorigin="1181,-68" coordsize="1121,0" path="m1181,-68l2302,-68e" filled="false" stroked="true" strokeweight=".72pt" strokecolor="#000000">
                <v:path arrowok="t"/>
              </v:shape>
            </v:group>
            <v:group style="position:absolute;left:2316;top:-68;width:977;height:2" coordorigin="2316,-68" coordsize="977,2">
              <v:shape style="position:absolute;left:2316;top:-68;width:977;height:2" coordorigin="2316,-68" coordsize="977,0" path="m2316,-68l3293,-68e" filled="false" stroked="true" strokeweight=".72pt" strokecolor="#000000">
                <v:path arrowok="t"/>
              </v:shape>
            </v:group>
            <v:group style="position:absolute;left:3308;top:-68;width:4581;height:2" coordorigin="3308,-68" coordsize="4581,2">
              <v:shape style="position:absolute;left:3308;top:-68;width:4581;height:2" coordorigin="3308,-68" coordsize="4581,0" path="m3308,-68l7888,-68e" filled="false" stroked="true" strokeweight=".72pt" strokecolor="#000000">
                <v:path arrowok="t"/>
              </v:shape>
            </v:group>
            <v:group style="position:absolute;left:7903;top:-68;width:2821;height:2" coordorigin="7903,-68" coordsize="2821,2">
              <v:shape style="position:absolute;left:7903;top:-68;width:2821;height:2" coordorigin="7903,-68" coordsize="2821,0" path="m7903,-68l10723,-68e" filled="false" stroked="true" strokeweight=".72pt" strokecolor="#000000">
                <v:path arrowok="t"/>
              </v:shape>
            </v:group>
            <v:group style="position:absolute;left:1181;top:359;width:1121;height:2" coordorigin="1181,359" coordsize="1121,2">
              <v:shape style="position:absolute;left:1181;top:359;width:1121;height:2" coordorigin="1181,359" coordsize="1121,0" path="m1181,359l2302,359e" filled="false" stroked="true" strokeweight=".72pt" strokecolor="#000000">
                <v:path arrowok="t"/>
              </v:shape>
            </v:group>
            <v:group style="position:absolute;left:2316;top:359;width:977;height:2" coordorigin="2316,359" coordsize="977,2">
              <v:shape style="position:absolute;left:2316;top:359;width:977;height:2" coordorigin="2316,359" coordsize="977,0" path="m2316,359l3293,359e" filled="false" stroked="true" strokeweight=".72pt" strokecolor="#000000">
                <v:path arrowok="t"/>
              </v:shape>
            </v:group>
            <v:group style="position:absolute;left:3308;top:359;width:4581;height:2" coordorigin="3308,359" coordsize="4581,2">
              <v:shape style="position:absolute;left:3308;top:359;width:4581;height:2" coordorigin="3308,359" coordsize="4581,0" path="m3308,359l7888,359e" filled="false" stroked="true" strokeweight=".72pt" strokecolor="#000000">
                <v:path arrowok="t"/>
              </v:shape>
            </v:group>
            <v:group style="position:absolute;left:7903;top:359;width:2821;height:2" coordorigin="7903,359" coordsize="2821,2">
              <v:shape style="position:absolute;left:7903;top:359;width:2821;height:2" coordorigin="7903,359" coordsize="2821,0" path="m7903,359l10723,359e" filled="false" stroked="true" strokeweight=".72pt" strokecolor="#000000">
                <v:path arrowok="t"/>
              </v:shape>
            </v:group>
            <v:group style="position:absolute;left:1181;top:2970;width:1121;height:2" coordorigin="1181,2970" coordsize="1121,2">
              <v:shape style="position:absolute;left:1181;top:2970;width:1121;height:2" coordorigin="1181,2970" coordsize="1121,0" path="m1181,2970l2302,2970e" filled="false" stroked="true" strokeweight=".72pt" strokecolor="#000000">
                <v:path arrowok="t"/>
              </v:shape>
            </v:group>
            <v:group style="position:absolute;left:2316;top:2970;width:977;height:2" coordorigin="2316,2970" coordsize="977,2">
              <v:shape style="position:absolute;left:2316;top:2970;width:977;height:2" coordorigin="2316,2970" coordsize="977,0" path="m2316,2970l3293,2970e" filled="false" stroked="true" strokeweight=".72pt" strokecolor="#000000">
                <v:path arrowok="t"/>
              </v:shape>
            </v:group>
            <v:group style="position:absolute;left:3308;top:2970;width:4581;height:2" coordorigin="3308,2970" coordsize="4581,2">
              <v:shape style="position:absolute;left:3308;top:2970;width:4581;height:2" coordorigin="3308,2970" coordsize="4581,0" path="m3308,2970l7888,2970e" filled="false" stroked="true" strokeweight=".72pt" strokecolor="#000000">
                <v:path arrowok="t"/>
              </v:shape>
            </v:group>
            <v:group style="position:absolute;left:7903;top:2970;width:2821;height:2" coordorigin="7903,2970" coordsize="2821,2">
              <v:shape style="position:absolute;left:7903;top:2970;width:2821;height:2" coordorigin="7903,2970" coordsize="2821,0" path="m7903,2970l10723,2970e" filled="false" stroked="true" strokeweight=".72pt" strokecolor="#000000">
                <v:path arrowok="t"/>
              </v:shape>
            </v:group>
            <v:group style="position:absolute;left:1181;top:5582;width:1121;height:2" coordorigin="1181,5582" coordsize="1121,2">
              <v:shape style="position:absolute;left:1181;top:5582;width:1121;height:2" coordorigin="1181,5582" coordsize="1121,0" path="m1181,5582l2302,5582e" filled="false" stroked="true" strokeweight=".71997pt" strokecolor="#000000">
                <v:path arrowok="t"/>
              </v:shape>
            </v:group>
            <v:group style="position:absolute;left:2316;top:5582;width:977;height:2" coordorigin="2316,5582" coordsize="977,2">
              <v:shape style="position:absolute;left:2316;top:5582;width:977;height:2" coordorigin="2316,5582" coordsize="977,0" path="m2316,5582l3293,5582e" filled="false" stroked="true" strokeweight=".71997pt" strokecolor="#000000">
                <v:path arrowok="t"/>
              </v:shape>
            </v:group>
            <v:group style="position:absolute;left:3308;top:5582;width:4581;height:2" coordorigin="3308,5582" coordsize="4581,2">
              <v:shape style="position:absolute;left:3308;top:5582;width:4581;height:2" coordorigin="3308,5582" coordsize="4581,0" path="m3308,5582l7888,5582e" filled="false" stroked="true" strokeweight=".71997pt" strokecolor="#000000">
                <v:path arrowok="t"/>
              </v:shape>
            </v:group>
            <v:group style="position:absolute;left:7903;top:5582;width:2821;height:2" coordorigin="7903,5582" coordsize="2821,2">
              <v:shape style="position:absolute;left:7903;top:5582;width:2821;height:2" coordorigin="7903,5582" coordsize="2821,0" path="m7903,5582l10723,5582e" filled="false" stroked="true" strokeweight=".71997pt" strokecolor="#000000">
                <v:path arrowok="t"/>
              </v:shape>
            </v:group>
            <v:group style="position:absolute;left:1181;top:7570;width:1121;height:2" coordorigin="1181,7570" coordsize="1121,2">
              <v:shape style="position:absolute;left:1181;top:7570;width:1121;height:2" coordorigin="1181,7570" coordsize="1121,0" path="m1181,7570l2302,7570e" filled="false" stroked="true" strokeweight=".72003pt" strokecolor="#000000">
                <v:path arrowok="t"/>
              </v:shape>
            </v:group>
            <v:group style="position:absolute;left:2316;top:7570;width:977;height:2" coordorigin="2316,7570" coordsize="977,2">
              <v:shape style="position:absolute;left:2316;top:7570;width:977;height:2" coordorigin="2316,7570" coordsize="977,0" path="m2316,7570l3293,7570e" filled="false" stroked="true" strokeweight=".72003pt" strokecolor="#000000">
                <v:path arrowok="t"/>
              </v:shape>
            </v:group>
            <v:group style="position:absolute;left:3308;top:7570;width:4581;height:2" coordorigin="3308,7570" coordsize="4581,2">
              <v:shape style="position:absolute;left:3308;top:7570;width:4581;height:2" coordorigin="3308,7570" coordsize="4581,0" path="m3308,7570l7888,7570e" filled="false" stroked="true" strokeweight=".72003pt" strokecolor="#000000">
                <v:path arrowok="t"/>
              </v:shape>
            </v:group>
            <v:group style="position:absolute;left:7903;top:7570;width:2821;height:2" coordorigin="7903,7570" coordsize="2821,2">
              <v:shape style="position:absolute;left:7903;top:7570;width:2821;height:2" coordorigin="7903,7570" coordsize="2821,0" path="m7903,7570l10723,7570e" filled="false" stroked="true" strokeweight=".72003pt" strokecolor="#000000">
                <v:path arrowok="t"/>
              </v:shape>
            </v:group>
            <v:group style="position:absolute;left:1181;top:8621;width:1121;height:2" coordorigin="1181,8621" coordsize="1121,2">
              <v:shape style="position:absolute;left:1181;top:8621;width:1121;height:2" coordorigin="1181,8621" coordsize="1121,0" path="m1181,8621l2302,8621e" filled="false" stroked="true" strokeweight=".72003pt" strokecolor="#000000">
                <v:path arrowok="t"/>
              </v:shape>
            </v:group>
            <v:group style="position:absolute;left:2316;top:8621;width:977;height:2" coordorigin="2316,8621" coordsize="977,2">
              <v:shape style="position:absolute;left:2316;top:8621;width:977;height:2" coordorigin="2316,8621" coordsize="977,0" path="m2316,8621l3293,8621e" filled="false" stroked="true" strokeweight=".72003pt" strokecolor="#000000">
                <v:path arrowok="t"/>
              </v:shape>
            </v:group>
            <v:group style="position:absolute;left:3308;top:8621;width:4581;height:2" coordorigin="3308,8621" coordsize="4581,2">
              <v:shape style="position:absolute;left:3308;top:8621;width:4581;height:2" coordorigin="3308,8621" coordsize="4581,0" path="m3308,8621l7888,8621e" filled="false" stroked="true" strokeweight=".72003pt" strokecolor="#000000">
                <v:path arrowok="t"/>
              </v:shape>
            </v:group>
            <v:group style="position:absolute;left:7903;top:8621;width:2821;height:2" coordorigin="7903,8621" coordsize="2821,2">
              <v:shape style="position:absolute;left:7903;top:8621;width:2821;height:2" coordorigin="7903,8621" coordsize="2821,0" path="m7903,8621l10723,8621e" filled="false" stroked="true" strokeweight=".72003pt" strokecolor="#000000">
                <v:path arrowok="t"/>
              </v:shape>
            </v:group>
            <v:group style="position:absolute;left:1174;top:-75;width:2;height:9443" coordorigin="1174,-75" coordsize="2,9443">
              <v:shape style="position:absolute;left:1174;top:-75;width:2;height:9443" coordorigin="1174,-75" coordsize="0,9443" path="m1174,-75l1174,9367e" filled="false" stroked="true" strokeweight=".72pt" strokecolor="#000000">
                <v:path arrowok="t"/>
              </v:shape>
            </v:group>
            <v:group style="position:absolute;left:1181;top:9360;width:1121;height:2" coordorigin="1181,9360" coordsize="1121,2">
              <v:shape style="position:absolute;left:1181;top:9360;width:1121;height:2" coordorigin="1181,9360" coordsize="1121,0" path="m1181,9360l2302,9360e" filled="false" stroked="true" strokeweight=".71997pt" strokecolor="#000000">
                <v:path arrowok="t"/>
              </v:shape>
            </v:group>
            <v:group style="position:absolute;left:2309;top:-75;width:2;height:9443" coordorigin="2309,-75" coordsize="2,9443">
              <v:shape style="position:absolute;left:2309;top:-75;width:2;height:9443" coordorigin="2309,-75" coordsize="0,9443" path="m2309,-75l2309,9367e" filled="false" stroked="true" strokeweight=".71999pt" strokecolor="#000000">
                <v:path arrowok="t"/>
              </v:shape>
            </v:group>
            <v:group style="position:absolute;left:2316;top:9360;width:977;height:2" coordorigin="2316,9360" coordsize="977,2">
              <v:shape style="position:absolute;left:2316;top:9360;width:977;height:2" coordorigin="2316,9360" coordsize="977,0" path="m2316,9360l3293,9360e" filled="false" stroked="true" strokeweight=".71997pt" strokecolor="#000000">
                <v:path arrowok="t"/>
              </v:shape>
            </v:group>
            <v:group style="position:absolute;left:3300;top:-75;width:2;height:9443" coordorigin="3300,-75" coordsize="2,9443">
              <v:shape style="position:absolute;left:3300;top:-75;width:2;height:9443" coordorigin="3300,-75" coordsize="0,9443" path="m3300,-75l3300,9367e" filled="false" stroked="true" strokeweight=".72pt" strokecolor="#000000">
                <v:path arrowok="t"/>
              </v:shape>
            </v:group>
            <v:group style="position:absolute;left:3308;top:9360;width:4581;height:2" coordorigin="3308,9360" coordsize="4581,2">
              <v:shape style="position:absolute;left:3308;top:9360;width:4581;height:2" coordorigin="3308,9360" coordsize="4581,0" path="m3308,9360l7888,9360e" filled="false" stroked="true" strokeweight=".71997pt" strokecolor="#000000">
                <v:path arrowok="t"/>
              </v:shape>
            </v:group>
            <v:group style="position:absolute;left:7896;top:-75;width:2;height:9443" coordorigin="7896,-75" coordsize="2,9443">
              <v:shape style="position:absolute;left:7896;top:-75;width:2;height:9443" coordorigin="7896,-75" coordsize="0,9443" path="m7896,-75l7896,9367e" filled="false" stroked="true" strokeweight=".72pt" strokecolor="#000000">
                <v:path arrowok="t"/>
              </v:shape>
            </v:group>
            <v:group style="position:absolute;left:7903;top:9360;width:2821;height:2" coordorigin="7903,9360" coordsize="2821,2">
              <v:shape style="position:absolute;left:7903;top:9360;width:2821;height:2" coordorigin="7903,9360" coordsize="2821,0" path="m7903,9360l10723,9360e" filled="false" stroked="true" strokeweight=".71997pt" strokecolor="#000000">
                <v:path arrowok="t"/>
              </v:shape>
            </v:group>
            <v:group style="position:absolute;left:10730;top:-75;width:2;height:9443" coordorigin="10730,-75" coordsize="2,9443">
              <v:shape style="position:absolute;left:10730;top:-75;width:2;height:9443" coordorigin="10730,-75" coordsize="0,9443" path="m10730,-75l10730,9367e" filled="false" stroked="true" strokeweight=".71997pt" strokecolor="#000000">
                <v:path arrowok="t"/>
              </v:shape>
            </v:group>
            <w10:wrap type="none"/>
          </v:group>
        </w:pict>
      </w:r>
      <w:r>
        <w:rPr>
          <w:w w:val="95"/>
        </w:rPr>
        <w:t>项目名称</w:t>
        <w:tab/>
        <w:t>项目进展</w:t>
        <w:tab/>
        <w:t>研发的内容及目的、目标</w:t>
        <w:tab/>
      </w:r>
      <w:r>
        <w:rPr/>
        <w:t>对公司未来发展的影响</w:t>
      </w:r>
      <w:r>
        <w:rPr>
          <w:b w:val="0"/>
          <w:bCs w:val="0"/>
        </w:rPr>
      </w:r>
    </w:p>
    <w:p>
      <w:pPr>
        <w:spacing w:line="240" w:lineRule="auto" w:before="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748" w:footer="974" w:top="1060" w:bottom="1160" w:left="980" w:right="0"/>
        </w:sectPr>
      </w:pPr>
    </w:p>
    <w:p>
      <w:pPr>
        <w:pStyle w:val="BodyText"/>
        <w:spacing w:line="240" w:lineRule="auto" w:before="44"/>
        <w:ind w:left="2333" w:right="-16"/>
        <w:jc w:val="left"/>
      </w:pPr>
      <w:r>
        <w:rPr/>
        <w:t>基于思特奇已有</w:t>
      </w:r>
      <w:r>
        <w:rPr>
          <w:rFonts w:ascii="Times New Roman" w:hAnsi="Times New Roman" w:cs="Times New Roman" w:eastAsia="Times New Roman" w:hint="default"/>
        </w:rPr>
        <w:t>PaaS</w:t>
      </w:r>
      <w:r>
        <w:rPr/>
        <w:t>技术平台和大数据平台搭建</w:t>
      </w:r>
      <w:r>
        <w:rPr>
          <w:rFonts w:ascii="Times New Roman" w:hAnsi="Times New Roman" w:cs="Times New Roman" w:eastAsia="Times New Roman" w:hint="default"/>
        </w:rPr>
        <w:t>AI</w:t>
      </w:r>
      <w:r>
        <w:rPr>
          <w:rFonts w:ascii="Times New Roman" w:hAnsi="Times New Roman" w:cs="Times New Roman" w:eastAsia="Times New Roman" w:hint="default"/>
          <w:spacing w:val="15"/>
        </w:rPr>
        <w:t> </w:t>
      </w:r>
      <w:r>
        <w:rPr>
          <w:rFonts w:ascii="Times New Roman" w:hAnsi="Times New Roman" w:cs="Times New Roman" w:eastAsia="Times New Roman" w:hint="default"/>
        </w:rPr>
        <w:t>PaaS</w:t>
      </w:r>
      <w:r>
        <w:rPr/>
        <w:t>技</w:t>
      </w:r>
    </w:p>
    <w:p>
      <w:pPr>
        <w:spacing w:line="240" w:lineRule="auto" w:before="5"/>
        <w:rPr>
          <w:rFonts w:ascii="宋体" w:hAnsi="宋体" w:cs="宋体" w:eastAsia="宋体" w:hint="default"/>
          <w:sz w:val="12"/>
          <w:szCs w:val="12"/>
        </w:rPr>
      </w:pPr>
      <w:r>
        <w:rPr/>
        <w:br w:type="column"/>
      </w:r>
      <w:r>
        <w:rPr>
          <w:rFonts w:ascii="宋体"/>
          <w:sz w:val="12"/>
        </w:rPr>
      </w:r>
    </w:p>
    <w:p>
      <w:pPr>
        <w:pStyle w:val="BodyText"/>
        <w:spacing w:line="240" w:lineRule="auto"/>
        <w:ind w:left="-21" w:right="0"/>
        <w:jc w:val="left"/>
      </w:pPr>
      <w:r>
        <w:rPr>
          <w:rFonts w:ascii="Times New Roman" w:hAnsi="Times New Roman" w:cs="Times New Roman" w:eastAsia="Times New Roman" w:hint="default"/>
          <w:spacing w:val="2"/>
        </w:rPr>
        <w:t>1</w:t>
      </w:r>
      <w:r>
        <w:rPr>
          <w:spacing w:val="2"/>
        </w:rPr>
        <w:t>、弥补</w:t>
      </w:r>
      <w:r>
        <w:rPr>
          <w:rFonts w:ascii="Times New Roman" w:hAnsi="Times New Roman" w:cs="Times New Roman" w:eastAsia="Times New Roman" w:hint="default"/>
          <w:spacing w:val="2"/>
        </w:rPr>
        <w:t>AI  </w:t>
      </w:r>
      <w:r>
        <w:rPr>
          <w:rFonts w:ascii="Times New Roman" w:hAnsi="Times New Roman" w:cs="Times New Roman" w:eastAsia="Times New Roman" w:hint="default"/>
        </w:rPr>
        <w:t>PaaS</w:t>
      </w:r>
      <w:r>
        <w:rPr>
          <w:rFonts w:ascii="Times New Roman" w:hAnsi="Times New Roman" w:cs="Times New Roman" w:eastAsia="Times New Roman" w:hint="default"/>
          <w:spacing w:val="20"/>
        </w:rPr>
        <w:t> </w:t>
      </w:r>
      <w:r>
        <w:rPr>
          <w:spacing w:val="2"/>
        </w:rPr>
        <w:t>技术平台的空白，</w:t>
      </w:r>
    </w:p>
    <w:p>
      <w:pPr>
        <w:spacing w:after="0" w:line="240" w:lineRule="auto"/>
        <w:jc w:val="left"/>
        <w:sectPr>
          <w:type w:val="continuous"/>
          <w:pgSz w:w="11910" w:h="16840"/>
          <w:pgMar w:top="1060" w:bottom="1160" w:left="980" w:right="0"/>
          <w:cols w:num="2" w:equalWidth="0">
            <w:col w:w="6908" w:space="40"/>
            <w:col w:w="3982"/>
          </w:cols>
        </w:sectPr>
      </w:pPr>
    </w:p>
    <w:p>
      <w:pPr>
        <w:pStyle w:val="BodyText"/>
        <w:spacing w:line="286" w:lineRule="exact"/>
        <w:ind w:left="2333" w:right="982"/>
        <w:jc w:val="left"/>
      </w:pPr>
      <w:r>
        <w:rPr/>
        <w:t>术中台，提供端到端</w:t>
      </w:r>
      <w:r>
        <w:rPr>
          <w:rFonts w:ascii="Times New Roman" w:hAnsi="Times New Roman" w:cs="Times New Roman" w:eastAsia="Times New Roman" w:hint="default"/>
        </w:rPr>
        <w:t>AI</w:t>
      </w:r>
      <w:r>
        <w:rPr/>
        <w:t>生态环境解决方案，提供丰富多样 </w:t>
      </w:r>
      <w:r>
        <w:rPr>
          <w:rFonts w:ascii="Times New Roman" w:hAnsi="Times New Roman" w:cs="Times New Roman" w:eastAsia="Times New Roman" w:hint="default"/>
          <w:position w:val="-11"/>
        </w:rPr>
        <w:t>AI</w:t>
      </w:r>
      <w:r>
        <w:rPr>
          <w:rFonts w:ascii="Times New Roman" w:hAnsi="Times New Roman" w:cs="Times New Roman" w:eastAsia="Times New Roman" w:hint="default"/>
          <w:spacing w:val="14"/>
          <w:position w:val="-11"/>
        </w:rPr>
        <w:t> </w:t>
      </w:r>
      <w:r>
        <w:rPr>
          <w:spacing w:val="-4"/>
          <w:position w:val="-11"/>
        </w:rPr>
        <w:t>组件标准化，提升组件复用能力。</w:t>
      </w:r>
      <w:r>
        <w:rPr>
          <w:spacing w:val="-4"/>
        </w:rPr>
      </w:r>
    </w:p>
    <w:p>
      <w:pPr>
        <w:pStyle w:val="BodyText"/>
        <w:spacing w:line="183" w:lineRule="exact"/>
        <w:ind w:left="2333" w:right="982"/>
        <w:jc w:val="left"/>
      </w:pPr>
      <w:r>
        <w:rPr/>
        <w:t>的开发工具和运行环境。基于主流</w:t>
      </w:r>
      <w:r>
        <w:rPr>
          <w:rFonts w:ascii="Times New Roman" w:hAnsi="Times New Roman" w:cs="Times New Roman" w:eastAsia="Times New Roman" w:hint="default"/>
        </w:rPr>
        <w:t>AI</w:t>
      </w:r>
      <w:r>
        <w:rPr/>
        <w:t>建模流程设计实现常</w:t>
      </w:r>
    </w:p>
    <w:p>
      <w:pPr>
        <w:spacing w:after="0" w:line="183" w:lineRule="exact"/>
        <w:jc w:val="left"/>
        <w:sectPr>
          <w:type w:val="continuous"/>
          <w:pgSz w:w="11910" w:h="16840"/>
          <w:pgMar w:top="1060" w:bottom="1160" w:left="980" w:right="0"/>
        </w:sectPr>
      </w:pPr>
    </w:p>
    <w:p>
      <w:pPr>
        <w:spacing w:line="240" w:lineRule="auto" w:before="8"/>
        <w:rPr>
          <w:rFonts w:ascii="宋体" w:hAnsi="宋体" w:cs="宋体" w:eastAsia="宋体" w:hint="default"/>
          <w:sz w:val="19"/>
          <w:szCs w:val="19"/>
        </w:rPr>
      </w:pPr>
    </w:p>
    <w:p>
      <w:pPr>
        <w:pStyle w:val="BodyText"/>
        <w:tabs>
          <w:tab w:pos="1338" w:val="left" w:leader="none"/>
        </w:tabs>
        <w:spacing w:line="240" w:lineRule="auto"/>
        <w:ind w:left="206" w:right="-20"/>
        <w:jc w:val="left"/>
      </w:pPr>
      <w:r>
        <w:rPr>
          <w:rFonts w:ascii="Times New Roman" w:hAnsi="Times New Roman" w:cs="Times New Roman" w:eastAsia="Times New Roman" w:hint="default"/>
          <w:spacing w:val="-1"/>
        </w:rPr>
        <w:t>AI-PaaS</w:t>
        <w:tab/>
      </w:r>
      <w:r>
        <w:rPr/>
        <w:t>执行中</w:t>
      </w:r>
    </w:p>
    <w:p>
      <w:pPr>
        <w:pStyle w:val="BodyText"/>
        <w:spacing w:line="310" w:lineRule="atLeast" w:before="26"/>
        <w:ind w:left="206" w:right="-3"/>
        <w:jc w:val="left"/>
      </w:pPr>
      <w:r>
        <w:rPr>
          <w:spacing w:val="2"/>
        </w:rPr>
        <w:br w:type="column"/>
      </w:r>
      <w:r>
        <w:rPr>
          <w:spacing w:val="2"/>
        </w:rPr>
        <w:t>用的数据标注、特征工程、数据预处理、模型设计、模型</w:t>
      </w:r>
      <w:r>
        <w:rPr>
          <w:spacing w:val="-81"/>
        </w:rPr>
        <w:t> </w:t>
      </w:r>
      <w:r>
        <w:rPr>
          <w:spacing w:val="-81"/>
        </w:rPr>
      </w:r>
      <w:r>
        <w:rPr>
          <w:spacing w:val="2"/>
        </w:rPr>
        <w:t>训练、模型验证、模型评估等建模工具，同时借鉴思特奇</w:t>
      </w:r>
    </w:p>
    <w:p>
      <w:pPr>
        <w:pStyle w:val="BodyText"/>
        <w:spacing w:line="194" w:lineRule="exact"/>
        <w:ind w:left="-13" w:right="0"/>
        <w:jc w:val="left"/>
      </w:pPr>
      <w:r>
        <w:rPr/>
        <w:br w:type="column"/>
      </w:r>
      <w:r>
        <w:rPr>
          <w:rFonts w:ascii="Times New Roman" w:hAnsi="Times New Roman" w:cs="Times New Roman" w:eastAsia="Times New Roman" w:hint="default"/>
        </w:rPr>
        <w:t>2</w:t>
      </w:r>
      <w:r>
        <w:rPr/>
        <w:t>、提供</w:t>
      </w:r>
      <w:r>
        <w:rPr>
          <w:rFonts w:ascii="Times New Roman" w:hAnsi="Times New Roman" w:cs="Times New Roman" w:eastAsia="Times New Roman" w:hint="default"/>
        </w:rPr>
        <w:t>AI</w:t>
      </w:r>
      <w:r>
        <w:rPr/>
        <w:t>模型设计开发环境、训练</w:t>
      </w:r>
    </w:p>
    <w:p>
      <w:pPr>
        <w:pStyle w:val="BodyText"/>
        <w:spacing w:line="240" w:lineRule="auto" w:before="63"/>
        <w:ind w:left="-13" w:right="0"/>
        <w:jc w:val="left"/>
      </w:pPr>
      <w:r>
        <w:rPr/>
        <w:t>环境和运行环境。</w:t>
      </w:r>
    </w:p>
    <w:p>
      <w:pPr>
        <w:spacing w:after="0" w:line="240" w:lineRule="auto"/>
        <w:jc w:val="left"/>
        <w:sectPr>
          <w:type w:val="continuous"/>
          <w:pgSz w:w="11910" w:h="16840"/>
          <w:pgMar w:top="1060" w:bottom="1160" w:left="980" w:right="0"/>
          <w:cols w:num="3" w:equalWidth="0">
            <w:col w:w="1879" w:space="248"/>
            <w:col w:w="4774" w:space="40"/>
            <w:col w:w="3989"/>
          </w:cols>
        </w:sectPr>
      </w:pPr>
    </w:p>
    <w:p>
      <w:pPr>
        <w:pStyle w:val="BodyText"/>
        <w:spacing w:line="312" w:lineRule="exact" w:before="37"/>
        <w:ind w:left="2333" w:right="1176"/>
        <w:jc w:val="left"/>
      </w:pPr>
      <w:r>
        <w:rPr/>
        <w:t>电信运营商全云化实践经验，实现运行时</w:t>
      </w:r>
      <w:r>
        <w:rPr>
          <w:rFonts w:ascii="Times New Roman" w:hAnsi="Times New Roman" w:cs="Times New Roman" w:eastAsia="Times New Roman" w:hint="default"/>
        </w:rPr>
        <w:t>AI</w:t>
      </w:r>
      <w:r>
        <w:rPr/>
        <w:t>服务全云化部</w:t>
      </w:r>
      <w:r>
        <w:rPr>
          <w:spacing w:val="-32"/>
        </w:rPr>
        <w:t> </w:t>
      </w:r>
      <w:r>
        <w:rPr>
          <w:rFonts w:ascii="Times New Roman" w:hAnsi="Times New Roman" w:cs="Times New Roman" w:eastAsia="Times New Roman" w:hint="default"/>
          <w:position w:val="12"/>
        </w:rPr>
        <w:t>3</w:t>
      </w:r>
      <w:r>
        <w:rPr>
          <w:position w:val="12"/>
        </w:rPr>
        <w:t>、打造标准化通用的</w:t>
      </w:r>
      <w:r>
        <w:rPr>
          <w:rFonts w:ascii="Times New Roman" w:hAnsi="Times New Roman" w:cs="Times New Roman" w:eastAsia="Times New Roman" w:hint="default"/>
          <w:position w:val="12"/>
        </w:rPr>
        <w:t>AI</w:t>
      </w:r>
      <w:r>
        <w:rPr>
          <w:position w:val="12"/>
        </w:rPr>
        <w:t>技术中台，</w:t>
      </w:r>
      <w:r>
        <w:rPr>
          <w:spacing w:val="-63"/>
          <w:position w:val="12"/>
        </w:rPr>
        <w:t> </w:t>
      </w:r>
      <w:r>
        <w:rPr>
          <w:spacing w:val="-63"/>
          <w:position w:val="12"/>
        </w:rPr>
      </w:r>
      <w:r>
        <w:rPr>
          <w:spacing w:val="2"/>
        </w:rPr>
        <w:t>署，实现交互层、业务逻辑层、数据层，分布式，达到动</w:t>
      </w:r>
      <w:r>
        <w:rPr>
          <w:spacing w:val="-49"/>
        </w:rPr>
        <w:t> </w:t>
      </w:r>
      <w:r>
        <w:rPr>
          <w:spacing w:val="6"/>
          <w:position w:val="12"/>
        </w:rPr>
        <w:t>打通</w:t>
      </w:r>
      <w:r>
        <w:rPr>
          <w:rFonts w:ascii="Times New Roman" w:hAnsi="Times New Roman" w:cs="Times New Roman" w:eastAsia="Times New Roman" w:hint="default"/>
          <w:spacing w:val="6"/>
          <w:position w:val="12"/>
        </w:rPr>
        <w:t>AI</w:t>
      </w:r>
      <w:r>
        <w:rPr>
          <w:spacing w:val="6"/>
          <w:position w:val="12"/>
        </w:rPr>
        <w:t>中台与技术中台和数据中台</w:t>
      </w:r>
      <w:r>
        <w:rPr>
          <w:spacing w:val="6"/>
        </w:rPr>
      </w:r>
    </w:p>
    <w:p>
      <w:pPr>
        <w:spacing w:after="0" w:line="312" w:lineRule="exact"/>
        <w:jc w:val="left"/>
        <w:sectPr>
          <w:type w:val="continuous"/>
          <w:pgSz w:w="11910" w:h="16840"/>
          <w:pgMar w:top="1060" w:bottom="1160" w:left="980" w:right="0"/>
        </w:sectPr>
      </w:pPr>
    </w:p>
    <w:p>
      <w:pPr>
        <w:pStyle w:val="BodyText"/>
        <w:spacing w:line="240" w:lineRule="auto" w:before="39"/>
        <w:ind w:left="2333" w:right="-20"/>
        <w:jc w:val="left"/>
      </w:pPr>
      <w:r>
        <w:rPr/>
        <w:t>态横向扩展等云化要求。</w:t>
      </w:r>
    </w:p>
    <w:p>
      <w:pPr>
        <w:pStyle w:val="BodyText"/>
        <w:spacing w:line="160" w:lineRule="exact"/>
        <w:ind w:left="2314" w:right="3257"/>
        <w:jc w:val="center"/>
      </w:pPr>
      <w:r>
        <w:rPr/>
        <w:br w:type="column"/>
      </w:r>
      <w:r>
        <w:rPr/>
        <w:t>的连接。</w:t>
      </w:r>
    </w:p>
    <w:p>
      <w:pPr>
        <w:spacing w:after="0" w:line="160" w:lineRule="exact"/>
        <w:jc w:val="center"/>
        <w:sectPr>
          <w:type w:val="continuous"/>
          <w:pgSz w:w="11910" w:h="16840"/>
          <w:pgMar w:top="1060" w:bottom="1160" w:left="980" w:right="0"/>
          <w:cols w:num="2" w:equalWidth="0">
            <w:col w:w="4314" w:space="281"/>
            <w:col w:w="6335"/>
          </w:cols>
        </w:sectPr>
      </w:pPr>
    </w:p>
    <w:p>
      <w:pPr>
        <w:spacing w:line="240" w:lineRule="auto" w:before="4"/>
        <w:rPr>
          <w:rFonts w:ascii="宋体" w:hAnsi="宋体" w:cs="宋体" w:eastAsia="宋体" w:hint="default"/>
          <w:sz w:val="11"/>
          <w:szCs w:val="11"/>
        </w:rPr>
      </w:pPr>
    </w:p>
    <w:p>
      <w:pPr>
        <w:pStyle w:val="BodyText"/>
        <w:spacing w:line="312" w:lineRule="exact" w:before="5"/>
        <w:ind w:left="2333" w:right="3919"/>
        <w:jc w:val="left"/>
      </w:pPr>
      <w:r>
        <w:rPr>
          <w:spacing w:val="2"/>
        </w:rPr>
        <w:t>通过构建可独立运营的、生态化的家客业务运营平台，使</w:t>
      </w:r>
      <w:r>
        <w:rPr>
          <w:spacing w:val="-81"/>
        </w:rPr>
        <w:t> </w:t>
      </w:r>
      <w:r>
        <w:rPr>
          <w:spacing w:val="-81"/>
        </w:rPr>
      </w:r>
      <w:r>
        <w:rPr>
          <w:spacing w:val="-1"/>
        </w:rPr>
        <w:t>其与传统的个人客户、政企客户在业务组成方面加以区分，</w:t>
      </w:r>
      <w:r>
        <w:rPr>
          <w:spacing w:val="-81"/>
        </w:rPr>
        <w:t> </w:t>
      </w:r>
      <w:r>
        <w:rPr>
          <w:spacing w:val="-81"/>
        </w:rPr>
      </w:r>
      <w:r>
        <w:rPr>
          <w:spacing w:val="2"/>
        </w:rPr>
        <w:t>有利于运营商推出自己的家庭业务品牌，从而在同行业竞</w:t>
      </w:r>
    </w:p>
    <w:p>
      <w:pPr>
        <w:spacing w:after="0" w:line="312" w:lineRule="exact"/>
        <w:jc w:val="left"/>
        <w:sectPr>
          <w:type w:val="continuous"/>
          <w:pgSz w:w="11910" w:h="16840"/>
          <w:pgMar w:top="1060" w:bottom="1160" w:left="980" w:right="0"/>
        </w:sectPr>
      </w:pPr>
    </w:p>
    <w:p>
      <w:pPr>
        <w:spacing w:line="240" w:lineRule="auto" w:before="12"/>
        <w:rPr>
          <w:rFonts w:ascii="宋体" w:hAnsi="宋体" w:cs="宋体" w:eastAsia="宋体" w:hint="default"/>
          <w:sz w:val="14"/>
          <w:szCs w:val="14"/>
        </w:rPr>
      </w:pPr>
    </w:p>
    <w:p>
      <w:pPr>
        <w:pStyle w:val="BodyText"/>
        <w:tabs>
          <w:tab w:pos="1338" w:val="left" w:leader="none"/>
        </w:tabs>
        <w:spacing w:line="240" w:lineRule="auto"/>
        <w:ind w:left="206" w:right="-20"/>
        <w:jc w:val="left"/>
      </w:pPr>
      <w:r>
        <w:rPr/>
        <w:t>家客</w:t>
        <w:tab/>
        <w:t>执行中</w:t>
      </w:r>
    </w:p>
    <w:p>
      <w:pPr>
        <w:pStyle w:val="BodyText"/>
        <w:spacing w:line="79" w:lineRule="exact"/>
        <w:ind w:left="4800" w:right="0"/>
        <w:jc w:val="left"/>
      </w:pPr>
      <w:r>
        <w:rPr>
          <w:spacing w:val="7"/>
        </w:rPr>
        <w:br w:type="column"/>
      </w:r>
      <w:r>
        <w:rPr>
          <w:spacing w:val="7"/>
        </w:rPr>
        <w:t>提升公司在运营商整个行业的竞争</w:t>
      </w:r>
    </w:p>
    <w:p>
      <w:pPr>
        <w:pStyle w:val="BodyText"/>
        <w:spacing w:line="156" w:lineRule="exact"/>
        <w:ind w:left="206" w:right="0"/>
        <w:jc w:val="left"/>
      </w:pPr>
      <w:r>
        <w:rPr/>
        <w:t>争中树立良好的品牌形象。从产商品的构成、组合、支撑、</w:t>
      </w:r>
    </w:p>
    <w:p>
      <w:pPr>
        <w:pStyle w:val="BodyText"/>
        <w:spacing w:line="156" w:lineRule="exact"/>
        <w:ind w:left="4800" w:right="0"/>
        <w:jc w:val="left"/>
      </w:pPr>
      <w:r>
        <w:rPr>
          <w:spacing w:val="-5"/>
        </w:rPr>
        <w:t>优势，独立支撑以家庭为服务对象的</w:t>
      </w:r>
    </w:p>
    <w:p>
      <w:pPr>
        <w:pStyle w:val="BodyText"/>
        <w:spacing w:line="172" w:lineRule="exact"/>
        <w:ind w:left="206" w:right="0"/>
        <w:jc w:val="left"/>
      </w:pPr>
      <w:r>
        <w:rPr>
          <w:spacing w:val="2"/>
        </w:rPr>
        <w:t>营销、维系等端到端的全生命周期进行相对独立的运营支</w:t>
      </w:r>
    </w:p>
    <w:p>
      <w:pPr>
        <w:spacing w:after="0" w:line="172" w:lineRule="exact"/>
        <w:jc w:val="left"/>
        <w:sectPr>
          <w:type w:val="continuous"/>
          <w:pgSz w:w="11910" w:h="16840"/>
          <w:pgMar w:top="1060" w:bottom="1160" w:left="980" w:right="0"/>
          <w:cols w:num="2" w:equalWidth="0">
            <w:col w:w="1879" w:space="248"/>
            <w:col w:w="8803"/>
          </w:cols>
        </w:sectPr>
      </w:pPr>
    </w:p>
    <w:p>
      <w:pPr>
        <w:pStyle w:val="BodyText"/>
        <w:spacing w:line="316" w:lineRule="auto" w:before="100"/>
        <w:ind w:left="2333" w:right="-1"/>
        <w:jc w:val="left"/>
      </w:pPr>
      <w:r>
        <w:rPr>
          <w:spacing w:val="2"/>
        </w:rPr>
        <w:t>撑，满足在家庭业务上运营商竞争蓝海的市场需求，同时</w:t>
      </w:r>
      <w:r>
        <w:rPr>
          <w:spacing w:val="-81"/>
        </w:rPr>
        <w:t> </w:t>
      </w:r>
      <w:r>
        <w:rPr>
          <w:spacing w:val="-81"/>
        </w:rPr>
      </w:r>
      <w:r>
        <w:rPr>
          <w:spacing w:val="2"/>
        </w:rPr>
        <w:t>为运营商提供闭环的</w:t>
      </w:r>
      <w:r>
        <w:rPr>
          <w:rFonts w:ascii="Times New Roman" w:hAnsi="Times New Roman" w:cs="Times New Roman" w:eastAsia="Times New Roman" w:hint="default"/>
          <w:spacing w:val="2"/>
        </w:rPr>
        <w:t>IT</w:t>
      </w:r>
      <w:r>
        <w:rPr>
          <w:spacing w:val="2"/>
        </w:rPr>
        <w:t>支撑视图。通过企业及行业影响力</w:t>
      </w:r>
    </w:p>
    <w:p>
      <w:pPr>
        <w:pStyle w:val="BodyText"/>
        <w:spacing w:line="180" w:lineRule="exact"/>
        <w:ind w:left="-15" w:right="0"/>
        <w:jc w:val="left"/>
      </w:pPr>
      <w:r>
        <w:rPr/>
        <w:br w:type="column"/>
      </w:r>
      <w:r>
        <w:rPr/>
        <w:t>各种解决方案</w:t>
      </w:r>
    </w:p>
    <w:p>
      <w:pPr>
        <w:spacing w:after="0" w:line="180" w:lineRule="exact"/>
        <w:jc w:val="left"/>
        <w:sectPr>
          <w:type w:val="continuous"/>
          <w:pgSz w:w="11910" w:h="16840"/>
          <w:pgMar w:top="1060" w:bottom="1160" w:left="980" w:right="0"/>
          <w:cols w:num="2" w:equalWidth="0">
            <w:col w:w="6903" w:space="40"/>
            <w:col w:w="3987"/>
          </w:cols>
        </w:sectPr>
      </w:pPr>
    </w:p>
    <w:p>
      <w:pPr>
        <w:pStyle w:val="BodyText"/>
        <w:spacing w:line="235" w:lineRule="exact"/>
        <w:ind w:left="2333" w:right="982"/>
        <w:jc w:val="left"/>
      </w:pPr>
      <w:r>
        <w:rPr/>
        <w:t>吸引合作伙伴，形成行业生态，构建多方共赢的产业格局。</w:t>
      </w: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spacing w:line="316" w:lineRule="auto"/>
        <w:ind w:left="206" w:right="-19"/>
        <w:jc w:val="left"/>
      </w:pPr>
      <w:r>
        <w:rPr>
          <w:spacing w:val="7"/>
        </w:rPr>
        <w:t>线上线下一体 </w:t>
      </w:r>
      <w:r>
        <w:rPr/>
        <w:t>化</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8"/>
        <w:ind w:left="-31" w:right="-20"/>
        <w:jc w:val="left"/>
      </w:pPr>
      <w:r>
        <w:rPr/>
        <w:t>执行中</w:t>
      </w:r>
    </w:p>
    <w:p>
      <w:pPr>
        <w:pStyle w:val="BodyText"/>
        <w:spacing w:line="312" w:lineRule="auto" w:before="44"/>
        <w:ind w:left="206" w:right="4014"/>
        <w:jc w:val="both"/>
      </w:pPr>
      <w:r>
        <w:rPr>
          <w:spacing w:val="-5"/>
        </w:rPr>
        <w:br w:type="column"/>
      </w:r>
      <w:r>
        <w:rPr>
          <w:spacing w:val="-5"/>
        </w:rPr>
        <w:t>为线上触点（手厅、网厅、京东、天猫等）、线下触点（行</w:t>
      </w:r>
      <w:r>
        <w:rPr>
          <w:spacing w:val="-68"/>
        </w:rPr>
        <w:t> </w:t>
      </w:r>
      <w:r>
        <w:rPr>
          <w:spacing w:val="-68"/>
        </w:rPr>
      </w:r>
      <w:r>
        <w:rPr>
          <w:spacing w:val="-3"/>
        </w:rPr>
        <w:t>销</w:t>
      </w:r>
      <w:r>
        <w:rPr>
          <w:rFonts w:ascii="Times New Roman" w:hAnsi="Times New Roman" w:cs="Times New Roman" w:eastAsia="Times New Roman" w:hint="default"/>
          <w:spacing w:val="-3"/>
        </w:rPr>
        <w:t>APP</w:t>
      </w:r>
      <w:r>
        <w:rPr>
          <w:spacing w:val="-3"/>
        </w:rPr>
        <w:t>等）提供一点订单归集能力，为中台人员提供订单审</w:t>
      </w:r>
      <w:r>
        <w:rPr>
          <w:spacing w:val="-87"/>
        </w:rPr>
        <w:t> </w:t>
      </w:r>
      <w:r>
        <w:rPr>
          <w:spacing w:val="-87"/>
        </w:rPr>
      </w:r>
      <w:r>
        <w:rPr>
          <w:spacing w:val="2"/>
        </w:rPr>
        <w:t>核、可配置化的订单智能调度、订单跟踪监控能力，并对</w:t>
      </w:r>
      <w:r>
        <w:rPr>
          <w:spacing w:val="-81"/>
        </w:rPr>
        <w:t> </w:t>
      </w:r>
      <w:r>
        <w:rPr>
          <w:spacing w:val="-81"/>
        </w:rPr>
      </w:r>
      <w:r>
        <w:rPr>
          <w:spacing w:val="-3"/>
        </w:rPr>
        <w:t>接线下交付网（行销</w:t>
      </w:r>
      <w:r>
        <w:rPr>
          <w:rFonts w:ascii="Times New Roman" w:hAnsi="Times New Roman" w:cs="Times New Roman" w:eastAsia="Times New Roman" w:hint="default"/>
          <w:spacing w:val="-3"/>
        </w:rPr>
        <w:t>APP</w:t>
      </w:r>
      <w:r>
        <w:rPr>
          <w:spacing w:val="-3"/>
        </w:rPr>
        <w:t>、物流、自提点）完成高效、高质</w:t>
      </w:r>
      <w:r>
        <w:rPr>
          <w:spacing w:val="-87"/>
        </w:rPr>
        <w:t> </w:t>
      </w:r>
      <w:r>
        <w:rPr>
          <w:spacing w:val="-87"/>
        </w:rPr>
      </w:r>
      <w:r>
        <w:rPr>
          <w:spacing w:val="2"/>
        </w:rPr>
        <w:t>量的交付，实现线上触点和线下触点的协同能力，提升客</w:t>
      </w:r>
      <w:r>
        <w:rPr>
          <w:spacing w:val="-81"/>
        </w:rPr>
        <w:t> </w:t>
      </w:r>
      <w:r>
        <w:rPr>
          <w:spacing w:val="-81"/>
        </w:rPr>
      </w:r>
      <w:r>
        <w:rPr/>
        <w:t>户感知和订单转换率。</w:t>
      </w:r>
    </w:p>
    <w:p>
      <w:pPr>
        <w:spacing w:after="0" w:line="312" w:lineRule="auto"/>
        <w:jc w:val="both"/>
        <w:sectPr>
          <w:type w:val="continuous"/>
          <w:pgSz w:w="11910" w:h="16840"/>
          <w:pgMar w:top="1060" w:bottom="1160" w:left="980" w:right="0"/>
          <w:cols w:num="3" w:equalWidth="0">
            <w:col w:w="1330" w:space="40"/>
            <w:col w:w="510" w:space="248"/>
            <w:col w:w="8802"/>
          </w:cols>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pStyle w:val="BodyText"/>
        <w:tabs>
          <w:tab w:pos="1338" w:val="left" w:leader="none"/>
        </w:tabs>
        <w:spacing w:line="240" w:lineRule="auto"/>
        <w:ind w:left="206" w:right="-20"/>
        <w:jc w:val="left"/>
      </w:pPr>
      <w:r>
        <w:rPr>
          <w:rFonts w:ascii="Times New Roman" w:hAnsi="Times New Roman" w:cs="Times New Roman" w:eastAsia="Times New Roman" w:hint="default"/>
          <w:spacing w:val="-1"/>
        </w:rPr>
        <w:t>5G</w:t>
      </w:r>
      <w:r>
        <w:rPr>
          <w:spacing w:val="-1"/>
        </w:rPr>
        <w:t>切片</w:t>
        <w:tab/>
      </w:r>
      <w:r>
        <w:rPr/>
        <w:t>执行中</w:t>
      </w:r>
    </w:p>
    <w:p>
      <w:pPr>
        <w:pStyle w:val="BodyText"/>
        <w:spacing w:line="300" w:lineRule="auto" w:before="137"/>
        <w:ind w:left="206" w:right="1171"/>
        <w:jc w:val="left"/>
      </w:pPr>
      <w:r>
        <w:rPr>
          <w:spacing w:val="2"/>
        </w:rPr>
        <w:br w:type="column"/>
      </w:r>
      <w:r>
        <w:rPr>
          <w:spacing w:val="2"/>
        </w:rPr>
        <w:t>为行业客户、客户经理、运营经理等提供统一的切片运营</w:t>
      </w:r>
      <w:r>
        <w:rPr>
          <w:spacing w:val="-56"/>
        </w:rPr>
        <w:t> </w:t>
      </w:r>
      <w:r>
        <w:rPr/>
        <w:t>借</w:t>
      </w:r>
      <w:r>
        <w:rPr>
          <w:rFonts w:ascii="Times New Roman" w:hAnsi="Times New Roman" w:cs="Times New Roman" w:eastAsia="Times New Roman" w:hint="default"/>
        </w:rPr>
        <w:t>5G</w:t>
      </w:r>
      <w:r>
        <w:rPr/>
        <w:t>东风为公司巩固</w:t>
      </w:r>
      <w:r>
        <w:rPr>
          <w:rFonts w:ascii="Times New Roman" w:hAnsi="Times New Roman" w:cs="Times New Roman" w:eastAsia="Times New Roman" w:hint="default"/>
        </w:rPr>
        <w:t>B</w:t>
      </w:r>
      <w:r>
        <w:rPr/>
        <w:t>域市场拓展</w:t>
      </w:r>
      <w:r>
        <w:rPr>
          <w:rFonts w:ascii="Times New Roman" w:hAnsi="Times New Roman" w:cs="Times New Roman" w:eastAsia="Times New Roman" w:hint="default"/>
        </w:rPr>
        <w:t>O</w:t>
      </w:r>
      <w:r>
        <w:rPr>
          <w:rFonts w:ascii="Times New Roman" w:hAnsi="Times New Roman" w:cs="Times New Roman" w:eastAsia="Times New Roman" w:hint="default"/>
          <w:spacing w:val="-41"/>
        </w:rPr>
        <w:t> </w:t>
      </w:r>
      <w:r>
        <w:rPr>
          <w:spacing w:val="2"/>
        </w:rPr>
        <w:t>服务支撑平台，通过网络切片技术为垂直行业客户快速交</w:t>
      </w:r>
      <w:r>
        <w:rPr>
          <w:spacing w:val="-38"/>
        </w:rPr>
        <w:t> </w:t>
      </w:r>
      <w:r>
        <w:rPr>
          <w:spacing w:val="-5"/>
        </w:rPr>
        <w:t>域市场，进一步加强了公司在运营商</w:t>
      </w:r>
    </w:p>
    <w:p>
      <w:pPr>
        <w:spacing w:after="0" w:line="300" w:lineRule="auto"/>
        <w:jc w:val="left"/>
        <w:sectPr>
          <w:type w:val="continuous"/>
          <w:pgSz w:w="11910" w:h="16840"/>
          <w:pgMar w:top="1060" w:bottom="1160" w:left="980" w:right="0"/>
          <w:cols w:num="2" w:equalWidth="0">
            <w:col w:w="1879" w:space="248"/>
            <w:col w:w="8803"/>
          </w:cols>
        </w:sectPr>
      </w:pPr>
    </w:p>
    <w:p>
      <w:pPr>
        <w:pStyle w:val="BodyText"/>
        <w:tabs>
          <w:tab w:pos="6927" w:val="left" w:leader="none"/>
        </w:tabs>
        <w:spacing w:line="240" w:lineRule="auto" w:before="31"/>
        <w:ind w:left="2333" w:right="982"/>
        <w:jc w:val="left"/>
      </w:pPr>
      <w:r>
        <w:rPr/>
        <w:t>付按需定制、相互隔离的网络环境</w:t>
        <w:tab/>
        <w:t>的核心厂商地位。</w:t>
      </w: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060" w:bottom="1160" w:left="980" w:right="0"/>
        </w:sectPr>
      </w:pPr>
    </w:p>
    <w:p>
      <w:pPr>
        <w:pStyle w:val="BodyText"/>
        <w:spacing w:line="316" w:lineRule="auto" w:before="44"/>
        <w:ind w:left="206" w:right="-19"/>
        <w:jc w:val="left"/>
      </w:pPr>
      <w:r>
        <w:rPr>
          <w:spacing w:val="7"/>
        </w:rPr>
        <w:t>区块链服务平 </w:t>
      </w:r>
      <w:r>
        <w:rPr/>
        <w:t>台</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31" w:right="-20"/>
        <w:jc w:val="left"/>
      </w:pPr>
      <w:r>
        <w:rPr/>
        <w:t>执行中</w:t>
      </w:r>
    </w:p>
    <w:p>
      <w:pPr>
        <w:pStyle w:val="BodyText"/>
        <w:spacing w:line="300" w:lineRule="auto" w:before="63"/>
        <w:ind w:left="206" w:right="1177"/>
        <w:jc w:val="left"/>
      </w:pPr>
      <w:r>
        <w:rPr>
          <w:spacing w:val="-2"/>
        </w:rPr>
        <w:br w:type="column"/>
      </w:r>
      <w:r>
        <w:rPr>
          <w:spacing w:val="-2"/>
        </w:rPr>
        <w:t>建设区块链服务平台</w:t>
      </w:r>
      <w:r>
        <w:rPr>
          <w:rFonts w:ascii="Times New Roman" w:hAnsi="Times New Roman" w:cs="Times New Roman" w:eastAsia="Times New Roman" w:hint="default"/>
          <w:spacing w:val="-2"/>
        </w:rPr>
        <w:t>+</w:t>
      </w:r>
      <w:r>
        <w:rPr>
          <w:spacing w:val="-2"/>
        </w:rPr>
        <w:t>应用的生态体系，提供创建、管理和</w:t>
      </w:r>
      <w:r>
        <w:rPr>
          <w:spacing w:val="-50"/>
        </w:rPr>
        <w:t> </w:t>
      </w:r>
      <w:r>
        <w:rPr>
          <w:spacing w:val="7"/>
        </w:rPr>
        <w:t>提升了公司在区块链技术领域的市</w:t>
      </w:r>
      <w:r>
        <w:rPr>
          <w:spacing w:val="-83"/>
        </w:rPr>
        <w:t> </w:t>
      </w:r>
      <w:r>
        <w:rPr>
          <w:spacing w:val="-83"/>
        </w:rPr>
      </w:r>
      <w:r>
        <w:rPr>
          <w:spacing w:val="2"/>
        </w:rPr>
        <w:t>维护企业级区块链网络及应用的服务，帮助企业用户降低</w:t>
      </w:r>
      <w:r>
        <w:rPr>
          <w:spacing w:val="-49"/>
        </w:rPr>
        <w:t> </w:t>
      </w:r>
      <w:r>
        <w:rPr>
          <w:spacing w:val="7"/>
        </w:rPr>
        <w:t>场占有率，进一步加强核心厂商地</w:t>
      </w:r>
    </w:p>
    <w:p>
      <w:pPr>
        <w:spacing w:after="0" w:line="300" w:lineRule="auto"/>
        <w:jc w:val="left"/>
        <w:sectPr>
          <w:type w:val="continuous"/>
          <w:pgSz w:w="11910" w:h="16840"/>
          <w:pgMar w:top="1060" w:bottom="1160" w:left="980" w:right="0"/>
          <w:cols w:num="3" w:equalWidth="0">
            <w:col w:w="1330" w:space="40"/>
            <w:col w:w="510" w:space="248"/>
            <w:col w:w="880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44"/>
        <w:ind w:left="0" w:right="1092"/>
        <w:jc w:val="right"/>
      </w:pPr>
      <w:r>
        <w:rPr/>
        <w:pict>
          <v:shape style="position:absolute;margin-left:58.344002pt;margin-top:-297.658295pt;width:478.9pt;height:628.3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5"/>
                    <w:gridCol w:w="991"/>
                    <w:gridCol w:w="4595"/>
                    <w:gridCol w:w="2835"/>
                  </w:tblGrid>
                  <w:tr>
                    <w:trPr>
                      <w:trHeight w:val="329" w:hRule="exact"/>
                    </w:trPr>
                    <w:tc>
                      <w:tcPr>
                        <w:tcW w:w="1135" w:type="dxa"/>
                        <w:vMerge w:val="restart"/>
                        <w:tcBorders>
                          <w:top w:val="single" w:sz="6" w:space="0" w:color="000000"/>
                          <w:left w:val="single" w:sz="6" w:space="0" w:color="000000"/>
                          <w:right w:val="single" w:sz="6" w:space="0" w:color="000000"/>
                        </w:tcBorders>
                      </w:tcPr>
                      <w:p>
                        <w:pPr/>
                      </w:p>
                    </w:tc>
                    <w:tc>
                      <w:tcPr>
                        <w:tcW w:w="991" w:type="dxa"/>
                        <w:vMerge w:val="restart"/>
                        <w:tcBorders>
                          <w:top w:val="single" w:sz="6" w:space="0" w:color="000000"/>
                          <w:left w:val="single" w:sz="6" w:space="0" w:color="000000"/>
                          <w:right w:val="single" w:sz="6" w:space="0" w:color="000000"/>
                        </w:tcBorders>
                      </w:tcPr>
                      <w:p>
                        <w:pPr/>
                      </w:p>
                    </w:tc>
                    <w:tc>
                      <w:tcPr>
                        <w:tcW w:w="459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pacing w:val="2"/>
                            <w:sz w:val="18"/>
                            <w:szCs w:val="18"/>
                          </w:rPr>
                          <w:t>开发成本和使用成本；通过区块链服务平台提供的简单易</w:t>
                        </w:r>
                      </w:p>
                    </w:tc>
                    <w:tc>
                      <w:tcPr>
                        <w:tcW w:w="2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位。</w:t>
                        </w:r>
                      </w:p>
                    </w:tc>
                  </w:tr>
                  <w:tr>
                    <w:trPr>
                      <w:trHeight w:val="312" w:hRule="exact"/>
                    </w:trPr>
                    <w:tc>
                      <w:tcPr>
                        <w:tcW w:w="1135"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45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pacing w:val="2"/>
                            <w:sz w:val="18"/>
                            <w:szCs w:val="18"/>
                          </w:rPr>
                          <w:t>用、成熟可扩展、安全可靠、可视化运维等设计，实现快</w:t>
                        </w:r>
                      </w:p>
                    </w:tc>
                    <w:tc>
                      <w:tcPr>
                        <w:tcW w:w="2835"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135"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45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pacing w:val="2"/>
                            <w:sz w:val="18"/>
                            <w:szCs w:val="18"/>
                          </w:rPr>
                          <w:t>速部署、提供高可用高安全的区块链应用，为传统系统赋</w:t>
                        </w:r>
                      </w:p>
                    </w:tc>
                    <w:tc>
                      <w:tcPr>
                        <w:tcW w:w="2835" w:type="dxa"/>
                        <w:tcBorders>
                          <w:top w:val="nil" w:sz="6" w:space="0" w:color="auto"/>
                          <w:left w:val="single" w:sz="6" w:space="0" w:color="000000"/>
                          <w:bottom w:val="nil" w:sz="6" w:space="0" w:color="auto"/>
                          <w:right w:val="single" w:sz="6" w:space="0" w:color="000000"/>
                        </w:tcBorders>
                      </w:tcPr>
                      <w:p>
                        <w:pPr/>
                      </w:p>
                    </w:tc>
                  </w:tr>
                  <w:tr>
                    <w:trPr>
                      <w:trHeight w:val="369" w:hRule="exact"/>
                    </w:trPr>
                    <w:tc>
                      <w:tcPr>
                        <w:tcW w:w="1135"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459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能、降本增效，提升业务价值。</w:t>
                        </w:r>
                      </w:p>
                    </w:tc>
                    <w:tc>
                      <w:tcPr>
                        <w:tcW w:w="2835" w:type="dxa"/>
                        <w:tcBorders>
                          <w:top w:val="nil" w:sz="6" w:space="0" w:color="auto"/>
                          <w:left w:val="single" w:sz="6" w:space="0" w:color="000000"/>
                          <w:bottom w:val="single" w:sz="6" w:space="0" w:color="000000"/>
                          <w:right w:val="single" w:sz="6" w:space="0" w:color="000000"/>
                        </w:tcBorders>
                      </w:tcPr>
                      <w:p>
                        <w:pPr/>
                      </w:p>
                    </w:tc>
                  </w:tr>
                  <w:tr>
                    <w:trPr>
                      <w:trHeight w:val="1363"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40"/>
                          <w:ind w:left="4"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5"/>
                            <w:sz w:val="18"/>
                            <w:szCs w:val="18"/>
                          </w:rPr>
                          <w:t> </w:t>
                        </w:r>
                        <w:r>
                          <w:rPr>
                            <w:rFonts w:ascii="宋体" w:hAnsi="宋体" w:cs="宋体" w:eastAsia="宋体" w:hint="default"/>
                            <w:spacing w:val="32"/>
                            <w:sz w:val="18"/>
                            <w:szCs w:val="18"/>
                          </w:rPr>
                          <w:t>计费账务</w:t>
                        </w:r>
                        <w:r>
                          <w:rPr>
                            <w:rFonts w:ascii="宋体" w:hAnsi="宋体" w:cs="宋体" w:eastAsia="宋体" w:hint="default"/>
                            <w:spacing w:val="-47"/>
                            <w:sz w:val="18"/>
                            <w:szCs w:val="18"/>
                          </w:rPr>
                          <w:t> </w:t>
                        </w:r>
                        <w:r>
                          <w:rPr>
                            <w:rFonts w:ascii="宋体" w:hAnsi="宋体" w:cs="宋体" w:eastAsia="宋体" w:hint="default"/>
                            <w:sz w:val="18"/>
                            <w:szCs w:val="18"/>
                          </w:rPr>
                          <w:t>综合平台</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459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3"/>
                          <w:ind w:left="5" w:right="-4"/>
                          <w:jc w:val="both"/>
                          <w:rPr>
                            <w:rFonts w:ascii="宋体" w:hAnsi="宋体" w:cs="宋体" w:eastAsia="宋体" w:hint="default"/>
                            <w:sz w:val="18"/>
                            <w:szCs w:val="18"/>
                          </w:rPr>
                        </w:pPr>
                        <w:r>
                          <w:rPr>
                            <w:rFonts w:ascii="Times New Roman" w:hAnsi="Times New Roman" w:cs="Times New Roman" w:eastAsia="Times New Roman" w:hint="default"/>
                            <w:sz w:val="18"/>
                            <w:szCs w:val="18"/>
                          </w:rPr>
                          <w:t>5G</w:t>
                        </w:r>
                        <w:r>
                          <w:rPr>
                            <w:rFonts w:ascii="宋体" w:hAnsi="宋体" w:cs="宋体" w:eastAsia="宋体" w:hint="default"/>
                            <w:sz w:val="18"/>
                            <w:szCs w:val="18"/>
                          </w:rPr>
                          <w:t>计费接入实现服务化架构、</w:t>
                        </w:r>
                        <w:r>
                          <w:rPr>
                            <w:rFonts w:ascii="Times New Roman" w:hAnsi="Times New Roman" w:cs="Times New Roman" w:eastAsia="Times New Roman" w:hint="default"/>
                            <w:sz w:val="18"/>
                            <w:szCs w:val="18"/>
                          </w:rPr>
                          <w:t>HTTP2+JSON</w:t>
                        </w:r>
                        <w:r>
                          <w:rPr>
                            <w:rFonts w:ascii="宋体" w:hAnsi="宋体" w:cs="宋体" w:eastAsia="宋体" w:hint="default"/>
                            <w:sz w:val="18"/>
                            <w:szCs w:val="18"/>
                          </w:rPr>
                          <w:t>的</w:t>
                        </w:r>
                        <w:r>
                          <w:rPr>
                            <w:rFonts w:ascii="Times New Roman" w:hAnsi="Times New Roman" w:cs="Times New Roman" w:eastAsia="Times New Roman" w:hint="default"/>
                            <w:sz w:val="18"/>
                            <w:szCs w:val="18"/>
                          </w:rPr>
                          <w:t>Nxxx</w:t>
                        </w:r>
                        <w:r>
                          <w:rPr>
                            <w:rFonts w:ascii="宋体" w:hAnsi="宋体" w:cs="宋体" w:eastAsia="宋体" w:hint="default"/>
                            <w:sz w:val="18"/>
                            <w:szCs w:val="18"/>
                          </w:rPr>
                          <w:t>接口， 对接计费采集点网元、网络存储功能、短消息等网元；</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计费账务实现服务化架构升级，智能计费、多量纲计费、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场景计费、</w:t>
                        </w:r>
                        <w:r>
                          <w:rPr>
                            <w:rFonts w:ascii="Times New Roman" w:hAnsi="Times New Roman" w:cs="Times New Roman" w:eastAsia="Times New Roman" w:hint="default"/>
                            <w:sz w:val="18"/>
                            <w:szCs w:val="18"/>
                          </w:rPr>
                          <w:t>5G</w:t>
                        </w:r>
                        <w:r>
                          <w:rPr>
                            <w:rFonts w:ascii="宋体" w:hAnsi="宋体" w:cs="宋体" w:eastAsia="宋体" w:hint="default"/>
                            <w:sz w:val="18"/>
                            <w:szCs w:val="18"/>
                          </w:rPr>
                          <w:t>累帐、展示等</w:t>
                        </w:r>
                        <w:r>
                          <w:rPr>
                            <w:rFonts w:ascii="Times New Roman" w:hAnsi="Times New Roman" w:cs="Times New Roman" w:eastAsia="Times New Roman" w:hint="default"/>
                            <w:sz w:val="18"/>
                            <w:szCs w:val="18"/>
                          </w:rPr>
                          <w:t>5GSA</w:t>
                        </w:r>
                        <w:r>
                          <w:rPr>
                            <w:rFonts w:ascii="宋体" w:hAnsi="宋体" w:cs="宋体" w:eastAsia="宋体" w:hint="default"/>
                            <w:sz w:val="18"/>
                            <w:szCs w:val="18"/>
                          </w:rPr>
                          <w:t>计费账务能力。</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07" w:lineRule="auto"/>
                          <w:ind w:left="4" w:right="0"/>
                          <w:jc w:val="both"/>
                          <w:rPr>
                            <w:rFonts w:ascii="宋体" w:hAnsi="宋体" w:cs="宋体" w:eastAsia="宋体" w:hint="default"/>
                            <w:sz w:val="18"/>
                            <w:szCs w:val="18"/>
                          </w:rPr>
                        </w:pPr>
                        <w:r>
                          <w:rPr>
                            <w:rFonts w:ascii="宋体" w:hAnsi="宋体" w:cs="宋体" w:eastAsia="宋体" w:hint="default"/>
                            <w:sz w:val="18"/>
                            <w:szCs w:val="18"/>
                          </w:rPr>
                          <w:t>提升了公司在</w:t>
                        </w:r>
                        <w:r>
                          <w:rPr>
                            <w:rFonts w:ascii="Times New Roman" w:hAnsi="Times New Roman" w:cs="Times New Roman" w:eastAsia="Times New Roman" w:hint="default"/>
                            <w:sz w:val="18"/>
                            <w:szCs w:val="18"/>
                          </w:rPr>
                          <w:t>5GSA</w:t>
                        </w:r>
                        <w:r>
                          <w:rPr>
                            <w:rFonts w:ascii="宋体" w:hAnsi="宋体" w:cs="宋体" w:eastAsia="宋体" w:hint="default"/>
                            <w:sz w:val="18"/>
                            <w:szCs w:val="18"/>
                          </w:rPr>
                          <w:t>计费账务系统领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域的市场占有率，进一步加强核心厂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商地位。</w:t>
                        </w:r>
                      </w:p>
                    </w:tc>
                  </w:tr>
                  <w:tr>
                    <w:trPr>
                      <w:trHeight w:val="739"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8"/>
                          <w:jc w:val="left"/>
                          <w:rPr>
                            <w:rFonts w:ascii="宋体" w:hAnsi="宋体" w:cs="宋体" w:eastAsia="宋体" w:hint="default"/>
                            <w:sz w:val="18"/>
                            <w:szCs w:val="18"/>
                          </w:rPr>
                        </w:pPr>
                        <w:r>
                          <w:rPr>
                            <w:rFonts w:ascii="宋体" w:hAnsi="宋体" w:cs="宋体" w:eastAsia="宋体" w:hint="default"/>
                            <w:spacing w:val="7"/>
                            <w:sz w:val="18"/>
                            <w:szCs w:val="18"/>
                          </w:rPr>
                          <w:t>智能运维分析 </w:t>
                        </w:r>
                        <w:r>
                          <w:rPr>
                            <w:rFonts w:ascii="宋体" w:hAnsi="宋体" w:cs="宋体" w:eastAsia="宋体" w:hint="default"/>
                            <w:sz w:val="18"/>
                            <w:szCs w:val="18"/>
                          </w:rPr>
                          <w:t>平台</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459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3"/>
                          <w:ind w:left="5" w:right="1"/>
                          <w:jc w:val="left"/>
                          <w:rPr>
                            <w:rFonts w:ascii="宋体" w:hAnsi="宋体" w:cs="宋体" w:eastAsia="宋体" w:hint="default"/>
                            <w:sz w:val="18"/>
                            <w:szCs w:val="18"/>
                          </w:rPr>
                        </w:pPr>
                        <w:r>
                          <w:rPr>
                            <w:rFonts w:ascii="宋体" w:hAnsi="宋体" w:cs="宋体" w:eastAsia="宋体" w:hint="default"/>
                            <w:spacing w:val="2"/>
                            <w:sz w:val="18"/>
                            <w:szCs w:val="18"/>
                          </w:rPr>
                          <w:t>研发</w:t>
                        </w:r>
                        <w:r>
                          <w:rPr>
                            <w:rFonts w:ascii="Times New Roman" w:hAnsi="Times New Roman" w:cs="Times New Roman" w:eastAsia="Times New Roman" w:hint="default"/>
                            <w:spacing w:val="2"/>
                            <w:sz w:val="18"/>
                            <w:szCs w:val="18"/>
                          </w:rPr>
                          <w:t>AIOPS</w:t>
                        </w:r>
                        <w:r>
                          <w:rPr>
                            <w:rFonts w:ascii="宋体" w:hAnsi="宋体" w:cs="宋体" w:eastAsia="宋体" w:hint="default"/>
                            <w:spacing w:val="2"/>
                            <w:sz w:val="18"/>
                            <w:szCs w:val="18"/>
                          </w:rPr>
                          <w:t>中</w:t>
                        </w:r>
                        <w:r>
                          <w:rPr>
                            <w:rFonts w:ascii="Times New Roman" w:hAnsi="Times New Roman" w:cs="Times New Roman" w:eastAsia="Times New Roman" w:hint="default"/>
                            <w:spacing w:val="2"/>
                            <w:sz w:val="18"/>
                            <w:szCs w:val="18"/>
                          </w:rPr>
                          <w:t>32</w:t>
                        </w:r>
                        <w:r>
                          <w:rPr>
                            <w:rFonts w:ascii="宋体" w:hAnsi="宋体" w:cs="宋体" w:eastAsia="宋体" w:hint="default"/>
                            <w:spacing w:val="2"/>
                            <w:sz w:val="18"/>
                            <w:szCs w:val="18"/>
                          </w:rPr>
                          <w:t>个能力场景，使用</w:t>
                        </w:r>
                        <w:r>
                          <w:rPr>
                            <w:rFonts w:ascii="Times New Roman" w:hAnsi="Times New Roman" w:cs="Times New Roman" w:eastAsia="Times New Roman" w:hint="default"/>
                            <w:spacing w:val="2"/>
                            <w:sz w:val="18"/>
                            <w:szCs w:val="18"/>
                          </w:rPr>
                          <w:t>AI</w:t>
                        </w:r>
                        <w:r>
                          <w:rPr>
                            <w:rFonts w:ascii="宋体" w:hAnsi="宋体" w:cs="宋体" w:eastAsia="宋体" w:hint="default"/>
                            <w:spacing w:val="2"/>
                            <w:sz w:val="18"/>
                            <w:szCs w:val="18"/>
                          </w:rPr>
                          <w:t>能力解决运维中的痛</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点。</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3"/>
                          <w:ind w:left="4" w:right="1"/>
                          <w:jc w:val="left"/>
                          <w:rPr>
                            <w:rFonts w:ascii="宋体" w:hAnsi="宋体" w:cs="宋体" w:eastAsia="宋体" w:hint="default"/>
                            <w:sz w:val="18"/>
                            <w:szCs w:val="18"/>
                          </w:rPr>
                        </w:pPr>
                        <w:r>
                          <w:rPr>
                            <w:rFonts w:ascii="宋体" w:hAnsi="宋体" w:cs="宋体" w:eastAsia="宋体" w:hint="default"/>
                            <w:spacing w:val="7"/>
                            <w:sz w:val="18"/>
                            <w:szCs w:val="18"/>
                          </w:rPr>
                          <w:t>提升公司在</w:t>
                        </w:r>
                        <w:r>
                          <w:rPr>
                            <w:rFonts w:ascii="Times New Roman" w:hAnsi="Times New Roman" w:cs="Times New Roman" w:eastAsia="Times New Roman" w:hint="default"/>
                            <w:spacing w:val="7"/>
                            <w:sz w:val="18"/>
                            <w:szCs w:val="18"/>
                          </w:rPr>
                          <w:t>AIOPS</w:t>
                        </w:r>
                        <w:r>
                          <w:rPr>
                            <w:rFonts w:ascii="宋体" w:hAnsi="宋体" w:cs="宋体" w:eastAsia="宋体" w:hint="default"/>
                            <w:spacing w:val="7"/>
                            <w:sz w:val="18"/>
                            <w:szCs w:val="18"/>
                          </w:rPr>
                          <w:t>平台的核心竞争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力</w:t>
                        </w:r>
                      </w:p>
                    </w:tc>
                  </w:tr>
                  <w:tr>
                    <w:trPr>
                      <w:trHeight w:val="381" w:hRule="exact"/>
                    </w:trPr>
                    <w:tc>
                      <w:tcPr>
                        <w:tcW w:w="1135" w:type="dxa"/>
                        <w:tcBorders>
                          <w:top w:val="single" w:sz="6" w:space="0" w:color="000000"/>
                          <w:left w:val="single" w:sz="6" w:space="0" w:color="000000"/>
                          <w:bottom w:val="nil" w:sz="6" w:space="0" w:color="auto"/>
                          <w:right w:val="single" w:sz="6" w:space="0" w:color="000000"/>
                        </w:tcBorders>
                      </w:tcPr>
                      <w:p>
                        <w:pPr/>
                      </w:p>
                    </w:tc>
                    <w:tc>
                      <w:tcPr>
                        <w:tcW w:w="991" w:type="dxa"/>
                        <w:tcBorders>
                          <w:top w:val="single" w:sz="6" w:space="0" w:color="000000"/>
                          <w:left w:val="single" w:sz="6" w:space="0" w:color="000000"/>
                          <w:bottom w:val="nil" w:sz="6" w:space="0" w:color="auto"/>
                          <w:right w:val="single" w:sz="6" w:space="0" w:color="000000"/>
                        </w:tcBorders>
                      </w:tcPr>
                      <w:p>
                        <w:pPr/>
                      </w:p>
                    </w:tc>
                    <w:tc>
                      <w:tcPr>
                        <w:tcW w:w="459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、实现服务双活能力，针对弱一致性要求的应用，达到双</w:t>
                        </w:r>
                      </w:p>
                    </w:tc>
                    <w:tc>
                      <w:tcPr>
                        <w:tcW w:w="2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2"/>
                          <w:ind w:right="0"/>
                          <w:jc w:val="right"/>
                          <w:rPr>
                            <w:rFonts w:ascii="宋体" w:hAnsi="宋体" w:cs="宋体" w:eastAsia="宋体" w:hint="default"/>
                            <w:sz w:val="18"/>
                            <w:szCs w:val="18"/>
                          </w:rPr>
                        </w:pPr>
                        <w:r>
                          <w:rPr>
                            <w:rFonts w:ascii="宋体" w:hAnsi="宋体" w:cs="宋体" w:eastAsia="宋体" w:hint="default"/>
                            <w:spacing w:val="-5"/>
                            <w:sz w:val="18"/>
                            <w:szCs w:val="18"/>
                          </w:rPr>
                          <w:t>对公司内部运营、资源的整合、服务</w:t>
                        </w:r>
                      </w:p>
                    </w:tc>
                  </w:tr>
                  <w:tr>
                    <w:trPr>
                      <w:trHeight w:val="311" w:hRule="exact"/>
                    </w:trPr>
                    <w:tc>
                      <w:tcPr>
                        <w:tcW w:w="1135"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4595" w:type="dxa"/>
                        <w:tcBorders>
                          <w:top w:val="nil" w:sz="6" w:space="0" w:color="auto"/>
                          <w:left w:val="single" w:sz="6" w:space="0" w:color="000000"/>
                          <w:bottom w:val="nil" w:sz="6" w:space="0" w:color="auto"/>
                          <w:right w:val="single" w:sz="6" w:space="0" w:color="000000"/>
                        </w:tcBorders>
                      </w:tcPr>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pacing w:val="2"/>
                            <w:sz w:val="18"/>
                            <w:szCs w:val="18"/>
                          </w:rPr>
                          <w:t>活，提高应用的健壮性，抵挡灾难发生，降低故障造成的</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hAnsi="宋体" w:cs="宋体" w:eastAsia="宋体" w:hint="default"/>
                            <w:spacing w:val="-5"/>
                            <w:sz w:val="18"/>
                            <w:szCs w:val="18"/>
                          </w:rPr>
                          <w:t>的优化提高可靠性、可用性，为外部</w:t>
                        </w:r>
                      </w:p>
                    </w:tc>
                  </w:tr>
                  <w:tr>
                    <w:trPr>
                      <w:trHeight w:val="649" w:hRule="exact"/>
                    </w:trPr>
                    <w:tc>
                      <w:tcPr>
                        <w:tcW w:w="113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分布式</w:t>
                        </w:r>
                        <w:r>
                          <w:rPr>
                            <w:rFonts w:ascii="Times New Roman" w:hAnsi="Times New Roman" w:cs="Times New Roman" w:eastAsia="Times New Roman" w:hint="default"/>
                            <w:sz w:val="18"/>
                            <w:szCs w:val="18"/>
                          </w:rPr>
                          <w:t>IDC</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4595"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left="5" w:right="0"/>
                          <w:jc w:val="left"/>
                          <w:rPr>
                            <w:rFonts w:ascii="宋体" w:hAnsi="宋体" w:cs="宋体" w:eastAsia="宋体" w:hint="default"/>
                            <w:sz w:val="18"/>
                            <w:szCs w:val="18"/>
                          </w:rPr>
                        </w:pPr>
                        <w:r>
                          <w:rPr>
                            <w:rFonts w:ascii="宋体" w:hAnsi="宋体" w:cs="宋体" w:eastAsia="宋体" w:hint="default"/>
                            <w:sz w:val="18"/>
                            <w:szCs w:val="18"/>
                          </w:rPr>
                          <w:t>影响，并提高了服务的并发能力。</w:t>
                        </w:r>
                      </w:p>
                      <w:p>
                        <w:pPr>
                          <w:pStyle w:val="TableParagraph"/>
                          <w:spacing w:line="240" w:lineRule="auto" w:before="117"/>
                          <w:ind w:left="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、实现与思特奇</w:t>
                        </w:r>
                        <w:r>
                          <w:rPr>
                            <w:rFonts w:ascii="Times New Roman" w:hAnsi="Times New Roman" w:cs="Times New Roman" w:eastAsia="Times New Roman" w:hint="default"/>
                            <w:spacing w:val="-1"/>
                            <w:sz w:val="18"/>
                            <w:szCs w:val="18"/>
                          </w:rPr>
                          <w:t>PaaS</w:t>
                        </w:r>
                        <w:r>
                          <w:rPr>
                            <w:rFonts w:ascii="宋体" w:hAnsi="宋体" w:cs="宋体" w:eastAsia="宋体" w:hint="default"/>
                            <w:spacing w:val="-1"/>
                            <w:sz w:val="18"/>
                            <w:szCs w:val="18"/>
                          </w:rPr>
                          <w:t>平台整合，实现思特奇的特色解决方</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5"/>
                            <w:sz w:val="18"/>
                            <w:szCs w:val="18"/>
                          </w:rPr>
                          <w:t>客户提供可行的解决方案和产品，提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高公司核心技术的竞争力，加强公司</w:t>
                        </w:r>
                      </w:p>
                    </w:tc>
                  </w:tr>
                  <w:tr>
                    <w:trPr>
                      <w:trHeight w:val="307" w:hRule="exact"/>
                    </w:trPr>
                    <w:tc>
                      <w:tcPr>
                        <w:tcW w:w="1135"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4595"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5" w:right="0"/>
                          <w:jc w:val="left"/>
                          <w:rPr>
                            <w:rFonts w:ascii="宋体" w:hAnsi="宋体" w:cs="宋体" w:eastAsia="宋体" w:hint="default"/>
                            <w:sz w:val="18"/>
                            <w:szCs w:val="18"/>
                          </w:rPr>
                        </w:pPr>
                        <w:r>
                          <w:rPr>
                            <w:rFonts w:ascii="宋体" w:hAnsi="宋体" w:cs="宋体" w:eastAsia="宋体" w:hint="default"/>
                            <w:spacing w:val="2"/>
                            <w:sz w:val="18"/>
                            <w:szCs w:val="18"/>
                          </w:rPr>
                          <w:t>案，实现应用的敏捷开发、弹性伸缩、持续集成和快速部</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30" w:lineRule="exact"/>
                          <w:ind w:right="1"/>
                          <w:jc w:val="right"/>
                          <w:rPr>
                            <w:rFonts w:ascii="宋体" w:hAnsi="宋体" w:cs="宋体" w:eastAsia="宋体" w:hint="default"/>
                            <w:sz w:val="18"/>
                            <w:szCs w:val="18"/>
                          </w:rPr>
                        </w:pPr>
                        <w:r>
                          <w:rPr>
                            <w:rFonts w:ascii="宋体" w:hAnsi="宋体" w:cs="宋体" w:eastAsia="宋体" w:hint="default"/>
                            <w:spacing w:val="7"/>
                            <w:sz w:val="18"/>
                            <w:szCs w:val="18"/>
                          </w:rPr>
                          <w:t>在政企、运营商客户的核心厂商地</w:t>
                        </w:r>
                      </w:p>
                    </w:tc>
                  </w:tr>
                  <w:tr>
                    <w:trPr>
                      <w:trHeight w:val="380" w:hRule="exact"/>
                    </w:trPr>
                    <w:tc>
                      <w:tcPr>
                        <w:tcW w:w="1135" w:type="dxa"/>
                        <w:tcBorders>
                          <w:top w:val="nil" w:sz="6" w:space="0" w:color="auto"/>
                          <w:left w:val="single" w:sz="6" w:space="0" w:color="000000"/>
                          <w:bottom w:val="single" w:sz="6" w:space="0" w:color="000000"/>
                          <w:right w:val="single" w:sz="6" w:space="0" w:color="000000"/>
                        </w:tcBorders>
                      </w:tcPr>
                      <w:p>
                        <w:pPr/>
                      </w:p>
                    </w:tc>
                    <w:tc>
                      <w:tcPr>
                        <w:tcW w:w="991" w:type="dxa"/>
                        <w:tcBorders>
                          <w:top w:val="nil" w:sz="6" w:space="0" w:color="auto"/>
                          <w:left w:val="single" w:sz="6" w:space="0" w:color="000000"/>
                          <w:bottom w:val="single" w:sz="6" w:space="0" w:color="000000"/>
                          <w:right w:val="single" w:sz="6" w:space="0" w:color="000000"/>
                        </w:tcBorders>
                      </w:tcPr>
                      <w:p>
                        <w:pPr/>
                      </w:p>
                    </w:tc>
                    <w:tc>
                      <w:tcPr>
                        <w:tcW w:w="459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署等需求，以应对互联网时代业务快速发展的需要。</w:t>
                        </w:r>
                      </w:p>
                    </w:tc>
                    <w:tc>
                      <w:tcPr>
                        <w:tcW w:w="2835" w:type="dxa"/>
                        <w:tcBorders>
                          <w:top w:val="nil" w:sz="6" w:space="0" w:color="auto"/>
                          <w:left w:val="single" w:sz="6" w:space="0" w:color="000000"/>
                          <w:bottom w:val="single" w:sz="6" w:space="0" w:color="000000"/>
                          <w:right w:val="single" w:sz="6" w:space="0" w:color="000000"/>
                        </w:tcBorders>
                      </w:tcPr>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位。</w:t>
                        </w:r>
                      </w:p>
                    </w:tc>
                  </w:tr>
                  <w:tr>
                    <w:trPr>
                      <w:trHeight w:val="375" w:hRule="exact"/>
                    </w:trPr>
                    <w:tc>
                      <w:tcPr>
                        <w:tcW w:w="1135" w:type="dxa"/>
                        <w:tcBorders>
                          <w:top w:val="single" w:sz="6" w:space="0" w:color="000000"/>
                          <w:left w:val="single" w:sz="6" w:space="0" w:color="000000"/>
                          <w:bottom w:val="nil" w:sz="6" w:space="0" w:color="auto"/>
                          <w:right w:val="single" w:sz="6" w:space="0" w:color="000000"/>
                        </w:tcBorders>
                      </w:tcPr>
                      <w:p>
                        <w:pPr/>
                      </w:p>
                    </w:tc>
                    <w:tc>
                      <w:tcPr>
                        <w:tcW w:w="991" w:type="dxa"/>
                        <w:tcBorders>
                          <w:top w:val="single" w:sz="6" w:space="0" w:color="000000"/>
                          <w:left w:val="single" w:sz="6" w:space="0" w:color="000000"/>
                          <w:bottom w:val="nil" w:sz="6" w:space="0" w:color="auto"/>
                          <w:right w:val="single" w:sz="6" w:space="0" w:color="000000"/>
                        </w:tcBorders>
                      </w:tcPr>
                      <w:p>
                        <w:pPr/>
                      </w:p>
                    </w:tc>
                    <w:tc>
                      <w:tcPr>
                        <w:tcW w:w="459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pacing w:val="3"/>
                            <w:sz w:val="18"/>
                            <w:szCs w:val="18"/>
                          </w:rPr>
                          <w:t>移动应用开发平台是一款提供跨平台</w:t>
                        </w:r>
                        <w:r>
                          <w:rPr>
                            <w:rFonts w:ascii="Times New Roman" w:hAnsi="Times New Roman" w:cs="Times New Roman" w:eastAsia="Times New Roman" w:hint="default"/>
                            <w:spacing w:val="3"/>
                            <w:sz w:val="18"/>
                            <w:szCs w:val="18"/>
                          </w:rPr>
                          <w:t>APP</w:t>
                        </w:r>
                        <w:r>
                          <w:rPr>
                            <w:rFonts w:ascii="宋体" w:hAnsi="宋体" w:cs="宋体" w:eastAsia="宋体" w:hint="default"/>
                            <w:spacing w:val="3"/>
                            <w:sz w:val="18"/>
                            <w:szCs w:val="18"/>
                          </w:rPr>
                          <w:t>开发服务的移动</w:t>
                        </w:r>
                      </w:p>
                    </w:tc>
                    <w:tc>
                      <w:tcPr>
                        <w:tcW w:w="2835"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135" w:type="dxa"/>
                        <w:tcBorders>
                          <w:top w:val="nil" w:sz="6" w:space="0" w:color="auto"/>
                          <w:left w:val="single" w:sz="6" w:space="0" w:color="000000"/>
                          <w:bottom w:val="nil" w:sz="6" w:space="0" w:color="auto"/>
                          <w:right w:val="single" w:sz="6" w:space="0" w:color="000000"/>
                        </w:tcBorders>
                      </w:tcPr>
                      <w:p>
                        <w:pPr>
                          <w:pStyle w:val="TableParagraph"/>
                          <w:spacing w:line="316" w:lineRule="auto" w:before="161"/>
                          <w:ind w:left="4" w:right="-8"/>
                          <w:jc w:val="left"/>
                          <w:rPr>
                            <w:rFonts w:ascii="宋体" w:hAnsi="宋体" w:cs="宋体" w:eastAsia="宋体" w:hint="default"/>
                            <w:sz w:val="18"/>
                            <w:szCs w:val="18"/>
                          </w:rPr>
                        </w:pPr>
                        <w:r>
                          <w:rPr>
                            <w:rFonts w:ascii="宋体" w:hAnsi="宋体" w:cs="宋体" w:eastAsia="宋体" w:hint="default"/>
                            <w:spacing w:val="7"/>
                            <w:sz w:val="18"/>
                            <w:szCs w:val="18"/>
                          </w:rPr>
                          <w:t>移动应用开发 </w:t>
                        </w:r>
                        <w:r>
                          <w:rPr>
                            <w:rFonts w:ascii="宋体" w:hAnsi="宋体" w:cs="宋体" w:eastAsia="宋体" w:hint="default"/>
                            <w:sz w:val="18"/>
                            <w:szCs w:val="18"/>
                          </w:rPr>
                          <w:t>平台</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4595" w:type="dxa"/>
                        <w:tcBorders>
                          <w:top w:val="nil" w:sz="6" w:space="0" w:color="auto"/>
                          <w:left w:val="single" w:sz="6" w:space="0" w:color="000000"/>
                          <w:bottom w:val="nil" w:sz="6" w:space="0" w:color="auto"/>
                          <w:right w:val="single" w:sz="6" w:space="0" w:color="000000"/>
                        </w:tcBorders>
                      </w:tcPr>
                      <w:p>
                        <w:pPr>
                          <w:pStyle w:val="TableParagraph"/>
                          <w:spacing w:line="316" w:lineRule="auto" w:before="5"/>
                          <w:ind w:left="5" w:right="-2"/>
                          <w:jc w:val="both"/>
                          <w:rPr>
                            <w:rFonts w:ascii="宋体" w:hAnsi="宋体" w:cs="宋体" w:eastAsia="宋体" w:hint="default"/>
                            <w:sz w:val="18"/>
                            <w:szCs w:val="18"/>
                          </w:rPr>
                        </w:pPr>
                        <w:r>
                          <w:rPr>
                            <w:rFonts w:ascii="宋体" w:hAnsi="宋体" w:cs="宋体" w:eastAsia="宋体" w:hint="default"/>
                            <w:spacing w:val="2"/>
                            <w:sz w:val="18"/>
                            <w:szCs w:val="18"/>
                          </w:rPr>
                          <w:t>应用开发与运行技术平台，包含框架、组件与工具。以完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善的终端适配，尽可能短的开发周期，简单又跨平台的编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w w:val="99"/>
                            <w:sz w:val="18"/>
                            <w:szCs w:val="18"/>
                          </w:rPr>
                          <w:t>码方式，为开发人员提供了一种基于</w:t>
                        </w:r>
                        <w:r>
                          <w:rPr>
                            <w:rFonts w:ascii="Times New Roman" w:hAnsi="Times New Roman" w:cs="Times New Roman" w:eastAsia="Times New Roman" w:hint="default"/>
                            <w:spacing w:val="-3"/>
                            <w:w w:val="99"/>
                            <w:sz w:val="18"/>
                            <w:szCs w:val="18"/>
                          </w:rPr>
                          <w:t>Android</w:t>
                        </w:r>
                        <w:r>
                          <w:rPr>
                            <w:rFonts w:ascii="宋体" w:hAnsi="宋体" w:cs="宋体" w:eastAsia="宋体" w:hint="default"/>
                            <w:spacing w:val="-3"/>
                            <w:w w:val="99"/>
                            <w:sz w:val="18"/>
                            <w:szCs w:val="18"/>
                          </w:rPr>
                          <w:t>与</w:t>
                        </w:r>
                        <w:r>
                          <w:rPr>
                            <w:rFonts w:ascii="Times New Roman" w:hAnsi="Times New Roman" w:cs="Times New Roman" w:eastAsia="Times New Roman" w:hint="default"/>
                            <w:spacing w:val="-3"/>
                            <w:w w:val="99"/>
                            <w:sz w:val="18"/>
                            <w:szCs w:val="18"/>
                          </w:rPr>
                          <w:t>iOS</w:t>
                        </w:r>
                        <w:r>
                          <w:rPr>
                            <w:rFonts w:ascii="宋体" w:hAnsi="宋体" w:cs="宋体" w:eastAsia="宋体" w:hint="default"/>
                            <w:spacing w:val="-3"/>
                            <w:w w:val="99"/>
                            <w:sz w:val="18"/>
                            <w:szCs w:val="18"/>
                          </w:rPr>
                          <w:t>系统进行</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316" w:lineRule="auto" w:before="161"/>
                          <w:ind w:left="4" w:right="89"/>
                          <w:jc w:val="left"/>
                          <w:rPr>
                            <w:rFonts w:ascii="宋体" w:hAnsi="宋体" w:cs="宋体" w:eastAsia="宋体" w:hint="default"/>
                            <w:sz w:val="18"/>
                            <w:szCs w:val="18"/>
                          </w:rPr>
                        </w:pPr>
                        <w:r>
                          <w:rPr>
                            <w:rFonts w:ascii="宋体" w:hAnsi="宋体" w:cs="宋体" w:eastAsia="宋体" w:hint="default"/>
                            <w:spacing w:val="-10"/>
                            <w:sz w:val="18"/>
                            <w:szCs w:val="18"/>
                          </w:rPr>
                          <w:t>提升公司在移动端开发、测试、运营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维护的能力。</w:t>
                        </w:r>
                      </w:p>
                    </w:tc>
                  </w:tr>
                  <w:tr>
                    <w:trPr>
                      <w:trHeight w:val="365" w:hRule="exact"/>
                    </w:trPr>
                    <w:tc>
                      <w:tcPr>
                        <w:tcW w:w="1135" w:type="dxa"/>
                        <w:tcBorders>
                          <w:top w:val="nil" w:sz="6" w:space="0" w:color="auto"/>
                          <w:left w:val="single" w:sz="6" w:space="0" w:color="000000"/>
                          <w:bottom w:val="single" w:sz="6" w:space="0" w:color="000000"/>
                          <w:right w:val="single" w:sz="6" w:space="0" w:color="000000"/>
                        </w:tcBorders>
                      </w:tcPr>
                      <w:p>
                        <w:pPr/>
                      </w:p>
                    </w:tc>
                    <w:tc>
                      <w:tcPr>
                        <w:tcW w:w="991" w:type="dxa"/>
                        <w:tcBorders>
                          <w:top w:val="nil" w:sz="6" w:space="0" w:color="auto"/>
                          <w:left w:val="single" w:sz="6" w:space="0" w:color="000000"/>
                          <w:bottom w:val="single" w:sz="6" w:space="0" w:color="000000"/>
                          <w:right w:val="single" w:sz="6" w:space="0" w:color="000000"/>
                        </w:tcBorders>
                      </w:tcPr>
                      <w:p>
                        <w:pPr/>
                      </w:p>
                    </w:tc>
                    <w:tc>
                      <w:tcPr>
                        <w:tcW w:w="459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z w:val="18"/>
                            <w:szCs w:val="18"/>
                          </w:rPr>
                          <w:t>开发、测试、运营、维护、安全端到端一体化的解决方案</w:t>
                        </w:r>
                      </w:p>
                    </w:tc>
                    <w:tc>
                      <w:tcPr>
                        <w:tcW w:w="283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75" w:hRule="exact"/>
                    </w:trPr>
                    <w:tc>
                      <w:tcPr>
                        <w:tcW w:w="1135" w:type="dxa"/>
                        <w:tcBorders>
                          <w:top w:val="single" w:sz="6" w:space="0" w:color="000000"/>
                          <w:left w:val="single" w:sz="6" w:space="0" w:color="000000"/>
                          <w:bottom w:val="nil" w:sz="6" w:space="0" w:color="auto"/>
                          <w:right w:val="single" w:sz="6" w:space="0" w:color="000000"/>
                        </w:tcBorders>
                      </w:tcPr>
                      <w:p>
                        <w:pPr/>
                      </w:p>
                    </w:tc>
                    <w:tc>
                      <w:tcPr>
                        <w:tcW w:w="991" w:type="dxa"/>
                        <w:tcBorders>
                          <w:top w:val="single" w:sz="6" w:space="0" w:color="000000"/>
                          <w:left w:val="single" w:sz="6" w:space="0" w:color="000000"/>
                          <w:bottom w:val="nil" w:sz="6" w:space="0" w:color="auto"/>
                          <w:right w:val="single" w:sz="6" w:space="0" w:color="000000"/>
                        </w:tcBorders>
                      </w:tcPr>
                      <w:p>
                        <w:pPr/>
                      </w:p>
                    </w:tc>
                    <w:tc>
                      <w:tcPr>
                        <w:tcW w:w="459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5"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、产品定位调整。由倒三角支撑（一线提问者、服务台、</w:t>
                        </w:r>
                      </w:p>
                    </w:tc>
                    <w:tc>
                      <w:tcPr>
                        <w:tcW w:w="2835" w:type="dxa"/>
                        <w:tcBorders>
                          <w:top w:val="single" w:sz="6" w:space="0" w:color="000000"/>
                          <w:left w:val="single" w:sz="6" w:space="0" w:color="000000"/>
                          <w:bottom w:val="nil" w:sz="6" w:space="0" w:color="auto"/>
                          <w:right w:val="single" w:sz="6" w:space="0" w:color="000000"/>
                        </w:tcBorders>
                      </w:tcPr>
                      <w:p>
                        <w:pPr/>
                      </w:p>
                    </w:tc>
                  </w:tr>
                  <w:tr>
                    <w:trPr>
                      <w:trHeight w:val="307" w:hRule="exact"/>
                    </w:trPr>
                    <w:tc>
                      <w:tcPr>
                        <w:tcW w:w="1135"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459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pacing w:val="2"/>
                            <w:sz w:val="18"/>
                            <w:szCs w:val="18"/>
                          </w:rPr>
                          <w:t>专家）到服务中台，通过问题单生成流程单，打通易问与</w:t>
                        </w:r>
                      </w:p>
                    </w:tc>
                    <w:tc>
                      <w:tcPr>
                        <w:tcW w:w="2835" w:type="dxa"/>
                        <w:tcBorders>
                          <w:top w:val="nil" w:sz="6" w:space="0" w:color="auto"/>
                          <w:left w:val="single" w:sz="6" w:space="0" w:color="000000"/>
                          <w:bottom w:val="nil" w:sz="6" w:space="0" w:color="auto"/>
                          <w:right w:val="single" w:sz="6" w:space="0" w:color="000000"/>
                        </w:tcBorders>
                      </w:tcPr>
                      <w:p>
                        <w:pPr/>
                      </w:p>
                    </w:tc>
                  </w:tr>
                  <w:tr>
                    <w:trPr>
                      <w:trHeight w:val="331" w:hRule="exact"/>
                    </w:trPr>
                    <w:tc>
                      <w:tcPr>
                        <w:tcW w:w="1135"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45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下游业务系统。</w:t>
                        </w:r>
                      </w:p>
                    </w:tc>
                    <w:tc>
                      <w:tcPr>
                        <w:tcW w:w="2835" w:type="dxa"/>
                        <w:tcBorders>
                          <w:top w:val="nil" w:sz="6" w:space="0" w:color="auto"/>
                          <w:left w:val="single" w:sz="6" w:space="0" w:color="000000"/>
                          <w:bottom w:val="nil" w:sz="6" w:space="0" w:color="auto"/>
                          <w:right w:val="single" w:sz="6" w:space="0" w:color="000000"/>
                        </w:tcBorders>
                      </w:tcPr>
                      <w:p>
                        <w:pPr/>
                      </w:p>
                    </w:tc>
                  </w:tr>
                  <w:tr>
                    <w:trPr>
                      <w:trHeight w:val="336" w:hRule="exact"/>
                    </w:trPr>
                    <w:tc>
                      <w:tcPr>
                        <w:tcW w:w="1135"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4595"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、工单压降。通过优化智能应答、智能派单，引入智能预</w:t>
                        </w:r>
                      </w:p>
                    </w:tc>
                    <w:tc>
                      <w:tcPr>
                        <w:tcW w:w="2835" w:type="dxa"/>
                        <w:tcBorders>
                          <w:top w:val="nil" w:sz="6" w:space="0" w:color="auto"/>
                          <w:left w:val="single" w:sz="6" w:space="0" w:color="000000"/>
                          <w:bottom w:val="nil" w:sz="6" w:space="0" w:color="auto"/>
                          <w:right w:val="single" w:sz="6" w:space="0" w:color="000000"/>
                        </w:tcBorders>
                      </w:tcPr>
                      <w:p>
                        <w:pPr/>
                      </w:p>
                    </w:tc>
                  </w:tr>
                  <w:tr>
                    <w:trPr>
                      <w:trHeight w:val="665" w:hRule="exact"/>
                    </w:trPr>
                    <w:tc>
                      <w:tcPr>
                        <w:tcW w:w="1135"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易问</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459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z w:val="18"/>
                            <w:szCs w:val="18"/>
                          </w:rPr>
                          <w:t>警实现工单压降。</w:t>
                        </w:r>
                      </w:p>
                      <w:p>
                        <w:pPr>
                          <w:pStyle w:val="TableParagraph"/>
                          <w:spacing w:line="240" w:lineRule="auto" w:before="117"/>
                          <w:ind w:left="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、产品客户扩展。通过优化找支撑流程引入政企客户，产</w:t>
                        </w:r>
                        <w:r>
                          <w:rPr>
                            <w:rFonts w:ascii="宋体" w:hAnsi="宋体" w:cs="宋体" w:eastAsia="宋体" w:hint="default"/>
                            <w:sz w:val="18"/>
                            <w:szCs w:val="18"/>
                          </w:rPr>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316" w:lineRule="auto" w:before="27"/>
                          <w:ind w:left="4" w:right="1"/>
                          <w:jc w:val="left"/>
                          <w:rPr>
                            <w:rFonts w:ascii="宋体" w:hAnsi="宋体" w:cs="宋体" w:eastAsia="宋体" w:hint="default"/>
                            <w:sz w:val="18"/>
                            <w:szCs w:val="18"/>
                          </w:rPr>
                        </w:pPr>
                        <w:r>
                          <w:rPr>
                            <w:rFonts w:ascii="宋体" w:hAnsi="宋体" w:cs="宋体" w:eastAsia="宋体" w:hint="default"/>
                            <w:spacing w:val="7"/>
                            <w:sz w:val="18"/>
                            <w:szCs w:val="18"/>
                          </w:rPr>
                          <w:t>为公司服务中台理念的实现提供基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础建设、产品承载。</w:t>
                        </w:r>
                      </w:p>
                    </w:tc>
                  </w:tr>
                  <w:tr>
                    <w:trPr>
                      <w:trHeight w:val="307" w:hRule="exact"/>
                    </w:trPr>
                    <w:tc>
                      <w:tcPr>
                        <w:tcW w:w="1135"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459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pacing w:val="2"/>
                            <w:sz w:val="18"/>
                            <w:szCs w:val="18"/>
                          </w:rPr>
                          <w:t>品不在局限于企业内部客户，而是扩展到对于公众客户的</w:t>
                        </w:r>
                      </w:p>
                    </w:tc>
                    <w:tc>
                      <w:tcPr>
                        <w:tcW w:w="2835" w:type="dxa"/>
                        <w:tcBorders>
                          <w:top w:val="nil" w:sz="6" w:space="0" w:color="auto"/>
                          <w:left w:val="single" w:sz="6" w:space="0" w:color="000000"/>
                          <w:bottom w:val="nil" w:sz="6" w:space="0" w:color="auto"/>
                          <w:right w:val="single" w:sz="6" w:space="0" w:color="000000"/>
                        </w:tcBorders>
                      </w:tcPr>
                      <w:p>
                        <w:pPr/>
                      </w:p>
                    </w:tc>
                  </w:tr>
                  <w:tr>
                    <w:trPr>
                      <w:trHeight w:val="332" w:hRule="exact"/>
                    </w:trPr>
                    <w:tc>
                      <w:tcPr>
                        <w:tcW w:w="1135"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45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支撑。</w:t>
                        </w:r>
                      </w:p>
                    </w:tc>
                    <w:tc>
                      <w:tcPr>
                        <w:tcW w:w="2835" w:type="dxa"/>
                        <w:tcBorders>
                          <w:top w:val="nil" w:sz="6" w:space="0" w:color="auto"/>
                          <w:left w:val="single" w:sz="6" w:space="0" w:color="000000"/>
                          <w:bottom w:val="nil" w:sz="6" w:space="0" w:color="auto"/>
                          <w:right w:val="single" w:sz="6" w:space="0" w:color="000000"/>
                        </w:tcBorders>
                      </w:tcPr>
                      <w:p>
                        <w:pPr/>
                      </w:p>
                    </w:tc>
                  </w:tr>
                  <w:tr>
                    <w:trPr>
                      <w:trHeight w:val="337" w:hRule="exact"/>
                    </w:trPr>
                    <w:tc>
                      <w:tcPr>
                        <w:tcW w:w="1135"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4595"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5"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、能力开放。界面开放、能力接口开放，界面开放包括</w:t>
                        </w:r>
                      </w:p>
                    </w:tc>
                    <w:tc>
                      <w:tcPr>
                        <w:tcW w:w="2835" w:type="dxa"/>
                        <w:tcBorders>
                          <w:top w:val="nil" w:sz="6" w:space="0" w:color="auto"/>
                          <w:left w:val="single" w:sz="6" w:space="0" w:color="000000"/>
                          <w:bottom w:val="nil" w:sz="6" w:space="0" w:color="auto"/>
                          <w:right w:val="single" w:sz="6" w:space="0" w:color="000000"/>
                        </w:tcBorders>
                      </w:tcPr>
                      <w:p>
                        <w:pPr/>
                      </w:p>
                    </w:tc>
                  </w:tr>
                  <w:tr>
                    <w:trPr>
                      <w:trHeight w:val="362" w:hRule="exact"/>
                    </w:trPr>
                    <w:tc>
                      <w:tcPr>
                        <w:tcW w:w="1135" w:type="dxa"/>
                        <w:tcBorders>
                          <w:top w:val="nil" w:sz="6" w:space="0" w:color="auto"/>
                          <w:left w:val="single" w:sz="6" w:space="0" w:color="000000"/>
                          <w:bottom w:val="single" w:sz="6" w:space="0" w:color="000000"/>
                          <w:right w:val="single" w:sz="6" w:space="0" w:color="000000"/>
                        </w:tcBorders>
                      </w:tcPr>
                      <w:p>
                        <w:pPr/>
                      </w:p>
                    </w:tc>
                    <w:tc>
                      <w:tcPr>
                        <w:tcW w:w="991" w:type="dxa"/>
                        <w:tcBorders>
                          <w:top w:val="nil" w:sz="6" w:space="0" w:color="auto"/>
                          <w:left w:val="single" w:sz="6" w:space="0" w:color="000000"/>
                          <w:bottom w:val="single" w:sz="6" w:space="0" w:color="000000"/>
                          <w:right w:val="single" w:sz="6" w:space="0" w:color="000000"/>
                        </w:tcBorders>
                      </w:tcPr>
                      <w:p>
                        <w:pPr/>
                      </w:p>
                    </w:tc>
                    <w:tc>
                      <w:tcPr>
                        <w:tcW w:w="459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Web</w:t>
                        </w:r>
                        <w:r>
                          <w:rPr>
                            <w:rFonts w:ascii="宋体" w:hAnsi="宋体" w:cs="宋体" w:eastAsia="宋体" w:hint="default"/>
                            <w:sz w:val="18"/>
                            <w:szCs w:val="18"/>
                          </w:rPr>
                          <w:t>、</w:t>
                        </w:r>
                        <w:r>
                          <w:rPr>
                            <w:rFonts w:ascii="Times New Roman" w:hAnsi="Times New Roman" w:cs="Times New Roman" w:eastAsia="Times New Roman" w:hint="default"/>
                            <w:sz w:val="18"/>
                            <w:szCs w:val="18"/>
                          </w:rPr>
                          <w:t>H5</w:t>
                        </w:r>
                        <w:r>
                          <w:rPr>
                            <w:rFonts w:ascii="宋体" w:hAnsi="宋体" w:cs="宋体" w:eastAsia="宋体" w:hint="default"/>
                            <w:sz w:val="18"/>
                            <w:szCs w:val="18"/>
                          </w:rPr>
                          <w:t>。</w:t>
                        </w:r>
                      </w:p>
                    </w:tc>
                    <w:tc>
                      <w:tcPr>
                        <w:tcW w:w="2835" w:type="dxa"/>
                        <w:tcBorders>
                          <w:top w:val="nil" w:sz="6" w:space="0" w:color="auto"/>
                          <w:left w:val="single" w:sz="6" w:space="0" w:color="000000"/>
                          <w:bottom w:val="single" w:sz="6" w:space="0" w:color="000000"/>
                          <w:right w:val="single" w:sz="6" w:space="0" w:color="000000"/>
                        </w:tcBorders>
                      </w:tcPr>
                      <w:p>
                        <w:pPr/>
                      </w:p>
                    </w:tc>
                  </w:tr>
                  <w:tr>
                    <w:trPr>
                      <w:trHeight w:val="1280" w:hRule="exact"/>
                    </w:trPr>
                    <w:tc>
                      <w:tcPr>
                        <w:tcW w:w="1135"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0" w:lineRule="atLeast"/>
                          <w:ind w:left="4" w:right="-8"/>
                          <w:jc w:val="left"/>
                          <w:rPr>
                            <w:rFonts w:ascii="宋体" w:hAnsi="宋体" w:cs="宋体" w:eastAsia="宋体" w:hint="default"/>
                            <w:sz w:val="18"/>
                            <w:szCs w:val="18"/>
                          </w:rPr>
                        </w:pPr>
                        <w:r>
                          <w:rPr>
                            <w:rFonts w:ascii="宋体" w:hAnsi="宋体" w:cs="宋体" w:eastAsia="宋体" w:hint="default"/>
                            <w:spacing w:val="7"/>
                            <w:sz w:val="18"/>
                            <w:szCs w:val="18"/>
                          </w:rPr>
                          <w:t>开发交付与运 </w:t>
                        </w:r>
                        <w:r>
                          <w:rPr>
                            <w:rFonts w:ascii="宋体" w:hAnsi="宋体" w:cs="宋体" w:eastAsia="宋体" w:hint="default"/>
                            <w:sz w:val="18"/>
                            <w:szCs w:val="18"/>
                          </w:rPr>
                          <w:t>维一体化平台</w:t>
                        </w:r>
                      </w:p>
                    </w:tc>
                    <w:tc>
                      <w:tcPr>
                        <w:tcW w:w="991"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4595" w:type="dxa"/>
                        <w:tcBorders>
                          <w:top w:val="single" w:sz="6" w:space="0" w:color="000000"/>
                          <w:left w:val="single" w:sz="6" w:space="0" w:color="000000"/>
                          <w:bottom w:val="nil" w:sz="6" w:space="0" w:color="auto"/>
                          <w:right w:val="single" w:sz="6" w:space="0" w:color="000000"/>
                        </w:tcBorders>
                      </w:tcPr>
                      <w:p>
                        <w:pPr>
                          <w:pStyle w:val="TableParagraph"/>
                          <w:spacing w:line="300" w:lineRule="auto" w:before="63"/>
                          <w:ind w:left="5"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、优化生产门户形成生产过程一体化管控平台，规范开发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环境和测试环境的管理</w:t>
                        </w:r>
                      </w:p>
                      <w:p>
                        <w:pPr>
                          <w:pStyle w:val="TableParagraph"/>
                          <w:spacing w:line="300" w:lineRule="auto" w:before="70"/>
                          <w:ind w:left="5"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、生产过程各个阶段采用自动化工具实现交付，端到端确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认和验证，保障和监督生产活动的顺利进行</w:t>
                        </w:r>
                      </w:p>
                    </w:tc>
                    <w:tc>
                      <w:tcPr>
                        <w:tcW w:w="2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309" w:lineRule="auto"/>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、推动公司流程制度持续改进，全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流程可度量，形成人员评价机制、团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队绩效考核。</w:t>
                        </w:r>
                      </w:p>
                    </w:tc>
                  </w:tr>
                  <w:tr>
                    <w:trPr>
                      <w:trHeight w:val="789" w:hRule="exact"/>
                    </w:trPr>
                    <w:tc>
                      <w:tcPr>
                        <w:tcW w:w="1135" w:type="dxa"/>
                        <w:tcBorders>
                          <w:top w:val="nil" w:sz="6" w:space="0" w:color="auto"/>
                          <w:left w:val="single" w:sz="6" w:space="0" w:color="000000"/>
                          <w:bottom w:val="single" w:sz="6" w:space="0" w:color="000000"/>
                          <w:right w:val="single" w:sz="6" w:space="0" w:color="000000"/>
                        </w:tcBorders>
                      </w:tcPr>
                      <w:p>
                        <w:pPr/>
                      </w:p>
                    </w:tc>
                    <w:tc>
                      <w:tcPr>
                        <w:tcW w:w="991" w:type="dxa"/>
                        <w:tcBorders>
                          <w:top w:val="nil" w:sz="6" w:space="0" w:color="auto"/>
                          <w:left w:val="single" w:sz="6" w:space="0" w:color="000000"/>
                          <w:bottom w:val="single" w:sz="6" w:space="0" w:color="000000"/>
                          <w:right w:val="single" w:sz="6" w:space="0" w:color="000000"/>
                        </w:tcBorders>
                      </w:tcPr>
                      <w:p>
                        <w:pPr/>
                      </w:p>
                    </w:tc>
                    <w:tc>
                      <w:tcPr>
                        <w:tcW w:w="4595" w:type="dxa"/>
                        <w:tcBorders>
                          <w:top w:val="nil" w:sz="6" w:space="0" w:color="auto"/>
                          <w:left w:val="single" w:sz="6" w:space="0" w:color="000000"/>
                          <w:bottom w:val="single" w:sz="6" w:space="0" w:color="000000"/>
                          <w:right w:val="single" w:sz="6" w:space="0" w:color="000000"/>
                        </w:tcBorders>
                      </w:tcPr>
                      <w:p>
                        <w:pPr>
                          <w:pStyle w:val="TableParagraph"/>
                          <w:spacing w:line="300" w:lineRule="auto" w:before="118"/>
                          <w:ind w:left="5"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、实现生产过程各个阶段全流程的自动化监控，通过日志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埋点，做到生产运营效率和过程质量可分析可回溯</w:t>
                        </w:r>
                      </w:p>
                    </w:tc>
                    <w:tc>
                      <w:tcPr>
                        <w:tcW w:w="2835" w:type="dxa"/>
                        <w:tcBorders>
                          <w:top w:val="nil" w:sz="6" w:space="0" w:color="auto"/>
                          <w:left w:val="single" w:sz="6" w:space="0" w:color="000000"/>
                          <w:bottom w:val="single" w:sz="6" w:space="0" w:color="000000"/>
                          <w:right w:val="single" w:sz="6" w:space="0" w:color="000000"/>
                        </w:tcBorders>
                      </w:tcPr>
                      <w:p>
                        <w:pPr>
                          <w:pStyle w:val="TableParagraph"/>
                          <w:spacing w:line="192"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、提升公司在</w:t>
                        </w:r>
                        <w:r>
                          <w:rPr>
                            <w:rFonts w:ascii="Times New Roman" w:hAnsi="Times New Roman" w:cs="Times New Roman" w:eastAsia="Times New Roman" w:hint="default"/>
                            <w:spacing w:val="-2"/>
                            <w:sz w:val="18"/>
                            <w:szCs w:val="18"/>
                          </w:rPr>
                          <w:t>DevOps</w:t>
                        </w:r>
                        <w:r>
                          <w:rPr>
                            <w:rFonts w:ascii="宋体" w:hAnsi="宋体" w:cs="宋体" w:eastAsia="宋体" w:hint="default"/>
                            <w:spacing w:val="-2"/>
                            <w:sz w:val="18"/>
                            <w:szCs w:val="18"/>
                          </w:rPr>
                          <w:t>领域的市场占</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有率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44"/>
        <w:ind w:right="982"/>
        <w:jc w:val="left"/>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2,439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86.83%</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180,802,786.57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152,926,773.96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143,792,855.37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19.43%</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13,276,677.29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4,920,664.19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902,610.94</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18"/>
        <w:jc w:val="left"/>
      </w:pPr>
      <w:r>
        <w:rPr/>
        <w:t>研发投入总额占营业收入的比重较上年发生显著变化的原因</w:t>
      </w:r>
    </w:p>
    <w:p>
      <w:pPr>
        <w:pStyle w:val="BodyText"/>
        <w:spacing w:line="340" w:lineRule="auto" w:before="115"/>
        <w:ind w:right="49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8"/>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2"/>
        <w:gridCol w:w="1561"/>
        <w:gridCol w:w="5528"/>
        <w:gridCol w:w="850"/>
      </w:tblGrid>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5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382" w:hRule="exact"/>
        </w:trPr>
        <w:tc>
          <w:tcPr>
            <w:tcW w:w="1702"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5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、全网集中建设，第一期建设涉及黑龙江和吉林两个省份。</w:t>
            </w:r>
          </w:p>
        </w:tc>
        <w:tc>
          <w:tcPr>
            <w:tcW w:w="850" w:type="dxa"/>
            <w:tcBorders>
              <w:top w:val="single" w:sz="4" w:space="0" w:color="000000"/>
              <w:left w:val="single" w:sz="4" w:space="0" w:color="000000"/>
              <w:bottom w:val="nil" w:sz="6" w:space="0" w:color="auto"/>
              <w:right w:val="single" w:sz="4" w:space="0" w:color="000000"/>
            </w:tcBorders>
          </w:tcPr>
          <w:p>
            <w:pPr/>
          </w:p>
        </w:tc>
      </w:tr>
      <w:tr>
        <w:trPr>
          <w:trHeight w:val="352" w:hRule="exact"/>
        </w:trPr>
        <w:tc>
          <w:tcPr>
            <w:tcW w:w="170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、降本增效：</w:t>
            </w:r>
          </w:p>
        </w:tc>
        <w:tc>
          <w:tcPr>
            <w:tcW w:w="850"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70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）两个省份合并为一个省份管理，统一运维，降低运营成本。</w:t>
            </w:r>
          </w:p>
        </w:tc>
        <w:tc>
          <w:tcPr>
            <w:tcW w:w="850" w:type="dxa"/>
            <w:tcBorders>
              <w:top w:val="nil" w:sz="6" w:space="0" w:color="auto"/>
              <w:left w:val="single" w:sz="4" w:space="0" w:color="000000"/>
              <w:bottom w:val="nil" w:sz="6" w:space="0" w:color="auto"/>
              <w:right w:val="single" w:sz="4" w:space="0" w:color="000000"/>
            </w:tcBorders>
          </w:tcPr>
          <w:p>
            <w:pPr/>
          </w:p>
        </w:tc>
      </w:tr>
      <w:tr>
        <w:trPr>
          <w:trHeight w:val="703"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新一代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Boss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2,619,223.40</w:t>
            </w: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）一点发布，多点运行，提高产品发布效率。</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、多租户：支撑全国省份接入，支持共享服务、个性服务。</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32" w:hRule="exact"/>
        </w:trPr>
        <w:tc>
          <w:tcPr>
            <w:tcW w:w="170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docker</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容器：除数据层外，所有的应用系统能够容器化部署，系统</w:t>
            </w:r>
          </w:p>
        </w:tc>
        <w:tc>
          <w:tcPr>
            <w:tcW w:w="850"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70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高可扩展。引入 </w:t>
            </w:r>
            <w:r>
              <w:rPr>
                <w:rFonts w:ascii="Times New Roman" w:hAnsi="Times New Roman" w:cs="Times New Roman" w:eastAsia="Times New Roman" w:hint="default"/>
                <w:sz w:val="18"/>
                <w:szCs w:val="18"/>
              </w:rPr>
              <w:t>k8s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等技术。</w:t>
            </w:r>
          </w:p>
        </w:tc>
        <w:tc>
          <w:tcPr>
            <w:tcW w:w="850" w:type="dxa"/>
            <w:tcBorders>
              <w:top w:val="nil" w:sz="6" w:space="0" w:color="auto"/>
              <w:left w:val="single" w:sz="4" w:space="0" w:color="000000"/>
              <w:bottom w:val="nil" w:sz="6" w:space="0" w:color="auto"/>
              <w:right w:val="single" w:sz="4" w:space="0" w:color="000000"/>
            </w:tcBorders>
          </w:tcPr>
          <w:p>
            <w:pPr/>
          </w:p>
        </w:tc>
      </w:tr>
      <w:tr>
        <w:trPr>
          <w:trHeight w:val="391"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5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智慧运营，实现统一运维、统一管控</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r>
      <w:tr>
        <w:trPr>
          <w:trHeight w:val="382" w:hRule="exact"/>
        </w:trPr>
        <w:tc>
          <w:tcPr>
            <w:tcW w:w="1702"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5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解决技术核心问题，包括服务化，多租户，容器化，消息异步化</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850" w:type="dxa"/>
            <w:tcBorders>
              <w:top w:val="single" w:sz="4" w:space="0" w:color="000000"/>
              <w:left w:val="single" w:sz="4" w:space="0" w:color="000000"/>
              <w:bottom w:val="nil" w:sz="6" w:space="0" w:color="auto"/>
              <w:right w:val="single" w:sz="4" w:space="0" w:color="000000"/>
            </w:tcBorders>
          </w:tcPr>
          <w:p>
            <w:pPr/>
          </w:p>
        </w:tc>
      </w:tr>
      <w:tr>
        <w:trPr>
          <w:trHeight w:val="274" w:hRule="exact"/>
        </w:trPr>
        <w:tc>
          <w:tcPr>
            <w:tcW w:w="170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服务化：后台</w:t>
            </w:r>
            <w:r>
              <w:rPr>
                <w:rFonts w:ascii="Times New Roman" w:hAnsi="Times New Roman" w:cs="Times New Roman" w:eastAsia="Times New Roman" w:hint="default"/>
                <w:sz w:val="18"/>
                <w:szCs w:val="18"/>
              </w:rPr>
              <w:t>-</w:t>
            </w:r>
            <w:r>
              <w:rPr>
                <w:rFonts w:ascii="宋体" w:hAnsi="宋体" w:cs="宋体" w:eastAsia="宋体" w:hint="default"/>
                <w:sz w:val="18"/>
                <w:szCs w:val="18"/>
              </w:rPr>
              <w:t>组件化与能力编排；前台</w:t>
            </w:r>
            <w:r>
              <w:rPr>
                <w:rFonts w:ascii="Times New Roman" w:hAnsi="Times New Roman" w:cs="Times New Roman" w:eastAsia="Times New Roman" w:hint="default"/>
                <w:sz w:val="18"/>
                <w:szCs w:val="18"/>
              </w:rPr>
              <w:t>-</w:t>
            </w:r>
            <w:r>
              <w:rPr>
                <w:rFonts w:ascii="宋体" w:hAnsi="宋体" w:cs="宋体" w:eastAsia="宋体" w:hint="default"/>
                <w:sz w:val="18"/>
                <w:szCs w:val="18"/>
              </w:rPr>
              <w:t>微服务化，提升开发效率。</w:t>
            </w:r>
          </w:p>
        </w:tc>
        <w:tc>
          <w:tcPr>
            <w:tcW w:w="850" w:type="dxa"/>
            <w:tcBorders>
              <w:top w:val="nil" w:sz="6" w:space="0" w:color="auto"/>
              <w:left w:val="single" w:sz="4" w:space="0" w:color="000000"/>
              <w:bottom w:val="nil" w:sz="6" w:space="0" w:color="auto"/>
              <w:right w:val="single" w:sz="4" w:space="0" w:color="000000"/>
            </w:tcBorders>
          </w:tcPr>
          <w:p>
            <w:pPr/>
          </w:p>
        </w:tc>
      </w:tr>
      <w:tr>
        <w:trPr>
          <w:trHeight w:val="446"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新一代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CRM </w:t>
            </w:r>
            <w:r>
              <w:rPr>
                <w:rFonts w:ascii="宋体" w:hAnsi="宋体" w:cs="宋体" w:eastAsia="宋体" w:hint="default"/>
                <w:sz w:val="18"/>
                <w:szCs w:val="18"/>
              </w:rPr>
              <w:t>系统</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9"/>
              <w:jc w:val="right"/>
              <w:rPr>
                <w:rFonts w:ascii="Times New Roman" w:hAnsi="Times New Roman" w:cs="Times New Roman" w:eastAsia="Times New Roman" w:hint="default"/>
                <w:sz w:val="18"/>
                <w:szCs w:val="18"/>
              </w:rPr>
            </w:pPr>
            <w:r>
              <w:rPr>
                <w:rFonts w:ascii="Times New Roman"/>
                <w:spacing w:val="-1"/>
                <w:sz w:val="18"/>
              </w:rPr>
              <w:t>2,063,406.42</w:t>
            </w: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容器化：一点发布，多点运行，提升部署效率。</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96"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5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消息异步化：减少系统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操作，快速文件传递，减少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占用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702"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5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平台秉承开放、合作、共赢的原则，基于思特奇</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多年的平台建设经</w:t>
            </w:r>
          </w:p>
        </w:tc>
        <w:tc>
          <w:tcPr>
            <w:tcW w:w="85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70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验，为产业链中所有合作伙伴的产品和服务、硬件、软件的广泛接入</w:t>
            </w:r>
          </w:p>
        </w:tc>
        <w:tc>
          <w:tcPr>
            <w:tcW w:w="8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和融合提供支持与服务，实现技术、产品和服务运营的端到端打通。</w:t>
            </w:r>
          </w:p>
        </w:tc>
        <w:tc>
          <w:tcPr>
            <w:tcW w:w="85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45"/>
              <w:jc w:val="left"/>
              <w:rPr>
                <w:rFonts w:ascii="宋体" w:hAnsi="宋体" w:cs="宋体" w:eastAsia="宋体" w:hint="default"/>
                <w:sz w:val="18"/>
                <w:szCs w:val="18"/>
              </w:rPr>
            </w:pPr>
            <w:r>
              <w:rPr>
                <w:rFonts w:ascii="宋体" w:hAnsi="宋体" w:cs="宋体" w:eastAsia="宋体" w:hint="default"/>
                <w:sz w:val="18"/>
                <w:szCs w:val="18"/>
              </w:rPr>
              <w:t>思特奇物联网运营服 务平台</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1,949,713.71</w:t>
            </w: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92"/>
              <w:jc w:val="left"/>
              <w:rPr>
                <w:rFonts w:ascii="宋体" w:hAnsi="宋体" w:cs="宋体" w:eastAsia="宋体" w:hint="default"/>
                <w:sz w:val="18"/>
                <w:szCs w:val="18"/>
              </w:rPr>
            </w:pPr>
            <w:r>
              <w:rPr>
                <w:rFonts w:ascii="宋体" w:hAnsi="宋体" w:cs="宋体" w:eastAsia="宋体" w:hint="default"/>
                <w:sz w:val="18"/>
                <w:szCs w:val="18"/>
              </w:rPr>
              <w:t>不仅为合作伙伴提供全面、系统和丰富的成熟技术实现和接入，节省 开发投入，免除许多设备测试和接入壁垒，提供服务的时效性，也为</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未完成</w:t>
            </w: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合作伙伴的持续运营和经营保驾护航，实现物联网业务和大数据价值</w:t>
            </w:r>
          </w:p>
        </w:tc>
        <w:tc>
          <w:tcPr>
            <w:tcW w:w="8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的深度挖掘、综合运用、智慧运营，为广大政府、企业用户提供整合</w:t>
            </w:r>
          </w:p>
        </w:tc>
        <w:tc>
          <w:tcPr>
            <w:tcW w:w="85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5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物联网智慧运营服务。</w:t>
            </w:r>
          </w:p>
        </w:tc>
        <w:tc>
          <w:tcPr>
            <w:tcW w:w="850"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1702"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5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、产商品管理和能力</w:t>
            </w:r>
            <w:r>
              <w:rPr>
                <w:rFonts w:ascii="宋体" w:hAnsi="宋体" w:cs="宋体" w:eastAsia="宋体" w:hint="default"/>
                <w:spacing w:val="-4"/>
                <w:sz w:val="18"/>
                <w:szCs w:val="18"/>
              </w:rPr>
              <w:t> </w:t>
            </w:r>
            <w:r>
              <w:rPr>
                <w:rFonts w:ascii="宋体" w:hAnsi="宋体" w:cs="宋体" w:eastAsia="宋体" w:hint="default"/>
                <w:sz w:val="18"/>
                <w:szCs w:val="18"/>
              </w:rPr>
              <w:t>：产商品管理和能力系统按照个客，家客，集</w:t>
            </w:r>
          </w:p>
        </w:tc>
        <w:tc>
          <w:tcPr>
            <w:tcW w:w="850" w:type="dxa"/>
            <w:tcBorders>
              <w:top w:val="single" w:sz="4" w:space="0" w:color="000000"/>
              <w:left w:val="single" w:sz="4" w:space="0" w:color="000000"/>
              <w:bottom w:val="nil" w:sz="6" w:space="0" w:color="auto"/>
              <w:right w:val="single" w:sz="4" w:space="0" w:color="000000"/>
            </w:tcBorders>
          </w:tcPr>
          <w:p>
            <w:pPr/>
          </w:p>
        </w:tc>
      </w:tr>
      <w:tr>
        <w:trPr>
          <w:trHeight w:val="315"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产商品中心</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18"/>
                <w:szCs w:val="18"/>
              </w:rPr>
            </w:pPr>
            <w:r>
              <w:rPr>
                <w:rFonts w:ascii="Times New Roman"/>
                <w:spacing w:val="-1"/>
                <w:sz w:val="18"/>
              </w:rPr>
              <w:t>1,564,002.02</w:t>
            </w: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客能力业务解耦，具备组件化复用能力，应用部署可以灵活的根据需</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未完成</w:t>
            </w:r>
          </w:p>
        </w:tc>
      </w:tr>
      <w:tr>
        <w:trPr>
          <w:trHeight w:val="319"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5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求灵活裁剪，选择不同构件进行部署；满足全网、全国区域集中化管</w:t>
            </w:r>
          </w:p>
        </w:tc>
        <w:tc>
          <w:tcPr>
            <w:tcW w:w="850"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96.559998pt;margin-top:503.109985pt;width:42pt;height:35.2pt;mso-position-horizontal-relative:page;mso-position-vertical-relative:page;z-index:-1166896" coordorigin="9931,10062" coordsize="840,704">
            <v:group style="position:absolute;left:9931;top:10062;width:840;height:704" coordorigin="9931,10062" coordsize="840,704">
              <v:shape style="position:absolute;left:9931;top:10062;width:840;height:704" coordorigin="9931,10062" coordsize="840,704" path="m9931,10765l10771,10765,10771,10062,9931,10062,9931,10765xe" filled="true" fillcolor="#ffffff" stroked="false">
                <v:path arrowok="t"/>
                <v:fill type="solid"/>
              </v:shape>
            </v:group>
            <v:group style="position:absolute;left:9953;top:10218;width:795;height:392" coordorigin="9953,10218" coordsize="795,392">
              <v:shape style="position:absolute;left:9953;top:10218;width:795;height:392" coordorigin="9953,10218" coordsize="795,392" path="m9953,10609l10747,10609,10747,10218,9953,10218,9953,10609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561"/>
        <w:gridCol w:w="5528"/>
        <w:gridCol w:w="850"/>
      </w:tblGrid>
      <w:tr>
        <w:trPr>
          <w:trHeight w:val="338" w:hRule="exact"/>
        </w:trPr>
        <w:tc>
          <w:tcPr>
            <w:tcW w:w="1702" w:type="dxa"/>
            <w:vMerge w:val="restart"/>
            <w:tcBorders>
              <w:top w:val="single" w:sz="4" w:space="0" w:color="000000"/>
              <w:left w:val="single" w:sz="4" w:space="0" w:color="000000"/>
              <w:right w:val="single" w:sz="4" w:space="0" w:color="000000"/>
            </w:tcBorders>
          </w:tcPr>
          <w:p>
            <w:pPr/>
          </w:p>
        </w:tc>
        <w:tc>
          <w:tcPr>
            <w:tcW w:w="1561" w:type="dxa"/>
            <w:vMerge w:val="restart"/>
            <w:tcBorders>
              <w:top w:val="single" w:sz="4" w:space="0" w:color="000000"/>
              <w:left w:val="single" w:sz="4" w:space="0" w:color="000000"/>
              <w:right w:val="single" w:sz="4" w:space="0" w:color="000000"/>
            </w:tcBorders>
          </w:tcPr>
          <w:p>
            <w:pPr/>
          </w:p>
        </w:tc>
        <w:tc>
          <w:tcPr>
            <w:tcW w:w="5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理要求，满足广电行业和其他非思特奇覆盖省份轻量化部署要求。</w:t>
            </w:r>
          </w:p>
        </w:tc>
        <w:tc>
          <w:tcPr>
            <w:tcW w:w="850" w:type="dxa"/>
            <w:vMerge w:val="restart"/>
            <w:tcBorders>
              <w:top w:val="single" w:sz="4" w:space="0" w:color="000000"/>
              <w:left w:val="single" w:sz="4" w:space="0" w:color="000000"/>
              <w:right w:val="single" w:sz="4" w:space="0" w:color="000000"/>
            </w:tcBorders>
          </w:tcPr>
          <w:p>
            <w:pPr/>
          </w:p>
        </w:tc>
      </w:tr>
      <w:tr>
        <w:trPr>
          <w:trHeight w:val="338" w:hRule="exact"/>
        </w:trPr>
        <w:tc>
          <w:tcPr>
            <w:tcW w:w="1702"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、新建打折优惠管理和能力，支撑打折优惠场景，支撑促销优惠业务</w:t>
            </w:r>
          </w:p>
        </w:tc>
        <w:tc>
          <w:tcPr>
            <w:tcW w:w="850" w:type="dxa"/>
            <w:vMerge/>
            <w:tcBorders>
              <w:left w:val="single" w:sz="4" w:space="0" w:color="000000"/>
              <w:right w:val="single" w:sz="4" w:space="0" w:color="000000"/>
            </w:tcBorders>
          </w:tcPr>
          <w:p>
            <w:pPr/>
          </w:p>
        </w:tc>
      </w:tr>
      <w:tr>
        <w:trPr>
          <w:trHeight w:val="326" w:hRule="exact"/>
        </w:trPr>
        <w:tc>
          <w:tcPr>
            <w:tcW w:w="1702"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等场景，满足各省商品灵活化业务发展需求和解决各省需求痛点。</w:t>
            </w:r>
          </w:p>
        </w:tc>
        <w:tc>
          <w:tcPr>
            <w:tcW w:w="850" w:type="dxa"/>
            <w:vMerge/>
            <w:tcBorders>
              <w:left w:val="single" w:sz="4" w:space="0" w:color="000000"/>
              <w:right w:val="single" w:sz="4" w:space="0" w:color="000000"/>
            </w:tcBorders>
          </w:tcPr>
          <w:p>
            <w:pPr/>
          </w:p>
        </w:tc>
      </w:tr>
      <w:tr>
        <w:trPr>
          <w:trHeight w:val="336" w:hRule="exact"/>
        </w:trPr>
        <w:tc>
          <w:tcPr>
            <w:tcW w:w="1702"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、强化产商品一点管理、一点发布、一点校验、产商品化、融合化的</w:t>
            </w:r>
          </w:p>
        </w:tc>
        <w:tc>
          <w:tcPr>
            <w:tcW w:w="850" w:type="dxa"/>
            <w:vMerge/>
            <w:tcBorders>
              <w:left w:val="single" w:sz="4" w:space="0" w:color="000000"/>
              <w:right w:val="single" w:sz="4" w:space="0" w:color="000000"/>
            </w:tcBorders>
          </w:tcPr>
          <w:p>
            <w:pPr/>
          </w:p>
        </w:tc>
      </w:tr>
      <w:tr>
        <w:trPr>
          <w:trHeight w:val="327" w:hRule="exact"/>
        </w:trPr>
        <w:tc>
          <w:tcPr>
            <w:tcW w:w="1702"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支撑能力。支撑家客融合，融合商品定义和业务受理能力。</w:t>
            </w:r>
          </w:p>
        </w:tc>
        <w:tc>
          <w:tcPr>
            <w:tcW w:w="850" w:type="dxa"/>
            <w:vMerge/>
            <w:tcBorders>
              <w:left w:val="single" w:sz="4" w:space="0" w:color="000000"/>
              <w:right w:val="single" w:sz="4" w:space="0" w:color="000000"/>
            </w:tcBorders>
          </w:tcPr>
          <w:p>
            <w:pPr/>
          </w:p>
        </w:tc>
      </w:tr>
      <w:tr>
        <w:trPr>
          <w:trHeight w:val="358" w:hRule="exact"/>
        </w:trPr>
        <w:tc>
          <w:tcPr>
            <w:tcW w:w="1702"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、完成家客、个客产商品能力标准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接口解耦和业务支撑能力。</w:t>
            </w:r>
          </w:p>
        </w:tc>
        <w:tc>
          <w:tcPr>
            <w:tcW w:w="850" w:type="dxa"/>
            <w:vMerge/>
            <w:tcBorders>
              <w:left w:val="single" w:sz="4" w:space="0" w:color="000000"/>
              <w:right w:val="single" w:sz="4" w:space="0" w:color="000000"/>
            </w:tcBorders>
          </w:tcPr>
          <w:p>
            <w:pPr/>
          </w:p>
        </w:tc>
      </w:tr>
      <w:tr>
        <w:trPr>
          <w:trHeight w:val="332" w:hRule="exact"/>
        </w:trPr>
        <w:tc>
          <w:tcPr>
            <w:tcW w:w="1702"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、完善产商品中心，建立可拆分、可复用的公共业务构件，以实现程</w:t>
            </w:r>
          </w:p>
        </w:tc>
        <w:tc>
          <w:tcPr>
            <w:tcW w:w="850" w:type="dxa"/>
            <w:vMerge/>
            <w:tcBorders>
              <w:left w:val="single" w:sz="4" w:space="0" w:color="000000"/>
              <w:right w:val="single" w:sz="4" w:space="0" w:color="000000"/>
            </w:tcBorders>
          </w:tcPr>
          <w:p>
            <w:pPr/>
          </w:p>
        </w:tc>
      </w:tr>
      <w:tr>
        <w:trPr>
          <w:trHeight w:val="326" w:hRule="exact"/>
        </w:trPr>
        <w:tc>
          <w:tcPr>
            <w:tcW w:w="1702"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序独立部署和服务可以按需灵活化组合部署为目标。</w:t>
            </w:r>
          </w:p>
        </w:tc>
        <w:tc>
          <w:tcPr>
            <w:tcW w:w="850" w:type="dxa"/>
            <w:vMerge/>
            <w:tcBorders>
              <w:left w:val="single" w:sz="4" w:space="0" w:color="000000"/>
              <w:right w:val="single" w:sz="4" w:space="0" w:color="000000"/>
            </w:tcBorders>
          </w:tcPr>
          <w:p>
            <w:pPr/>
          </w:p>
        </w:tc>
      </w:tr>
      <w:tr>
        <w:trPr>
          <w:trHeight w:val="336" w:hRule="exact"/>
        </w:trPr>
        <w:tc>
          <w:tcPr>
            <w:tcW w:w="1702"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、完善产商品自动化配置能力提升易用性和配置化能力，满足移动集</w:t>
            </w:r>
          </w:p>
        </w:tc>
        <w:tc>
          <w:tcPr>
            <w:tcW w:w="850" w:type="dxa"/>
            <w:vMerge/>
            <w:tcBorders>
              <w:left w:val="single" w:sz="4" w:space="0" w:color="000000"/>
              <w:right w:val="single" w:sz="4" w:space="0" w:color="000000"/>
            </w:tcBorders>
          </w:tcPr>
          <w:p>
            <w:pPr/>
          </w:p>
        </w:tc>
      </w:tr>
      <w:tr>
        <w:trPr>
          <w:trHeight w:val="327" w:hRule="exact"/>
        </w:trPr>
        <w:tc>
          <w:tcPr>
            <w:tcW w:w="1702"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团产商品集中化管理需求和省份产商品自动化产商品配置需求。</w:t>
            </w:r>
          </w:p>
        </w:tc>
        <w:tc>
          <w:tcPr>
            <w:tcW w:w="850" w:type="dxa"/>
            <w:vMerge/>
            <w:tcBorders>
              <w:left w:val="single" w:sz="4" w:space="0" w:color="000000"/>
              <w:right w:val="single" w:sz="4" w:space="0" w:color="000000"/>
            </w:tcBorders>
          </w:tcPr>
          <w:p>
            <w:pPr/>
          </w:p>
        </w:tc>
      </w:tr>
      <w:tr>
        <w:trPr>
          <w:trHeight w:val="378" w:hRule="exact"/>
        </w:trPr>
        <w:tc>
          <w:tcPr>
            <w:tcW w:w="1702"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、完成产商品缓存实时运算能力与产商品能力微服务拆分。</w:t>
            </w:r>
          </w:p>
        </w:tc>
        <w:tc>
          <w:tcPr>
            <w:tcW w:w="850" w:type="dxa"/>
            <w:vMerge/>
            <w:tcBorders>
              <w:left w:val="single" w:sz="4" w:space="0" w:color="000000"/>
              <w:right w:val="single" w:sz="4" w:space="0" w:color="000000"/>
            </w:tcBorders>
          </w:tcPr>
          <w:p>
            <w:pPr/>
          </w:p>
        </w:tc>
      </w:tr>
      <w:tr>
        <w:trPr>
          <w:trHeight w:val="391" w:hRule="exact"/>
        </w:trPr>
        <w:tc>
          <w:tcPr>
            <w:tcW w:w="1702"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5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、支持多租户管理能力</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r>
      <w:tr>
        <w:trPr>
          <w:trHeight w:val="363" w:hRule="exact"/>
        </w:trPr>
        <w:tc>
          <w:tcPr>
            <w:tcW w:w="1702"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5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基于智慧营业厅全流程场景，形成组合产品形态，研发交付包括智能</w:t>
            </w:r>
          </w:p>
        </w:tc>
        <w:tc>
          <w:tcPr>
            <w:tcW w:w="850"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170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交互平台，智能播报平台，智能引导平台等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个子产品</w:t>
            </w:r>
          </w:p>
        </w:tc>
        <w:tc>
          <w:tcPr>
            <w:tcW w:w="850" w:type="dxa"/>
            <w:tcBorders>
              <w:top w:val="nil" w:sz="6" w:space="0" w:color="auto"/>
              <w:left w:val="single" w:sz="4" w:space="0" w:color="000000"/>
              <w:bottom w:val="nil" w:sz="6" w:space="0" w:color="auto"/>
              <w:right w:val="single" w:sz="4" w:space="0" w:color="000000"/>
            </w:tcBorders>
          </w:tcPr>
          <w:p>
            <w:pPr/>
          </w:p>
        </w:tc>
      </w:tr>
      <w:tr>
        <w:trPr>
          <w:trHeight w:val="36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智慧营业厅服务</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8"/>
                <w:szCs w:val="18"/>
              </w:rPr>
            </w:pPr>
            <w:r>
              <w:rPr>
                <w:rFonts w:ascii="Times New Roman"/>
                <w:spacing w:val="-1"/>
                <w:sz w:val="18"/>
              </w:rPr>
              <w:t>1,384,700.26</w:t>
            </w: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24" w:right="0"/>
              <w:jc w:val="left"/>
              <w:rPr>
                <w:rFonts w:ascii="宋体" w:hAnsi="宋体" w:cs="宋体" w:eastAsia="宋体" w:hint="default"/>
                <w:sz w:val="18"/>
                <w:szCs w:val="18"/>
              </w:rPr>
            </w:pPr>
            <w:r>
              <w:rPr>
                <w:rFonts w:ascii="宋体" w:hAnsi="宋体" w:cs="宋体" w:eastAsia="宋体" w:hint="default"/>
                <w:sz w:val="18"/>
                <w:szCs w:val="18"/>
              </w:rPr>
              <w:t>结合各子产品间交互，形成智慧营业厅业务引导与极简办理，基于人</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z w:val="18"/>
                <w:szCs w:val="18"/>
              </w:rPr>
              <w:t>未完成</w:t>
            </w:r>
          </w:p>
        </w:tc>
      </w:tr>
      <w:tr>
        <w:trPr>
          <w:trHeight w:val="316" w:hRule="exact"/>
        </w:trPr>
        <w:tc>
          <w:tcPr>
            <w:tcW w:w="170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脸识别的主动营销与服务，新零售体系，门店运营与管理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大场景，</w:t>
            </w:r>
          </w:p>
        </w:tc>
        <w:tc>
          <w:tcPr>
            <w:tcW w:w="850"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5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产品具备落地交付，目前已在山西移动落地运行</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4"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网络切片服务运 营平台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1,232,551.28</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both"/>
              <w:rPr>
                <w:rFonts w:ascii="宋体" w:hAnsi="宋体" w:cs="宋体" w:eastAsia="宋体" w:hint="default"/>
                <w:sz w:val="18"/>
                <w:szCs w:val="18"/>
              </w:rPr>
            </w:pPr>
            <w:r>
              <w:rPr>
                <w:rFonts w:ascii="宋体" w:hAnsi="宋体" w:cs="宋体" w:eastAsia="宋体" w:hint="default"/>
                <w:sz w:val="18"/>
                <w:szCs w:val="18"/>
              </w:rPr>
              <w:t>为行业客户、客户经理、运营经理等提供统一的切片运营服务支撑平 台，通过网络切片技术为垂直行业客户快速交付按需定制、相互隔离 的网络环境。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未完成</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45"/>
              <w:jc w:val="left"/>
              <w:rPr>
                <w:rFonts w:ascii="宋体" w:hAnsi="宋体" w:cs="宋体" w:eastAsia="宋体" w:hint="default"/>
                <w:sz w:val="18"/>
                <w:szCs w:val="18"/>
              </w:rPr>
            </w:pPr>
            <w:r>
              <w:rPr>
                <w:rFonts w:ascii="宋体" w:hAnsi="宋体" w:cs="宋体" w:eastAsia="宋体" w:hint="default"/>
                <w:sz w:val="18"/>
                <w:szCs w:val="18"/>
              </w:rPr>
              <w:t>面向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的多场景计 费业务支撑系统项目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950,979.68</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9"/>
              <w:jc w:val="left"/>
              <w:rPr>
                <w:rFonts w:ascii="宋体" w:hAnsi="宋体" w:cs="宋体" w:eastAsia="宋体" w:hint="default"/>
                <w:sz w:val="18"/>
                <w:szCs w:val="18"/>
              </w:rPr>
            </w:pPr>
            <w:r>
              <w:rPr>
                <w:rFonts w:ascii="宋体" w:hAnsi="宋体" w:cs="宋体" w:eastAsia="宋体" w:hint="default"/>
                <w:sz w:val="18"/>
                <w:szCs w:val="18"/>
              </w:rPr>
              <w:t>完成关键技术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http2+json</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的开发及验证，具备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计费接入能力。完成 计费统一接入及相关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场景计费能力，具备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计费落地条件。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未完成</w:t>
            </w:r>
          </w:p>
        </w:tc>
      </w:tr>
      <w:tr>
        <w:trPr>
          <w:trHeight w:val="358" w:hRule="exact"/>
        </w:trPr>
        <w:tc>
          <w:tcPr>
            <w:tcW w:w="1702"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5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企业平台框架为企业提供业务需求梳理方法、企业门户入口的统一规</w:t>
            </w:r>
          </w:p>
        </w:tc>
        <w:tc>
          <w:tcPr>
            <w:tcW w:w="85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企业平台框架</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936,934.02</w:t>
            </w: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划的方法论、以及与此方法论配套的企业管理、组织机构管理、员工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未完成</w:t>
            </w:r>
          </w:p>
        </w:tc>
      </w:tr>
      <w:tr>
        <w:trPr>
          <w:trHeight w:val="350"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5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管理、角色管理和从业务需求到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APP </w:t>
            </w:r>
            <w:r>
              <w:rPr>
                <w:rFonts w:ascii="宋体" w:hAnsi="宋体" w:cs="宋体" w:eastAsia="宋体" w:hint="default"/>
                <w:sz w:val="18"/>
                <w:szCs w:val="18"/>
              </w:rPr>
              <w:t>的管理的能力。</w:t>
            </w:r>
          </w:p>
        </w:tc>
        <w:tc>
          <w:tcPr>
            <w:tcW w:w="850"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特征识别中心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338,032.44</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2"/>
              <w:jc w:val="left"/>
              <w:rPr>
                <w:rFonts w:ascii="宋体" w:hAnsi="宋体" w:cs="宋体" w:eastAsia="宋体" w:hint="default"/>
                <w:sz w:val="18"/>
                <w:szCs w:val="18"/>
              </w:rPr>
            </w:pPr>
            <w:r>
              <w:rPr>
                <w:rFonts w:ascii="宋体" w:hAnsi="宋体" w:cs="宋体" w:eastAsia="宋体" w:hint="default"/>
                <w:sz w:val="18"/>
                <w:szCs w:val="18"/>
              </w:rPr>
              <w:t>面向消费者，结合业务场景，通过机器学习、深度学习手段，为生产 经营活动提供图像识别能力、自然语言处理能力、客户业务认知能力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195" w:lineRule="exact"/>
              <w:ind w:left="23" w:right="0"/>
              <w:jc w:val="left"/>
              <w:rPr>
                <w:rFonts w:ascii="宋体" w:hAnsi="宋体" w:cs="宋体" w:eastAsia="宋体" w:hint="default"/>
                <w:sz w:val="18"/>
                <w:szCs w:val="18"/>
              </w:rPr>
            </w:pPr>
            <w:r>
              <w:rPr>
                <w:rFonts w:ascii="宋体" w:hAnsi="宋体" w:cs="宋体" w:eastAsia="宋体" w:hint="default"/>
                <w:sz w:val="18"/>
                <w:szCs w:val="18"/>
              </w:rPr>
              <w:t>未完成</w:t>
            </w:r>
          </w:p>
          <w:p>
            <w:pPr>
              <w:pStyle w:val="TableParagraph"/>
              <w:spacing w:line="195"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微服务框架</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103,594.46</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5"/>
              <w:jc w:val="left"/>
              <w:rPr>
                <w:rFonts w:ascii="宋体" w:hAnsi="宋体" w:cs="宋体" w:eastAsia="宋体" w:hint="default"/>
                <w:sz w:val="18"/>
                <w:szCs w:val="18"/>
              </w:rPr>
            </w:pPr>
            <w:r>
              <w:rPr>
                <w:rFonts w:ascii="宋体" w:hAnsi="宋体" w:cs="宋体" w:eastAsia="宋体" w:hint="default"/>
                <w:sz w:val="18"/>
                <w:szCs w:val="18"/>
              </w:rPr>
              <w:t>支持微服务监控和界面管理 ；支持基本的 </w:t>
            </w:r>
            <w:r>
              <w:rPr>
                <w:rFonts w:ascii="Times New Roman" w:hAnsi="Times New Roman" w:cs="Times New Roman" w:eastAsia="Times New Roman" w:hint="default"/>
                <w:sz w:val="18"/>
                <w:szCs w:val="18"/>
              </w:rPr>
              <w:t>session </w:t>
            </w:r>
            <w:r>
              <w:rPr>
                <w:rFonts w:ascii="宋体" w:hAnsi="宋体" w:cs="宋体" w:eastAsia="宋体" w:hint="default"/>
                <w:sz w:val="18"/>
                <w:szCs w:val="18"/>
              </w:rPr>
              <w:t>管理，</w:t>
            </w:r>
            <w:r>
              <w:rPr>
                <w:rFonts w:ascii="宋体" w:hAnsi="宋体" w:cs="宋体" w:eastAsia="宋体" w:hint="default"/>
                <w:spacing w:val="-1"/>
                <w:sz w:val="18"/>
                <w:szCs w:val="18"/>
              </w:rPr>
              <w:t> </w:t>
            </w:r>
            <w:r>
              <w:rPr>
                <w:rFonts w:ascii="宋体" w:hAnsi="宋体" w:cs="宋体" w:eastAsia="宋体" w:hint="default"/>
                <w:sz w:val="18"/>
                <w:szCs w:val="18"/>
              </w:rPr>
              <w:t>路由功能；</w:t>
            </w:r>
            <w:r>
              <w:rPr>
                <w:rFonts w:ascii="宋体" w:hAnsi="宋体" w:cs="宋体" w:eastAsia="宋体" w:hint="default"/>
                <w:sz w:val="18"/>
                <w:szCs w:val="18"/>
              </w:rPr>
              <w:t> 支持注册 ；实现流量监控和计量</w:t>
            </w:r>
            <w:r>
              <w:rPr>
                <w:rFonts w:ascii="宋体" w:hAnsi="宋体" w:cs="宋体" w:eastAsia="宋体" w:hint="default"/>
                <w:spacing w:val="2"/>
                <w:sz w:val="18"/>
                <w:szCs w:val="18"/>
              </w:rPr>
              <w:t> </w:t>
            </w:r>
            <w:r>
              <w:rPr>
                <w:rFonts w:ascii="宋体" w:hAnsi="宋体" w:cs="宋体" w:eastAsia="宋体" w:hint="default"/>
                <w:sz w:val="18"/>
                <w:szCs w:val="18"/>
              </w:rPr>
              <w:t>远期目标：支持多语言注册。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59" w:hRule="exact"/>
        </w:trPr>
        <w:tc>
          <w:tcPr>
            <w:tcW w:w="1702"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5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方案找到最优，满足省份需要的情况下进行支撑。远期目标家客业务</w:t>
            </w:r>
          </w:p>
        </w:tc>
        <w:tc>
          <w:tcPr>
            <w:tcW w:w="85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家庭业务支撑系统</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89,755.61</w:t>
            </w: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的整体规划，能力梳理、服务解耦、数据解耦、结合中心的思路做规</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52"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5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划和设计，基于各省系统提供基于一个整体的、完善的支撑方案。</w:t>
            </w:r>
          </w:p>
        </w:tc>
        <w:tc>
          <w:tcPr>
            <w:tcW w:w="850"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集团业务支撑系统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18,070.00</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提升交互感知，优化流程管理；集团业务解耦</w:t>
            </w:r>
            <w:r>
              <w:rPr>
                <w:rFonts w:ascii="Times New Roman" w:hAnsi="Times New Roman" w:cs="Times New Roman" w:eastAsia="Times New Roman" w:hint="default"/>
                <w:sz w:val="18"/>
                <w:szCs w:val="18"/>
              </w:rPr>
              <w:t>(</w:t>
            </w:r>
            <w:r>
              <w:rPr>
                <w:rFonts w:ascii="宋体" w:hAnsi="宋体" w:cs="宋体" w:eastAsia="宋体" w:hint="default"/>
                <w:sz w:val="18"/>
                <w:szCs w:val="18"/>
              </w:rPr>
              <w:t>部分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JCF</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框架升级到 最新版本，引入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HSF</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框架；丰富的数据及配置工具。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64" w:hRule="exact"/>
        </w:trPr>
        <w:tc>
          <w:tcPr>
            <w:tcW w:w="1702"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5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sz w:val="18"/>
                <w:szCs w:val="18"/>
              </w:rPr>
              <w:t>线上的生产流程管控，实现流程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工具的自动处理能力。支撑各类项目</w:t>
            </w:r>
          </w:p>
        </w:tc>
        <w:tc>
          <w:tcPr>
            <w:tcW w:w="850" w:type="dxa"/>
            <w:tcBorders>
              <w:top w:val="single" w:sz="4" w:space="0" w:color="000000"/>
              <w:left w:val="single" w:sz="4" w:space="0" w:color="000000"/>
              <w:bottom w:val="nil" w:sz="6" w:space="0" w:color="auto"/>
              <w:right w:val="single" w:sz="4" w:space="0" w:color="000000"/>
            </w:tcBorders>
          </w:tcPr>
          <w:p>
            <w:pPr/>
          </w:p>
        </w:tc>
      </w:tr>
      <w:tr>
        <w:trPr>
          <w:trHeight w:val="618"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314" w:lineRule="auto" w:before="6"/>
              <w:ind w:left="24" w:right="45"/>
              <w:jc w:val="left"/>
              <w:rPr>
                <w:rFonts w:ascii="宋体" w:hAnsi="宋体" w:cs="宋体" w:eastAsia="宋体" w:hint="default"/>
                <w:sz w:val="18"/>
                <w:szCs w:val="18"/>
              </w:rPr>
            </w:pPr>
            <w:r>
              <w:rPr>
                <w:rFonts w:ascii="宋体" w:hAnsi="宋体" w:cs="宋体" w:eastAsia="宋体" w:hint="default"/>
                <w:sz w:val="18"/>
                <w:szCs w:val="18"/>
              </w:rPr>
              <w:t>开发交付与运维一体 化平台</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15,812.27</w:t>
            </w: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4" w:right="92"/>
              <w:jc w:val="left"/>
              <w:rPr>
                <w:rFonts w:ascii="宋体" w:hAnsi="宋体" w:cs="宋体" w:eastAsia="宋体" w:hint="default"/>
                <w:sz w:val="18"/>
                <w:szCs w:val="18"/>
              </w:rPr>
            </w:pPr>
            <w:r>
              <w:rPr>
                <w:rFonts w:ascii="宋体" w:hAnsi="宋体" w:cs="宋体" w:eastAsia="宋体" w:hint="default"/>
                <w:sz w:val="18"/>
                <w:szCs w:val="18"/>
              </w:rPr>
              <w:t>端到端的生产过程，度量每个角色的交付物工作结果，沉淀所有生产 过程数据：对公司所有类型项目进行端到端管控，为公司管理的减本</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57"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5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增效提供可靠的数据输出。</w:t>
            </w:r>
          </w:p>
        </w:tc>
        <w:tc>
          <w:tcPr>
            <w:tcW w:w="850"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微服务网关</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4,359.00</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完成业务监控能力的完善；相关限流算法的实现；完成过网关日志的 相关采集和分析。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未完成</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561"/>
        <w:gridCol w:w="5528"/>
        <w:gridCol w:w="850"/>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智慧城市运营平台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3,922.59</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0"/>
              <w:jc w:val="left"/>
              <w:rPr>
                <w:rFonts w:ascii="宋体" w:hAnsi="宋体" w:cs="宋体" w:eastAsia="宋体" w:hint="default"/>
                <w:sz w:val="18"/>
                <w:szCs w:val="18"/>
              </w:rPr>
            </w:pPr>
            <w:r>
              <w:rPr>
                <w:rFonts w:ascii="宋体" w:hAnsi="宋体" w:cs="宋体" w:eastAsia="宋体" w:hint="default"/>
                <w:spacing w:val="-1"/>
                <w:sz w:val="18"/>
                <w:szCs w:val="18"/>
              </w:rPr>
              <w:t>以兴业、强政、惠民为智慧城市建设目标。建设内容包含五个平台，</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59" w:hRule="exact"/>
        </w:trPr>
        <w:tc>
          <w:tcPr>
            <w:tcW w:w="1702"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5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通过研发项目补齐电商基础能力，以及监管、对接物联网等能力。</w:t>
            </w:r>
            <w:r>
              <w:rPr>
                <w:rFonts w:ascii="宋体" w:hAnsi="宋体" w:cs="宋体" w:eastAsia="宋体" w:hint="default"/>
                <w:spacing w:val="-17"/>
                <w:sz w:val="18"/>
                <w:szCs w:val="18"/>
              </w:rPr>
              <w:t> </w:t>
            </w:r>
            <w:r>
              <w:rPr>
                <w:rFonts w:ascii="宋体" w:hAnsi="宋体" w:cs="宋体" w:eastAsia="宋体" w:hint="default"/>
                <w:sz w:val="18"/>
                <w:szCs w:val="18"/>
              </w:rPr>
              <w:t>本</w:t>
            </w:r>
          </w:p>
        </w:tc>
        <w:tc>
          <w:tcPr>
            <w:tcW w:w="85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70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研发项目将建立和交付电商运营平台最高版本，搭建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的环境，确立</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p>
        </w:tc>
        <w:tc>
          <w:tcPr>
            <w:tcW w:w="85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新一代电商</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1,620.13</w:t>
            </w: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的团队，用于后续产品最高版本落地。探索电商业务模式，生产者、</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06" w:hRule="exact"/>
        </w:trPr>
        <w:tc>
          <w:tcPr>
            <w:tcW w:w="1702"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消费者、监管者生态，提高电商生态运营支撑能力，通过项目组级运</w:t>
            </w:r>
          </w:p>
        </w:tc>
        <w:tc>
          <w:tcPr>
            <w:tcW w:w="85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5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作，推动产品快速交付。</w:t>
            </w:r>
          </w:p>
        </w:tc>
        <w:tc>
          <w:tcPr>
            <w:tcW w:w="850" w:type="dxa"/>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2"/>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2552"/>
        <w:gridCol w:w="2269"/>
        <w:gridCol w:w="2199"/>
      </w:tblGrid>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903,361,103.93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847,504,650.37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6.59%</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817,214,774.30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759,088,812.29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7.66%</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86,146,329.63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88,415,838.08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-2.57%</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58,355,939.65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127,341,907.07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-54.17%</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441,181,524.62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169,610,801.19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160.11%</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-382,825,584.97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-42,268,894.12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805.69%</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716,000,000.00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189.88%</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409,326,873.86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149,221,928.33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174.31%</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306,673,126.14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97,778,071.67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213.64%</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9,998,601.55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143,943,976.32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-93.05%</w:t>
            </w:r>
          </w:p>
        </w:tc>
      </w:tr>
    </w:tbl>
    <w:p>
      <w:pPr>
        <w:pStyle w:val="BodyText"/>
        <w:spacing w:line="240" w:lineRule="auto" w:before="51"/>
        <w:ind w:right="982"/>
        <w:jc w:val="left"/>
      </w:pPr>
      <w:r>
        <w:rPr/>
        <w:t>相关数据同比发生重大变动的主要影响因素说明</w:t>
      </w:r>
    </w:p>
    <w:p>
      <w:pPr>
        <w:pStyle w:val="BodyText"/>
        <w:spacing w:line="340" w:lineRule="auto" w:before="115"/>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投资活动现金流入本期为</w:t>
      </w:r>
      <w:r>
        <w:rPr>
          <w:rFonts w:ascii="Times New Roman" w:hAnsi="Times New Roman" w:cs="Times New Roman" w:eastAsia="Times New Roman" w:hint="default"/>
          <w:spacing w:val="-1"/>
        </w:rPr>
        <w:t>5,835.59</w:t>
      </w:r>
      <w:r>
        <w:rPr>
          <w:spacing w:val="-1"/>
        </w:rPr>
        <w:t>万元</w:t>
      </w:r>
      <w:r>
        <w:rPr>
          <w:rFonts w:ascii="Times New Roman" w:hAnsi="Times New Roman" w:cs="Times New Roman" w:eastAsia="Times New Roman" w:hint="default"/>
          <w:spacing w:val="-1"/>
        </w:rPr>
        <w:t>,</w:t>
      </w:r>
      <w:r>
        <w:rPr>
          <w:spacing w:val="-1"/>
        </w:rPr>
        <w:t>较去年同期减少</w:t>
      </w:r>
      <w:r>
        <w:rPr>
          <w:rFonts w:ascii="Times New Roman" w:hAnsi="Times New Roman" w:cs="Times New Roman" w:eastAsia="Times New Roman" w:hint="default"/>
          <w:spacing w:val="-1"/>
        </w:rPr>
        <w:t>54.17%</w:t>
      </w:r>
      <w:r>
        <w:rPr>
          <w:spacing w:val="-1"/>
        </w:rPr>
        <w:t>，主要原因为国债逆回购减少；投资活动现金流出本期为</w:t>
      </w:r>
    </w:p>
    <w:p>
      <w:pPr>
        <w:pStyle w:val="BodyText"/>
        <w:spacing w:line="228" w:lineRule="exact"/>
        <w:ind w:right="982"/>
        <w:jc w:val="left"/>
      </w:pPr>
      <w:r>
        <w:rPr>
          <w:rFonts w:ascii="Times New Roman" w:hAnsi="Times New Roman" w:cs="Times New Roman" w:eastAsia="Times New Roman" w:hint="default"/>
        </w:rPr>
        <w:t>44,118.15</w:t>
      </w:r>
      <w:r>
        <w:rPr/>
        <w:t>万元，较去年同期增加</w:t>
      </w:r>
      <w:r>
        <w:rPr>
          <w:rFonts w:ascii="Times New Roman" w:hAnsi="Times New Roman" w:cs="Times New Roman" w:eastAsia="Times New Roman" w:hint="default"/>
        </w:rPr>
        <w:t>160.11%</w:t>
      </w:r>
      <w:r>
        <w:rPr/>
        <w:t>，主要原因为购置固定资产、对外投资所致。</w:t>
      </w:r>
    </w:p>
    <w:p>
      <w:pPr>
        <w:pStyle w:val="BodyText"/>
        <w:spacing w:line="319" w:lineRule="auto" w:before="103"/>
        <w:ind w:right="1153" w:firstLine="360"/>
        <w:jc w:val="left"/>
      </w:pPr>
      <w:r>
        <w:rPr/>
        <w:t>筹资活动现金流入本期为</w:t>
      </w:r>
      <w:r>
        <w:rPr>
          <w:rFonts w:ascii="Times New Roman" w:hAnsi="Times New Roman" w:cs="Times New Roman" w:eastAsia="Times New Roman" w:hint="default"/>
        </w:rPr>
        <w:t>71,600</w:t>
      </w:r>
      <w:r>
        <w:rPr/>
        <w:t>万元，较去年同期增加</w:t>
      </w:r>
      <w:r>
        <w:rPr>
          <w:rFonts w:ascii="Times New Roman" w:hAnsi="Times New Roman" w:cs="Times New Roman" w:eastAsia="Times New Roman" w:hint="default"/>
        </w:rPr>
        <w:t>189.88%</w:t>
      </w:r>
      <w:r>
        <w:rPr/>
        <w:t>，主要原因为借款增加所致；筹资活动现金流出本期为 </w:t>
      </w:r>
      <w:r>
        <w:rPr>
          <w:rFonts w:ascii="Times New Roman" w:hAnsi="Times New Roman" w:cs="Times New Roman" w:eastAsia="Times New Roman" w:hint="default"/>
        </w:rPr>
        <w:t>40,932.69</w:t>
      </w:r>
      <w:r>
        <w:rPr/>
        <w:t>万元，较去年同期增加</w:t>
      </w:r>
      <w:r>
        <w:rPr>
          <w:rFonts w:ascii="Times New Roman" w:hAnsi="Times New Roman" w:cs="Times New Roman" w:eastAsia="Times New Roman" w:hint="default"/>
        </w:rPr>
        <w:t>174.31%</w:t>
      </w:r>
      <w:r>
        <w:rPr/>
        <w:t>，主要原因为偿还短期借款、短期借款利息以及支付股利所致。 报告期内公司经营活动产生的现金净流量与本年度净利润存在重大差异的原因说明</w:t>
      </w:r>
    </w:p>
    <w:p>
      <w:pPr>
        <w:pStyle w:val="BodyText"/>
        <w:spacing w:line="240" w:lineRule="auto" w:before="58"/>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3"/>
        <w:gridCol w:w="2451"/>
        <w:gridCol w:w="2057"/>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-435,040.71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-0.48%</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联营企业亏损所致</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-6,849,349.76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-7.61%</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计提坏账准备和存货跌价准备</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451"/>
        <w:gridCol w:w="2057"/>
      </w:tblGrid>
      <w:tr>
        <w:trPr>
          <w:trHeight w:val="71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3,259,007.15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就业管理服务补贴款和国家专 利资助金</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880,075.69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0.98%</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办公区退租违约金</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0"/>
        </w:sectPr>
      </w:pPr>
    </w:p>
    <w:p>
      <w:pPr>
        <w:pStyle w:val="BodyText"/>
        <w:spacing w:line="240" w:lineRule="auto" w:before="44"/>
        <w:ind w:right="-17"/>
        <w:jc w:val="left"/>
      </w:pPr>
      <w:r>
        <w:rPr/>
        <w:t>公司</w:t>
      </w:r>
      <w:r>
        <w:rPr>
          <w:spacing w:val="-47"/>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1275"/>
        <w:gridCol w:w="994"/>
        <w:gridCol w:w="1275"/>
        <w:gridCol w:w="994"/>
        <w:gridCol w:w="992"/>
        <w:gridCol w:w="2765"/>
      </w:tblGrid>
      <w:tr>
        <w:trPr>
          <w:trHeight w:val="393"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3" w:hRule="exact"/>
        </w:trPr>
        <w:tc>
          <w:tcPr>
            <w:tcW w:w="1277" w:type="dxa"/>
            <w:vMerge/>
            <w:tcBorders>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62"/>
              <w:ind w:left="311" w:right="131"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62"/>
              <w:ind w:left="311" w:right="131"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92" w:type="dxa"/>
            <w:vMerge/>
            <w:tcBorders>
              <w:left w:val="single" w:sz="4" w:space="0" w:color="000000"/>
              <w:right w:val="single" w:sz="4" w:space="0" w:color="000000"/>
            </w:tcBorders>
            <w:shd w:val="clear" w:color="auto" w:fill="D2D2D2"/>
          </w:tcPr>
          <w:p>
            <w:pPr/>
          </w:p>
        </w:tc>
        <w:tc>
          <w:tcPr>
            <w:tcW w:w="27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0"/>
              <w:ind w:left="83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82"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27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393,345,662.55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385,365,435.45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440,562,289.07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419,936,216.50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35.11%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-7.76%</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200,954,056.75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191,735,222.94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-3.55%</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13,605,138.67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11,884,611.92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-0.15%</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158,061,924.05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66,960,502.19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4.21%</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35,465,709.54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-2.97%</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476,000,000.00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247,000,000.00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8.91%</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9"/>
              <w:jc w:val="left"/>
              <w:rPr>
                <w:rFonts w:ascii="宋体" w:hAnsi="宋体" w:cs="宋体" w:eastAsia="宋体" w:hint="default"/>
                <w:sz w:val="18"/>
                <w:szCs w:val="18"/>
              </w:rPr>
            </w:pPr>
            <w:r>
              <w:rPr>
                <w:rFonts w:ascii="宋体" w:hAnsi="宋体" w:cs="宋体" w:eastAsia="宋体" w:hint="default"/>
                <w:sz w:val="18"/>
                <w:szCs w:val="18"/>
              </w:rPr>
              <w:t>主要原因是预付北京万毓房地产开 发有限公司购房款增加贷款所致</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408"/>
        <w:gridCol w:w="1882"/>
        <w:gridCol w:w="3510"/>
      </w:tblGrid>
      <w:tr>
        <w:trPr>
          <w:trHeight w:val="349"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95"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6"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3,908,915.64</w:t>
            </w:r>
          </w:p>
        </w:tc>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保函保证金、办理信用卡的定期存款</w:t>
            </w:r>
          </w:p>
        </w:tc>
      </w:tr>
      <w:tr>
        <w:trPr>
          <w:trHeight w:val="348"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tabs>
                <w:tab w:pos="541" w:val="left" w:leader="none"/>
              </w:tabs>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3,908,915.64</w:t>
            </w:r>
          </w:p>
        </w:tc>
        <w:tc>
          <w:tcPr>
            <w:tcW w:w="351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18"/>
          <w:szCs w:val="18"/>
        </w:rPr>
      </w:pPr>
    </w:p>
    <w:p>
      <w:pPr>
        <w:pStyle w:val="Heading2"/>
        <w:spacing w:line="240" w:lineRule="auto" w:before="26"/>
        <w:ind w:right="982"/>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left="313" w:right="641"/>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13" w:right="6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left="313" w:right="641"/>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13" w:right="6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left="313" w:right="641"/>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13" w:right="6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5"/>
          <w:szCs w:val="25"/>
        </w:rPr>
      </w:pPr>
    </w:p>
    <w:p>
      <w:pPr>
        <w:pStyle w:val="Heading4"/>
        <w:spacing w:line="240" w:lineRule="auto"/>
        <w:ind w:left="313" w:right="641"/>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13" w:right="6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left="313" w:right="641"/>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313" w:right="6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44"/>
        <w:ind w:left="0" w:right="1142"/>
        <w:jc w:val="right"/>
      </w:pPr>
      <w:r>
        <w:rPr/>
        <w:pict>
          <v:shape style="position:absolute;margin-left:56.424pt;margin-top:-143.668259pt;width:479.05pt;height:225.9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1"/>
                    <w:gridCol w:w="869"/>
                    <w:gridCol w:w="872"/>
                    <w:gridCol w:w="869"/>
                    <w:gridCol w:w="872"/>
                    <w:gridCol w:w="869"/>
                    <w:gridCol w:w="871"/>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70"/>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23,297.31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7,329.55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23,254.23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43.08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存放募集 资金专户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23,297.31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7,329.55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23,254.23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43.08</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1"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经中国证券监督管理委员会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证监许可【</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122”</w:t>
                        </w:r>
                        <w:r>
                          <w:rPr>
                            <w:rFonts w:ascii="宋体" w:hAnsi="宋体" w:cs="宋体" w:eastAsia="宋体" w:hint="default"/>
                            <w:spacing w:val="-4"/>
                            <w:sz w:val="18"/>
                            <w:szCs w:val="18"/>
                          </w:rPr>
                          <w:t>号文批准，公司采用直接定价方式向社会公众发行人民币普通股（</w:t>
                        </w:r>
                        <w:r>
                          <w:rPr>
                            <w:rFonts w:ascii="Times New Roman" w:hAnsi="Times New Roman" w:cs="Times New Roman" w:eastAsia="Times New Roman" w:hint="default"/>
                            <w:spacing w:val="-4"/>
                            <w:sz w:val="18"/>
                            <w:szCs w:val="18"/>
                          </w:rPr>
                          <w:t>A</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股</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1,685.50 </w:t>
                        </w:r>
                        <w:r>
                          <w:rPr>
                            <w:rFonts w:ascii="宋体" w:hAnsi="宋体" w:cs="宋体" w:eastAsia="宋体" w:hint="default"/>
                            <w:spacing w:val="-3"/>
                            <w:sz w:val="18"/>
                            <w:szCs w:val="18"/>
                          </w:rPr>
                          <w:t>万股，发行价每股 </w:t>
                        </w:r>
                        <w:r>
                          <w:rPr>
                            <w:rFonts w:ascii="Times New Roman" w:hAnsi="Times New Roman" w:cs="Times New Roman" w:eastAsia="Times New Roman" w:hint="default"/>
                            <w:sz w:val="18"/>
                            <w:szCs w:val="18"/>
                          </w:rPr>
                          <w:t>16.16 </w:t>
                        </w:r>
                        <w:r>
                          <w:rPr>
                            <w:rFonts w:ascii="宋体" w:hAnsi="宋体" w:cs="宋体" w:eastAsia="宋体" w:hint="default"/>
                            <w:spacing w:val="-6"/>
                            <w:sz w:val="18"/>
                            <w:szCs w:val="18"/>
                          </w:rPr>
                          <w:t>元。截至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日，公司已收到募集资金总额 </w:t>
                        </w:r>
                        <w:r>
                          <w:rPr>
                            <w:rFonts w:ascii="Times New Roman" w:hAnsi="Times New Roman" w:cs="Times New Roman" w:eastAsia="Times New Roman" w:hint="default"/>
                            <w:sz w:val="18"/>
                            <w:szCs w:val="18"/>
                          </w:rPr>
                          <w:t>27,237.68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万元，扣除各项发行</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费用 </w:t>
                        </w:r>
                        <w:r>
                          <w:rPr>
                            <w:rFonts w:ascii="Times New Roman" w:hAnsi="Times New Roman" w:cs="Times New Roman" w:eastAsia="Times New Roman" w:hint="default"/>
                            <w:sz w:val="18"/>
                            <w:szCs w:val="18"/>
                          </w:rPr>
                          <w:t>3,940.37 </w:t>
                        </w:r>
                        <w:r>
                          <w:rPr>
                            <w:rFonts w:ascii="宋体" w:hAnsi="宋体" w:cs="宋体" w:eastAsia="宋体" w:hint="default"/>
                            <w:sz w:val="18"/>
                            <w:szCs w:val="18"/>
                          </w:rPr>
                          <w:t>万元，募集资金各项净额为 </w:t>
                        </w:r>
                        <w:r>
                          <w:rPr>
                            <w:rFonts w:ascii="Times New Roman" w:hAnsi="Times New Roman" w:cs="Times New Roman" w:eastAsia="Times New Roman" w:hint="default"/>
                            <w:sz w:val="18"/>
                            <w:szCs w:val="18"/>
                          </w:rPr>
                          <w:t>23,297.31 </w:t>
                        </w:r>
                        <w:r>
                          <w:rPr>
                            <w:rFonts w:ascii="宋体" w:hAnsi="宋体" w:cs="宋体" w:eastAsia="宋体" w:hint="default"/>
                            <w:sz w:val="18"/>
                            <w:szCs w:val="18"/>
                          </w:rPr>
                          <w:t>万元，已经瑞华会计师事务所（特殊普通合伙）验证并于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日出具了瑞华验字【</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01660002</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号验资报告。截至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日，公司使用募集资金人民币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23,254.23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募集资金专户余额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（包含利息扣减相关手续费的净额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3"/>
        <w:ind w:left="313" w:right="641"/>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313" w:right="6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006"/>
        <w:gridCol w:w="727"/>
        <w:gridCol w:w="896"/>
        <w:gridCol w:w="895"/>
        <w:gridCol w:w="727"/>
        <w:gridCol w:w="898"/>
        <w:gridCol w:w="900"/>
        <w:gridCol w:w="901"/>
        <w:gridCol w:w="816"/>
        <w:gridCol w:w="850"/>
        <w:gridCol w:w="708"/>
        <w:gridCol w:w="710"/>
      </w:tblGrid>
      <w:tr>
        <w:trPr>
          <w:trHeight w:val="1337" w:hRule="exact"/>
        </w:trPr>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6"/>
              <w:jc w:val="center"/>
              <w:rPr>
                <w:rFonts w:ascii="宋体" w:hAnsi="宋体" w:cs="宋体" w:eastAsia="宋体" w:hint="default"/>
                <w:sz w:val="18"/>
                <w:szCs w:val="18"/>
              </w:rPr>
            </w:pPr>
            <w:r>
              <w:rPr>
                <w:rFonts w:ascii="宋体" w:hAnsi="宋体" w:cs="宋体" w:eastAsia="宋体" w:hint="default"/>
                <w:sz w:val="18"/>
                <w:szCs w:val="18"/>
              </w:rPr>
              <w:t>承诺投资项 目和超募资 金投向</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57" w:right="59"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4" w:right="8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3"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84" w:right="8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2"/>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1"/>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79" w:right="79"/>
              <w:jc w:val="both"/>
              <w:rPr>
                <w:rFonts w:ascii="宋体" w:hAnsi="宋体" w:cs="宋体" w:eastAsia="宋体" w:hint="default"/>
                <w:sz w:val="18"/>
                <w:szCs w:val="18"/>
              </w:rPr>
            </w:pPr>
            <w:r>
              <w:rPr>
                <w:rFonts w:ascii="宋体" w:hAnsi="宋体" w:cs="宋体" w:eastAsia="宋体" w:hint="default"/>
                <w:sz w:val="18"/>
                <w:szCs w:val="18"/>
              </w:rPr>
              <w:t>项目可 行性是 否发生 重大变</w:t>
            </w:r>
          </w:p>
        </w:tc>
      </w:tr>
    </w:tbl>
    <w:p>
      <w:pPr>
        <w:spacing w:after="0" w:line="316" w:lineRule="auto"/>
        <w:jc w:val="both"/>
        <w:rPr>
          <w:rFonts w:ascii="宋体" w:hAnsi="宋体" w:cs="宋体" w:eastAsia="宋体" w:hint="default"/>
          <w:sz w:val="18"/>
          <w:szCs w:val="18"/>
        </w:rPr>
        <w:sectPr>
          <w:pgSz w:w="11910" w:h="16840"/>
          <w:pgMar w:header="748" w:footer="974" w:top="1060" w:bottom="1160" w:left="8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006"/>
        <w:gridCol w:w="727"/>
        <w:gridCol w:w="896"/>
        <w:gridCol w:w="895"/>
        <w:gridCol w:w="727"/>
        <w:gridCol w:w="898"/>
        <w:gridCol w:w="900"/>
        <w:gridCol w:w="901"/>
        <w:gridCol w:w="816"/>
        <w:gridCol w:w="850"/>
        <w:gridCol w:w="708"/>
        <w:gridCol w:w="710"/>
      </w:tblGrid>
      <w:tr>
        <w:trPr>
          <w:trHeight w:val="363" w:hRule="exact"/>
        </w:trPr>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59"/>
              <w:jc w:val="right"/>
              <w:rPr>
                <w:rFonts w:ascii="宋体" w:hAnsi="宋体" w:cs="宋体" w:eastAsia="宋体" w:hint="default"/>
                <w:sz w:val="18"/>
                <w:szCs w:val="18"/>
              </w:rPr>
            </w:pPr>
            <w:r>
              <w:rPr>
                <w:rFonts w:ascii="宋体" w:hAnsi="宋体" w:cs="宋体" w:eastAsia="宋体" w:hint="default"/>
                <w:sz w:val="18"/>
                <w:szCs w:val="18"/>
              </w:rPr>
              <w:t>化</w:t>
            </w:r>
          </w:p>
        </w:tc>
      </w:tr>
      <w:tr>
        <w:trPr>
          <w:trHeight w:val="401" w:hRule="exact"/>
        </w:trPr>
        <w:tc>
          <w:tcPr>
            <w:tcW w:w="1003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、全云化 </w:t>
            </w:r>
            <w:r>
              <w:rPr>
                <w:rFonts w:ascii="Times New Roman" w:hAnsi="Times New Roman" w:cs="Times New Roman" w:eastAsia="Times New Roman" w:hint="default"/>
                <w:spacing w:val="-6"/>
                <w:sz w:val="18"/>
                <w:szCs w:val="18"/>
              </w:rPr>
              <w:t>BOSS</w:t>
            </w:r>
            <w:r>
              <w:rPr>
                <w:rFonts w:ascii="宋体" w:hAnsi="宋体" w:cs="宋体" w:eastAsia="宋体" w:hint="default"/>
                <w:spacing w:val="-6"/>
                <w:sz w:val="18"/>
                <w:szCs w:val="18"/>
              </w:rPr>
              <w:t>（业务</w:t>
            </w:r>
            <w:r>
              <w:rPr>
                <w:rFonts w:ascii="宋体" w:hAnsi="宋体" w:cs="宋体" w:eastAsia="宋体" w:hint="default"/>
                <w:sz w:val="18"/>
                <w:szCs w:val="18"/>
              </w:rPr>
              <w:t> 支撑系统）</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8,156.5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8,156.5</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10,402.98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、新一代业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务支撑网管 理系统</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1,932.38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1,932.38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1,492.8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1,922.07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99.47%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2,265.74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10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、新一代移</w:t>
            </w:r>
          </w:p>
        </w:tc>
        <w:tc>
          <w:tcPr>
            <w:tcW w:w="727"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1" w:type="dxa"/>
            <w:tcBorders>
              <w:top w:val="single" w:sz="4" w:space="0" w:color="000000"/>
              <w:left w:val="single" w:sz="4" w:space="0" w:color="000000"/>
              <w:bottom w:val="nil" w:sz="6" w:space="0" w:color="auto"/>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0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70"/>
              <w:jc w:val="left"/>
              <w:rPr>
                <w:rFonts w:ascii="宋体" w:hAnsi="宋体" w:cs="宋体" w:eastAsia="宋体" w:hint="default"/>
                <w:sz w:val="18"/>
                <w:szCs w:val="18"/>
              </w:rPr>
            </w:pPr>
            <w:r>
              <w:rPr>
                <w:rFonts w:ascii="宋体" w:hAnsi="宋体" w:cs="宋体" w:eastAsia="宋体" w:hint="default"/>
                <w:sz w:val="18"/>
                <w:szCs w:val="18"/>
              </w:rPr>
              <w:t>动互联网大 数据云研发</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8,013.77</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8,013.77</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2,471.87</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8,013.77</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0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0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727"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1" w:type="dxa"/>
            <w:tcBorders>
              <w:top w:val="nil" w:sz="6" w:space="0" w:color="auto"/>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、电子商务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云服务平台 建设项目</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1,831.34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1,831.34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986.27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1,831.34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4,553.64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、基地业务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支撑系统</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1,804.28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1,804.28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1,287.88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1,771.51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98.18%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1,321.09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2,133.29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、运营商大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数据平台</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1,559.04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1,559.04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1,090.73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1,559.04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1,837.82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2,186.31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承诺投资项 目小计</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23,297.31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23,297.31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7,329.55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23,254.23</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16,029.35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22,059.02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003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7"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99"/>
              <w:jc w:val="right"/>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23,297.31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23,297.31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7,329.55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23,254.23</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16,029.35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22,059.02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88"/>
              <w:jc w:val="right"/>
              <w:rPr>
                <w:rFonts w:ascii="Times New Roman" w:hAnsi="Times New Roman" w:cs="Times New Roman" w:eastAsia="Times New Roman" w:hint="default"/>
                <w:sz w:val="18"/>
                <w:szCs w:val="18"/>
              </w:rPr>
            </w:pPr>
            <w:r>
              <w:rPr>
                <w:rFonts w:ascii="Times New Roman"/>
                <w:sz w:val="18"/>
              </w:rPr>
              <w:t>--</w:t>
            </w:r>
          </w:p>
        </w:tc>
      </w:tr>
      <w:tr>
        <w:trPr>
          <w:trHeight w:val="363" w:hRule="exact"/>
        </w:trPr>
        <w:tc>
          <w:tcPr>
            <w:tcW w:w="1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9028" w:type="dxa"/>
            <w:gridSpan w:val="11"/>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新一代业务支撑网管理系统建设项目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运营商大数据平台建设项目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电子商务云服务平台建设项目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基地业</w:t>
            </w:r>
          </w:p>
        </w:tc>
      </w:tr>
      <w:tr>
        <w:trPr>
          <w:trHeight w:val="327" w:hRule="exact"/>
        </w:trPr>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未达到计划</w:t>
            </w:r>
          </w:p>
        </w:tc>
        <w:tc>
          <w:tcPr>
            <w:tcW w:w="9028"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务支撑系统建设项目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在实际执行过程中，因公司自筹资金有限，导致无法在计划建设期内达到预定可使用状态，</w:t>
            </w:r>
          </w:p>
        </w:tc>
      </w:tr>
      <w:tr>
        <w:trPr>
          <w:trHeight w:val="312" w:hRule="exact"/>
        </w:trPr>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进度或预计</w:t>
            </w:r>
          </w:p>
        </w:tc>
        <w:tc>
          <w:tcPr>
            <w:tcW w:w="9028" w:type="dxa"/>
            <w:gridSpan w:val="11"/>
            <w:tcBorders>
              <w:top w:val="nil" w:sz="6" w:space="0" w:color="auto"/>
              <w:left w:val="single" w:sz="4" w:space="0" w:color="000000"/>
              <w:bottom w:val="nil" w:sz="6" w:space="0" w:color="auto"/>
              <w:right w:val="single" w:sz="4" w:space="0" w:color="000000"/>
            </w:tcBorders>
          </w:tcPr>
          <w:p>
            <w:pPr>
              <w:pStyle w:val="TableParagraph"/>
              <w:spacing w:line="239" w:lineRule="exact"/>
              <w:ind w:left="23" w:right="0"/>
              <w:jc w:val="left"/>
              <w:rPr>
                <w:rFonts w:ascii="宋体" w:hAnsi="宋体" w:cs="宋体" w:eastAsia="宋体" w:hint="default"/>
                <w:sz w:val="18"/>
                <w:szCs w:val="18"/>
              </w:rPr>
            </w:pPr>
            <w:r>
              <w:rPr>
                <w:rFonts w:ascii="宋体" w:hAnsi="宋体" w:cs="宋体" w:eastAsia="宋体" w:hint="default"/>
                <w:sz w:val="18"/>
                <w:szCs w:val="18"/>
              </w:rPr>
              <w:t>上述募集资金投资项目的建设期延期至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w:t>
            </w:r>
            <w:r>
              <w:rPr>
                <w:rFonts w:ascii="宋体" w:hAnsi="宋体" w:cs="宋体" w:eastAsia="宋体" w:hint="default"/>
                <w:spacing w:val="-10"/>
                <w:sz w:val="18"/>
                <w:szCs w:val="18"/>
              </w:rPr>
              <w:t>，</w:t>
            </w:r>
            <w:r>
              <w:rPr>
                <w:rFonts w:ascii="宋体" w:hAnsi="宋体" w:cs="宋体" w:eastAsia="宋体" w:hint="default"/>
                <w:sz w:val="18"/>
                <w:szCs w:val="18"/>
              </w:rPr>
              <w:t>公司</w:t>
            </w:r>
            <w:r>
              <w:rPr>
                <w:rFonts w:ascii="宋体" w:hAnsi="宋体" w:cs="宋体" w:eastAsia="宋体" w:hint="default"/>
                <w:spacing w:val="-3"/>
                <w:sz w:val="18"/>
                <w:szCs w:val="18"/>
              </w:rPr>
              <w:t>发</w:t>
            </w:r>
            <w:r>
              <w:rPr>
                <w:rFonts w:ascii="宋体" w:hAnsi="宋体" w:cs="宋体" w:eastAsia="宋体" w:hint="default"/>
                <w:sz w:val="18"/>
                <w:szCs w:val="18"/>
              </w:rPr>
              <w:t>布</w:t>
            </w:r>
            <w:r>
              <w:rPr>
                <w:rFonts w:ascii="宋体" w:hAnsi="宋体" w:cs="宋体" w:eastAsia="宋体" w:hint="default"/>
                <w:spacing w:val="-10"/>
                <w:sz w:val="18"/>
                <w:szCs w:val="18"/>
              </w:rPr>
              <w:t>了</w:t>
            </w:r>
            <w:r>
              <w:rPr>
                <w:rFonts w:ascii="宋体" w:hAnsi="宋体" w:cs="宋体" w:eastAsia="宋体" w:hint="default"/>
                <w:sz w:val="18"/>
                <w:szCs w:val="18"/>
              </w:rPr>
              <w:t>《关于部分募集资金投资项目延期的公告</w:t>
            </w:r>
            <w:r>
              <w:rPr>
                <w:rFonts w:ascii="宋体" w:hAnsi="宋体" w:cs="宋体" w:eastAsia="宋体" w:hint="default"/>
                <w:spacing w:val="-101"/>
                <w:sz w:val="18"/>
                <w:szCs w:val="18"/>
              </w:rPr>
              <w:t>》</w:t>
            </w:r>
            <w:r>
              <w:rPr>
                <w:rFonts w:ascii="宋体" w:hAnsi="宋体" w:cs="宋体" w:eastAsia="宋体" w:hint="default"/>
                <w:sz w:val="18"/>
                <w:szCs w:val="18"/>
              </w:rPr>
              <w:t>（公告</w:t>
            </w:r>
          </w:p>
        </w:tc>
      </w:tr>
      <w:tr>
        <w:trPr>
          <w:trHeight w:val="332" w:hRule="exact"/>
        </w:trPr>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收益的情况</w:t>
            </w:r>
          </w:p>
        </w:tc>
        <w:tc>
          <w:tcPr>
            <w:tcW w:w="9028" w:type="dxa"/>
            <w:gridSpan w:val="11"/>
            <w:tcBorders>
              <w:top w:val="nil" w:sz="6" w:space="0" w:color="auto"/>
              <w:left w:val="single" w:sz="4" w:space="0" w:color="000000"/>
              <w:bottom w:val="nil" w:sz="6" w:space="0" w:color="auto"/>
              <w:right w:val="single" w:sz="4" w:space="0" w:color="000000"/>
            </w:tcBorders>
          </w:tcPr>
          <w:p>
            <w:pPr>
              <w:pStyle w:val="TableParagraph"/>
              <w:spacing w:line="239" w:lineRule="exact"/>
              <w:ind w:left="23"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39</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37" w:hRule="exact"/>
        </w:trPr>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和原因（分</w:t>
            </w:r>
          </w:p>
        </w:tc>
        <w:tc>
          <w:tcPr>
            <w:tcW w:w="9028"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根据公司实际情况，</w:t>
            </w:r>
            <w:r>
              <w:rPr>
                <w:rFonts w:ascii="Times New Roman" w:hAnsi="Times New Roman" w:cs="Times New Roman" w:eastAsia="Times New Roman" w:hint="default"/>
                <w:sz w:val="18"/>
                <w:szCs w:val="18"/>
              </w:rPr>
              <w:t>“</w:t>
            </w:r>
            <w:r>
              <w:rPr>
                <w:rFonts w:ascii="宋体" w:hAnsi="宋体" w:cs="宋体" w:eastAsia="宋体" w:hint="default"/>
                <w:sz w:val="18"/>
                <w:szCs w:val="18"/>
              </w:rPr>
              <w:t>电子商务云服务平台建设项目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运营商大数据平台建设项目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、已分别于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6"/>
                <w:sz w:val="18"/>
                <w:szCs w:val="18"/>
              </w:rPr>
              <w:t> </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10</w:t>
            </w:r>
            <w:r>
              <w:rPr>
                <w:rFonts w:ascii="Times New Roman" w:hAnsi="Times New Roman" w:cs="Times New Roman" w:eastAsia="Times New Roman" w:hint="default"/>
                <w:sz w:val="18"/>
                <w:szCs w:val="18"/>
              </w:rPr>
            </w:r>
          </w:p>
        </w:tc>
      </w:tr>
      <w:tr>
        <w:trPr>
          <w:trHeight w:val="330" w:hRule="exact"/>
        </w:trPr>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具体项目）</w:t>
            </w:r>
          </w:p>
        </w:tc>
        <w:tc>
          <w:tcPr>
            <w:tcW w:w="9028"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z w:val="18"/>
                <w:szCs w:val="18"/>
              </w:rPr>
              <w:t>月基本投入完毕，</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新一代业务支撑网管理系统建设项目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基地业务支撑系统建设项目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月基本投</w:t>
            </w:r>
          </w:p>
        </w:tc>
      </w:tr>
      <w:tr>
        <w:trPr>
          <w:trHeight w:val="353" w:hRule="exact"/>
        </w:trPr>
        <w:tc>
          <w:tcPr>
            <w:tcW w:w="1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9028" w:type="dxa"/>
            <w:gridSpan w:val="11"/>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入完毕，达到预定可使用状态。</w:t>
            </w:r>
          </w:p>
        </w:tc>
      </w:tr>
      <w:tr>
        <w:trPr>
          <w:trHeight w:val="358" w:hRule="exact"/>
        </w:trPr>
        <w:tc>
          <w:tcPr>
            <w:tcW w:w="10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项目可行性</w:t>
            </w:r>
          </w:p>
        </w:tc>
        <w:tc>
          <w:tcPr>
            <w:tcW w:w="9028" w:type="dxa"/>
            <w:gridSpan w:val="11"/>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24" w:right="70"/>
              <w:jc w:val="left"/>
              <w:rPr>
                <w:rFonts w:ascii="宋体" w:hAnsi="宋体" w:cs="宋体" w:eastAsia="宋体" w:hint="default"/>
                <w:sz w:val="18"/>
                <w:szCs w:val="18"/>
              </w:rPr>
            </w:pPr>
            <w:r>
              <w:rPr>
                <w:rFonts w:ascii="宋体" w:hAnsi="宋体" w:cs="宋体" w:eastAsia="宋体" w:hint="default"/>
                <w:sz w:val="18"/>
                <w:szCs w:val="18"/>
              </w:rPr>
              <w:t>发生重大变 化的情况说</w:t>
            </w:r>
          </w:p>
        </w:tc>
        <w:tc>
          <w:tcPr>
            <w:tcW w:w="9028"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7" w:hRule="exact"/>
        </w:trPr>
        <w:tc>
          <w:tcPr>
            <w:tcW w:w="10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明</w:t>
            </w:r>
          </w:p>
        </w:tc>
        <w:tc>
          <w:tcPr>
            <w:tcW w:w="9028" w:type="dxa"/>
            <w:gridSpan w:val="11"/>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0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超募资金的</w:t>
            </w:r>
          </w:p>
        </w:tc>
        <w:tc>
          <w:tcPr>
            <w:tcW w:w="902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7" w:hRule="exact"/>
        </w:trPr>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金额、用途</w:t>
            </w:r>
          </w:p>
        </w:tc>
        <w:tc>
          <w:tcPr>
            <w:tcW w:w="9028" w:type="dxa"/>
            <w:gridSpan w:val="11"/>
            <w:vMerge w:val="restart"/>
            <w:tcBorders>
              <w:top w:val="single" w:sz="4" w:space="0" w:color="000000"/>
              <w:left w:val="single" w:sz="4" w:space="0" w:color="000000"/>
              <w:right w:val="single" w:sz="4" w:space="0" w:color="000000"/>
            </w:tcBorders>
          </w:tcPr>
          <w:p>
            <w:pPr/>
          </w:p>
        </w:tc>
      </w:tr>
      <w:tr>
        <w:trPr>
          <w:trHeight w:val="312" w:hRule="exact"/>
        </w:trPr>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及使用进展</w:t>
            </w:r>
          </w:p>
        </w:tc>
        <w:tc>
          <w:tcPr>
            <w:tcW w:w="9028" w:type="dxa"/>
            <w:gridSpan w:val="11"/>
            <w:vMerge/>
            <w:tcBorders>
              <w:left w:val="single" w:sz="4" w:space="0" w:color="000000"/>
              <w:right w:val="single" w:sz="4" w:space="0" w:color="000000"/>
            </w:tcBorders>
          </w:tcPr>
          <w:p>
            <w:pPr/>
          </w:p>
        </w:tc>
      </w:tr>
      <w:tr>
        <w:trPr>
          <w:trHeight w:val="357" w:hRule="exact"/>
        </w:trPr>
        <w:tc>
          <w:tcPr>
            <w:tcW w:w="10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9028" w:type="dxa"/>
            <w:gridSpan w:val="11"/>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8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006"/>
        <w:gridCol w:w="9028"/>
      </w:tblGrid>
      <w:tr>
        <w:trPr>
          <w:trHeight w:val="401" w:hRule="exact"/>
        </w:trPr>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24" w:right="70"/>
              <w:jc w:val="both"/>
              <w:rPr>
                <w:rFonts w:ascii="宋体" w:hAnsi="宋体" w:cs="宋体" w:eastAsia="宋体" w:hint="default"/>
                <w:sz w:val="18"/>
                <w:szCs w:val="18"/>
              </w:rPr>
            </w:pPr>
            <w:r>
              <w:rPr>
                <w:rFonts w:ascii="宋体" w:hAnsi="宋体" w:cs="宋体" w:eastAsia="宋体" w:hint="default"/>
                <w:sz w:val="18"/>
                <w:szCs w:val="18"/>
              </w:rPr>
              <w:t>募集资金投 资项目实施 地点变更情 况</w:t>
            </w:r>
          </w:p>
        </w:tc>
        <w:tc>
          <w:tcPr>
            <w:tcW w:w="9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006" w:type="dxa"/>
            <w:vMerge/>
            <w:tcBorders>
              <w:left w:val="single" w:sz="4" w:space="0" w:color="000000"/>
              <w:right w:val="single" w:sz="4" w:space="0" w:color="000000"/>
            </w:tcBorders>
            <w:shd w:val="clear" w:color="auto" w:fill="D2D2D2"/>
          </w:tcPr>
          <w:p>
            <w:pPr/>
          </w:p>
        </w:tc>
        <w:tc>
          <w:tcPr>
            <w:tcW w:w="9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273" w:hRule="exact"/>
        </w:trPr>
        <w:tc>
          <w:tcPr>
            <w:tcW w:w="1006" w:type="dxa"/>
            <w:vMerge/>
            <w:tcBorders>
              <w:left w:val="single" w:sz="4" w:space="0" w:color="000000"/>
              <w:bottom w:val="single" w:sz="4" w:space="0" w:color="000000"/>
              <w:right w:val="single" w:sz="4" w:space="0" w:color="000000"/>
            </w:tcBorders>
            <w:shd w:val="clear" w:color="auto" w:fill="D2D2D2"/>
          </w:tcPr>
          <w:p>
            <w:pPr/>
          </w:p>
        </w:tc>
        <w:tc>
          <w:tcPr>
            <w:tcW w:w="90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日，公司召开第二届董事会第二十次会议及第二届监事会第十八次会议，审议通过了《关于新增募集 </w:t>
            </w:r>
            <w:r>
              <w:rPr>
                <w:rFonts w:ascii="宋体" w:hAnsi="宋体" w:cs="宋体" w:eastAsia="宋体" w:hint="default"/>
                <w:spacing w:val="-2"/>
                <w:sz w:val="18"/>
                <w:szCs w:val="18"/>
              </w:rPr>
              <w:t>资金投资项目实施主体及实施地点的议案》，同意募集资金投资项目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新一代移动互联网大数据云研发中心建设项</w:t>
            </w:r>
            <w:r>
              <w:rPr>
                <w:rFonts w:ascii="宋体" w:hAnsi="宋体" w:cs="宋体" w:eastAsia="宋体" w:hint="default"/>
                <w:spacing w:val="-81"/>
                <w:sz w:val="18"/>
                <w:szCs w:val="18"/>
              </w:rPr>
              <w:t> </w:t>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增加实施主体并且增加实施地点。该项目原规划实施主体为北京思特奇信息技术股份有限公司，实施地点为北 京市。本次新增募集资金投资项目实施主体及实施地点具体内容包括：</w:t>
            </w:r>
            <w:r>
              <w:rPr>
                <w:rFonts w:ascii="Times New Roman" w:hAnsi="Times New Roman" w:cs="Times New Roman" w:eastAsia="Times New Roman" w:hint="default"/>
                <w:sz w:val="18"/>
                <w:szCs w:val="18"/>
              </w:rPr>
              <w:t>1</w:t>
            </w:r>
            <w:r>
              <w:rPr>
                <w:rFonts w:ascii="宋体" w:hAnsi="宋体" w:cs="宋体" w:eastAsia="宋体" w:hint="default"/>
                <w:sz w:val="18"/>
                <w:szCs w:val="18"/>
              </w:rPr>
              <w:t>、增加全资子公司成都易信作为该项目的 实施主体；</w:t>
            </w:r>
            <w:r>
              <w:rPr>
                <w:rFonts w:ascii="Times New Roman" w:hAnsi="Times New Roman" w:cs="Times New Roman" w:eastAsia="Times New Roman" w:hint="default"/>
                <w:sz w:val="18"/>
                <w:szCs w:val="18"/>
              </w:rPr>
              <w:t>2</w:t>
            </w:r>
            <w:r>
              <w:rPr>
                <w:rFonts w:ascii="宋体" w:hAnsi="宋体" w:cs="宋体" w:eastAsia="宋体" w:hint="default"/>
                <w:sz w:val="18"/>
                <w:szCs w:val="18"/>
              </w:rPr>
              <w:t>、增加全资子公司成都易信的所在地成都市为该项目的实施地点。关于上述变更，公司发布了《关于 </w:t>
            </w:r>
            <w:r>
              <w:rPr>
                <w:rFonts w:ascii="宋体" w:hAnsi="宋体" w:cs="宋体" w:eastAsia="宋体" w:hint="default"/>
                <w:spacing w:val="-4"/>
                <w:sz w:val="18"/>
                <w:szCs w:val="18"/>
              </w:rPr>
              <w:t>新增募集资金投资项目实施主体及实施地点的公告》（公告编号：</w:t>
            </w:r>
            <w:r>
              <w:rPr>
                <w:rFonts w:ascii="Times New Roman" w:hAnsi="Times New Roman" w:cs="Times New Roman" w:eastAsia="Times New Roman" w:hint="default"/>
                <w:spacing w:val="-4"/>
                <w:sz w:val="18"/>
                <w:szCs w:val="18"/>
              </w:rPr>
              <w:t>2018-054</w:t>
            </w:r>
            <w:r>
              <w:rPr>
                <w:rFonts w:ascii="宋体" w:hAnsi="宋体" w:cs="宋体" w:eastAsia="宋体" w:hint="default"/>
                <w:spacing w:val="-4"/>
                <w:sz w:val="18"/>
                <w:szCs w:val="18"/>
              </w:rPr>
              <w:t>）。除上述变更外，该募投项目的投资总</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额、募集资金投入额、建设内容等不发生变化。</w:t>
            </w:r>
          </w:p>
        </w:tc>
      </w:tr>
      <w:tr>
        <w:trPr>
          <w:trHeight w:val="403" w:hRule="exact"/>
        </w:trPr>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z w:val="18"/>
                <w:szCs w:val="18"/>
              </w:rPr>
              <w:t>募集资金投 资项目实施 方式调整情 况</w:t>
            </w:r>
          </w:p>
        </w:tc>
        <w:tc>
          <w:tcPr>
            <w:tcW w:w="9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006" w:type="dxa"/>
            <w:vMerge/>
            <w:tcBorders>
              <w:left w:val="single" w:sz="4" w:space="0" w:color="000000"/>
              <w:right w:val="single" w:sz="4" w:space="0" w:color="000000"/>
            </w:tcBorders>
            <w:shd w:val="clear" w:color="auto" w:fill="D2D2D2"/>
          </w:tcPr>
          <w:p>
            <w:pPr/>
          </w:p>
        </w:tc>
        <w:tc>
          <w:tcPr>
            <w:tcW w:w="9028" w:type="dxa"/>
            <w:tcBorders>
              <w:top w:val="single" w:sz="4" w:space="0" w:color="000000"/>
              <w:left w:val="single" w:sz="4" w:space="0" w:color="000000"/>
              <w:bottom w:val="single" w:sz="4" w:space="0" w:color="000000"/>
              <w:right w:val="single" w:sz="4" w:space="0" w:color="000000"/>
            </w:tcBorders>
          </w:tcPr>
          <w:p>
            <w:pPr/>
          </w:p>
        </w:tc>
      </w:tr>
      <w:tr>
        <w:trPr>
          <w:trHeight w:val="535" w:hRule="exact"/>
        </w:trPr>
        <w:tc>
          <w:tcPr>
            <w:tcW w:w="1006" w:type="dxa"/>
            <w:vMerge/>
            <w:tcBorders>
              <w:left w:val="single" w:sz="4" w:space="0" w:color="000000"/>
              <w:bottom w:val="single" w:sz="4" w:space="0" w:color="000000"/>
              <w:right w:val="single" w:sz="4" w:space="0" w:color="000000"/>
            </w:tcBorders>
            <w:shd w:val="clear" w:color="auto" w:fill="D2D2D2"/>
          </w:tcPr>
          <w:p>
            <w:pPr/>
          </w:p>
        </w:tc>
        <w:tc>
          <w:tcPr>
            <w:tcW w:w="90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4" w:right="70"/>
              <w:jc w:val="both"/>
              <w:rPr>
                <w:rFonts w:ascii="宋体" w:hAnsi="宋体" w:cs="宋体" w:eastAsia="宋体" w:hint="default"/>
                <w:sz w:val="18"/>
                <w:szCs w:val="18"/>
              </w:rPr>
            </w:pPr>
            <w:r>
              <w:rPr>
                <w:rFonts w:ascii="宋体" w:hAnsi="宋体" w:cs="宋体" w:eastAsia="宋体" w:hint="default"/>
                <w:sz w:val="18"/>
                <w:szCs w:val="18"/>
              </w:rPr>
              <w:t>募集资金投 资项目先期 投入及置换 情况</w:t>
            </w:r>
          </w:p>
        </w:tc>
        <w:tc>
          <w:tcPr>
            <w:tcW w:w="9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012" w:hRule="exact"/>
        </w:trPr>
        <w:tc>
          <w:tcPr>
            <w:tcW w:w="1006" w:type="dxa"/>
            <w:vMerge/>
            <w:tcBorders>
              <w:left w:val="single" w:sz="4" w:space="0" w:color="000000"/>
              <w:bottom w:val="single" w:sz="4" w:space="0" w:color="000000"/>
              <w:right w:val="single" w:sz="4" w:space="0" w:color="000000"/>
            </w:tcBorders>
            <w:shd w:val="clear" w:color="auto" w:fill="D2D2D2"/>
          </w:tcPr>
          <w:p>
            <w:pPr/>
          </w:p>
        </w:tc>
        <w:tc>
          <w:tcPr>
            <w:tcW w:w="9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日，公司召开第二届董事会第八次会议、第二届监事会第八次会议审议通过《关于使用募集资金</w:t>
            </w:r>
          </w:p>
          <w:p>
            <w:pPr>
              <w:pStyle w:val="TableParagraph"/>
              <w:spacing w:line="307" w:lineRule="auto" w:before="60"/>
              <w:ind w:left="23" w:right="26"/>
              <w:jc w:val="both"/>
              <w:rPr>
                <w:rFonts w:ascii="宋体" w:hAnsi="宋体" w:cs="宋体" w:eastAsia="宋体" w:hint="default"/>
                <w:sz w:val="18"/>
                <w:szCs w:val="18"/>
              </w:rPr>
            </w:pPr>
            <w:r>
              <w:rPr>
                <w:rFonts w:ascii="宋体" w:hAnsi="宋体" w:cs="宋体" w:eastAsia="宋体" w:hint="default"/>
                <w:spacing w:val="-4"/>
                <w:sz w:val="18"/>
                <w:szCs w:val="18"/>
              </w:rPr>
              <w:t>置换预先投入募集资金投资项目自筹资金的议案》，以募集资金</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5,331.63</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万元置换预先投入募集资金投资项目的自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筹资金。瑞华会计师事务所（特殊普通合伙）对以自筹资金预先投入募投项目情况进行了专项审核，并出具了《北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京思特奇信息技术股份有限公司以自筹资金预先投入募集资金投资项目情况报告的鉴证报告》（瑞华核字【</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宋体" w:hAnsi="宋体" w:cs="宋体" w:eastAsia="宋体" w:hint="default"/>
                <w:spacing w:val="-73"/>
                <w:sz w:val="18"/>
                <w:szCs w:val="18"/>
              </w:rPr>
              <w:t> </w:t>
            </w:r>
            <w:r>
              <w:rPr>
                <w:rFonts w:ascii="Times New Roman" w:hAnsi="Times New Roman" w:cs="Times New Roman" w:eastAsia="Times New Roman" w:hint="default"/>
                <w:spacing w:val="-1"/>
                <w:sz w:val="18"/>
                <w:szCs w:val="18"/>
              </w:rPr>
              <w:t>01660018</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号）。独立董事、保荐机构东方花旗证券均发表了意见。</w:t>
            </w:r>
          </w:p>
          <w:p>
            <w:pPr>
              <w:pStyle w:val="TableParagraph"/>
              <w:spacing w:line="307" w:lineRule="auto" w:before="48"/>
              <w:ind w:left="23" w:right="-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日，公司召开第二届董事会第十七次会议及第二届监事会第十五次会议，审议通过了《关于对以 </w:t>
            </w:r>
            <w:r>
              <w:rPr>
                <w:rFonts w:ascii="宋体" w:hAnsi="宋体" w:cs="宋体" w:eastAsia="宋体" w:hint="default"/>
                <w:spacing w:val="-2"/>
                <w:sz w:val="18"/>
                <w:szCs w:val="18"/>
              </w:rPr>
              <w:t>募集资金置换预先投入募投项目的自有资金予以确认的议案》，公司拟以募集资金置换先期投入募投项目的自筹资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6,869.16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万元，瑞华会计师事务所（特殊普通合伙）对公司以自筹资金预先投入募投项目情况进行了专项 审核，并出具了《北京思特奇信息技术股份有限公司以自筹资金预先投入募集资金投资项目情况报告的鉴证报告》</w:t>
            </w:r>
          </w:p>
          <w:p>
            <w:pPr>
              <w:pStyle w:val="TableParagraph"/>
              <w:spacing w:line="309" w:lineRule="auto" w:before="26"/>
              <w:ind w:left="23" w:right="23"/>
              <w:jc w:val="both"/>
              <w:rPr>
                <w:rFonts w:ascii="宋体" w:hAnsi="宋体" w:cs="宋体" w:eastAsia="宋体" w:hint="default"/>
                <w:sz w:val="18"/>
                <w:szCs w:val="18"/>
              </w:rPr>
            </w:pPr>
            <w:r>
              <w:rPr>
                <w:rFonts w:ascii="宋体" w:hAnsi="宋体" w:cs="宋体" w:eastAsia="宋体" w:hint="default"/>
                <w:spacing w:val="-1"/>
                <w:sz w:val="18"/>
                <w:szCs w:val="18"/>
              </w:rPr>
              <w:t>（瑞华核字【</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01660024</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号），对募集资金投资项目预先投入自筹资金的情况进行了核验和确认。独立董事和</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1"/>
                <w:sz w:val="18"/>
                <w:szCs w:val="18"/>
              </w:rPr>
              <w:t>保荐机构东方花旗证券均发表了同意意见。上述公司《关于对以募集资金置换预先投入募投项目的自有资金予以确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0"/>
                <w:sz w:val="18"/>
                <w:szCs w:val="18"/>
              </w:rPr>
              <w:t>认的议案》，已经公司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5"/>
                <w:sz w:val="18"/>
                <w:szCs w:val="18"/>
              </w:rPr>
              <w:t> </w:t>
            </w:r>
            <w:r>
              <w:rPr>
                <w:rFonts w:ascii="宋体" w:hAnsi="宋体" w:cs="宋体" w:eastAsia="宋体" w:hint="default"/>
                <w:spacing w:val="-1"/>
                <w:sz w:val="18"/>
                <w:szCs w:val="18"/>
              </w:rPr>
              <w:t>年年度股东大会审议通过。</w:t>
            </w:r>
          </w:p>
          <w:p>
            <w:pPr>
              <w:pStyle w:val="TableParagraph"/>
              <w:spacing w:line="240" w:lineRule="auto" w:before="46"/>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日，公司召开第二届董事会第二十六次会议及第二届监事会第二十四次会议，审议通过了《关于</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对以募集资金置换预先投入募投项目的自有资金予以重新确认的议案</w:t>
            </w:r>
            <w:r>
              <w:rPr>
                <w:rFonts w:ascii="宋体" w:hAnsi="宋体" w:cs="宋体" w:eastAsia="宋体" w:hint="default"/>
                <w:spacing w:val="-92"/>
                <w:sz w:val="18"/>
                <w:szCs w:val="18"/>
              </w:rPr>
              <w:t>》</w:t>
            </w:r>
            <w:r>
              <w:rPr>
                <w:rFonts w:ascii="宋体" w:hAnsi="宋体" w:cs="宋体" w:eastAsia="宋体" w:hint="default"/>
                <w:sz w:val="18"/>
                <w:szCs w:val="18"/>
              </w:rPr>
              <w:t>，对公司</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月期间募</w:t>
            </w:r>
          </w:p>
          <w:p>
            <w:pPr>
              <w:pStyle w:val="TableParagraph"/>
              <w:spacing w:line="312"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集资金使用情况进行了重新确认，实际需使用募集资金置换预先投入自有资金的金额为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1,795.96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万元。瑞华会计师</w:t>
            </w:r>
            <w:r>
              <w:rPr>
                <w:rFonts w:ascii="宋体" w:hAnsi="宋体" w:cs="宋体" w:eastAsia="宋体" w:hint="default"/>
                <w:sz w:val="18"/>
                <w:szCs w:val="18"/>
              </w:rPr>
              <w:t> </w:t>
            </w:r>
            <w:r>
              <w:rPr>
                <w:rFonts w:ascii="宋体" w:hAnsi="宋体" w:cs="宋体" w:eastAsia="宋体" w:hint="default"/>
                <w:spacing w:val="-1"/>
                <w:sz w:val="18"/>
                <w:szCs w:val="18"/>
              </w:rPr>
              <w:t>事务所（特殊普通合伙）对公司以自筹资金预先投入募投项目情况重新进行了专项审核，并出具了《关于北京思特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奇信息技术股份有限公司以自筹资金预先投入募集资金投资项目情况报告的鉴证报告》（瑞华核字【</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02300001</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pacing w:val="-2"/>
                <w:sz w:val="18"/>
                <w:szCs w:val="18"/>
              </w:rPr>
              <w:t>号），对公司募集资金投资项目预先投入自筹资金的情况重新进行了核验和确认。独立董事和保荐机构东方花旗证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券均发表了同意意见。上述公司《关于对以募集资金置换预先投入募投项目的自有资金予以重新确认的议案》，已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年度股东大会审议通过。</w:t>
            </w:r>
          </w:p>
          <w:p>
            <w:pPr>
              <w:pStyle w:val="TableParagraph"/>
              <w:spacing w:line="240" w:lineRule="auto" w:before="41"/>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日，公司召开第二届董事会第二十七次会议及第二届监事会第二十五次会议，审议通过了《关于</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使用募集资金置换预先投入募投项目自筹资金的议案</w:t>
            </w:r>
            <w:r>
              <w:rPr>
                <w:rFonts w:ascii="宋体" w:hAnsi="宋体" w:cs="宋体" w:eastAsia="宋体" w:hint="default"/>
                <w:spacing w:val="-92"/>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司</w:t>
            </w:r>
            <w:r>
              <w:rPr>
                <w:rFonts w:ascii="宋体" w:hAnsi="宋体" w:cs="宋体" w:eastAsia="宋体" w:hint="default"/>
                <w:sz w:val="18"/>
                <w:szCs w:val="18"/>
              </w:rPr>
              <w:t>使用募集资金对自</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28</w:t>
            </w:r>
            <w:r>
              <w:rPr>
                <w:rFonts w:ascii="Times New Roman" w:hAnsi="Times New Roman" w:cs="Times New Roman" w:eastAsia="Times New Roman" w:hint="default"/>
                <w:sz w:val="18"/>
                <w:szCs w:val="18"/>
              </w:rPr>
            </w:r>
          </w:p>
          <w:p>
            <w:pPr>
              <w:pStyle w:val="TableParagraph"/>
              <w:spacing w:line="300"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日止预先投入募集资金投资项目的自筹资金实际发生额人民币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5,492.72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万元予以置换。瑞华会计师事务所（特殊普 </w:t>
            </w:r>
            <w:r>
              <w:rPr>
                <w:rFonts w:ascii="宋体" w:hAnsi="宋体" w:cs="宋体" w:eastAsia="宋体" w:hint="default"/>
                <w:spacing w:val="-2"/>
                <w:sz w:val="18"/>
                <w:szCs w:val="18"/>
              </w:rPr>
              <w:t>通合伙）进行了专项审核，并出具了瑞华核字【</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01660011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号《关于北京思特奇信息技术股份有限公司以自筹 </w:t>
            </w:r>
            <w:r>
              <w:rPr>
                <w:rFonts w:ascii="宋体" w:hAnsi="宋体" w:cs="宋体" w:eastAsia="宋体" w:hint="default"/>
                <w:spacing w:val="-2"/>
                <w:sz w:val="18"/>
                <w:szCs w:val="18"/>
              </w:rPr>
              <w:t>资金预先投入募集资金投资项目情况报告的鉴证报告》。独立董事和保荐机构东方花旗证券均发表了同意意见。</w:t>
            </w:r>
          </w:p>
        </w:tc>
      </w:tr>
      <w:tr>
        <w:trPr>
          <w:trHeight w:val="401" w:hRule="exact"/>
        </w:trPr>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70"/>
              <w:jc w:val="both"/>
              <w:rPr>
                <w:rFonts w:ascii="宋体" w:hAnsi="宋体" w:cs="宋体" w:eastAsia="宋体" w:hint="default"/>
                <w:sz w:val="18"/>
                <w:szCs w:val="18"/>
              </w:rPr>
            </w:pPr>
            <w:r>
              <w:rPr>
                <w:rFonts w:ascii="宋体" w:hAnsi="宋体" w:cs="宋体" w:eastAsia="宋体" w:hint="default"/>
                <w:sz w:val="18"/>
                <w:szCs w:val="18"/>
              </w:rPr>
              <w:t>用闲置募集 资金暂时补 充流动资金</w:t>
            </w:r>
          </w:p>
        </w:tc>
        <w:tc>
          <w:tcPr>
            <w:tcW w:w="9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74" w:hRule="exact"/>
        </w:trPr>
        <w:tc>
          <w:tcPr>
            <w:tcW w:w="1006" w:type="dxa"/>
            <w:vMerge/>
            <w:tcBorders>
              <w:left w:val="single" w:sz="4" w:space="0" w:color="000000"/>
              <w:bottom w:val="single" w:sz="4" w:space="0" w:color="000000"/>
              <w:right w:val="single" w:sz="4" w:space="0" w:color="000000"/>
            </w:tcBorders>
            <w:shd w:val="clear" w:color="auto" w:fill="D2D2D2"/>
          </w:tcPr>
          <w:p>
            <w:pPr/>
          </w:p>
        </w:tc>
        <w:tc>
          <w:tcPr>
            <w:tcW w:w="9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日，公司召开第二届董事会第十七次会议及第二届监事会第十五次会议，审议通过了《关于以部分</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闲置募集资金用于暂时补充流动资金的议案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，公司拟使用</w:t>
            </w:r>
            <w:r>
              <w:rPr>
                <w:rFonts w:ascii="宋体" w:hAnsi="宋体" w:cs="宋体" w:eastAsia="宋体" w:hint="default"/>
                <w:spacing w:val="2"/>
                <w:sz w:val="18"/>
                <w:szCs w:val="18"/>
              </w:rPr>
              <w:t>不</w:t>
            </w:r>
            <w:r>
              <w:rPr>
                <w:rFonts w:ascii="宋体" w:hAnsi="宋体" w:cs="宋体" w:eastAsia="宋体" w:hint="default"/>
                <w:sz w:val="18"/>
                <w:szCs w:val="18"/>
              </w:rPr>
              <w:t>超过</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万元闲置募集资</w:t>
            </w:r>
            <w:r>
              <w:rPr>
                <w:rFonts w:ascii="宋体" w:hAnsi="宋体" w:cs="宋体" w:eastAsia="宋体" w:hint="default"/>
                <w:spacing w:val="-3"/>
                <w:sz w:val="18"/>
                <w:szCs w:val="18"/>
              </w:rPr>
              <w:t>金</w:t>
            </w:r>
            <w:r>
              <w:rPr>
                <w:rFonts w:ascii="宋体" w:hAnsi="宋体" w:cs="宋体" w:eastAsia="宋体" w:hint="default"/>
                <w:sz w:val="18"/>
                <w:szCs w:val="18"/>
              </w:rPr>
              <w:t>临时补充公司日常经营</w:t>
            </w:r>
          </w:p>
        </w:tc>
      </w:tr>
    </w:tbl>
    <w:p>
      <w:pPr>
        <w:spacing w:after="0" w:line="240" w:lineRule="auto"/>
        <w:jc w:val="left"/>
        <w:rPr>
          <w:rFonts w:ascii="宋体" w:hAnsi="宋体" w:cs="宋体" w:eastAsia="宋体" w:hint="default"/>
          <w:sz w:val="18"/>
          <w:szCs w:val="18"/>
        </w:rPr>
        <w:sectPr>
          <w:pgSz w:w="11910" w:h="16840"/>
          <w:pgMar w:header="748" w:footer="974" w:top="1060" w:bottom="1160" w:left="8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006"/>
        <w:gridCol w:w="9028"/>
      </w:tblGrid>
      <w:tr>
        <w:trPr>
          <w:trHeight w:val="987" w:hRule="exact"/>
        </w:trPr>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90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1"/>
                <w:sz w:val="18"/>
                <w:szCs w:val="18"/>
              </w:rPr>
              <w:t>所需流动资金，使用期限自公司董事会审议批准之日起不超过九个月，到期日前将归还至募集资金专户。独立董事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和保荐机构东方花旗证券均发表了同意意见。截至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月，公司已将用于暂时补充流动资金的募集资金人民</w:t>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万元全部归还至公司募集资金专用账户。</w:t>
            </w:r>
          </w:p>
        </w:tc>
      </w:tr>
      <w:tr>
        <w:trPr>
          <w:trHeight w:val="401" w:hRule="exact"/>
        </w:trPr>
        <w:tc>
          <w:tcPr>
            <w:tcW w:w="10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项目实施出</w:t>
            </w:r>
          </w:p>
        </w:tc>
        <w:tc>
          <w:tcPr>
            <w:tcW w:w="9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9" w:hRule="exact"/>
        </w:trPr>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现募集资金</w:t>
            </w:r>
          </w:p>
        </w:tc>
        <w:tc>
          <w:tcPr>
            <w:tcW w:w="9028" w:type="dxa"/>
            <w:vMerge w:val="restart"/>
            <w:tcBorders>
              <w:top w:val="single" w:sz="4" w:space="0" w:color="000000"/>
              <w:left w:val="single" w:sz="4" w:space="0" w:color="000000"/>
              <w:right w:val="single" w:sz="4" w:space="0" w:color="000000"/>
            </w:tcBorders>
          </w:tcPr>
          <w:p>
            <w:pPr/>
          </w:p>
        </w:tc>
      </w:tr>
      <w:tr>
        <w:trPr>
          <w:trHeight w:val="312" w:hRule="exact"/>
        </w:trPr>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结余的金额</w:t>
            </w:r>
          </w:p>
        </w:tc>
        <w:tc>
          <w:tcPr>
            <w:tcW w:w="9028" w:type="dxa"/>
            <w:vMerge/>
            <w:tcBorders>
              <w:left w:val="single" w:sz="4" w:space="0" w:color="000000"/>
              <w:right w:val="single" w:sz="4" w:space="0" w:color="000000"/>
            </w:tcBorders>
          </w:tcPr>
          <w:p>
            <w:pPr/>
          </w:p>
        </w:tc>
      </w:tr>
      <w:tr>
        <w:trPr>
          <w:trHeight w:val="355" w:hRule="exact"/>
        </w:trPr>
        <w:tc>
          <w:tcPr>
            <w:tcW w:w="10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及原因</w:t>
            </w:r>
          </w:p>
        </w:tc>
        <w:tc>
          <w:tcPr>
            <w:tcW w:w="9028" w:type="dxa"/>
            <w:vMerge/>
            <w:tcBorders>
              <w:left w:val="single" w:sz="4" w:space="0" w:color="000000"/>
              <w:bottom w:val="single" w:sz="4" w:space="0" w:color="000000"/>
              <w:right w:val="single" w:sz="4" w:space="0" w:color="000000"/>
            </w:tcBorders>
          </w:tcPr>
          <w:p>
            <w:pPr/>
          </w:p>
        </w:tc>
      </w:tr>
      <w:tr>
        <w:trPr>
          <w:trHeight w:val="358" w:hRule="exact"/>
        </w:trPr>
        <w:tc>
          <w:tcPr>
            <w:tcW w:w="10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尚未使用的</w:t>
            </w:r>
          </w:p>
        </w:tc>
        <w:tc>
          <w:tcPr>
            <w:tcW w:w="902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募集资金用</w:t>
            </w:r>
          </w:p>
        </w:tc>
        <w:tc>
          <w:tcPr>
            <w:tcW w:w="9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尚未使用的募集资金全部存在募集资金银行专户中，按照公司《募集资金使用管理办法》严格管理和使用。</w:t>
            </w:r>
          </w:p>
        </w:tc>
      </w:tr>
      <w:tr>
        <w:trPr>
          <w:trHeight w:val="357" w:hRule="exact"/>
        </w:trPr>
        <w:tc>
          <w:tcPr>
            <w:tcW w:w="10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途及去向</w:t>
            </w:r>
          </w:p>
        </w:tc>
        <w:tc>
          <w:tcPr>
            <w:tcW w:w="902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募集资金使</w:t>
            </w:r>
          </w:p>
        </w:tc>
        <w:tc>
          <w:tcPr>
            <w:tcW w:w="90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月，公司多次以募集资金置换预先投入的自有资金，并于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月补充履行审议程序及</w:t>
            </w:r>
          </w:p>
        </w:tc>
      </w:tr>
      <w:tr>
        <w:trPr>
          <w:trHeight w:val="312" w:hRule="exact"/>
        </w:trPr>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用及披露中</w:t>
            </w:r>
          </w:p>
        </w:tc>
        <w:tc>
          <w:tcPr>
            <w:tcW w:w="90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披露相关信息</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日，公司披露《关于募集资金置换先期投入的补充及更正公告</w:t>
            </w:r>
            <w:r>
              <w:rPr>
                <w:rFonts w:ascii="宋体" w:hAnsi="宋体" w:cs="宋体" w:eastAsia="宋体" w:hint="default"/>
                <w:spacing w:val="-92"/>
                <w:sz w:val="18"/>
                <w:szCs w:val="18"/>
              </w:rPr>
              <w:t>》</w:t>
            </w:r>
            <w:r>
              <w:rPr>
                <w:rFonts w:ascii="宋体" w:hAnsi="宋体" w:cs="宋体" w:eastAsia="宋体" w:hint="default"/>
                <w:sz w:val="18"/>
                <w:szCs w:val="18"/>
              </w:rPr>
              <w:t>，经公司、会计师事</w:t>
            </w:r>
          </w:p>
        </w:tc>
      </w:tr>
      <w:tr>
        <w:trPr>
          <w:trHeight w:val="312" w:hRule="exact"/>
        </w:trPr>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存在的问题</w:t>
            </w:r>
          </w:p>
        </w:tc>
        <w:tc>
          <w:tcPr>
            <w:tcW w:w="90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务所及保荐机构东方花旗证券再度核查确认，累计置换金额更正为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1,795.96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日，公司收到深圳</w:t>
            </w:r>
          </w:p>
        </w:tc>
      </w:tr>
      <w:tr>
        <w:trPr>
          <w:trHeight w:val="350" w:hRule="exact"/>
        </w:trPr>
        <w:tc>
          <w:tcPr>
            <w:tcW w:w="10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或其他情况</w:t>
            </w:r>
          </w:p>
        </w:tc>
        <w:tc>
          <w:tcPr>
            <w:tcW w:w="90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证券交易所《关于对北京思特奇信息技术股份有限公司的监管函</w:t>
            </w:r>
            <w:r>
              <w:rPr>
                <w:rFonts w:ascii="宋体" w:hAnsi="宋体" w:cs="宋体" w:eastAsia="宋体" w:hint="default"/>
                <w:spacing w:val="-92"/>
                <w:sz w:val="18"/>
                <w:szCs w:val="18"/>
              </w:rPr>
              <w:t>》</w:t>
            </w:r>
            <w:r>
              <w:rPr>
                <w:rFonts w:ascii="宋体" w:hAnsi="宋体" w:cs="宋体" w:eastAsia="宋体" w:hint="default"/>
                <w:sz w:val="18"/>
                <w:szCs w:val="18"/>
              </w:rPr>
              <w:t>（创业板监管函</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2019</w:t>
            </w:r>
            <w:r>
              <w:rPr>
                <w:rFonts w:ascii="宋体" w:hAnsi="宋体" w:cs="宋体" w:eastAsia="宋体" w:hint="default"/>
                <w:spacing w:val="-3"/>
                <w:sz w:val="18"/>
                <w:szCs w:val="18"/>
              </w:rPr>
              <w:t>】</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313" w:right="641"/>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31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left="313" w:right="641"/>
        <w:jc w:val="left"/>
        <w:rPr>
          <w:b w:val="0"/>
          <w:bCs w:val="0"/>
        </w:rPr>
      </w:pP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313" w:right="641"/>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31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4"/>
        <w:spacing w:line="240" w:lineRule="auto"/>
        <w:ind w:left="313" w:right="641"/>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13" w:right="6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313" w:right="641"/>
        <w:jc w:val="left"/>
        <w:rPr>
          <w:b w:val="0"/>
          <w:bCs w:val="0"/>
        </w:rPr>
      </w:pPr>
      <w:r>
        <w:rPr/>
        <w:t>七、主要控股参股公司分析</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31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公司报告期内无应当披露的重要控股参股公司信息。</w:t>
      </w:r>
    </w:p>
    <w:p>
      <w:pPr>
        <w:spacing w:line="240" w:lineRule="auto" w:before="8"/>
        <w:rPr>
          <w:rFonts w:ascii="宋体" w:hAnsi="宋体" w:cs="宋体" w:eastAsia="宋体" w:hint="default"/>
          <w:sz w:val="19"/>
          <w:szCs w:val="19"/>
        </w:rPr>
      </w:pPr>
    </w:p>
    <w:p>
      <w:pPr>
        <w:pStyle w:val="Heading2"/>
        <w:spacing w:line="240" w:lineRule="auto"/>
        <w:ind w:left="313" w:right="641"/>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13" w:right="6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313" w:right="641"/>
        <w:jc w:val="left"/>
        <w:rPr>
          <w:b w:val="0"/>
          <w:bCs w:val="0"/>
        </w:rPr>
      </w:pPr>
      <w:r>
        <w:rPr/>
        <w:t>九、公司未来发展的展望</w:t>
      </w:r>
      <w:r>
        <w:rPr>
          <w:b w:val="0"/>
          <w:bCs w:val="0"/>
        </w:rPr>
      </w:r>
    </w:p>
    <w:p>
      <w:pPr>
        <w:spacing w:line="240" w:lineRule="auto" w:before="2"/>
        <w:rPr>
          <w:rFonts w:ascii="宋体" w:hAnsi="宋体" w:cs="宋体" w:eastAsia="宋体" w:hint="default"/>
          <w:b/>
          <w:bCs/>
          <w:sz w:val="24"/>
          <w:szCs w:val="24"/>
        </w:rPr>
      </w:pPr>
    </w:p>
    <w:p>
      <w:pPr>
        <w:pStyle w:val="Heading3"/>
        <w:spacing w:line="240" w:lineRule="auto"/>
        <w:ind w:left="716" w:right="8121"/>
        <w:jc w:val="center"/>
        <w:rPr>
          <w:b w:val="0"/>
          <w:bCs w:val="0"/>
        </w:rPr>
      </w:pPr>
      <w:r>
        <w:rPr/>
        <w:t>（一）行业格局和发展</w:t>
      </w:r>
      <w:r>
        <w:rPr>
          <w:b w:val="0"/>
          <w:bCs w:val="0"/>
        </w:rPr>
      </w:r>
    </w:p>
    <w:p>
      <w:pPr>
        <w:spacing w:after="0" w:line="240" w:lineRule="auto"/>
        <w:jc w:val="center"/>
        <w:sectPr>
          <w:pgSz w:w="11910" w:h="16840"/>
          <w:pgMar w:header="748" w:footer="974" w:top="1060" w:bottom="1160" w:left="820" w:right="0"/>
        </w:sectPr>
      </w:pPr>
    </w:p>
    <w:p>
      <w:pPr>
        <w:spacing w:line="240" w:lineRule="auto" w:before="9"/>
        <w:rPr>
          <w:rFonts w:ascii="宋体" w:hAnsi="宋体" w:cs="宋体" w:eastAsia="宋体" w:hint="default"/>
          <w:b/>
          <w:bCs/>
          <w:sz w:val="25"/>
          <w:szCs w:val="25"/>
        </w:rPr>
      </w:pPr>
    </w:p>
    <w:p>
      <w:pPr>
        <w:pStyle w:val="Heading5"/>
        <w:spacing w:line="240" w:lineRule="auto"/>
        <w:ind w:right="982"/>
        <w:jc w:val="left"/>
        <w:rPr>
          <w:b w:val="0"/>
          <w:bCs w:val="0"/>
        </w:rPr>
      </w:pPr>
      <w:r>
        <w:rPr>
          <w:rFonts w:ascii="Times New Roman" w:hAnsi="Times New Roman" w:cs="Times New Roman" w:eastAsia="Times New Roman" w:hint="default"/>
        </w:rPr>
        <w:t>1</w:t>
      </w:r>
      <w:r>
        <w:rPr/>
        <w:t>、以</w:t>
      </w:r>
      <w:r>
        <w:rPr>
          <w:rFonts w:ascii="Times New Roman" w:hAnsi="Times New Roman" w:cs="Times New Roman" w:eastAsia="Times New Roman" w:hint="default"/>
        </w:rPr>
        <w:t>5G</w:t>
      </w:r>
      <w:r>
        <w:rPr/>
        <w:t>为核心的国家新基建战略，为未来的</w:t>
      </w:r>
      <w:r>
        <w:rPr>
          <w:rFonts w:ascii="Times New Roman" w:hAnsi="Times New Roman" w:cs="Times New Roman" w:eastAsia="Times New Roman" w:hint="default"/>
        </w:rPr>
        <w:t>5G</w:t>
      </w:r>
      <w:r>
        <w:rPr/>
        <w:t>及</w:t>
      </w:r>
      <w:r>
        <w:rPr>
          <w:rFonts w:ascii="Times New Roman" w:hAnsi="Times New Roman" w:cs="Times New Roman" w:eastAsia="Times New Roman" w:hint="default"/>
        </w:rPr>
        <w:t>5G+</w:t>
      </w:r>
      <w:r>
        <w:rPr/>
        <w:t>市场开启了数十万亿的市场空间</w:t>
      </w:r>
      <w:r>
        <w:rPr>
          <w:b w:val="0"/>
          <w:bCs w:val="0"/>
        </w:rPr>
      </w:r>
    </w:p>
    <w:p>
      <w:pPr>
        <w:pStyle w:val="BodyText"/>
        <w:spacing w:line="300" w:lineRule="auto" w:before="104"/>
        <w:ind w:right="1133" w:firstLine="360"/>
        <w:jc w:val="both"/>
      </w:pPr>
      <w:r>
        <w:rPr>
          <w:rFonts w:ascii="Times New Roman" w:hAnsi="Times New Roman" w:cs="Times New Roman" w:eastAsia="Times New Roman" w:hint="default"/>
        </w:rPr>
        <w:t>2019</w:t>
      </w:r>
      <w:r>
        <w:rPr/>
        <w:t>年，我国正式进入</w:t>
      </w:r>
      <w:r>
        <w:rPr>
          <w:rFonts w:ascii="Times New Roman" w:hAnsi="Times New Roman" w:cs="Times New Roman" w:eastAsia="Times New Roman" w:hint="default"/>
        </w:rPr>
        <w:t>5G</w:t>
      </w:r>
      <w:r>
        <w:rPr/>
        <w:t>商用元年，工业和信息化部正式向中国移动、中国联通、中国电信和中国广电发放</w:t>
      </w:r>
      <w:r>
        <w:rPr>
          <w:rFonts w:ascii="Times New Roman" w:hAnsi="Times New Roman" w:cs="Times New Roman" w:eastAsia="Times New Roman" w:hint="default"/>
        </w:rPr>
        <w:t>5G</w:t>
      </w:r>
      <w:r>
        <w:rPr/>
        <w:t>商用牌 照。</w:t>
      </w:r>
      <w:r>
        <w:rPr>
          <w:rFonts w:ascii="Times New Roman" w:hAnsi="Times New Roman" w:cs="Times New Roman" w:eastAsia="Times New Roman" w:hint="default"/>
          <w:color w:val="242424"/>
        </w:rPr>
        <w:t>6</w:t>
      </w:r>
      <w:r>
        <w:rPr>
          <w:color w:val="242424"/>
        </w:rPr>
        <w:t>月</w:t>
      </w:r>
      <w:r>
        <w:rPr>
          <w:rFonts w:ascii="Times New Roman" w:hAnsi="Times New Roman" w:cs="Times New Roman" w:eastAsia="Times New Roman" w:hint="default"/>
          <w:color w:val="242424"/>
        </w:rPr>
        <w:t>6</w:t>
      </w:r>
      <w:r>
        <w:rPr>
          <w:color w:val="242424"/>
        </w:rPr>
        <w:t>日</w:t>
      </w:r>
      <w:r>
        <w:rPr>
          <w:rFonts w:ascii="Times New Roman" w:hAnsi="Times New Roman" w:cs="Times New Roman" w:eastAsia="Times New Roman" w:hint="default"/>
          <w:color w:val="242424"/>
        </w:rPr>
        <w:t>5G</w:t>
      </w:r>
      <w:r>
        <w:rPr>
          <w:color w:val="242424"/>
        </w:rPr>
        <w:t>牌照发放以来，</w:t>
      </w:r>
      <w:r>
        <w:rPr>
          <w:rFonts w:ascii="Times New Roman" w:hAnsi="Times New Roman" w:cs="Times New Roman" w:eastAsia="Times New Roman" w:hint="default"/>
          <w:color w:val="242424"/>
        </w:rPr>
        <w:t>5G</w:t>
      </w:r>
      <w:r>
        <w:rPr>
          <w:color w:val="242424"/>
        </w:rPr>
        <w:t>建设明显提速。</w:t>
      </w:r>
      <w:r>
        <w:rPr>
          <w:rFonts w:ascii="Times New Roman" w:hAnsi="Times New Roman" w:cs="Times New Roman" w:eastAsia="Times New Roman" w:hint="default"/>
          <w:color w:val="242424"/>
        </w:rPr>
        <w:t>5G</w:t>
      </w:r>
      <w:r>
        <w:rPr>
          <w:color w:val="242424"/>
        </w:rPr>
        <w:t>各项招标逐渐启动，相关产业链内的公司有望深度受益。</w:t>
      </w:r>
      <w:r>
        <w:rPr/>
      </w:r>
    </w:p>
    <w:p>
      <w:pPr>
        <w:pStyle w:val="BodyText"/>
        <w:spacing w:line="300" w:lineRule="auto" w:before="51"/>
        <w:ind w:right="1135" w:firstLine="360"/>
        <w:jc w:val="both"/>
      </w:pPr>
      <w:r>
        <w:rPr>
          <w:rFonts w:ascii="Times New Roman" w:hAnsi="Times New Roman" w:cs="Times New Roman" w:eastAsia="Times New Roman" w:hint="default"/>
        </w:rPr>
        <w:t>2019</w:t>
      </w:r>
      <w:r>
        <w:rPr/>
        <w:t>年中央经济工作会议中首次提出了新基建的概念，其中</w:t>
      </w:r>
      <w:r>
        <w:rPr>
          <w:rFonts w:ascii="Times New Roman" w:hAnsi="Times New Roman" w:cs="Times New Roman" w:eastAsia="Times New Roman" w:hint="default"/>
        </w:rPr>
        <w:t>5G</w:t>
      </w:r>
      <w:r>
        <w:rPr/>
        <w:t>、人工智能、工业互联网、物联网成为了新基建得重点 的建设方向。</w:t>
      </w:r>
    </w:p>
    <w:p>
      <w:pPr>
        <w:pStyle w:val="BodyText"/>
        <w:spacing w:line="300" w:lineRule="auto" w:before="72"/>
        <w:ind w:right="1132" w:firstLine="360"/>
        <w:jc w:val="both"/>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日，中央会议上强调要加快</w:t>
      </w:r>
      <w:r>
        <w:rPr>
          <w:rFonts w:ascii="Times New Roman" w:hAnsi="Times New Roman" w:cs="Times New Roman" w:eastAsia="Times New Roman" w:hint="default"/>
        </w:rPr>
        <w:t>5G</w:t>
      </w:r>
      <w:r>
        <w:rPr/>
        <w:t>网络、数据中心等新型基础设施建设进度，被称为</w:t>
      </w: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的新型基础设施 建设承担着疫后经济复苏使命，成为我国经济增长的新引擎，很快成为产业界热门概念。</w:t>
      </w:r>
    </w:p>
    <w:p>
      <w:pPr>
        <w:pStyle w:val="BodyText"/>
        <w:spacing w:line="300" w:lineRule="auto" w:before="72"/>
        <w:ind w:right="1126" w:firstLine="360"/>
        <w:jc w:val="both"/>
      </w:pPr>
      <w:r>
        <w:rPr/>
        <w:t>本次</w:t>
      </w: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对产业的影响巨大。同时</w:t>
      </w:r>
      <w:r>
        <w:rPr>
          <w:rFonts w:ascii="Times New Roman" w:hAnsi="Times New Roman" w:cs="Times New Roman" w:eastAsia="Times New Roman" w:hint="default"/>
        </w:rPr>
        <w:t>13</w:t>
      </w:r>
      <w:r>
        <w:rPr/>
        <w:t>个省份相继公布</w:t>
      </w:r>
      <w:r>
        <w:rPr>
          <w:rFonts w:ascii="Times New Roman" w:hAnsi="Times New Roman" w:cs="Times New Roman" w:eastAsia="Times New Roman" w:hint="default"/>
        </w:rPr>
        <w:t>2020</w:t>
      </w:r>
      <w:r>
        <w:rPr/>
        <w:t>年投资计划，投资金额高达</w:t>
      </w:r>
      <w:r>
        <w:rPr>
          <w:rFonts w:ascii="Times New Roman" w:hAnsi="Times New Roman" w:cs="Times New Roman" w:eastAsia="Times New Roman" w:hint="default"/>
        </w:rPr>
        <w:t>34</w:t>
      </w:r>
      <w:r>
        <w:rPr/>
        <w:t>万亿，相当于</w:t>
      </w:r>
      <w:r>
        <w:rPr>
          <w:rFonts w:ascii="Times New Roman" w:hAnsi="Times New Roman" w:cs="Times New Roman" w:eastAsia="Times New Roman" w:hint="default"/>
        </w:rPr>
        <w:t>2019</w:t>
      </w:r>
      <w:r>
        <w:rPr/>
        <w:t>年全国</w:t>
      </w:r>
      <w:r>
        <w:rPr>
          <w:spacing w:val="2"/>
        </w:rPr>
        <w:t> </w:t>
      </w:r>
      <w:r>
        <w:rPr>
          <w:rFonts w:ascii="Times New Roman" w:hAnsi="Times New Roman" w:cs="Times New Roman" w:eastAsia="Times New Roman" w:hint="default"/>
          <w:spacing w:val="-2"/>
        </w:rPr>
        <w:t>GDP</w:t>
      </w:r>
      <w:r>
        <w:rPr>
          <w:spacing w:val="-2"/>
        </w:rPr>
        <w:t>的三分之一，且这一数字依然在增加中。而从投资方向来看，新基建会更多聚焦科技相关产业，相关科技类公司将得到</w:t>
      </w:r>
      <w:r>
        <w:rPr>
          <w:spacing w:val="-65"/>
        </w:rPr>
        <w:t> </w:t>
      </w:r>
      <w:r>
        <w:rPr>
          <w:spacing w:val="-65"/>
        </w:rPr>
      </w:r>
      <w:r>
        <w:rPr/>
        <w:t>新基建的最大红利。而以</w:t>
      </w:r>
      <w:r>
        <w:rPr>
          <w:rFonts w:ascii="Times New Roman" w:hAnsi="Times New Roman" w:cs="Times New Roman" w:eastAsia="Times New Roman" w:hint="default"/>
        </w:rPr>
        <w:t>5G</w:t>
      </w:r>
      <w:r>
        <w:rPr/>
        <w:t>为依托新基建，在数字化、智能化改造现有的城市的传统基础设施建设，例如智慧交通、智能</w:t>
      </w:r>
      <w:r>
        <w:rPr>
          <w:spacing w:val="-41"/>
        </w:rPr>
        <w:t> </w:t>
      </w:r>
      <w:r>
        <w:rPr>
          <w:spacing w:val="-41"/>
        </w:rPr>
      </w:r>
      <w:r>
        <w:rPr/>
        <w:t>城市、智慧旅游、智能制造等将获得前所未有的发展机遇。</w:t>
      </w:r>
    </w:p>
    <w:p>
      <w:pPr>
        <w:spacing w:line="340" w:lineRule="auto" w:before="70"/>
        <w:ind w:left="513" w:right="98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、新技术导引，通讯业务快速发展</w:t>
      </w:r>
      <w:r>
        <w:rPr>
          <w:rFonts w:ascii="宋体" w:hAnsi="宋体" w:cs="宋体" w:eastAsia="宋体" w:hint="default"/>
          <w:b/>
          <w:bCs/>
          <w:w w:val="99"/>
          <w:sz w:val="18"/>
          <w:szCs w:val="18"/>
        </w:rPr>
        <w:t> </w:t>
      </w:r>
      <w:r>
        <w:rPr>
          <w:rFonts w:ascii="宋体" w:hAnsi="宋体" w:cs="宋体" w:eastAsia="宋体" w:hint="default"/>
          <w:spacing w:val="-2"/>
          <w:sz w:val="18"/>
          <w:szCs w:val="18"/>
        </w:rPr>
        <w:t>随着行业的发展，人工智能，云计算、大数据、移动互联网、物联网、区块链等新技术在行业的应用兴起，公司在云计</w:t>
      </w:r>
    </w:p>
    <w:p>
      <w:pPr>
        <w:pStyle w:val="BodyText"/>
        <w:spacing w:line="307" w:lineRule="auto" w:before="1"/>
        <w:ind w:right="1132"/>
        <w:jc w:val="both"/>
      </w:pPr>
      <w:r>
        <w:rPr>
          <w:spacing w:val="-2"/>
        </w:rPr>
        <w:t>算、大数据方面拥有众多成功案例和成熟产品，</w:t>
      </w:r>
      <w:r>
        <w:rPr>
          <w:rFonts w:ascii="Times New Roman" w:hAnsi="Times New Roman" w:cs="Times New Roman" w:eastAsia="Times New Roman" w:hint="default"/>
          <w:spacing w:val="-2"/>
        </w:rPr>
        <w:t>2019</w:t>
      </w:r>
      <w:r>
        <w:rPr>
          <w:spacing w:val="-2"/>
        </w:rPr>
        <w:t>年，公司布局区块链、人工智能、容器化微服务、物联网等方向，原有</w:t>
      </w:r>
      <w:r>
        <w:rPr>
          <w:spacing w:val="-70"/>
        </w:rPr>
        <w:t> </w:t>
      </w:r>
      <w:r>
        <w:rPr>
          <w:spacing w:val="-70"/>
        </w:rPr>
      </w:r>
      <w:r>
        <w:rPr>
          <w:spacing w:val="-2"/>
        </w:rPr>
        <w:t>产品大量引入区块链和微服务技术，提高产品价值和市场竞争力，人工智能产品已经在众多运营商智慧营业厅等场景成功落</w:t>
      </w:r>
      <w:r>
        <w:rPr>
          <w:spacing w:val="-64"/>
        </w:rPr>
        <w:t> </w:t>
      </w:r>
      <w:r>
        <w:rPr>
          <w:spacing w:val="-64"/>
        </w:rPr>
      </w:r>
      <w:r>
        <w:rPr/>
        <w:t>地并得到用户好评，公司核心</w:t>
      </w:r>
      <w:r>
        <w:rPr>
          <w:rFonts w:ascii="Times New Roman" w:hAnsi="Times New Roman" w:cs="Times New Roman" w:eastAsia="Times New Roman" w:hint="default"/>
        </w:rPr>
        <w:t>CRM</w:t>
      </w:r>
      <w:r>
        <w:rPr/>
        <w:t>等产品微服务架构已经上线并提高产品的高性能和便捷化部署能力，公司所有核心产品</w:t>
      </w:r>
      <w:r>
        <w:rPr>
          <w:spacing w:val="-45"/>
        </w:rPr>
        <w:t> </w:t>
      </w:r>
      <w:r>
        <w:rPr>
          <w:spacing w:val="-45"/>
        </w:rPr>
      </w:r>
      <w:r>
        <w:rPr/>
        <w:t>均已完成云化升级并</w:t>
      </w:r>
      <w:r>
        <w:rPr>
          <w:rFonts w:ascii="Times New Roman" w:hAnsi="Times New Roman" w:cs="Times New Roman" w:eastAsia="Times New Roman" w:hint="default"/>
        </w:rPr>
        <w:t>100%</w:t>
      </w:r>
      <w:r>
        <w:rPr/>
        <w:t>覆盖已有用户系统。</w:t>
      </w:r>
    </w:p>
    <w:p>
      <w:pPr>
        <w:spacing w:line="338" w:lineRule="auto" w:before="48"/>
        <w:ind w:left="513" w:right="98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、生态链合作企业，彼此带来了新的行业发展新机会</w:t>
      </w:r>
      <w:r>
        <w:rPr>
          <w:rFonts w:ascii="宋体" w:hAnsi="宋体" w:cs="宋体" w:eastAsia="宋体" w:hint="default"/>
          <w:b/>
          <w:bCs/>
          <w:w w:val="99"/>
          <w:sz w:val="18"/>
          <w:szCs w:val="18"/>
        </w:rPr>
        <w:t> </w:t>
      </w:r>
      <w:r>
        <w:rPr>
          <w:rFonts w:ascii="宋体" w:hAnsi="宋体" w:cs="宋体" w:eastAsia="宋体" w:hint="default"/>
          <w:spacing w:val="-1"/>
          <w:sz w:val="18"/>
          <w:szCs w:val="18"/>
        </w:rPr>
        <w:t>随着国家级的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数字中国</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智慧城市</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智能制造</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等战略部署的快速落实和推进，软件和信息服务产业必将迎来快速</w:t>
      </w:r>
    </w:p>
    <w:p>
      <w:pPr>
        <w:pStyle w:val="BodyText"/>
        <w:spacing w:line="217" w:lineRule="exact"/>
        <w:ind w:right="0"/>
        <w:jc w:val="both"/>
      </w:pPr>
      <w:r>
        <w:rPr/>
        <w:t>发展期，以生态链为核心的企业之间的合纵连横，以联合体生态圈的方式共同去应对快速发展的市场及需求是市场发展的必</w:t>
      </w:r>
    </w:p>
    <w:p>
      <w:pPr>
        <w:pStyle w:val="BodyText"/>
        <w:spacing w:line="319" w:lineRule="auto" w:before="76"/>
        <w:ind w:right="1132"/>
        <w:jc w:val="both"/>
      </w:pPr>
      <w:r>
        <w:rPr>
          <w:spacing w:val="-2"/>
        </w:rPr>
        <w:t>然趋势，思特奇将继续发扬专注专业的工匠精神，进一步加大自主创新力度，通过在新技术、新业务、新模式等方面的积极</w:t>
      </w:r>
      <w:r>
        <w:rPr>
          <w:spacing w:val="-67"/>
        </w:rPr>
        <w:t> </w:t>
      </w:r>
      <w:r>
        <w:rPr>
          <w:spacing w:val="-67"/>
        </w:rPr>
      </w:r>
      <w:r>
        <w:rPr>
          <w:spacing w:val="-2"/>
        </w:rPr>
        <w:t>探索和研究，形成以产业为核心的具有较强市场竞争力和产业可持续发展的产业多维体系，并与合作伙伴共同开拓产业发展</w:t>
      </w:r>
      <w:r>
        <w:rPr>
          <w:spacing w:val="-65"/>
        </w:rPr>
        <w:t> </w:t>
      </w:r>
      <w:r>
        <w:rPr>
          <w:spacing w:val="-65"/>
        </w:rPr>
      </w:r>
      <w:r>
        <w:rPr/>
        <w:t>新模式和产业新布局。</w:t>
      </w:r>
    </w:p>
    <w:p>
      <w:pPr>
        <w:spacing w:line="240" w:lineRule="auto" w:before="0"/>
        <w:rPr>
          <w:rFonts w:ascii="宋体" w:hAnsi="宋体" w:cs="宋体" w:eastAsia="宋体" w:hint="default"/>
          <w:sz w:val="18"/>
          <w:szCs w:val="18"/>
        </w:rPr>
      </w:pPr>
    </w:p>
    <w:p>
      <w:pPr>
        <w:pStyle w:val="Heading3"/>
        <w:spacing w:line="240" w:lineRule="auto" w:before="145"/>
        <w:ind w:right="982"/>
        <w:jc w:val="left"/>
        <w:rPr>
          <w:b w:val="0"/>
          <w:bCs w:val="0"/>
        </w:rPr>
      </w:pPr>
      <w:r>
        <w:rPr/>
        <w:t>（二）发展战略</w:t>
      </w:r>
      <w:r>
        <w:rPr>
          <w:b w:val="0"/>
          <w:bCs w:val="0"/>
        </w:rPr>
      </w:r>
    </w:p>
    <w:p>
      <w:pPr>
        <w:pStyle w:val="BodyText"/>
        <w:spacing w:line="300" w:lineRule="auto" w:before="92"/>
        <w:ind w:right="1132" w:firstLine="360"/>
        <w:jc w:val="both"/>
      </w:pPr>
      <w:r>
        <w:rPr>
          <w:spacing w:val="-1"/>
        </w:rPr>
        <w:t>公司的发展战略为：</w:t>
      </w:r>
      <w:r>
        <w:rPr>
          <w:rFonts w:ascii="Times New Roman" w:hAnsi="Times New Roman" w:cs="Times New Roman" w:eastAsia="Times New Roman" w:hint="default"/>
          <w:spacing w:val="-1"/>
        </w:rPr>
        <w:t>“</w:t>
      </w:r>
      <w:r>
        <w:rPr>
          <w:spacing w:val="-1"/>
        </w:rPr>
        <w:t>面对</w:t>
      </w:r>
      <w:r>
        <w:rPr>
          <w:rFonts w:ascii="Times New Roman" w:hAnsi="Times New Roman" w:cs="Times New Roman" w:eastAsia="Times New Roman" w:hint="default"/>
          <w:spacing w:val="-1"/>
        </w:rPr>
        <w:t>5G</w:t>
      </w:r>
      <w:r>
        <w:rPr>
          <w:spacing w:val="-1"/>
        </w:rPr>
        <w:t>发展机遇，依托于人工智能的应用，成为云、大数据和万物互联智慧运营时代，产品、技</w:t>
      </w:r>
      <w:r>
        <w:rPr/>
        <w:t> </w:t>
      </w:r>
      <w:r>
        <w:rPr>
          <w:spacing w:val="-1"/>
        </w:rPr>
        <w:t>术、服务、运营的可信赖专家！为客户创造价值，成为客户长期、最佳、可信赖的合作伙伴！</w:t>
      </w:r>
      <w:r>
        <w:rPr>
          <w:rFonts w:ascii="Times New Roman" w:hAnsi="Times New Roman" w:cs="Times New Roman" w:eastAsia="Times New Roman" w:hint="default"/>
          <w:spacing w:val="-1"/>
        </w:rPr>
        <w:t>”</w:t>
      </w:r>
      <w:r>
        <w:rPr>
          <w:spacing w:val="-1"/>
        </w:rPr>
        <w:t>加快</w:t>
      </w:r>
      <w:r>
        <w:rPr>
          <w:rFonts w:ascii="Times New Roman" w:hAnsi="Times New Roman" w:cs="Times New Roman" w:eastAsia="Times New Roman" w:hint="default"/>
          <w:spacing w:val="-1"/>
        </w:rPr>
        <w:t>5G</w:t>
      </w:r>
      <w:r>
        <w:rPr>
          <w:spacing w:val="-1"/>
        </w:rPr>
        <w:t>主营业务的市场占有</w:t>
      </w:r>
      <w:r>
        <w:rPr>
          <w:spacing w:val="-65"/>
        </w:rPr>
        <w:t> </w:t>
      </w:r>
      <w:r>
        <w:rPr>
          <w:spacing w:val="-65"/>
        </w:rPr>
      </w:r>
      <w:r>
        <w:rPr/>
        <w:t>率，积极布局</w:t>
      </w:r>
      <w:r>
        <w:rPr>
          <w:rFonts w:ascii="Times New Roman" w:hAnsi="Times New Roman" w:cs="Times New Roman" w:eastAsia="Times New Roman" w:hint="default"/>
        </w:rPr>
        <w:t>5G+</w:t>
      </w:r>
      <w:r>
        <w:rPr/>
        <w:t>市场的拓展力度，形成双轮驱动的战略。</w:t>
      </w:r>
    </w:p>
    <w:p>
      <w:pPr>
        <w:pStyle w:val="BodyText"/>
        <w:spacing w:line="316" w:lineRule="auto" w:before="53"/>
        <w:ind w:right="1132" w:firstLine="360"/>
        <w:jc w:val="both"/>
      </w:pPr>
      <w:r>
        <w:rPr>
          <w:spacing w:val="-2"/>
        </w:rPr>
        <w:t>公司致力于构建生态体系平台，关注整个公司生态体系中所有角色，深入挖掘涵盖渠道、终端消费者等各个层级的客户</w:t>
      </w:r>
      <w:r>
        <w:rPr/>
        <w:t> </w:t>
      </w:r>
      <w:r>
        <w:rPr>
          <w:spacing w:val="-2"/>
        </w:rPr>
        <w:t>需求，层层剖析，研发并生产出匹配相应需求的功能产品。以平台和运营为推动，为产业上下游构建开放的平台，实现客户</w:t>
      </w:r>
      <w:r>
        <w:rPr>
          <w:spacing w:val="-67"/>
        </w:rPr>
        <w:t> </w:t>
      </w:r>
      <w:r>
        <w:rPr>
          <w:spacing w:val="-67"/>
        </w:rPr>
      </w:r>
      <w:r>
        <w:rPr>
          <w:spacing w:val="-2"/>
        </w:rPr>
        <w:t>的开拓和拓展，实现从定制开发，产品服务、逐渐的向运营服务过度；逐渐实现以生态圈为核心，以平台运营为收入主体的</w:t>
      </w:r>
      <w:r>
        <w:rPr>
          <w:spacing w:val="-67"/>
        </w:rPr>
        <w:t> </w:t>
      </w:r>
      <w:r>
        <w:rPr>
          <w:spacing w:val="-67"/>
        </w:rPr>
      </w:r>
      <w:r>
        <w:rPr/>
        <w:t>生产和服务模式。</w:t>
      </w:r>
    </w:p>
    <w:p>
      <w:pPr>
        <w:pStyle w:val="BodyText"/>
        <w:spacing w:line="319" w:lineRule="auto" w:before="59"/>
        <w:ind w:right="1043" w:firstLine="360"/>
        <w:jc w:val="both"/>
      </w:pPr>
      <w:r>
        <w:rPr>
          <w:spacing w:val="-4"/>
        </w:rPr>
        <w:t>通过生态链的建设和运营，公司着力扩展易信企业的云和大数据服务、智能制造工业云、智慧城市、虚拟运营商等市场；</w:t>
      </w:r>
      <w:r>
        <w:rPr/>
        <w:t> 围绕</w:t>
      </w:r>
      <w:r>
        <w:rPr>
          <w:rFonts w:ascii="Times New Roman" w:hAnsi="Times New Roman" w:cs="Times New Roman" w:eastAsia="Times New Roman" w:hint="default"/>
        </w:rPr>
        <w:t>“</w:t>
      </w:r>
      <w:r>
        <w:rPr/>
        <w:t>智能制造</w:t>
      </w:r>
      <w:r>
        <w:rPr>
          <w:rFonts w:ascii="Times New Roman" w:hAnsi="Times New Roman" w:cs="Times New Roman" w:eastAsia="Times New Roman" w:hint="default"/>
        </w:rPr>
        <w:t>”</w:t>
      </w:r>
      <w:r>
        <w:rPr/>
        <w:t>战略方向，紧抓</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、人工智能等有力时机，打造智慧运营的和谐生态。</w:t>
      </w:r>
    </w:p>
    <w:p>
      <w:pPr>
        <w:spacing w:line="240" w:lineRule="auto" w:before="0"/>
        <w:rPr>
          <w:rFonts w:ascii="宋体" w:hAnsi="宋体" w:cs="宋体" w:eastAsia="宋体" w:hint="default"/>
          <w:sz w:val="18"/>
          <w:szCs w:val="18"/>
        </w:rPr>
      </w:pPr>
    </w:p>
    <w:p>
      <w:pPr>
        <w:pStyle w:val="Heading3"/>
        <w:spacing w:line="240" w:lineRule="auto" w:before="122"/>
        <w:ind w:right="982"/>
        <w:jc w:val="left"/>
        <w:rPr>
          <w:b w:val="0"/>
          <w:bCs w:val="0"/>
        </w:rPr>
      </w:pPr>
      <w:r>
        <w:rPr/>
        <w:t>（三）年度经营计划</w:t>
      </w:r>
      <w:r>
        <w:rPr>
          <w:b w:val="0"/>
          <w:bCs w:val="0"/>
        </w:rPr>
      </w:r>
    </w:p>
    <w:p>
      <w:pPr>
        <w:pStyle w:val="BodyText"/>
        <w:spacing w:line="309" w:lineRule="auto" w:before="95"/>
        <w:ind w:right="1131" w:firstLine="360"/>
        <w:jc w:val="both"/>
        <w:rPr>
          <w:rFonts w:ascii="宋体" w:hAnsi="宋体" w:cs="宋体" w:eastAsia="宋体" w:hint="default"/>
        </w:rPr>
      </w:pPr>
      <w:r>
        <w:rPr>
          <w:rFonts w:ascii="Times New Roman" w:hAnsi="Times New Roman" w:cs="Times New Roman" w:eastAsia="Times New Roman" w:hint="default"/>
          <w:spacing w:val="-1"/>
        </w:rPr>
        <w:t>2020</w:t>
      </w:r>
      <w:r>
        <w:rPr>
          <w:spacing w:val="-1"/>
        </w:rPr>
        <w:t>年，公司将依托于</w:t>
      </w:r>
      <w:r>
        <w:rPr>
          <w:rFonts w:ascii="Times New Roman" w:hAnsi="Times New Roman" w:cs="Times New Roman" w:eastAsia="Times New Roman" w:hint="default"/>
          <w:spacing w:val="-1"/>
        </w:rPr>
        <w:t>5G</w:t>
      </w:r>
      <w:r>
        <w:rPr>
          <w:spacing w:val="-1"/>
        </w:rPr>
        <w:t>、人工智能、区块链等核心技术，围绕</w:t>
      </w:r>
      <w:r>
        <w:rPr>
          <w:rFonts w:ascii="Times New Roman" w:hAnsi="Times New Roman" w:cs="Times New Roman" w:eastAsia="Times New Roman" w:hint="default"/>
          <w:spacing w:val="-1"/>
        </w:rPr>
        <w:t>“</w:t>
      </w:r>
      <w:r>
        <w:rPr>
          <w:spacing w:val="-1"/>
        </w:rPr>
        <w:t>成为云、大数据和万物互联智慧运营时代，产品、技</w:t>
      </w:r>
      <w:r>
        <w:rPr/>
        <w:t> 术、服务、智慧运营的可信赖专家！为客户创造价值，成为客户长期、最佳、可信赖的合作伙伴</w:t>
      </w:r>
      <w:r>
        <w:rPr>
          <w:rFonts w:ascii="Times New Roman" w:hAnsi="Times New Roman" w:cs="Times New Roman" w:eastAsia="Times New Roman" w:hint="default"/>
        </w:rPr>
        <w:t>”</w:t>
      </w:r>
      <w:r>
        <w:rPr/>
        <w:t>的发展战略，立足电信行</w:t>
      </w:r>
      <w:r>
        <w:rPr>
          <w:spacing w:val="-74"/>
        </w:rPr>
        <w:t> </w:t>
      </w:r>
      <w:r>
        <w:rPr>
          <w:spacing w:val="-74"/>
        </w:rPr>
      </w:r>
      <w:r>
        <w:rPr>
          <w:spacing w:val="-2"/>
        </w:rPr>
        <w:t>业，强化市场需求、客户需求对研发的输入，推动新产品研发卓越交付；把握行业趋势，跟踪热点业务，推动业务创新；有</w:t>
      </w:r>
      <w:r>
        <w:rPr>
          <w:spacing w:val="-73"/>
        </w:rPr>
        <w:t> </w:t>
      </w:r>
      <w:r>
        <w:rPr>
          <w:spacing w:val="-73"/>
        </w:rPr>
      </w:r>
      <w:r>
        <w:rPr>
          <w:spacing w:val="-2"/>
        </w:rPr>
        <w:t>效执行业务需求价值运营，提升生产力和生产效率，提升客户价值。依托行业核心厂商地位，扩大市场规模，重点推进以下</w:t>
      </w:r>
      <w:r>
        <w:rPr>
          <w:spacing w:val="-67"/>
        </w:rPr>
        <w:t> </w:t>
      </w:r>
      <w:r>
        <w:rPr>
          <w:spacing w:val="-67"/>
        </w:rPr>
      </w:r>
      <w:r>
        <w:rPr/>
        <w:t>几项工作：</w:t>
      </w:r>
      <w:r>
        <w:rPr>
          <w:rFonts w:ascii="宋体" w:hAnsi="宋体" w:cs="宋体" w:eastAsia="宋体" w:hint="default"/>
        </w:rPr>
        <w:t> </w:t>
      </w:r>
    </w:p>
    <w:p>
      <w:pPr>
        <w:spacing w:after="0" w:line="309" w:lineRule="auto"/>
        <w:jc w:val="both"/>
        <w:rPr>
          <w:rFonts w:ascii="宋体" w:hAnsi="宋体" w:cs="宋体" w:eastAsia="宋体" w:hint="default"/>
        </w:rPr>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spacing w:line="340" w:lineRule="auto" w:before="44"/>
        <w:ind w:left="513" w:right="98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、在</w:t>
      </w:r>
      <w:r>
        <w:rPr>
          <w:rFonts w:ascii="Times New Roman" w:hAnsi="Times New Roman" w:cs="Times New Roman" w:eastAsia="Times New Roman" w:hint="default"/>
          <w:b/>
          <w:bCs/>
          <w:sz w:val="18"/>
          <w:szCs w:val="18"/>
        </w:rPr>
        <w:t>5G</w:t>
      </w:r>
      <w:r>
        <w:rPr>
          <w:rFonts w:ascii="宋体" w:hAnsi="宋体" w:cs="宋体" w:eastAsia="宋体" w:hint="default"/>
          <w:b/>
          <w:bCs/>
          <w:sz w:val="18"/>
          <w:szCs w:val="18"/>
        </w:rPr>
        <w:t>领域，思特奇的</w:t>
      </w:r>
      <w:r>
        <w:rPr>
          <w:rFonts w:ascii="Times New Roman" w:hAnsi="Times New Roman" w:cs="Times New Roman" w:eastAsia="Times New Roman" w:hint="default"/>
          <w:b/>
          <w:bCs/>
          <w:sz w:val="18"/>
          <w:szCs w:val="18"/>
        </w:rPr>
        <w:t>5G+</w:t>
      </w:r>
      <w:r>
        <w:rPr>
          <w:rFonts w:ascii="宋体" w:hAnsi="宋体" w:cs="宋体" w:eastAsia="宋体" w:hint="default"/>
          <w:b/>
          <w:bCs/>
          <w:sz w:val="18"/>
          <w:szCs w:val="18"/>
        </w:rPr>
        <w:t>端到端解决方案以及</w:t>
      </w:r>
      <w:r>
        <w:rPr>
          <w:rFonts w:ascii="Times New Roman" w:hAnsi="Times New Roman" w:cs="Times New Roman" w:eastAsia="Times New Roman" w:hint="default"/>
          <w:b/>
          <w:bCs/>
          <w:sz w:val="18"/>
          <w:szCs w:val="18"/>
        </w:rPr>
        <w:t>5G+</w:t>
      </w:r>
      <w:r>
        <w:rPr>
          <w:rFonts w:ascii="宋体" w:hAnsi="宋体" w:cs="宋体" w:eastAsia="宋体" w:hint="default"/>
          <w:b/>
          <w:bCs/>
          <w:sz w:val="18"/>
          <w:szCs w:val="18"/>
        </w:rPr>
        <w:t>生态产品体系进入正式商用落地阶段</w:t>
      </w:r>
      <w:r>
        <w:rPr>
          <w:rFonts w:ascii="宋体" w:hAnsi="宋体" w:cs="宋体" w:eastAsia="宋体" w:hint="default"/>
          <w:b/>
          <w:bCs/>
          <w:w w:val="99"/>
          <w:sz w:val="18"/>
          <w:szCs w:val="18"/>
        </w:rPr>
        <w:t> </w:t>
      </w:r>
      <w:r>
        <w:rPr>
          <w:rFonts w:ascii="宋体" w:hAnsi="宋体" w:cs="宋体" w:eastAsia="宋体" w:hint="default"/>
          <w:sz w:val="18"/>
          <w:szCs w:val="18"/>
        </w:rPr>
        <w:t>在</w:t>
      </w:r>
      <w:r>
        <w:rPr>
          <w:rFonts w:ascii="Times New Roman" w:hAnsi="Times New Roman" w:cs="Times New Roman" w:eastAsia="Times New Roman" w:hint="default"/>
          <w:sz w:val="18"/>
          <w:szCs w:val="18"/>
        </w:rPr>
        <w:t>5G</w:t>
      </w:r>
      <w:r>
        <w:rPr>
          <w:rFonts w:ascii="宋体" w:hAnsi="宋体" w:cs="宋体" w:eastAsia="宋体" w:hint="default"/>
          <w:sz w:val="18"/>
          <w:szCs w:val="18"/>
        </w:rPr>
        <w:t>拓展方面，将面向运营商，加快推广新业务、新模式、新应用，深化研发优化</w:t>
      </w:r>
      <w:r>
        <w:rPr>
          <w:rFonts w:ascii="Times New Roman" w:hAnsi="Times New Roman" w:cs="Times New Roman" w:eastAsia="Times New Roman" w:hint="default"/>
          <w:sz w:val="18"/>
          <w:szCs w:val="18"/>
        </w:rPr>
        <w:t>5G</w:t>
      </w:r>
      <w:r>
        <w:rPr>
          <w:rFonts w:ascii="宋体" w:hAnsi="宋体" w:cs="宋体" w:eastAsia="宋体" w:hint="default"/>
          <w:sz w:val="18"/>
          <w:szCs w:val="18"/>
        </w:rPr>
        <w:t>业务运营支撑平台、网络切片服</w:t>
      </w:r>
    </w:p>
    <w:p>
      <w:pPr>
        <w:pStyle w:val="BodyText"/>
        <w:spacing w:line="228" w:lineRule="exact"/>
        <w:ind w:right="982"/>
        <w:jc w:val="left"/>
      </w:pPr>
      <w:r>
        <w:rPr>
          <w:spacing w:val="-3"/>
        </w:rPr>
        <w:t>务运营平台、</w:t>
      </w:r>
      <w:r>
        <w:rPr>
          <w:rFonts w:ascii="Times New Roman" w:hAnsi="Times New Roman" w:cs="Times New Roman" w:eastAsia="Times New Roman" w:hint="default"/>
          <w:spacing w:val="-3"/>
        </w:rPr>
        <w:t>5G</w:t>
      </w:r>
      <w:r>
        <w:rPr>
          <w:spacing w:val="-3"/>
        </w:rPr>
        <w:t>合作伙伴管理、</w:t>
      </w:r>
      <w:r>
        <w:rPr>
          <w:rFonts w:ascii="Times New Roman" w:hAnsi="Times New Roman" w:cs="Times New Roman" w:eastAsia="Times New Roman" w:hint="default"/>
          <w:spacing w:val="-3"/>
        </w:rPr>
        <w:t>5G</w:t>
      </w:r>
      <w:r>
        <w:rPr>
          <w:spacing w:val="-3"/>
        </w:rPr>
        <w:t>智能计费、</w:t>
      </w:r>
      <w:r>
        <w:rPr>
          <w:rFonts w:ascii="Times New Roman" w:hAnsi="Times New Roman" w:cs="Times New Roman" w:eastAsia="Times New Roman" w:hint="default"/>
          <w:spacing w:val="-3"/>
        </w:rPr>
        <w:t>5G</w:t>
      </w:r>
      <w:r>
        <w:rPr>
          <w:spacing w:val="-3"/>
        </w:rPr>
        <w:t>结算、网络数据采集平台、</w:t>
      </w:r>
      <w:r>
        <w:rPr>
          <w:rFonts w:ascii="Times New Roman" w:hAnsi="Times New Roman" w:cs="Times New Roman" w:eastAsia="Times New Roman" w:hint="default"/>
          <w:spacing w:val="-3"/>
        </w:rPr>
        <w:t>5G</w:t>
      </w:r>
      <w:r>
        <w:rPr>
          <w:spacing w:val="-3"/>
        </w:rPr>
        <w:t>智能营销、实时大数据、云网一体化等产品，</w:t>
      </w:r>
    </w:p>
    <w:p>
      <w:pPr>
        <w:pStyle w:val="BodyText"/>
        <w:spacing w:line="357" w:lineRule="auto" w:before="63"/>
        <w:ind w:left="513" w:right="982" w:hanging="360"/>
        <w:jc w:val="left"/>
        <w:rPr>
          <w:rFonts w:ascii="Times New Roman" w:hAnsi="Times New Roman" w:cs="Times New Roman" w:eastAsia="Times New Roman" w:hint="default"/>
        </w:rPr>
      </w:pPr>
      <w:r>
        <w:rPr/>
        <w:t>加快推进产品落地正式商用。 </w:t>
      </w:r>
      <w:r>
        <w:rPr>
          <w:spacing w:val="-5"/>
        </w:rPr>
        <w:t>在</w:t>
      </w:r>
      <w:r>
        <w:rPr>
          <w:rFonts w:ascii="Times New Roman" w:hAnsi="Times New Roman" w:cs="Times New Roman" w:eastAsia="Times New Roman" w:hint="default"/>
          <w:spacing w:val="-5"/>
        </w:rPr>
        <w:t>5G+</w:t>
      </w:r>
      <w:r>
        <w:rPr>
          <w:spacing w:val="-5"/>
        </w:rPr>
        <w:t>方面，主要面向企业侧，构划端到端行业应用，深度布局</w:t>
      </w:r>
      <w:r>
        <w:rPr>
          <w:rFonts w:ascii="Times New Roman" w:hAnsi="Times New Roman" w:cs="Times New Roman" w:eastAsia="Times New Roman" w:hint="default"/>
          <w:spacing w:val="-5"/>
        </w:rPr>
        <w:t>5G</w:t>
      </w:r>
      <w:r>
        <w:rPr>
          <w:spacing w:val="-5"/>
        </w:rPr>
        <w:t>多元化运营服务体系，创新业务模式，打造一系列</w:t>
      </w:r>
      <w:r>
        <w:rPr>
          <w:rFonts w:ascii="Times New Roman" w:hAnsi="Times New Roman" w:cs="Times New Roman" w:eastAsia="Times New Roman" w:hint="default"/>
          <w:spacing w:val="-5"/>
        </w:rPr>
        <w:t>5G+</w:t>
      </w:r>
    </w:p>
    <w:p>
      <w:pPr>
        <w:pStyle w:val="BodyText"/>
        <w:spacing w:line="214" w:lineRule="exact"/>
        <w:ind w:right="982"/>
        <w:jc w:val="left"/>
      </w:pPr>
      <w:r>
        <w:rPr/>
        <w:t>产品与</w:t>
      </w:r>
      <w:r>
        <w:rPr>
          <w:rFonts w:ascii="Times New Roman" w:hAnsi="Times New Roman" w:cs="Times New Roman" w:eastAsia="Times New Roman" w:hint="default"/>
        </w:rPr>
        <w:t>5G+</w:t>
      </w:r>
      <w:r>
        <w:rPr/>
        <w:t>行业解决方案与应用形成</w:t>
      </w:r>
      <w:r>
        <w:rPr>
          <w:rFonts w:ascii="Times New Roman" w:hAnsi="Times New Roman" w:cs="Times New Roman" w:eastAsia="Times New Roman" w:hint="default"/>
        </w:rPr>
        <w:t>5G+</w:t>
      </w:r>
      <w:r>
        <w:rPr/>
        <w:t>，智慧城市、智慧园区、智能制造、智慧办公、虚商、智慧农业、智慧气象、车联</w:t>
      </w:r>
    </w:p>
    <w:p>
      <w:pPr>
        <w:pStyle w:val="BodyText"/>
        <w:spacing w:line="240" w:lineRule="auto" w:before="63"/>
        <w:ind w:right="982"/>
        <w:jc w:val="left"/>
      </w:pPr>
      <w:r>
        <w:rPr/>
        <w:t>网、智慧旅游等，为产业生态圈与垂直行业注智、赋能。</w:t>
      </w:r>
    </w:p>
    <w:p>
      <w:pPr>
        <w:spacing w:line="340" w:lineRule="auto" w:before="117"/>
        <w:ind w:left="513" w:right="102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、在人工智能领域，推进应用产品落地和研发</w:t>
      </w:r>
      <w:r>
        <w:rPr>
          <w:rFonts w:ascii="宋体" w:hAnsi="宋体" w:cs="宋体" w:eastAsia="宋体" w:hint="default"/>
          <w:b/>
          <w:bCs/>
          <w:w w:val="99"/>
          <w:sz w:val="18"/>
          <w:szCs w:val="18"/>
        </w:rPr>
        <w:t> </w:t>
      </w:r>
      <w:r>
        <w:rPr>
          <w:rFonts w:ascii="宋体" w:hAnsi="宋体" w:cs="宋体" w:eastAsia="宋体" w:hint="default"/>
          <w:spacing w:val="-2"/>
          <w:sz w:val="18"/>
          <w:szCs w:val="18"/>
        </w:rPr>
        <w:t>利用思特奇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智慧图谱</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方面的技术，以互联网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的形式，用即时通信能力，为运营商构建全国</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倒三角</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支撑的易问系统，</w:t>
      </w:r>
    </w:p>
    <w:p>
      <w:pPr>
        <w:pStyle w:val="BodyText"/>
        <w:spacing w:line="228" w:lineRule="exact"/>
        <w:ind w:right="982"/>
        <w:jc w:val="left"/>
        <w:rPr>
          <w:rFonts w:ascii="Times New Roman" w:hAnsi="Times New Roman" w:cs="Times New Roman" w:eastAsia="Times New Roman" w:hint="default"/>
        </w:rPr>
      </w:pPr>
      <w:r>
        <w:rPr>
          <w:spacing w:val="-3"/>
        </w:rPr>
        <w:t>建立集中化的决策支撑系统，加快系统内部横向的整合，提升系统的智慧化程度新增特征识别中心、智能交互平台等</w:t>
      </w:r>
      <w:r>
        <w:rPr>
          <w:rFonts w:ascii="Times New Roman" w:hAnsi="Times New Roman" w:cs="Times New Roman" w:eastAsia="Times New Roman" w:hint="default"/>
          <w:spacing w:val="-3"/>
        </w:rPr>
        <w:t>AI</w:t>
      </w:r>
      <w:r>
        <w:rPr>
          <w:rFonts w:ascii="Times New Roman" w:hAnsi="Times New Roman" w:cs="Times New Roman" w:eastAsia="Times New Roman" w:hint="default"/>
          <w:spacing w:val="15"/>
        </w:rPr>
        <w:t> </w:t>
      </w:r>
      <w:r>
        <w:rPr>
          <w:rFonts w:ascii="Times New Roman" w:hAnsi="Times New Roman" w:cs="Times New Roman" w:eastAsia="Times New Roman" w:hint="default"/>
        </w:rPr>
        <w:t>PaaS</w:t>
      </w:r>
    </w:p>
    <w:p>
      <w:pPr>
        <w:pStyle w:val="BodyText"/>
        <w:spacing w:line="300" w:lineRule="auto" w:before="63"/>
        <w:ind w:right="982"/>
        <w:jc w:val="left"/>
      </w:pPr>
      <w:r>
        <w:rPr>
          <w:spacing w:val="-1"/>
        </w:rPr>
        <w:t>平台，优化和推广</w:t>
      </w:r>
      <w:r>
        <w:rPr>
          <w:rFonts w:ascii="Times New Roman" w:hAnsi="Times New Roman" w:cs="Times New Roman" w:eastAsia="Times New Roman" w:hint="default"/>
          <w:spacing w:val="-1"/>
        </w:rPr>
        <w:t>AIOps</w:t>
      </w:r>
      <w:r>
        <w:rPr>
          <w:spacing w:val="-1"/>
        </w:rPr>
        <w:t>、智能算法开放运营服务平台，强化</w:t>
      </w:r>
      <w:r>
        <w:rPr>
          <w:rFonts w:ascii="Times New Roman" w:hAnsi="Times New Roman" w:cs="Times New Roman" w:eastAsia="Times New Roman" w:hint="default"/>
          <w:spacing w:val="-1"/>
        </w:rPr>
        <w:t>AI</w:t>
      </w:r>
      <w:r>
        <w:rPr>
          <w:spacing w:val="-1"/>
        </w:rPr>
        <w:t>模型在线设计、开发、测试、评估、部署、发布等端到端全</w:t>
      </w:r>
      <w:r>
        <w:rPr>
          <w:spacing w:val="-70"/>
        </w:rPr>
        <w:t> </w:t>
      </w:r>
      <w:r>
        <w:rPr>
          <w:spacing w:val="-70"/>
        </w:rPr>
      </w:r>
      <w:r>
        <w:rPr/>
        <w:t>生命周期开发能力。</w:t>
      </w:r>
    </w:p>
    <w:p>
      <w:pPr>
        <w:pStyle w:val="BodyText"/>
        <w:spacing w:line="300" w:lineRule="auto" w:before="70"/>
        <w:ind w:right="982" w:firstLine="360"/>
        <w:jc w:val="left"/>
      </w:pPr>
      <w:r>
        <w:rPr>
          <w:spacing w:val="-2"/>
        </w:rPr>
        <w:t>推进人工智能应用产品落地和研发。在智慧营业厅系列产品中，继续增强智能体验场景并和</w:t>
      </w:r>
      <w:r>
        <w:rPr>
          <w:rFonts w:ascii="Times New Roman" w:hAnsi="Times New Roman" w:cs="Times New Roman" w:eastAsia="Times New Roman" w:hint="default"/>
          <w:spacing w:val="-2"/>
        </w:rPr>
        <w:t>5G</w:t>
      </w:r>
      <w:r>
        <w:rPr>
          <w:spacing w:val="-2"/>
        </w:rPr>
        <w:t>相结合构建</w:t>
      </w:r>
      <w:r>
        <w:rPr>
          <w:rFonts w:ascii="Times New Roman" w:hAnsi="Times New Roman" w:cs="Times New Roman" w:eastAsia="Times New Roman" w:hint="default"/>
          <w:spacing w:val="-2"/>
        </w:rPr>
        <w:t>5G+</w:t>
      </w:r>
      <w:r>
        <w:rPr>
          <w:spacing w:val="-2"/>
        </w:rPr>
        <w:t>智慧营业</w:t>
      </w:r>
      <w:r>
        <w:rPr/>
        <w:t> 厅。扩宽智慧城市、智慧旅游的大数据应用和</w:t>
      </w:r>
      <w:r>
        <w:rPr>
          <w:rFonts w:ascii="Times New Roman" w:hAnsi="Times New Roman" w:cs="Times New Roman" w:eastAsia="Times New Roman" w:hint="default"/>
        </w:rPr>
        <w:t>AI</w:t>
      </w:r>
      <w:r>
        <w:rPr/>
        <w:t>应用场景。</w:t>
      </w:r>
    </w:p>
    <w:p>
      <w:pPr>
        <w:spacing w:line="340" w:lineRule="auto" w:before="53"/>
        <w:ind w:left="513" w:right="98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、在物联网领域，继续深入研发工业互联网平台</w:t>
      </w:r>
      <w:r>
        <w:rPr>
          <w:rFonts w:ascii="宋体" w:hAnsi="宋体" w:cs="宋体" w:eastAsia="宋体" w:hint="default"/>
          <w:b/>
          <w:bCs/>
          <w:w w:val="99"/>
          <w:sz w:val="18"/>
          <w:szCs w:val="18"/>
        </w:rPr>
        <w:t> </w:t>
      </w:r>
      <w:r>
        <w:rPr>
          <w:rFonts w:ascii="宋体" w:hAnsi="宋体" w:cs="宋体" w:eastAsia="宋体" w:hint="default"/>
          <w:spacing w:val="-2"/>
          <w:sz w:val="18"/>
          <w:szCs w:val="18"/>
        </w:rPr>
        <w:t>提供行业先进的物联网解决方案，为产业链中所有合作伙伴的产品和服务、硬件、软件的广泛接入和融合提供支持与服</w:t>
      </w:r>
    </w:p>
    <w:p>
      <w:pPr>
        <w:pStyle w:val="BodyText"/>
        <w:spacing w:line="357" w:lineRule="auto" w:before="1"/>
        <w:ind w:left="513" w:right="1033" w:hanging="360"/>
        <w:jc w:val="left"/>
      </w:pPr>
      <w:r>
        <w:rPr/>
        <w:t>务，实现技术、产品和服务运营的端到端打通。 研发优化核心产品物联网平台实现设备接入与管理，实现物联网设备的数据采集，远程控制，智能分析与运维、运营。</w:t>
      </w:r>
    </w:p>
    <w:p>
      <w:pPr>
        <w:pStyle w:val="BodyText"/>
        <w:spacing w:line="237" w:lineRule="exact"/>
        <w:ind w:right="982"/>
        <w:jc w:val="left"/>
      </w:pPr>
      <w:r>
        <w:rPr/>
        <w:t>以智慧运营</w:t>
      </w:r>
      <w:r>
        <w:rPr>
          <w:rFonts w:ascii="Times New Roman" w:hAnsi="Times New Roman" w:cs="Times New Roman" w:eastAsia="Times New Roman" w:hint="default"/>
        </w:rPr>
        <w:t>+</w:t>
      </w:r>
      <w:r>
        <w:rPr/>
        <w:t>平台运营的创新理念，为产业上下游构建开放的平台，实现客户的开拓和拓展，通过生态链的建设和运营，着</w:t>
      </w:r>
    </w:p>
    <w:p>
      <w:pPr>
        <w:pStyle w:val="BodyText"/>
        <w:spacing w:line="240" w:lineRule="auto" w:before="63"/>
        <w:ind w:right="982"/>
        <w:jc w:val="left"/>
      </w:pPr>
      <w:r>
        <w:rPr/>
        <w:t>力发展生态链下的云和大数据服务、万物互联、智能制造等市场。</w:t>
      </w:r>
    </w:p>
    <w:p>
      <w:pPr>
        <w:pStyle w:val="Heading5"/>
        <w:spacing w:line="240" w:lineRule="auto" w:before="117"/>
        <w:ind w:right="982"/>
        <w:jc w:val="left"/>
        <w:rPr>
          <w:b w:val="0"/>
          <w:bCs w:val="0"/>
        </w:rPr>
      </w:pPr>
      <w:r>
        <w:rPr>
          <w:rFonts w:ascii="Times New Roman" w:hAnsi="Times New Roman" w:cs="Times New Roman" w:eastAsia="Times New Roman" w:hint="default"/>
        </w:rPr>
        <w:t>4</w:t>
      </w:r>
      <w:r>
        <w:rPr/>
        <w:t>、在</w:t>
      </w:r>
      <w:r>
        <w:rPr>
          <w:rFonts w:ascii="Times New Roman" w:hAnsi="Times New Roman" w:cs="Times New Roman" w:eastAsia="Times New Roman" w:hint="default"/>
        </w:rPr>
        <w:t>PaaS</w:t>
      </w:r>
      <w:r>
        <w:rPr/>
        <w:t>领域，持续完善</w:t>
      </w:r>
      <w:r>
        <w:rPr>
          <w:rFonts w:ascii="Times New Roman" w:hAnsi="Times New Roman" w:cs="Times New Roman" w:eastAsia="Times New Roman" w:hint="default"/>
        </w:rPr>
        <w:t>PaaS</w:t>
      </w:r>
      <w:r>
        <w:rPr/>
        <w:t>平台，扩宽</w:t>
      </w:r>
      <w:r>
        <w:rPr>
          <w:rFonts w:ascii="Times New Roman" w:hAnsi="Times New Roman" w:cs="Times New Roman" w:eastAsia="Times New Roman" w:hint="default"/>
        </w:rPr>
        <w:t>AI</w:t>
      </w:r>
      <w:r>
        <w:rPr>
          <w:rFonts w:ascii="Times New Roman" w:hAnsi="Times New Roman" w:cs="Times New Roman" w:eastAsia="Times New Roman" w:hint="default"/>
          <w:spacing w:val="-7"/>
        </w:rPr>
        <w:t> </w:t>
      </w:r>
      <w:r>
        <w:rPr>
          <w:rFonts w:ascii="Times New Roman" w:hAnsi="Times New Roman" w:cs="Times New Roman" w:eastAsia="Times New Roman" w:hint="default"/>
        </w:rPr>
        <w:t>PaaS</w:t>
      </w:r>
      <w:r>
        <w:rPr/>
        <w:t>产品体系，推动新技术落地</w:t>
      </w:r>
      <w:r>
        <w:rPr>
          <w:b w:val="0"/>
          <w:bCs w:val="0"/>
        </w:rPr>
      </w:r>
    </w:p>
    <w:p>
      <w:pPr>
        <w:pStyle w:val="BodyText"/>
        <w:spacing w:line="300" w:lineRule="auto" w:before="103"/>
        <w:ind w:right="1129" w:firstLine="360"/>
        <w:jc w:val="left"/>
      </w:pPr>
      <w:r>
        <w:rPr/>
        <w:t>探索</w:t>
      </w:r>
      <w:r>
        <w:rPr>
          <w:rFonts w:ascii="Times New Roman" w:hAnsi="Times New Roman" w:cs="Times New Roman" w:eastAsia="Times New Roman" w:hint="default"/>
        </w:rPr>
        <w:t>Serverless FaaS</w:t>
      </w:r>
      <w:r>
        <w:rPr/>
        <w:t>和服务网络</w:t>
      </w:r>
      <w:r>
        <w:rPr>
          <w:rFonts w:ascii="Times New Roman" w:hAnsi="Times New Roman" w:cs="Times New Roman" w:eastAsia="Times New Roman" w:hint="default"/>
        </w:rPr>
        <w:t>Service</w:t>
      </w:r>
      <w:r>
        <w:rPr>
          <w:rFonts w:ascii="Times New Roman" w:hAnsi="Times New Roman" w:cs="Times New Roman" w:eastAsia="Times New Roman" w:hint="default"/>
          <w:spacing w:val="-5"/>
        </w:rPr>
        <w:t> </w:t>
      </w:r>
      <w:r>
        <w:rPr>
          <w:rFonts w:ascii="Times New Roman" w:hAnsi="Times New Roman" w:cs="Times New Roman" w:eastAsia="Times New Roman" w:hint="default"/>
        </w:rPr>
        <w:t>Mesh</w:t>
      </w:r>
      <w:r>
        <w:rPr/>
        <w:t>技术，研发云端</w:t>
      </w:r>
      <w:r>
        <w:rPr>
          <w:rFonts w:ascii="Times New Roman" w:hAnsi="Times New Roman" w:cs="Times New Roman" w:eastAsia="Times New Roman" w:hint="default"/>
        </w:rPr>
        <w:t>IDE</w:t>
      </w:r>
      <w:r>
        <w:rPr/>
        <w:t>集成、业务配置运营一体化平台、元数据管理等</w:t>
      </w:r>
      <w:r>
        <w:rPr>
          <w:rFonts w:ascii="Times New Roman" w:hAnsi="Times New Roman" w:cs="Times New Roman" w:eastAsia="Times New Roman" w:hint="default"/>
        </w:rPr>
        <w:t>PaaS</w:t>
      </w:r>
      <w:r>
        <w:rPr/>
        <w:t>平 台。研发推进区块链在</w:t>
      </w:r>
      <w:r>
        <w:rPr>
          <w:rFonts w:ascii="Times New Roman" w:hAnsi="Times New Roman" w:cs="Times New Roman" w:eastAsia="Times New Roman" w:hint="default"/>
        </w:rPr>
        <w:t>CRM/BOSS</w:t>
      </w:r>
      <w:r>
        <w:rPr/>
        <w:t>领域的应用落地。</w:t>
      </w:r>
    </w:p>
    <w:p>
      <w:pPr>
        <w:pStyle w:val="BodyText"/>
        <w:spacing w:line="304" w:lineRule="auto" w:before="51"/>
        <w:ind w:right="982" w:firstLine="360"/>
        <w:jc w:val="left"/>
      </w:pPr>
      <w:r>
        <w:rPr>
          <w:spacing w:val="-4"/>
        </w:rPr>
        <w:t>利用思特奇</w:t>
      </w:r>
      <w:r>
        <w:rPr>
          <w:rFonts w:ascii="Times New Roman" w:hAnsi="Times New Roman" w:cs="Times New Roman" w:eastAsia="Times New Roman" w:hint="default"/>
          <w:spacing w:val="-4"/>
        </w:rPr>
        <w:t>PaaS</w:t>
      </w:r>
      <w:r>
        <w:rPr>
          <w:spacing w:val="-4"/>
        </w:rPr>
        <w:t>的技术优势及现有的市场机会，从平台角度出发，通过强化技术能力，规范化流程管理和集中化等手段，</w:t>
      </w:r>
      <w:r>
        <w:rPr/>
        <w:t> </w:t>
      </w:r>
      <w:r>
        <w:rPr>
          <w:spacing w:val="-2"/>
        </w:rPr>
        <w:t>实现标准化跨域共享能力，从而构建平台化、标准化、集中化的</w:t>
      </w:r>
      <w:r>
        <w:rPr>
          <w:rFonts w:ascii="Times New Roman" w:hAnsi="Times New Roman" w:cs="Times New Roman" w:eastAsia="Times New Roman" w:hint="default"/>
          <w:spacing w:val="-2"/>
        </w:rPr>
        <w:t>PaaS</w:t>
      </w:r>
      <w:r>
        <w:rPr>
          <w:spacing w:val="-2"/>
        </w:rPr>
        <w:t>管控架构。总体上改变现有软件开发的供给模式，实现</w:t>
      </w:r>
      <w:r>
        <w:rPr>
          <w:spacing w:val="-65"/>
        </w:rPr>
        <w:t> </w:t>
      </w:r>
      <w:r>
        <w:rPr>
          <w:spacing w:val="-65"/>
        </w:rPr>
      </w:r>
      <w:r>
        <w:rPr>
          <w:spacing w:val="-2"/>
        </w:rPr>
        <w:t>互联化的</w:t>
      </w:r>
      <w:r>
        <w:rPr>
          <w:rFonts w:ascii="Times New Roman" w:hAnsi="Times New Roman" w:cs="Times New Roman" w:eastAsia="Times New Roman" w:hint="default"/>
          <w:spacing w:val="-2"/>
        </w:rPr>
        <w:t>PaaS</w:t>
      </w:r>
      <w:r>
        <w:rPr>
          <w:spacing w:val="-2"/>
        </w:rPr>
        <w:t>服务模式。通过实现主控节点与从属节点平台协作，逐步形成管理集中化、运营专业化及管控标准化的支撑运</w:t>
      </w:r>
      <w:r>
        <w:rPr>
          <w:spacing w:val="-63"/>
        </w:rPr>
        <w:t> </w:t>
      </w:r>
      <w:r>
        <w:rPr>
          <w:spacing w:val="-63"/>
        </w:rPr>
      </w:r>
      <w:r>
        <w:rPr>
          <w:spacing w:val="-2"/>
        </w:rPr>
        <w:t>营体系。除了加快推进某运营商中台产品的上线速度外，还要继续完善企业中台产品的速度，使思特奇的中台产品加快占领</w:t>
      </w:r>
      <w:r>
        <w:rPr>
          <w:spacing w:val="-63"/>
        </w:rPr>
        <w:t> </w:t>
      </w:r>
      <w:r>
        <w:rPr>
          <w:spacing w:val="-63"/>
        </w:rPr>
      </w:r>
      <w:r>
        <w:rPr/>
        <w:t>其他市场；</w:t>
      </w:r>
    </w:p>
    <w:p>
      <w:pPr>
        <w:spacing w:line="340" w:lineRule="auto" w:before="68"/>
        <w:ind w:left="513" w:right="12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、在电信运营商传统领域，推进业务能力运营中心</w:t>
      </w:r>
      <w:r>
        <w:rPr>
          <w:rFonts w:ascii="宋体" w:hAnsi="宋体" w:cs="宋体" w:eastAsia="宋体" w:hint="default"/>
          <w:b/>
          <w:bCs/>
          <w:w w:val="99"/>
          <w:sz w:val="18"/>
          <w:szCs w:val="18"/>
        </w:rPr>
        <w:t> </w:t>
      </w:r>
      <w:r>
        <w:rPr>
          <w:rFonts w:ascii="宋体" w:hAnsi="宋体" w:cs="宋体" w:eastAsia="宋体" w:hint="default"/>
          <w:sz w:val="18"/>
          <w:szCs w:val="18"/>
        </w:rPr>
        <w:t>重点研发智慧中台业务能力运营中心，实现面向场景的业务能力的贯通，以平台的形式，支撑百花齐放的创新业务。</w:t>
      </w:r>
    </w:p>
    <w:p>
      <w:pPr>
        <w:spacing w:line="240" w:lineRule="auto" w:before="0"/>
        <w:rPr>
          <w:rFonts w:ascii="宋体" w:hAnsi="宋体" w:cs="宋体" w:eastAsia="宋体" w:hint="default"/>
          <w:sz w:val="18"/>
          <w:szCs w:val="18"/>
        </w:rPr>
      </w:pPr>
    </w:p>
    <w:p>
      <w:pPr>
        <w:pStyle w:val="Heading4"/>
        <w:spacing w:line="240" w:lineRule="auto" w:before="133"/>
        <w:ind w:left="575" w:right="982"/>
        <w:jc w:val="left"/>
        <w:rPr>
          <w:b w:val="0"/>
          <w:bCs w:val="0"/>
        </w:rPr>
      </w:pPr>
      <w:r>
        <w:rPr/>
        <w:t>（四）面临的风险及应对措施</w:t>
      </w:r>
      <w:r>
        <w:rPr>
          <w:b w:val="0"/>
          <w:bCs w:val="0"/>
        </w:rPr>
      </w:r>
    </w:p>
    <w:p>
      <w:pPr>
        <w:pStyle w:val="Heading4"/>
        <w:spacing w:line="240" w:lineRule="auto" w:before="78"/>
        <w:ind w:left="575" w:right="982"/>
        <w:jc w:val="left"/>
        <w:rPr>
          <w:b w:val="0"/>
          <w:bCs w:val="0"/>
        </w:rPr>
      </w:pPr>
      <w:r>
        <w:rPr>
          <w:rFonts w:ascii="Times New Roman" w:hAnsi="Times New Roman" w:cs="Times New Roman" w:eastAsia="Times New Roman" w:hint="default"/>
        </w:rPr>
        <w:t>1</w:t>
      </w:r>
      <w:r>
        <w:rPr/>
        <w:t>、客户相对集中和业绩季节性波动风险</w:t>
      </w:r>
      <w:r>
        <w:rPr>
          <w:b w:val="0"/>
          <w:bCs w:val="0"/>
        </w:rPr>
      </w:r>
    </w:p>
    <w:p>
      <w:pPr>
        <w:pStyle w:val="BodyText"/>
        <w:spacing w:line="316" w:lineRule="auto" w:before="82"/>
        <w:ind w:right="982" w:firstLine="360"/>
        <w:jc w:val="left"/>
      </w:pPr>
      <w:r>
        <w:rPr>
          <w:spacing w:val="-2"/>
        </w:rPr>
        <w:t>公司的业务涵盖中国移动、中国联通、中国电信、广电等电信运营商，同时亦开拓了虚拟运营商、云和大数据公有云服</w:t>
      </w:r>
      <w:r>
        <w:rPr/>
        <w:t> 务、中小企业云和大数据运营服务等其他业务，而主要客户仍集中在电信运营商。</w:t>
      </w:r>
    </w:p>
    <w:p>
      <w:pPr>
        <w:pStyle w:val="BodyText"/>
        <w:spacing w:line="316" w:lineRule="auto" w:before="59"/>
        <w:ind w:right="1130" w:firstLine="360"/>
        <w:jc w:val="both"/>
      </w:pPr>
      <w:r>
        <w:rPr>
          <w:spacing w:val="-2"/>
        </w:rPr>
        <w:t>若因国家宏观调控、行业景气周期波动等发生重大不利变化，将对公司的正常生产带来不利影响；由于受客户采购管理</w:t>
      </w:r>
      <w:r>
        <w:rPr/>
        <w:t> </w:t>
      </w:r>
      <w:r>
        <w:rPr>
          <w:spacing w:val="-2"/>
        </w:rPr>
        <w:t>办法和付款流程的变化，以及投资、预算管控等策略和管理办法变化的因素影响，公司收入相对会集中在第四季度体现；而</w:t>
      </w:r>
      <w:r>
        <w:rPr>
          <w:spacing w:val="-64"/>
        </w:rPr>
        <w:t> </w:t>
      </w:r>
      <w:r>
        <w:rPr>
          <w:spacing w:val="-64"/>
        </w:rPr>
      </w:r>
      <w:r>
        <w:rPr/>
        <w:t>公司的管理费用和销售费用主要是人力成本和差旅费，为刚性支出。</w:t>
      </w:r>
    </w:p>
    <w:p>
      <w:pPr>
        <w:spacing w:line="357" w:lineRule="auto" w:before="59"/>
        <w:ind w:left="575" w:right="6898" w:hanging="63"/>
        <w:jc w:val="left"/>
        <w:rPr>
          <w:rFonts w:ascii="宋体" w:hAnsi="宋体" w:cs="宋体" w:eastAsia="宋体" w:hint="default"/>
          <w:sz w:val="18"/>
          <w:szCs w:val="18"/>
        </w:rPr>
      </w:pPr>
      <w:r>
        <w:rPr>
          <w:rFonts w:ascii="宋体" w:hAnsi="宋体" w:cs="宋体" w:eastAsia="宋体" w:hint="default"/>
          <w:sz w:val="18"/>
          <w:szCs w:val="18"/>
        </w:rPr>
        <w:t>因此可能会造成季度业绩波动。 </w:t>
      </w:r>
      <w:r>
        <w:rPr>
          <w:rFonts w:ascii="宋体" w:hAnsi="宋体" w:cs="宋体" w:eastAsia="宋体" w:hint="default"/>
          <w:b/>
          <w:bCs/>
          <w:sz w:val="18"/>
          <w:szCs w:val="18"/>
        </w:rPr>
        <w:t>针对上述风险，公司拟采取如下应对措施：</w:t>
      </w:r>
      <w:r>
        <w:rPr>
          <w:rFonts w:ascii="宋体" w:hAnsi="宋体" w:cs="宋体" w:eastAsia="宋体" w:hint="default"/>
          <w:sz w:val="18"/>
          <w:szCs w:val="18"/>
        </w:rPr>
      </w:r>
    </w:p>
    <w:p>
      <w:pPr>
        <w:pStyle w:val="BodyText"/>
        <w:spacing w:line="240" w:lineRule="auto" w:before="29"/>
        <w:ind w:left="513" w:right="982"/>
        <w:jc w:val="left"/>
      </w:pPr>
      <w:r>
        <w:rPr/>
        <w:t>（</w:t>
      </w:r>
      <w:r>
        <w:rPr>
          <w:rFonts w:ascii="Times New Roman" w:hAnsi="Times New Roman" w:cs="Times New Roman" w:eastAsia="Times New Roman" w:hint="default"/>
        </w:rPr>
        <w:t>1</w:t>
      </w:r>
      <w:r>
        <w:rPr/>
        <w:t>）与电信运营商推进规划和预算的及时性、科学性和严肃性；</w:t>
      </w:r>
    </w:p>
    <w:p>
      <w:pPr>
        <w:pStyle w:val="BodyText"/>
        <w:spacing w:line="240" w:lineRule="auto" w:before="103"/>
        <w:ind w:left="513" w:right="982"/>
        <w:jc w:val="left"/>
      </w:pPr>
      <w:r>
        <w:rPr/>
        <w:t>（</w:t>
      </w:r>
      <w:r>
        <w:rPr>
          <w:rFonts w:ascii="Times New Roman" w:hAnsi="Times New Roman" w:cs="Times New Roman" w:eastAsia="Times New Roman" w:hint="default"/>
        </w:rPr>
        <w:t>2</w:t>
      </w:r>
      <w:r>
        <w:rPr/>
        <w:t>）积极加强公司组织变革迭代和进化；</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982"/>
        <w:jc w:val="left"/>
      </w:pPr>
      <w:r>
        <w:rPr/>
        <w:t>（</w:t>
      </w:r>
      <w:r>
        <w:rPr>
          <w:rFonts w:ascii="Times New Roman" w:hAnsi="Times New Roman" w:cs="Times New Roman" w:eastAsia="Times New Roman" w:hint="default"/>
        </w:rPr>
        <w:t>3</w:t>
      </w:r>
      <w:r>
        <w:rPr/>
        <w:t>）强化时间性，计划性，和敏捷迭代，提升项目管理和验收管控水平；</w:t>
      </w:r>
    </w:p>
    <w:p>
      <w:pPr>
        <w:pStyle w:val="BodyText"/>
        <w:spacing w:line="240" w:lineRule="auto" w:before="104"/>
        <w:ind w:left="513" w:right="982"/>
        <w:jc w:val="left"/>
      </w:pPr>
      <w:r>
        <w:rPr/>
        <w:t>（</w:t>
      </w:r>
      <w:r>
        <w:rPr>
          <w:rFonts w:ascii="Times New Roman" w:hAnsi="Times New Roman" w:cs="Times New Roman" w:eastAsia="Times New Roman" w:hint="default"/>
        </w:rPr>
        <w:t>4</w:t>
      </w:r>
      <w:r>
        <w:rPr/>
        <w:t>）强化市场建设和拓展，进一步开发新产品和新客户；</w:t>
      </w:r>
    </w:p>
    <w:p>
      <w:pPr>
        <w:pStyle w:val="BodyText"/>
        <w:spacing w:line="240" w:lineRule="auto" w:before="101"/>
        <w:ind w:left="513" w:right="982"/>
        <w:jc w:val="left"/>
      </w:pPr>
      <w:r>
        <w:rPr/>
        <w:t>（</w:t>
      </w:r>
      <w:r>
        <w:rPr>
          <w:rFonts w:ascii="Times New Roman" w:hAnsi="Times New Roman" w:cs="Times New Roman" w:eastAsia="Times New Roman" w:hint="default"/>
        </w:rPr>
        <w:t>5</w:t>
      </w:r>
      <w:r>
        <w:rPr/>
        <w:t>）开拓虚拟运营商、云和大数据公有云服务、中小企业云和大数据运营服务等新型业务。</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Heading4"/>
        <w:spacing w:line="240" w:lineRule="auto"/>
        <w:ind w:left="664" w:right="982"/>
        <w:jc w:val="left"/>
        <w:rPr>
          <w:b w:val="0"/>
          <w:bCs w:val="0"/>
        </w:rPr>
      </w:pPr>
      <w:r>
        <w:rPr>
          <w:rFonts w:ascii="Times New Roman" w:hAnsi="Times New Roman" w:cs="Times New Roman" w:eastAsia="Times New Roman" w:hint="default"/>
        </w:rPr>
        <w:t>2</w:t>
      </w:r>
      <w:r>
        <w:rPr/>
        <w:t>、技术升级与市场需求不能匹配的风险</w:t>
      </w:r>
      <w:r>
        <w:rPr>
          <w:b w:val="0"/>
          <w:bCs w:val="0"/>
        </w:rPr>
      </w:r>
    </w:p>
    <w:p>
      <w:pPr>
        <w:pStyle w:val="BodyText"/>
        <w:spacing w:line="360" w:lineRule="auto" w:before="82"/>
        <w:ind w:left="513" w:right="982"/>
        <w:jc w:val="left"/>
      </w:pPr>
      <w:r>
        <w:rPr/>
        <w:t>由于软件开发及开发技术更新换代快，用户对软件系统及相关产品的功能要求也不断提高。 </w:t>
      </w:r>
      <w:r>
        <w:rPr>
          <w:spacing w:val="-2"/>
        </w:rPr>
        <w:t>如果公司不能准确把握技术、产品及市场的发展趋势，无法进行满足市场需求的技术和产品升级换代，将可能对公司的</w:t>
      </w:r>
    </w:p>
    <w:p>
      <w:pPr>
        <w:pStyle w:val="BodyText"/>
        <w:spacing w:line="222" w:lineRule="exact"/>
        <w:ind w:right="982"/>
        <w:jc w:val="left"/>
      </w:pPr>
      <w:r>
        <w:rPr/>
        <w:t>生产经营造成负面影响。</w:t>
      </w:r>
    </w:p>
    <w:p>
      <w:pPr>
        <w:pStyle w:val="Heading5"/>
        <w:spacing w:line="240" w:lineRule="auto" w:before="117"/>
        <w:ind w:left="575" w:right="982"/>
        <w:jc w:val="left"/>
        <w:rPr>
          <w:b w:val="0"/>
          <w:bCs w:val="0"/>
        </w:rPr>
      </w:pPr>
      <w:r>
        <w:rPr/>
        <w:t>针对上述风险，公司拟采取如下应对措施：</w:t>
      </w:r>
      <w:r>
        <w:rPr>
          <w:b w:val="0"/>
          <w:bCs w:val="0"/>
        </w:rPr>
      </w:r>
    </w:p>
    <w:p>
      <w:pPr>
        <w:pStyle w:val="BodyText"/>
        <w:spacing w:line="240" w:lineRule="auto" w:before="115"/>
        <w:ind w:left="513" w:right="982"/>
        <w:jc w:val="left"/>
      </w:pPr>
      <w:r>
        <w:rPr/>
        <w:t>（</w:t>
      </w:r>
      <w:r>
        <w:rPr>
          <w:rFonts w:ascii="Times New Roman" w:hAnsi="Times New Roman" w:cs="Times New Roman" w:eastAsia="Times New Roman" w:hint="default"/>
        </w:rPr>
        <w:t>1</w:t>
      </w:r>
      <w:r>
        <w:rPr/>
        <w:t>）充分研究和预判行业发展；</w:t>
      </w:r>
    </w:p>
    <w:p>
      <w:pPr>
        <w:pStyle w:val="BodyText"/>
        <w:spacing w:line="240" w:lineRule="auto" w:before="103"/>
        <w:ind w:left="513" w:right="982"/>
        <w:jc w:val="left"/>
      </w:pPr>
      <w:r>
        <w:rPr/>
        <w:t>（</w:t>
      </w:r>
      <w:r>
        <w:rPr>
          <w:rFonts w:ascii="Times New Roman" w:hAnsi="Times New Roman" w:cs="Times New Roman" w:eastAsia="Times New Roman" w:hint="default"/>
        </w:rPr>
        <w:t>2</w:t>
      </w:r>
      <w:r>
        <w:rPr/>
        <w:t>）研究、掌握、发掘和引导客户需求的方法、体系和机制，以及组织保障；</w:t>
      </w:r>
    </w:p>
    <w:p>
      <w:pPr>
        <w:pStyle w:val="BodyText"/>
        <w:spacing w:line="240" w:lineRule="auto" w:before="104"/>
        <w:ind w:left="513" w:right="982"/>
        <w:jc w:val="left"/>
      </w:pPr>
      <w:r>
        <w:rPr/>
        <w:t>（</w:t>
      </w:r>
      <w:r>
        <w:rPr>
          <w:rFonts w:ascii="Times New Roman" w:hAnsi="Times New Roman" w:cs="Times New Roman" w:eastAsia="Times New Roman" w:hint="default"/>
        </w:rPr>
        <w:t>3</w:t>
      </w:r>
      <w:r>
        <w:rPr/>
        <w:t>）加大研发力度，结合市场需求不断进行新技术、新产品的研发及产品或服务的升级；</w:t>
      </w:r>
    </w:p>
    <w:p>
      <w:pPr>
        <w:pStyle w:val="BodyText"/>
        <w:spacing w:line="240" w:lineRule="auto" w:before="101"/>
        <w:ind w:left="513" w:right="982"/>
        <w:jc w:val="left"/>
      </w:pPr>
      <w:r>
        <w:rPr/>
        <w:t>（</w:t>
      </w:r>
      <w:r>
        <w:rPr>
          <w:rFonts w:ascii="Times New Roman" w:hAnsi="Times New Roman" w:cs="Times New Roman" w:eastAsia="Times New Roman" w:hint="default"/>
        </w:rPr>
        <w:t>4</w:t>
      </w:r>
      <w:r>
        <w:rPr/>
        <w:t>）完善产品和服务的升级迭代发展等，谋求新的利润增长点。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Heading4"/>
        <w:spacing w:line="240" w:lineRule="auto"/>
        <w:ind w:left="575" w:right="982"/>
        <w:jc w:val="left"/>
        <w:rPr>
          <w:b w:val="0"/>
          <w:bCs w:val="0"/>
        </w:rPr>
      </w:pPr>
      <w:r>
        <w:rPr>
          <w:rFonts w:ascii="Times New Roman" w:hAnsi="Times New Roman" w:cs="Times New Roman" w:eastAsia="Times New Roman" w:hint="default"/>
        </w:rPr>
        <w:t>3</w:t>
      </w:r>
      <w:r>
        <w:rPr/>
        <w:t>、税收优惠政策变化的风险</w:t>
      </w:r>
      <w:r>
        <w:rPr>
          <w:b w:val="0"/>
          <w:bCs w:val="0"/>
        </w:rPr>
      </w:r>
    </w:p>
    <w:p>
      <w:pPr>
        <w:pStyle w:val="BodyText"/>
        <w:spacing w:line="300" w:lineRule="auto" w:before="82"/>
        <w:ind w:right="1116" w:firstLine="360"/>
        <w:jc w:val="left"/>
      </w:pPr>
      <w:r>
        <w:rPr>
          <w:spacing w:val="-1"/>
        </w:rPr>
        <w:t>公司是高新技术企业、国家规划布局内重点软件企业，根据相关政策，公司企业所得税税率为</w:t>
      </w:r>
      <w:r>
        <w:rPr>
          <w:rFonts w:ascii="Times New Roman" w:hAnsi="Times New Roman" w:cs="Times New Roman" w:eastAsia="Times New Roman" w:hint="default"/>
          <w:spacing w:val="-1"/>
        </w:rPr>
        <w:t>10%</w:t>
      </w:r>
      <w:r>
        <w:rPr>
          <w:spacing w:val="-1"/>
        </w:rPr>
        <w:t>；且公司自行开发研</w:t>
      </w:r>
      <w:r>
        <w:rPr/>
        <w:t> 制软件产品销售收入按</w:t>
      </w:r>
      <w:r>
        <w:rPr>
          <w:rFonts w:ascii="Times New Roman" w:hAnsi="Times New Roman" w:cs="Times New Roman" w:eastAsia="Times New Roman" w:hint="default"/>
        </w:rPr>
        <w:t>17%</w:t>
      </w:r>
      <w:r>
        <w:rPr/>
        <w:t>（</w:t>
      </w:r>
      <w:r>
        <w:rPr>
          <w:rFonts w:ascii="Times New Roman" w:hAnsi="Times New Roman" w:cs="Times New Roman" w:eastAsia="Times New Roman" w:hint="default"/>
        </w:rPr>
        <w:t>16%</w:t>
      </w:r>
      <w:r>
        <w:rPr/>
        <w:t>）的法定税率计缴增值税，对实际税负超过</w:t>
      </w:r>
      <w:r>
        <w:rPr>
          <w:rFonts w:ascii="Times New Roman" w:hAnsi="Times New Roman" w:cs="Times New Roman" w:eastAsia="Times New Roman" w:hint="default"/>
        </w:rPr>
        <w:t>3%</w:t>
      </w:r>
      <w:r>
        <w:rPr/>
        <w:t>的部分实行即征即退政策。</w:t>
      </w:r>
    </w:p>
    <w:p>
      <w:pPr>
        <w:pStyle w:val="BodyText"/>
        <w:spacing w:line="316" w:lineRule="auto" w:before="53"/>
        <w:ind w:right="982" w:firstLine="360"/>
        <w:jc w:val="left"/>
      </w:pPr>
      <w:r>
        <w:rPr>
          <w:spacing w:val="-2"/>
        </w:rPr>
        <w:t>如果国家调整相关的税收优惠政策，以及公司不能继续被评为高新技术企业或国家规划布局内重点软件企业，将对公司</w:t>
      </w:r>
      <w:r>
        <w:rPr/>
        <w:t> 的经营业绩和利润水平产生不利影响。</w:t>
      </w:r>
    </w:p>
    <w:p>
      <w:pPr>
        <w:pStyle w:val="Heading5"/>
        <w:spacing w:line="240" w:lineRule="auto" w:before="59"/>
        <w:ind w:left="575" w:right="982"/>
        <w:jc w:val="left"/>
        <w:rPr>
          <w:b w:val="0"/>
          <w:bCs w:val="0"/>
        </w:rPr>
      </w:pPr>
      <w:r>
        <w:rPr/>
        <w:t>针对上述风险，公司拟采取如下应对措施：</w:t>
      </w:r>
      <w:r>
        <w:rPr>
          <w:b w:val="0"/>
          <w:bCs w:val="0"/>
        </w:rPr>
      </w:r>
    </w:p>
    <w:p>
      <w:pPr>
        <w:pStyle w:val="BodyText"/>
        <w:spacing w:line="240" w:lineRule="auto" w:before="115"/>
        <w:ind w:left="513" w:right="982"/>
        <w:jc w:val="left"/>
      </w:pPr>
      <w:r>
        <w:rPr/>
        <w:t>（</w:t>
      </w:r>
      <w:r>
        <w:rPr>
          <w:rFonts w:ascii="Times New Roman" w:hAnsi="Times New Roman" w:cs="Times New Roman" w:eastAsia="Times New Roman" w:hint="default"/>
        </w:rPr>
        <w:t>1</w:t>
      </w:r>
      <w:r>
        <w:rPr/>
        <w:t>）扩大公司经营规模，提高公司市场占有率，推出满足市场需求的产品；</w:t>
      </w:r>
    </w:p>
    <w:p>
      <w:pPr>
        <w:pStyle w:val="BodyText"/>
        <w:spacing w:line="240" w:lineRule="auto" w:before="104"/>
        <w:ind w:left="513" w:right="982"/>
        <w:jc w:val="left"/>
      </w:pPr>
      <w:r>
        <w:rPr/>
        <w:t>（</w:t>
      </w:r>
      <w:r>
        <w:rPr>
          <w:rFonts w:ascii="Times New Roman" w:hAnsi="Times New Roman" w:cs="Times New Roman" w:eastAsia="Times New Roman" w:hint="default"/>
        </w:rPr>
        <w:t>2</w:t>
      </w:r>
      <w:r>
        <w:rPr/>
        <w:t>）提升公司经营业绩，使税收优惠对公司业绩的影响力度不断下降。</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4"/>
        <w:spacing w:line="240" w:lineRule="auto"/>
        <w:ind w:left="575" w:right="982"/>
        <w:jc w:val="left"/>
        <w:rPr>
          <w:b w:val="0"/>
          <w:bCs w:val="0"/>
        </w:rPr>
      </w:pPr>
      <w:r>
        <w:rPr>
          <w:rFonts w:ascii="Times New Roman" w:hAnsi="Times New Roman" w:cs="Times New Roman" w:eastAsia="Times New Roman" w:hint="default"/>
        </w:rPr>
        <w:t>4</w:t>
      </w:r>
      <w:r>
        <w:rPr/>
        <w:t>、技术人才流失风险</w:t>
      </w:r>
      <w:r>
        <w:rPr>
          <w:b w:val="0"/>
          <w:bCs w:val="0"/>
        </w:rPr>
      </w:r>
    </w:p>
    <w:p>
      <w:pPr>
        <w:pStyle w:val="BodyText"/>
        <w:spacing w:line="316" w:lineRule="auto" w:before="85"/>
        <w:ind w:right="982" w:firstLine="360"/>
        <w:jc w:val="left"/>
      </w:pPr>
      <w:r>
        <w:rPr>
          <w:spacing w:val="-2"/>
        </w:rPr>
        <w:t>公司为知识密集型企业，是典型的依靠人才的智能和创造性，人才的自觉主动性，人才的自律和对应的公司文化，组织</w:t>
      </w:r>
      <w:r>
        <w:rPr/>
        <w:t> 建设而给客户，公司和人才自己创造价值的企业组织。</w:t>
      </w:r>
    </w:p>
    <w:p>
      <w:pPr>
        <w:pStyle w:val="BodyText"/>
        <w:spacing w:line="357" w:lineRule="auto" w:before="59"/>
        <w:ind w:left="513" w:right="1033"/>
        <w:jc w:val="left"/>
        <w:rPr>
          <w:rFonts w:ascii="宋体" w:hAnsi="宋体" w:cs="宋体" w:eastAsia="宋体" w:hint="default"/>
        </w:rPr>
      </w:pPr>
      <w:r>
        <w:rPr/>
        <w:t>因此，公司的目标和策略都是依靠合适的人才构成和高效的组织运作得以实现。 同时，软件行业对人才竞争激烈，尤其是企业间对高水平的技术人才的争夺，都会引起人才竞争加剧，导致人才流失。 </w:t>
      </w:r>
      <w:r>
        <w:rPr>
          <w:rFonts w:ascii="宋体" w:hAnsi="宋体" w:cs="宋体" w:eastAsia="宋体" w:hint="default"/>
          <w:b/>
          <w:bCs/>
        </w:rPr>
        <w:t>针对上述风险，公司拟采取如下应对措施：</w:t>
      </w:r>
      <w:r>
        <w:rPr>
          <w:rFonts w:ascii="宋体" w:hAnsi="宋体" w:cs="宋体" w:eastAsia="宋体" w:hint="default"/>
        </w:rPr>
      </w:r>
    </w:p>
    <w:p>
      <w:pPr>
        <w:pStyle w:val="BodyText"/>
        <w:spacing w:line="300" w:lineRule="auto" w:before="29"/>
        <w:ind w:right="1123" w:firstLine="360"/>
        <w:jc w:val="left"/>
      </w:pPr>
      <w:r>
        <w:rPr/>
        <w:t>（</w:t>
      </w:r>
      <w:r>
        <w:rPr>
          <w:rFonts w:ascii="Times New Roman" w:hAnsi="Times New Roman" w:cs="Times New Roman" w:eastAsia="Times New Roman" w:hint="default"/>
        </w:rPr>
        <w:t>1</w:t>
      </w:r>
      <w:r>
        <w:rPr/>
        <w:t>）创新建立价值评估体系，以给客户，公司，团队创造价值为目标，以先进生产方式为手段，以产品和技术竞争力 为标杆；</w:t>
      </w:r>
    </w:p>
    <w:p>
      <w:pPr>
        <w:pStyle w:val="BodyText"/>
        <w:spacing w:line="240" w:lineRule="auto" w:before="70"/>
        <w:ind w:left="513" w:right="982"/>
        <w:jc w:val="left"/>
      </w:pPr>
      <w:r>
        <w:rPr/>
        <w:t>（</w:t>
      </w:r>
      <w:r>
        <w:rPr>
          <w:rFonts w:ascii="Times New Roman" w:hAnsi="Times New Roman" w:cs="Times New Roman" w:eastAsia="Times New Roman" w:hint="default"/>
        </w:rPr>
        <w:t>2</w:t>
      </w:r>
      <w:r>
        <w:rPr/>
        <w:t>）建立与公司发展相适应的薪酬机制，以确保薪酬管理真正体现能力薪酬、业绩薪酬的薪酬导向与原则；</w:t>
      </w:r>
    </w:p>
    <w:p>
      <w:pPr>
        <w:pStyle w:val="BodyText"/>
        <w:spacing w:line="300" w:lineRule="auto" w:before="103"/>
        <w:ind w:right="982" w:firstLine="360"/>
        <w:jc w:val="left"/>
      </w:pPr>
      <w:r>
        <w:rPr>
          <w:spacing w:val="-2"/>
        </w:rPr>
        <w:t>（</w:t>
      </w:r>
      <w:r>
        <w:rPr>
          <w:rFonts w:ascii="Times New Roman" w:hAnsi="Times New Roman" w:cs="Times New Roman" w:eastAsia="Times New Roman" w:hint="default"/>
          <w:spacing w:val="-2"/>
        </w:rPr>
        <w:t>3</w:t>
      </w:r>
      <w:r>
        <w:rPr>
          <w:spacing w:val="-2"/>
        </w:rPr>
        <w:t>）创新完善自我学习和培训体系，建立合理的人才梯队，为每名员工配备岗位职位发展路径，助力员工在职业素质、</w:t>
      </w:r>
      <w:r>
        <w:rPr/>
        <w:t> 岗位技能、专业能力等多方面的提升。</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4"/>
        <w:spacing w:line="240" w:lineRule="auto"/>
        <w:ind w:left="575" w:right="982"/>
        <w:jc w:val="left"/>
        <w:rPr>
          <w:b w:val="0"/>
          <w:bCs w:val="0"/>
        </w:rPr>
      </w:pPr>
      <w:r>
        <w:rPr>
          <w:rFonts w:ascii="Times New Roman" w:hAnsi="Times New Roman" w:cs="Times New Roman" w:eastAsia="Times New Roman" w:hint="default"/>
        </w:rPr>
        <w:t>5</w:t>
      </w:r>
      <w:r>
        <w:rPr/>
        <w:t>、募集资金投资项目风险</w:t>
      </w:r>
      <w:r>
        <w:rPr>
          <w:b w:val="0"/>
          <w:bCs w:val="0"/>
        </w:rPr>
      </w:r>
    </w:p>
    <w:p>
      <w:pPr>
        <w:pStyle w:val="BodyText"/>
        <w:spacing w:line="316" w:lineRule="auto" w:before="85"/>
        <w:ind w:right="1130" w:firstLine="360"/>
        <w:jc w:val="both"/>
      </w:pPr>
      <w:r>
        <w:rPr>
          <w:spacing w:val="-2"/>
        </w:rPr>
        <w:t>对募集资金投资项目的选定，公司进行了充分的可行性论证，研究了国家相关产业发展方向和行业的发展规律，以及业</w:t>
      </w:r>
      <w:r>
        <w:rPr/>
        <w:t> 务和产品的市场发展趋势。 但在募集资金投资项目的实施过程中，公司仍面临着产业政策变化、市场变化、竞争条件变化</w:t>
      </w:r>
      <w:r>
        <w:rPr>
          <w:spacing w:val="-84"/>
        </w:rPr>
        <w:t> </w:t>
      </w:r>
      <w:r>
        <w:rPr>
          <w:spacing w:val="-84"/>
        </w:rPr>
      </w:r>
      <w:r>
        <w:rPr>
          <w:spacing w:val="-2"/>
        </w:rPr>
        <w:t>以及技术更新等诸多不确定因素，可能会影响项目的投资成本、投资回收期、投资收益率等，从而对公司的经营业绩产生不</w:t>
      </w:r>
      <w:r>
        <w:rPr>
          <w:spacing w:val="-64"/>
        </w:rPr>
        <w:t> </w:t>
      </w:r>
      <w:r>
        <w:rPr>
          <w:spacing w:val="-64"/>
        </w:rPr>
      </w:r>
      <w:r>
        <w:rPr/>
        <w:t>利影响。</w:t>
      </w:r>
    </w:p>
    <w:p>
      <w:pPr>
        <w:spacing w:after="0" w:line="316"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Heading5"/>
        <w:spacing w:line="240" w:lineRule="auto"/>
        <w:ind w:left="575" w:right="982"/>
        <w:jc w:val="left"/>
        <w:rPr>
          <w:b w:val="0"/>
          <w:bCs w:val="0"/>
        </w:rPr>
      </w:pPr>
      <w:r>
        <w:rPr/>
        <w:t>针对上述风险，公司拟采取如下应对措施：</w:t>
      </w:r>
      <w:r>
        <w:rPr>
          <w:b w:val="0"/>
          <w:bCs w:val="0"/>
        </w:rPr>
      </w:r>
    </w:p>
    <w:p>
      <w:pPr>
        <w:pStyle w:val="BodyText"/>
        <w:spacing w:line="240" w:lineRule="auto" w:before="117"/>
        <w:ind w:left="513" w:right="982"/>
        <w:jc w:val="left"/>
      </w:pPr>
      <w:r>
        <w:rPr/>
        <w:t>（</w:t>
      </w:r>
      <w:r>
        <w:rPr>
          <w:rFonts w:ascii="Times New Roman" w:hAnsi="Times New Roman" w:cs="Times New Roman" w:eastAsia="Times New Roman" w:hint="default"/>
        </w:rPr>
        <w:t>1</w:t>
      </w:r>
      <w:r>
        <w:rPr/>
        <w:t>）密切关注产业政策、市场变化等情况，在技术研究、产品开发和项目管理等方面培养专业人才；</w:t>
      </w:r>
    </w:p>
    <w:p>
      <w:pPr>
        <w:pStyle w:val="BodyText"/>
        <w:spacing w:line="240" w:lineRule="auto" w:before="101"/>
        <w:ind w:left="513" w:right="982"/>
        <w:jc w:val="left"/>
      </w:pPr>
      <w:r>
        <w:rPr/>
        <w:t>（</w:t>
      </w:r>
      <w:r>
        <w:rPr>
          <w:rFonts w:ascii="Times New Roman" w:hAnsi="Times New Roman" w:cs="Times New Roman" w:eastAsia="Times New Roman" w:hint="default"/>
        </w:rPr>
        <w:t>2</w:t>
      </w:r>
      <w:r>
        <w:rPr/>
        <w:t>）完善内部控制，加强资金管理。</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Heading4"/>
        <w:spacing w:line="240" w:lineRule="auto"/>
        <w:ind w:left="575" w:right="982"/>
        <w:jc w:val="left"/>
        <w:rPr>
          <w:b w:val="0"/>
          <w:bCs w:val="0"/>
        </w:rPr>
      </w:pPr>
      <w:r>
        <w:rPr>
          <w:rFonts w:ascii="Times New Roman" w:hAnsi="Times New Roman" w:cs="Times New Roman" w:eastAsia="Times New Roman" w:hint="default"/>
        </w:rPr>
        <w:t>6</w:t>
      </w:r>
      <w:r>
        <w:rPr/>
        <w:t>、疫情等不可抗力因素影响的风险</w:t>
      </w:r>
      <w:r>
        <w:rPr>
          <w:b w:val="0"/>
          <w:bCs w:val="0"/>
        </w:rPr>
      </w:r>
    </w:p>
    <w:p>
      <w:pPr>
        <w:pStyle w:val="BodyText"/>
        <w:spacing w:line="316" w:lineRule="auto" w:before="82"/>
        <w:ind w:right="1130" w:firstLine="422"/>
        <w:jc w:val="both"/>
      </w:pPr>
      <w:r>
        <w:rPr/>
        <w:t>受新型冠状病毒肺炎疫情影响，疫情给全球经济、社会、金融和居民生活造成了巨大冲击，全国大部分地区实行了较 </w:t>
      </w:r>
      <w:r>
        <w:rPr>
          <w:spacing w:val="-2"/>
        </w:rPr>
        <w:t>为严格的交通管制，公司项目交付进度将受到一定影响。公司密切关注新冠肺炎疫情发展情况，跟踪评估并积极应对疫情等</w:t>
      </w:r>
      <w:r>
        <w:rPr>
          <w:spacing w:val="-63"/>
        </w:rPr>
        <w:t> </w:t>
      </w:r>
      <w:r>
        <w:rPr>
          <w:spacing w:val="-63"/>
        </w:rPr>
      </w:r>
      <w:r>
        <w:rPr>
          <w:spacing w:val="-2"/>
        </w:rPr>
        <w:t>不可抗力因素对公司业务及财务状况、经营成果等方面的影响，目前尚较难判断公司面临的经营环境和行业状况是否会面临</w:t>
      </w:r>
      <w:r>
        <w:rPr>
          <w:spacing w:val="-64"/>
        </w:rPr>
        <w:t> </w:t>
      </w:r>
      <w:r>
        <w:rPr>
          <w:spacing w:val="-64"/>
        </w:rPr>
      </w:r>
      <w:r>
        <w:rPr/>
        <w:t>重大短期风险。</w:t>
      </w:r>
    </w:p>
    <w:p>
      <w:pPr>
        <w:pStyle w:val="Heading5"/>
        <w:spacing w:line="240" w:lineRule="auto" w:before="59"/>
        <w:ind w:left="575" w:right="982"/>
        <w:jc w:val="left"/>
        <w:rPr>
          <w:b w:val="0"/>
          <w:bCs w:val="0"/>
        </w:rPr>
      </w:pPr>
      <w:r>
        <w:rPr/>
        <w:t>针对上述风险，公司拟采取如下应对措施：</w:t>
      </w:r>
      <w:r>
        <w:rPr>
          <w:b w:val="0"/>
          <w:bCs w:val="0"/>
        </w:rPr>
      </w:r>
    </w:p>
    <w:p>
      <w:pPr>
        <w:pStyle w:val="BodyText"/>
        <w:spacing w:line="240" w:lineRule="auto" w:before="117"/>
        <w:ind w:left="575" w:right="982"/>
        <w:jc w:val="left"/>
      </w:pPr>
      <w:r>
        <w:rPr/>
        <w:t>（</w:t>
      </w:r>
      <w:r>
        <w:rPr>
          <w:rFonts w:ascii="Times New Roman" w:hAnsi="Times New Roman" w:cs="Times New Roman" w:eastAsia="Times New Roman" w:hint="default"/>
        </w:rPr>
        <w:t>1</w:t>
      </w:r>
      <w:r>
        <w:rPr/>
        <w:t>）公司仍将坚持按既定的战略稳步推进各项经营管理工作，以科技助力疫情防控工作；</w:t>
      </w:r>
    </w:p>
    <w:p>
      <w:pPr>
        <w:pStyle w:val="BodyText"/>
        <w:spacing w:line="240" w:lineRule="auto" w:before="102"/>
        <w:ind w:left="575" w:right="982"/>
        <w:jc w:val="left"/>
      </w:pPr>
      <w:r>
        <w:rPr/>
        <w:t>（</w:t>
      </w:r>
      <w:r>
        <w:rPr>
          <w:rFonts w:ascii="Times New Roman" w:hAnsi="Times New Roman" w:cs="Times New Roman" w:eastAsia="Times New Roman" w:hint="default"/>
        </w:rPr>
        <w:t>2</w:t>
      </w:r>
      <w:r>
        <w:rPr/>
        <w:t>）抓住疫情引发的生产、生活和商业模式变化可能带来的结构性机会与长远性机会。</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r>
        <w:rPr/>
        <w:pict>
          <v:shape style="position:absolute;margin-left:218.673004pt;margin-top:681.579956pt;width:316.3pt;height:19.7pt;mso-position-horizontal-relative:page;mso-position-vertical-relative:page;z-index:-1166848" type="#_x0000_t202" filled="false" stroked="false">
            <v:textbox inset="0,0,0,0">
              <w:txbxContent>
                <w:p>
                  <w:pPr>
                    <w:pStyle w:val="BodyText"/>
                    <w:spacing w:line="240" w:lineRule="auto" w:before="51"/>
                    <w:ind w:left="0" w:right="0"/>
                    <w:jc w:val="left"/>
                  </w:pPr>
                  <w:r>
                    <w:rPr/>
                    <w:t>（元）</w:t>
                  </w:r>
                </w:p>
              </w:txbxContent>
            </v:textbox>
            <w10:wrap type="none"/>
          </v:shape>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219"/>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513" w:right="10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报告期内，公司严格按照《公司章程》规定的利润分配政策和审议程序实施利润分配方案，分红标准及比例明确清晰，</w:t>
      </w:r>
    </w:p>
    <w:p>
      <w:pPr>
        <w:pStyle w:val="BodyText"/>
        <w:spacing w:line="319" w:lineRule="auto" w:before="2"/>
        <w:ind w:right="1130"/>
        <w:jc w:val="both"/>
      </w:pPr>
      <w:r>
        <w:rPr>
          <w:spacing w:val="-2"/>
        </w:rPr>
        <w:t>相关决策程序和机制完备，相关议案经公司董事会、监事会审议通过后提交公司股东大会，以现场投票和网络投票相结合的</w:t>
      </w:r>
      <w:r>
        <w:rPr>
          <w:spacing w:val="-63"/>
        </w:rPr>
        <w:t> </w:t>
      </w:r>
      <w:r>
        <w:rPr>
          <w:spacing w:val="-63"/>
        </w:rPr>
      </w:r>
      <w:r>
        <w:rPr>
          <w:spacing w:val="-2"/>
        </w:rPr>
        <w:t>方式进行审议表决，切实保证了全体股东尤其中小股东的利益，公司独立董事发表了独立意见。审议通过后，公司在规定期</w:t>
      </w:r>
      <w:r>
        <w:rPr>
          <w:spacing w:val="-64"/>
        </w:rPr>
        <w:t> </w:t>
      </w:r>
      <w:r>
        <w:rPr>
          <w:spacing w:val="-64"/>
        </w:rPr>
      </w:r>
      <w:r>
        <w:rPr/>
        <w:t>限内完成了股利的派发。</w:t>
      </w:r>
    </w:p>
    <w:p>
      <w:pPr>
        <w:pStyle w:val="BodyText"/>
        <w:spacing w:line="300" w:lineRule="auto" w:before="58"/>
        <w:ind w:right="1127" w:firstLine="360"/>
        <w:jc w:val="both"/>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日召开第二届董事会第二十八次会议和第二届监事会第二十六次会议，并于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日召开</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spacing w:val="-2"/>
        </w:rPr>
        <w:t>年度股东大会，审议通过了《关于公司</w:t>
      </w:r>
      <w:r>
        <w:rPr>
          <w:rFonts w:ascii="Times New Roman" w:hAnsi="Times New Roman" w:cs="Times New Roman" w:eastAsia="Times New Roman" w:hint="default"/>
          <w:spacing w:val="-2"/>
        </w:rPr>
        <w:t>2018</w:t>
      </w:r>
      <w:r>
        <w:rPr>
          <w:spacing w:val="-2"/>
        </w:rPr>
        <w:t>年度利润分配方案的议案》，</w:t>
      </w:r>
      <w:r>
        <w:rPr>
          <w:rFonts w:ascii="Times New Roman" w:hAnsi="Times New Roman" w:cs="Times New Roman" w:eastAsia="Times New Roman" w:hint="default"/>
          <w:spacing w:val="-2"/>
        </w:rPr>
        <w:t>2018</w:t>
      </w:r>
      <w:r>
        <w:rPr>
          <w:spacing w:val="-2"/>
        </w:rPr>
        <w:t>年度利润分配方案为：以总股本（</w:t>
      </w:r>
      <w:r>
        <w:rPr>
          <w:rFonts w:ascii="Times New Roman" w:hAnsi="Times New Roman" w:cs="Times New Roman" w:eastAsia="Times New Roman" w:hint="default"/>
          <w:spacing w:val="-2"/>
        </w:rPr>
        <w:t>105,175,200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4"/>
        </w:rPr>
        <w:t>股）扣除公司从二级市场回购的股份（</w:t>
      </w:r>
      <w:r>
        <w:rPr>
          <w:rFonts w:ascii="Times New Roman" w:hAnsi="Times New Roman" w:cs="Times New Roman" w:eastAsia="Times New Roman" w:hint="default"/>
          <w:spacing w:val="-4"/>
        </w:rPr>
        <w:t>222,176</w:t>
      </w:r>
      <w:r>
        <w:rPr>
          <w:spacing w:val="-4"/>
        </w:rPr>
        <w:t>股）后的股本</w:t>
      </w:r>
      <w:r>
        <w:rPr>
          <w:rFonts w:ascii="Times New Roman" w:hAnsi="Times New Roman" w:cs="Times New Roman" w:eastAsia="Times New Roman" w:hint="default"/>
          <w:spacing w:val="-4"/>
        </w:rPr>
        <w:t>104,953,024</w:t>
      </w:r>
      <w:r>
        <w:rPr>
          <w:spacing w:val="-4"/>
        </w:rPr>
        <w:t>股为基数，向全体股东每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2.60</w:t>
      </w:r>
      <w:r>
        <w:rPr>
          <w:spacing w:val="-4"/>
        </w:rPr>
        <w:t>元（含</w:t>
      </w:r>
      <w:r>
        <w:rPr/>
        <w:t> 税），共计派发现金股利人民币</w:t>
      </w:r>
      <w:r>
        <w:rPr>
          <w:rFonts w:ascii="Times New Roman" w:hAnsi="Times New Roman" w:cs="Times New Roman" w:eastAsia="Times New Roman" w:hint="default"/>
        </w:rPr>
        <w:t>27,287,786.24</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股。前述</w:t>
      </w:r>
      <w:r>
        <w:rPr>
          <w:rFonts w:ascii="Times New Roman" w:hAnsi="Times New Roman" w:cs="Times New Roman" w:eastAsia="Times New Roman" w:hint="default"/>
        </w:rPr>
        <w:t>2018</w:t>
      </w:r>
      <w:r>
        <w:rPr/>
        <w:t>年度权益分派方 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日实施完毕。</w:t>
      </w:r>
    </w:p>
    <w:p>
      <w:pPr>
        <w:spacing w:line="240" w:lineRule="auto" w:before="4"/>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5103"/>
        <w:gridCol w:w="4467"/>
      </w:tblGrid>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4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982"/>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3"/>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157,429,536</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15,742,953.60</w:t>
            </w:r>
          </w:p>
        </w:tc>
      </w:tr>
      <w:tr>
        <w:trPr>
          <w:trHeight w:val="403" w:hRule="exact"/>
        </w:trPr>
        <w:tc>
          <w:tcPr>
            <w:tcW w:w="371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3"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3,997,624.96</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19,740,578.56</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338,246,538.01</w:t>
            </w:r>
          </w:p>
        </w:tc>
      </w:tr>
      <w:tr>
        <w:trPr>
          <w:trHeight w:val="39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156"/>
        <w:jc w:val="right"/>
      </w:pPr>
      <w:r>
        <w:rPr/>
        <w:pict>
          <v:shape style="position:absolute;margin-left:56.424pt;margin-top:-110.428253pt;width:479.3pt;height:145.8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8"/>
                    <w:gridCol w:w="5853"/>
                  </w:tblGrid>
                  <w:tr>
                    <w:trPr>
                      <w:trHeight w:val="36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58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日，公司召开第三届董事会第十次会议，审议通过了《关于公司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年度利润分配方案的议案》，同意公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司以现有总股本（</w:t>
                        </w:r>
                        <w:r>
                          <w:rPr>
                            <w:rFonts w:ascii="Times New Roman" w:hAnsi="Times New Roman" w:cs="Times New Roman" w:eastAsia="Times New Roman" w:hint="default"/>
                            <w:sz w:val="18"/>
                            <w:szCs w:val="18"/>
                          </w:rPr>
                          <w:t>157,651,712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股）扣除公司从二级市场回购的股份（</w:t>
                        </w:r>
                        <w:r>
                          <w:rPr>
                            <w:rFonts w:ascii="Times New Roman" w:hAnsi="Times New Roman" w:cs="Times New Roman" w:eastAsia="Times New Roman" w:hint="default"/>
                            <w:sz w:val="18"/>
                            <w:szCs w:val="18"/>
                          </w:rPr>
                          <w:t>222,176</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股）后的股本</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157,429,536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股为基数，向全体 股东每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股派发现金红利</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元（含税）。公司本年度不转增，不送红股。若在分配方案实施前，公司总股本发生变化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将按照分配比例不变的原则相应调整。独立董事就前述事项发表了独立意见，本议案尚须提交公司股东大会审议。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473"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1"/>
        <w:ind w:left="473" w:right="1128"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年度：</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日，公司召开第三届董事会第十次会议，审议通过了《关于公司</w:t>
      </w:r>
      <w:r>
        <w:rPr>
          <w:rFonts w:ascii="Times New Roman" w:hAnsi="Times New Roman" w:cs="Times New Roman" w:eastAsia="Times New Roman" w:hint="default"/>
          <w:spacing w:val="-2"/>
        </w:rPr>
        <w:t>2019</w:t>
      </w:r>
      <w:r>
        <w:rPr>
          <w:spacing w:val="-2"/>
        </w:rPr>
        <w:t>年度利润分配方案的</w:t>
      </w:r>
      <w:r>
        <w:rPr/>
        <w:t> 议案》，同意公司以现有总股本（</w:t>
      </w:r>
      <w:r>
        <w:rPr>
          <w:rFonts w:ascii="Times New Roman" w:hAnsi="Times New Roman" w:cs="Times New Roman" w:eastAsia="Times New Roman" w:hint="default"/>
        </w:rPr>
        <w:t>157,651,712</w:t>
      </w:r>
      <w:r>
        <w:rPr/>
        <w:t>股）扣除公司从二级市场回购的股份（</w:t>
      </w:r>
      <w:r>
        <w:rPr>
          <w:rFonts w:ascii="Times New Roman" w:hAnsi="Times New Roman" w:cs="Times New Roman" w:eastAsia="Times New Roman" w:hint="default"/>
        </w:rPr>
        <w:t>222,176</w:t>
      </w:r>
      <w:r>
        <w:rPr/>
        <w:t>股）后的股本</w:t>
      </w:r>
      <w:r>
        <w:rPr>
          <w:rFonts w:ascii="Times New Roman" w:hAnsi="Times New Roman" w:cs="Times New Roman" w:eastAsia="Times New Roman" w:hint="default"/>
        </w:rPr>
        <w:t>157,429,536</w:t>
      </w:r>
      <w:r>
        <w:rPr/>
        <w:t>股为</w:t>
      </w:r>
      <w:r>
        <w:rPr>
          <w:spacing w:val="-50"/>
        </w:rPr>
        <w:t> </w:t>
      </w:r>
      <w:r>
        <w:rPr>
          <w:spacing w:val="-1"/>
        </w:rPr>
        <w:t>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1.00</w:t>
      </w:r>
      <w:r>
        <w:rPr>
          <w:spacing w:val="-1"/>
        </w:rPr>
        <w:t>元（含税）。公司本年度不转增，不送红股。若在分配方案实施前，公司总股本</w:t>
      </w:r>
      <w:r>
        <w:rPr>
          <w:spacing w:val="-72"/>
        </w:rPr>
        <w:t> </w:t>
      </w:r>
      <w:r>
        <w:rPr>
          <w:spacing w:val="-72"/>
        </w:rPr>
      </w:r>
      <w:r>
        <w:rPr/>
        <w:t>发生变化，将按照分配比例不变的原则相应调整。前述利润分配预案，尚须提请公司</w:t>
      </w:r>
      <w:r>
        <w:rPr>
          <w:rFonts w:ascii="Times New Roman" w:hAnsi="Times New Roman" w:cs="Times New Roman" w:eastAsia="Times New Roman" w:hint="default"/>
        </w:rPr>
        <w:t>2019</w:t>
      </w:r>
      <w:r>
        <w:rPr/>
        <w:t>年度股东大会审议。</w:t>
      </w:r>
    </w:p>
    <w:p>
      <w:pPr>
        <w:pStyle w:val="BodyText"/>
        <w:spacing w:line="300" w:lineRule="auto" w:before="53"/>
        <w:ind w:left="473" w:right="1128"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年度：</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日，公司召开第二届董事会第二十八次会议，审议通过了《关于公司</w:t>
      </w:r>
      <w:r>
        <w:rPr>
          <w:rFonts w:ascii="Times New Roman" w:hAnsi="Times New Roman" w:cs="Times New Roman" w:eastAsia="Times New Roman" w:hint="default"/>
          <w:spacing w:val="-2"/>
        </w:rPr>
        <w:t>2018</w:t>
      </w:r>
      <w:r>
        <w:rPr>
          <w:spacing w:val="-2"/>
        </w:rPr>
        <w:t>年度利润分配方</w:t>
      </w:r>
      <w:r>
        <w:rPr/>
        <w:t> 案的议案》，同意公司以总股本（</w:t>
      </w:r>
      <w:r>
        <w:rPr>
          <w:rFonts w:ascii="Times New Roman" w:hAnsi="Times New Roman" w:cs="Times New Roman" w:eastAsia="Times New Roman" w:hint="default"/>
        </w:rPr>
        <w:t>105,175,200</w:t>
      </w:r>
      <w:r>
        <w:rPr/>
        <w:t>股）扣除公司从二级市场回购的股份（</w:t>
      </w:r>
      <w:r>
        <w:rPr>
          <w:rFonts w:ascii="Times New Roman" w:hAnsi="Times New Roman" w:cs="Times New Roman" w:eastAsia="Times New Roman" w:hint="default"/>
        </w:rPr>
        <w:t>222,176</w:t>
      </w:r>
      <w:r>
        <w:rPr/>
        <w:t>股）后的股本</w:t>
      </w:r>
      <w:r>
        <w:rPr>
          <w:rFonts w:ascii="Times New Roman" w:hAnsi="Times New Roman" w:cs="Times New Roman" w:eastAsia="Times New Roman" w:hint="default"/>
        </w:rPr>
        <w:t>104,953,024</w:t>
      </w:r>
      <w:r>
        <w:rPr/>
        <w:t>股为</w:t>
      </w:r>
      <w:r>
        <w:rPr>
          <w:spacing w:val="-50"/>
        </w:rPr>
        <w:t> </w:t>
      </w:r>
      <w:r>
        <w:rPr/>
        <w:t>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2.60</w:t>
      </w:r>
      <w:r>
        <w:rPr/>
        <w:t>元（含税），共计派发现金股利人民币</w:t>
      </w:r>
      <w:r>
        <w:rPr>
          <w:rFonts w:ascii="Times New Roman" w:hAnsi="Times New Roman" w:cs="Times New Roman" w:eastAsia="Times New Roman" w:hint="default"/>
        </w:rPr>
        <w:t>27,287,786.24</w:t>
      </w:r>
      <w:r>
        <w:rPr/>
        <w:t>元，同时以资本公积金向全</w:t>
      </w:r>
      <w:r>
        <w:rPr>
          <w:spacing w:val="-87"/>
        </w:rPr>
        <w:t> </w:t>
      </w:r>
      <w:r>
        <w:rPr/>
        <w:t>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股。前述利润分配方案，已经公司</w:t>
      </w:r>
      <w:r>
        <w:rPr>
          <w:rFonts w:ascii="Times New Roman" w:hAnsi="Times New Roman" w:cs="Times New Roman" w:eastAsia="Times New Roman" w:hint="default"/>
        </w:rPr>
        <w:t>2018</w:t>
      </w:r>
      <w:r>
        <w:rPr/>
        <w:t>年度股东大会审议通过后实施。</w:t>
      </w:r>
    </w:p>
    <w:p>
      <w:pPr>
        <w:pStyle w:val="BodyText"/>
        <w:spacing w:line="300" w:lineRule="auto" w:before="53"/>
        <w:ind w:left="473" w:right="1131"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日，公司召开第二届董事会第十七次会议，审议通过了《关于</w:t>
      </w:r>
      <w:r>
        <w:rPr>
          <w:rFonts w:ascii="Times New Roman" w:hAnsi="Times New Roman" w:cs="Times New Roman" w:eastAsia="Times New Roman" w:hint="default"/>
          <w:spacing w:val="-2"/>
        </w:rPr>
        <w:t>2017</w:t>
      </w:r>
      <w:r>
        <w:rPr>
          <w:spacing w:val="-2"/>
        </w:rPr>
        <w:t>年度利润分配方案的议</w:t>
      </w:r>
      <w:r>
        <w:rPr/>
        <w:t> </w:t>
      </w:r>
      <w:r>
        <w:rPr>
          <w:spacing w:val="-7"/>
        </w:rPr>
        <w:t>案》，同意公司以总股本</w:t>
      </w:r>
      <w:r>
        <w:rPr>
          <w:rFonts w:ascii="Times New Roman" w:hAnsi="Times New Roman" w:cs="Times New Roman" w:eastAsia="Times New Roman" w:hint="default"/>
          <w:spacing w:val="-7"/>
        </w:rPr>
        <w:t>88,431,500</w:t>
      </w:r>
      <w:r>
        <w:rPr>
          <w:spacing w:val="-7"/>
        </w:rPr>
        <w:t>股为基数，向全体股东每</w:t>
      </w:r>
      <w:r>
        <w:rPr>
          <w:rFonts w:ascii="Times New Roman" w:hAnsi="Times New Roman" w:cs="Times New Roman" w:eastAsia="Times New Roman" w:hint="default"/>
          <w:spacing w:val="-7"/>
        </w:rPr>
        <w:t>10</w:t>
      </w:r>
      <w:r>
        <w:rPr>
          <w:spacing w:val="-7"/>
        </w:rPr>
        <w:t>股派发现金红利</w:t>
      </w:r>
      <w:r>
        <w:rPr>
          <w:rFonts w:ascii="Times New Roman" w:hAnsi="Times New Roman" w:cs="Times New Roman" w:eastAsia="Times New Roman" w:hint="default"/>
          <w:spacing w:val="-7"/>
        </w:rPr>
        <w:t>2.80</w:t>
      </w:r>
      <w:r>
        <w:rPr>
          <w:spacing w:val="-7"/>
        </w:rPr>
        <w:t>元（含税），合计分配现金股利</w:t>
      </w:r>
      <w:r>
        <w:rPr>
          <w:rFonts w:ascii="Times New Roman" w:hAnsi="Times New Roman" w:cs="Times New Roman" w:eastAsia="Times New Roman" w:hint="default"/>
          <w:spacing w:val="-7"/>
        </w:rPr>
        <w:t>24,760,820.00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股。前述利润分配方案，已经公司</w:t>
      </w:r>
      <w:r>
        <w:rPr>
          <w:rFonts w:ascii="Times New Roman" w:hAnsi="Times New Roman" w:cs="Times New Roman" w:eastAsia="Times New Roman" w:hint="default"/>
        </w:rPr>
        <w:t>2017</w:t>
      </w:r>
      <w:r>
        <w:rPr/>
        <w:t>年度股东大会审议通过后实施。</w:t>
      </w:r>
    </w:p>
    <w:p>
      <w:pPr>
        <w:pStyle w:val="BodyText"/>
        <w:spacing w:line="240" w:lineRule="auto" w:before="51"/>
        <w:ind w:left="473"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197"/>
        <w:gridCol w:w="1195"/>
        <w:gridCol w:w="1436"/>
        <w:gridCol w:w="1419"/>
        <w:gridCol w:w="1133"/>
        <w:gridCol w:w="1277"/>
        <w:gridCol w:w="1133"/>
        <w:gridCol w:w="1560"/>
      </w:tblGrid>
      <w:tr>
        <w:trPr>
          <w:trHeight w:val="196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3" w:right="80"/>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4" w:right="72"/>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24" w:right="19" w:hanging="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2"/>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9" w:hanging="1"/>
              <w:jc w:val="center"/>
              <w:rPr>
                <w:rFonts w:ascii="宋体" w:hAnsi="宋体" w:cs="宋体" w:eastAsia="宋体" w:hint="default"/>
                <w:sz w:val="18"/>
                <w:szCs w:val="18"/>
              </w:rPr>
            </w:pPr>
            <w:r>
              <w:rPr>
                <w:rFonts w:ascii="宋体" w:hAnsi="宋体" w:cs="宋体" w:eastAsia="宋体" w:hint="default"/>
                <w:sz w:val="18"/>
                <w:szCs w:val="18"/>
              </w:rPr>
              <w:t>现金分红总 额（含其他方 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现金分红总额（含 其他方式）占合并 报表中归属于上市 公司普通股股东的 净利润的比率</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15,742,953.60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91,020,478.07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3,997,624.96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19,740,578.56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22.05%</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27,287,786.24</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85,315,661.84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27,287,786.24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31.98%</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24,760,820.00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65,452,202.05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24,760,820.00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37.83%</w:t>
            </w:r>
          </w:p>
        </w:tc>
      </w:tr>
    </w:tbl>
    <w:p>
      <w:pPr>
        <w:pStyle w:val="BodyText"/>
        <w:spacing w:line="240" w:lineRule="auto" w:before="52"/>
        <w:ind w:left="473" w:right="0"/>
        <w:jc w:val="left"/>
      </w:pPr>
      <w:r>
        <w:rPr/>
        <w:t>公司报告期内盈利且母公司可供普通股股东分配利润为正但未提出普通股现金红利分配预案</w:t>
      </w:r>
    </w:p>
    <w:p>
      <w:pPr>
        <w:pStyle w:val="BodyText"/>
        <w:spacing w:line="240" w:lineRule="auto" w:before="115"/>
        <w:ind w:left="4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473" w:right="0"/>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6" w:lineRule="auto"/>
        <w:ind w:left="473"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660" w:right="0"/>
        </w:sectPr>
      </w:pPr>
    </w:p>
    <w:p>
      <w:pPr>
        <w:spacing w:line="240" w:lineRule="auto" w:before="0"/>
        <w:rPr>
          <w:rFonts w:ascii="Times New Roman" w:hAnsi="Times New Roman" w:cs="Times New Roman" w:eastAsia="Times New Roman" w:hint="default"/>
          <w:sz w:val="20"/>
          <w:szCs w:val="20"/>
        </w:rPr>
      </w:pPr>
      <w:r>
        <w:rPr/>
        <w:pict>
          <v:shape style="position:absolute;margin-left:381.910004pt;margin-top:324.529968pt;width:75.05pt;height:269.2pt;mso-position-horizontal-relative:page;mso-position-vertical-relative:page;z-index:-11668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4"/>
                      <w:szCs w:val="24"/>
                    </w:rPr>
                  </w:pPr>
                </w:p>
                <w:p>
                  <w:pPr>
                    <w:pStyle w:val="BodyText"/>
                    <w:spacing w:line="240" w:lineRule="auto"/>
                    <w:ind w:left="0" w:right="0"/>
                    <w:jc w:val="left"/>
                  </w:pPr>
                  <w:r>
                    <w:rPr/>
                    <w:t>个月内，</w:t>
                  </w:r>
                </w:p>
              </w:txbxContent>
            </v:textbox>
            <w10:wrap type="none"/>
          </v:shape>
        </w:pict>
      </w:r>
      <w:r>
        <w:rPr/>
        <w:pict>
          <v:shape style="position:absolute;margin-left:354.792999pt;margin-top:594.315979pt;width:102.15pt;height:173.55pt;mso-position-horizontal-relative:page;mso-position-vertical-relative:page;z-index:-1166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3"/>
                      <w:szCs w:val="23"/>
                    </w:rPr>
                  </w:pPr>
                </w:p>
                <w:p>
                  <w:pPr>
                    <w:pStyle w:val="BodyText"/>
                    <w:spacing w:line="240" w:lineRule="auto"/>
                    <w:ind w:left="0" w:right="0"/>
                    <w:jc w:val="left"/>
                  </w:pPr>
                  <w:r>
                    <w:rPr/>
                    <w:t>均低于发行价，</w:t>
                  </w:r>
                </w:p>
              </w:txbxContent>
            </v:textbox>
            <w10:wrap type="none"/>
          </v:shape>
        </w:pict>
      </w:r>
      <w:r>
        <w:rPr/>
        <w:pict>
          <v:group style="position:absolute;margin-left:191.690002pt;margin-top:148.469986pt;width:42pt;height:175.6pt;mso-position-horizontal-relative:page;mso-position-vertical-relative:page;z-index:-1166752" coordorigin="3834,2969" coordsize="840,3512">
            <v:group style="position:absolute;left:3834;top:2969;width:840;height:3512" coordorigin="3834,2969" coordsize="840,3512">
              <v:shape style="position:absolute;left:3834;top:2969;width:840;height:3512" coordorigin="3834,2969" coordsize="840,3512" path="m3834,6481l4674,6481,4674,2969,3834,2969,3834,6481xe" filled="true" fillcolor="#ffffff" stroked="false">
                <v:path arrowok="t"/>
                <v:fill type="solid"/>
              </v:shape>
            </v:group>
            <v:group style="position:absolute;left:3858;top:4373;width:792;height:351" coordorigin="3858,4373" coordsize="792,351">
              <v:shape style="position:absolute;left:3858;top:4373;width:792;height:351" coordorigin="3858,4373" coordsize="792,351" path="m3858,4724l4650,4724,4650,4373,3858,4373,3858,4724xe" filled="true" fillcolor="#ffffff" stroked="false">
                <v:path arrowok="t"/>
                <v:fill type="solid"/>
              </v:shape>
            </v:group>
            <v:group style="position:absolute;left:3858;top:4724;width:792;height:353" coordorigin="3858,4724" coordsize="792,353">
              <v:shape style="position:absolute;left:3858;top:4724;width:792;height:353" coordorigin="3858,4724" coordsize="792,353" path="m3858,5076l4650,5076,4650,4724,3858,4724,3858,5076xe" filled="true" fillcolor="#ffffff" stroked="false">
                <v:path arrowok="t"/>
                <v:fill type="solid"/>
              </v:shape>
            </v:group>
            <w10:wrap type="none"/>
          </v:group>
        </w:pict>
      </w:r>
      <w:r>
        <w:rPr/>
        <w:pict>
          <v:group style="position:absolute;margin-left:414.940002pt;margin-top:324.529968pt;width:42pt;height:443.35pt;mso-position-horizontal-relative:page;mso-position-vertical-relative:page;z-index:-1166728" coordorigin="8299,6491" coordsize="840,8867">
            <v:group style="position:absolute;left:8299;top:6491;width:840;height:5384" coordorigin="8299,6491" coordsize="840,5384">
              <v:shape style="position:absolute;left:8299;top:6491;width:840;height:5384" coordorigin="8299,6491" coordsize="840,5384" path="m8299,11874l9139,11874,9139,6491,8299,6491,8299,11874xe" filled="true" fillcolor="#ffffff" stroked="false">
                <v:path arrowok="t"/>
                <v:fill type="solid"/>
              </v:shape>
            </v:group>
            <v:group style="position:absolute;left:8323;top:8831;width:795;height:353" coordorigin="8323,8831" coordsize="795,353">
              <v:shape style="position:absolute;left:8323;top:8831;width:795;height:353" coordorigin="8323,8831" coordsize="795,353" path="m8323,9184l9117,9184,9117,8831,8323,8831,8323,9184xe" filled="true" fillcolor="#ffffff" stroked="false">
                <v:path arrowok="t"/>
                <v:fill type="solid"/>
              </v:shape>
            </v:group>
            <v:group style="position:absolute;left:8323;top:9184;width:795;height:351" coordorigin="8323,9184" coordsize="795,351">
              <v:shape style="position:absolute;left:8323;top:9184;width:795;height:351" coordorigin="8323,9184" coordsize="795,351" path="m8323,9534l9117,9534,9117,9184,8323,9184,8323,9534xe" filled="true" fillcolor="#ffffff" stroked="false">
                <v:path arrowok="t"/>
                <v:fill type="solid"/>
              </v:shape>
            </v:group>
            <v:group style="position:absolute;left:8299;top:11886;width:840;height:3471" coordorigin="8299,11886" coordsize="840,3471">
              <v:shape style="position:absolute;left:8299;top:11886;width:840;height:3471" coordorigin="8299,11886" coordsize="840,3471" path="m8299,15357l9139,15357,9139,11886,8299,11886,8299,15357xe" filled="true" fillcolor="#ffffff" stroked="false">
                <v:path arrowok="t"/>
                <v:fill type="solid"/>
              </v:shape>
            </v:group>
            <v:group style="position:absolute;left:8323;top:13269;width:795;height:353" coordorigin="8323,13269" coordsize="795,353">
              <v:shape style="position:absolute;left:8323;top:13269;width:795;height:353" coordorigin="8323,13269" coordsize="795,353" path="m8323,13622l9117,13622,9117,13269,8323,13269,8323,13622xe" filled="true" fillcolor="#ffffff" stroked="false">
                <v:path arrowok="t"/>
                <v:fill type="solid"/>
              </v:shape>
            </v:group>
            <v:group style="position:absolute;left:8323;top:13622;width:795;height:353" coordorigin="8323,13622" coordsize="795,353">
              <v:shape style="position:absolute;left:8323;top:13622;width:795;height:353" coordorigin="8323,13622" coordsize="795,353" path="m8323,13975l9117,13975,9117,13622,8323,13622,8323,13975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844"/>
        <w:gridCol w:w="1066"/>
        <w:gridCol w:w="850"/>
        <w:gridCol w:w="3615"/>
        <w:gridCol w:w="850"/>
        <w:gridCol w:w="852"/>
        <w:gridCol w:w="991"/>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7"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0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61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0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61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或者委托他人管理本次发行前已直接或间接</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持有的公司股份，也不由公司回购该部分股</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份；限售期满后，在担任公司董事、高级管理</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935"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22"/>
              <w:jc w:val="left"/>
              <w:rPr>
                <w:rFonts w:ascii="宋体" w:hAnsi="宋体" w:cs="宋体" w:eastAsia="宋体" w:hint="default"/>
                <w:sz w:val="18"/>
                <w:szCs w:val="18"/>
              </w:rPr>
            </w:pPr>
            <w:r>
              <w:rPr>
                <w:rFonts w:ascii="宋体" w:hAnsi="宋体" w:cs="宋体" w:eastAsia="宋体" w:hint="default"/>
                <w:spacing w:val="-12"/>
                <w:sz w:val="18"/>
                <w:szCs w:val="18"/>
              </w:rPr>
              <w:t>东、实际控制</w:t>
            </w:r>
            <w:r>
              <w:rPr>
                <w:rFonts w:ascii="宋体" w:hAnsi="宋体" w:cs="宋体" w:eastAsia="宋体" w:hint="default"/>
                <w:sz w:val="18"/>
                <w:szCs w:val="18"/>
              </w:rPr>
              <w:t> 人、董事长 总经理吴飞</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195"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股份限售</w:t>
            </w:r>
          </w:p>
          <w:p>
            <w:pPr>
              <w:pStyle w:val="TableParagraph"/>
              <w:spacing w:line="155"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20"/>
              <w:jc w:val="left"/>
              <w:rPr>
                <w:rFonts w:ascii="宋体" w:hAnsi="宋体" w:cs="宋体" w:eastAsia="宋体" w:hint="default"/>
                <w:sz w:val="18"/>
                <w:szCs w:val="18"/>
              </w:rPr>
            </w:pPr>
            <w:r>
              <w:rPr>
                <w:rFonts w:ascii="宋体" w:hAnsi="宋体" w:cs="宋体" w:eastAsia="宋体" w:hint="default"/>
                <w:spacing w:val="-3"/>
                <w:sz w:val="18"/>
                <w:szCs w:val="18"/>
              </w:rPr>
              <w:t>人员、监事期间每年转让的股份不超过所持有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公司股份总数的百分之二十五，离职后半年 内，不转让其直接或者间接所持有的公司股</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舟</w:t>
            </w: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份；公司上市后 </w:t>
            </w:r>
            <w:r>
              <w:rPr>
                <w:rFonts w:ascii="Times New Roman" w:hAnsi="Times New Roman" w:cs="Times New Roman" w:eastAsia="Times New Roman" w:hint="default"/>
                <w:sz w:val="18"/>
                <w:szCs w:val="18"/>
              </w:rPr>
              <w:t>6 </w:t>
            </w:r>
            <w:r>
              <w:rPr>
                <w:rFonts w:ascii="宋体" w:hAnsi="宋体" w:cs="宋体" w:eastAsia="宋体" w:hint="default"/>
                <w:spacing w:val="-5"/>
                <w:sz w:val="18"/>
                <w:szCs w:val="18"/>
              </w:rPr>
              <w:t>个月内，如公司股票连续</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个交易日的收盘价均低于发行价，或者上市后</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个月期末收盘价低于发行价，则持有的公司</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自公司股票上市之日起十二个月内，不转让或</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者委托他人管理本次发行前已直接或间接持</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有的公司股份，也不由公司回购该部分股份；</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限售期满后，在担任董事、高级管理人员、监</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事期间每年转让的股份不超过所持有公司股</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份总数的百分之二十五，离职后半年内，不转</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让其直接或者间接所持有的公司股份；自公司</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147"/>
              <w:ind w:left="24"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2"/>
                <w:sz w:val="18"/>
                <w:szCs w:val="18"/>
              </w:rPr>
              <w:t>公司董事、股</w:t>
            </w:r>
            <w:r>
              <w:rPr>
                <w:rFonts w:ascii="宋体" w:hAnsi="宋体" w:cs="宋体" w:eastAsia="宋体" w:hint="default"/>
                <w:sz w:val="18"/>
                <w:szCs w:val="18"/>
              </w:rPr>
              <w:t> 东王维</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3"/>
                <w:sz w:val="18"/>
                <w:szCs w:val="18"/>
              </w:rPr>
              <w:t>股票上市之日起六个月内申报离职的，自申报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离职之日起十八个月内不转让其直接或者间 </w:t>
            </w:r>
            <w:r>
              <w:rPr>
                <w:rFonts w:ascii="宋体" w:hAnsi="宋体" w:cs="宋体" w:eastAsia="宋体" w:hint="default"/>
                <w:spacing w:val="-3"/>
                <w:sz w:val="18"/>
                <w:szCs w:val="18"/>
              </w:rPr>
              <w:t>接所持有的公司股份；自公司股票上市之日起</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第七个月至第十二个月之间申报离职的，自申</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报离职之日起十二个月内不转让其直接或者</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间接所持有的公司股份</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2"/>
                <w:sz w:val="18"/>
                <w:szCs w:val="18"/>
              </w:rPr>
              <w:t>上</w:t>
            </w:r>
            <w:r>
              <w:rPr>
                <w:rFonts w:ascii="宋体" w:hAnsi="宋体" w:cs="宋体" w:eastAsia="宋体" w:hint="default"/>
                <w:sz w:val="18"/>
                <w:szCs w:val="18"/>
              </w:rPr>
              <w:t>市后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如公司股票连续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行价，则持有的公司股份的锁定期限自动延长</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在担任公司董事、高级管理人员、监事期间每</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年转让的股份不超过所持有公司股份总数的</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4" w:right="22"/>
              <w:jc w:val="left"/>
              <w:rPr>
                <w:rFonts w:ascii="宋体" w:hAnsi="宋体" w:cs="宋体" w:eastAsia="宋体" w:hint="default"/>
                <w:sz w:val="18"/>
                <w:szCs w:val="18"/>
              </w:rPr>
            </w:pPr>
            <w:r>
              <w:rPr>
                <w:rFonts w:ascii="宋体" w:hAnsi="宋体" w:cs="宋体" w:eastAsia="宋体" w:hint="default"/>
                <w:spacing w:val="-12"/>
                <w:sz w:val="18"/>
                <w:szCs w:val="18"/>
              </w:rPr>
              <w:t>公司董事、高</w:t>
            </w:r>
            <w:r>
              <w:rPr>
                <w:rFonts w:ascii="宋体" w:hAnsi="宋体" w:cs="宋体" w:eastAsia="宋体" w:hint="default"/>
                <w:sz w:val="18"/>
                <w:szCs w:val="18"/>
              </w:rPr>
              <w:t> 级管理人员 并间接持有 公司股份的 </w:t>
            </w:r>
            <w:r>
              <w:rPr>
                <w:rFonts w:ascii="宋体" w:hAnsi="宋体" w:cs="宋体" w:eastAsia="宋体" w:hint="default"/>
                <w:spacing w:val="-12"/>
                <w:sz w:val="18"/>
                <w:szCs w:val="18"/>
              </w:rPr>
              <w:t>王德明、咸海</w:t>
            </w:r>
            <w:r>
              <w:rPr>
                <w:rFonts w:ascii="宋体" w:hAnsi="宋体" w:cs="宋体" w:eastAsia="宋体" w:hint="default"/>
                <w:sz w:val="18"/>
                <w:szCs w:val="18"/>
              </w:rPr>
              <w:t> 丰、魏星</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3"/>
                <w:sz w:val="18"/>
                <w:szCs w:val="18"/>
              </w:rPr>
              <w:t>百分之二十五，离职后半年内，不转让其直接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或者间接所持有的公司股份；自公司股票上市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之日起六个月内申报离职的，自申报离职之日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起十八个月内不转让其直接或者间接所持有 </w:t>
            </w:r>
            <w:r>
              <w:rPr>
                <w:rFonts w:ascii="宋体" w:hAnsi="宋体" w:cs="宋体" w:eastAsia="宋体" w:hint="default"/>
                <w:spacing w:val="-3"/>
                <w:sz w:val="18"/>
                <w:szCs w:val="18"/>
              </w:rPr>
              <w:t>的公司股份；自公司股票上市之日起第七个月</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至第十二个月之间申报离职的，自申报离职之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日起十二个月内不转让其直接或者间接所持</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有的公司股份；公司上市后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个月内，如公司</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个交易日的收盘价</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800" w:right="0"/>
        </w:sectPr>
      </w:pPr>
    </w:p>
    <w:p>
      <w:pPr>
        <w:spacing w:line="240" w:lineRule="auto" w:before="0"/>
        <w:rPr>
          <w:rFonts w:ascii="Times New Roman" w:hAnsi="Times New Roman" w:cs="Times New Roman" w:eastAsia="Times New Roman" w:hint="default"/>
          <w:sz w:val="20"/>
          <w:szCs w:val="20"/>
        </w:rPr>
      </w:pPr>
      <w:r>
        <w:rPr/>
        <w:pict>
          <v:shape style="position:absolute;margin-left:390.820007pt;margin-top:266.685974pt;width:66.150pt;height:501.3pt;mso-position-horizontal-relative:page;mso-position-vertical-relative:page;z-index:-11667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left="0" w:right="0"/>
                    <w:jc w:val="left"/>
                  </w:pPr>
                  <w:r>
                    <w:rPr/>
                    <w:t>如下：</w:t>
                  </w:r>
                </w:p>
              </w:txbxContent>
            </v:textbox>
            <w10:wrap type="none"/>
          </v:shape>
        </w:pict>
      </w:r>
      <w:r>
        <w:rPr/>
        <w:pict>
          <v:group style="position:absolute;margin-left:191.690002pt;margin-top:106.22998pt;width:42pt;height:160pt;mso-position-horizontal-relative:page;mso-position-vertical-relative:page;z-index:-1166680" coordorigin="3834,2125" coordsize="840,3200">
            <v:group style="position:absolute;left:3834;top:2125;width:840;height:3200" coordorigin="3834,2125" coordsize="840,3200">
              <v:shape style="position:absolute;left:3834;top:2125;width:840;height:3200" coordorigin="3834,2125" coordsize="840,3200" path="m3834,5324l4674,5324,4674,2125,3834,2125,3834,5324xe" filled="true" fillcolor="#ffffff" stroked="false">
                <v:path arrowok="t"/>
                <v:fill type="solid"/>
              </v:shape>
            </v:group>
            <v:group style="position:absolute;left:3858;top:3372;width:792;height:353" coordorigin="3858,3372" coordsize="792,353">
              <v:shape style="position:absolute;left:3858;top:3372;width:792;height:353" coordorigin="3858,3372" coordsize="792,353" path="m3858,3725l4650,3725,4650,3372,3858,3372,3858,3725xe" filled="true" fillcolor="#ffffff" stroked="false">
                <v:path arrowok="t"/>
                <v:fill type="solid"/>
              </v:shape>
            </v:group>
            <v:group style="position:absolute;left:3858;top:3725;width:792;height:351" coordorigin="3858,3725" coordsize="792,351">
              <v:shape style="position:absolute;left:3858;top:3725;width:792;height:351" coordorigin="3858,3725" coordsize="792,351" path="m3858,4076l4650,4076,4650,3725,3858,3725,3858,4076xe" filled="true" fillcolor="#ffffff" stroked="false">
                <v:path arrowok="t"/>
                <v:fill type="solid"/>
              </v:shape>
            </v:group>
            <w10:wrap type="none"/>
          </v:group>
        </w:pict>
      </w:r>
      <w:r>
        <w:rPr/>
        <w:pict>
          <v:group style="position:absolute;margin-left:414.940002pt;margin-top:266.685974pt;width:42pt;height:501.3pt;mso-position-horizontal-relative:page;mso-position-vertical-relative:page;z-index:-1166656" coordorigin="8299,5334" coordsize="840,10026">
            <v:group style="position:absolute;left:8299;top:5334;width:840;height:10026" coordorigin="8299,5334" coordsize="840,10026">
              <v:shape style="position:absolute;left:8299;top:5334;width:840;height:10026" coordorigin="8299,5334" coordsize="840,10026" path="m8299,15360l9139,15360,9139,5334,8299,5334,8299,15360xe" filled="true" fillcolor="#ffffff" stroked="false">
                <v:path arrowok="t"/>
                <v:fill type="solid"/>
              </v:shape>
            </v:group>
            <v:group style="position:absolute;left:8323;top:9995;width:795;height:353" coordorigin="8323,9995" coordsize="795,353">
              <v:shape style="position:absolute;left:8323;top:9995;width:795;height:353" coordorigin="8323,9995" coordsize="795,353" path="m8323,10348l9117,10348,9117,9995,8323,9995,8323,10348xe" filled="true" fillcolor="#ffffff" stroked="false">
                <v:path arrowok="t"/>
                <v:fill type="solid"/>
              </v:shape>
            </v:group>
            <v:group style="position:absolute;left:8323;top:10348;width:795;height:351" coordorigin="8323,10348" coordsize="795,351">
              <v:shape style="position:absolute;left:8323;top:10348;width:795;height:351" coordorigin="8323,10348" coordsize="795,351" path="m8323,10698l9117,10698,9117,10348,8323,10348,8323,10698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844"/>
        <w:gridCol w:w="1066"/>
        <w:gridCol w:w="850"/>
        <w:gridCol w:w="3615"/>
        <w:gridCol w:w="850"/>
        <w:gridCol w:w="852"/>
        <w:gridCol w:w="991"/>
      </w:tblGrid>
      <w:tr>
        <w:trPr>
          <w:trHeight w:val="675"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或者上市后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个月期末收盘价低于发行价，则</w:t>
            </w:r>
          </w:p>
          <w:p>
            <w:pPr>
              <w:pStyle w:val="TableParagraph"/>
              <w:spacing w:line="240"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持有的公司股份的锁定期限自动延长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844" w:type="dxa"/>
            <w:vMerge/>
            <w:tcBorders>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在担任公司董事、高级管理人员、监事期间每</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年转让的股份不超过所持有公司股份总数的</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公司监事间 接持有公司 股份的陈立 勇、孙永胜 </w:t>
            </w:r>
            <w:r>
              <w:rPr>
                <w:rFonts w:ascii="宋体" w:hAnsi="宋体" w:cs="宋体" w:eastAsia="宋体" w:hint="default"/>
                <w:spacing w:val="-12"/>
                <w:sz w:val="18"/>
                <w:szCs w:val="18"/>
              </w:rPr>
              <w:t>张景松、廉慧</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0" w:lineRule="atLeast" w:before="146"/>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p>
            <w:pPr>
              <w:pStyle w:val="TableParagraph"/>
              <w:spacing w:line="15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3"/>
                <w:sz w:val="18"/>
                <w:szCs w:val="18"/>
              </w:rPr>
              <w:t>百分之二十五；离职后半年内，不转让其直接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或者间接所持有的公司股份；自公司股票上市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之日起六个月内申报离职的，自申报离职之日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起十八个月内不转让其直接或者间接所持有 </w:t>
            </w:r>
            <w:r>
              <w:rPr>
                <w:rFonts w:ascii="宋体" w:hAnsi="宋体" w:cs="宋体" w:eastAsia="宋体" w:hint="default"/>
                <w:spacing w:val="-3"/>
                <w:sz w:val="18"/>
                <w:szCs w:val="18"/>
              </w:rPr>
              <w:t>的公司股份；自公司股票上市之日起第七个月</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至第十二个月之间申报离职的，自申报离职之</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日起十二个月内不转让其直接或者间接所持</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有的公司股份。</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844" w:type="dxa"/>
            <w:vMerge/>
            <w:tcBorders>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为进一步明确公司上市后三年内公司股价低</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于每股净资产时稳定公司股价的措施，公司制</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定了《关于公司首次公开发行股票并在创业板</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上市后三年内稳定股价的预案</w:t>
            </w:r>
            <w:r>
              <w:rPr>
                <w:rFonts w:ascii="宋体" w:hAnsi="宋体" w:cs="宋体" w:eastAsia="宋体" w:hint="default"/>
                <w:spacing w:val="-89"/>
                <w:sz w:val="18"/>
                <w:szCs w:val="18"/>
              </w:rPr>
              <w:t>》</w:t>
            </w:r>
            <w:r>
              <w:rPr>
                <w:rFonts w:ascii="宋体" w:hAnsi="宋体" w:cs="宋体" w:eastAsia="宋体" w:hint="default"/>
                <w:sz w:val="18"/>
                <w:szCs w:val="18"/>
              </w:rPr>
              <w:t>，并经公司第</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一届董事会第十二次会议</w:t>
            </w:r>
            <w:r>
              <w:rPr>
                <w:rFonts w:ascii="宋体" w:hAnsi="宋体" w:cs="宋体" w:eastAsia="宋体" w:hint="default"/>
                <w:spacing w:val="-86"/>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8"/>
                <w:sz w:val="18"/>
                <w:szCs w:val="18"/>
              </w:rPr>
              <w:t>审议通过，以保护投资者利益，具体内容</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启动稳定股价措施的条件</w:t>
            </w:r>
            <w:r>
              <w:rPr>
                <w:rFonts w:ascii="宋体" w:hAnsi="宋体" w:cs="宋体" w:eastAsia="宋体" w:hint="default"/>
                <w:spacing w:val="-89"/>
                <w:sz w:val="18"/>
                <w:szCs w:val="18"/>
              </w:rPr>
              <w:t>：</w:t>
            </w:r>
            <w:r>
              <w:rPr>
                <w:rFonts w:ascii="宋体" w:hAnsi="宋体" w:cs="宋体" w:eastAsia="宋体" w:hint="default"/>
                <w:sz w:val="18"/>
                <w:szCs w:val="18"/>
              </w:rPr>
              <w:t>公司上市后三年</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内，如非因不可抗力因素所致，公司股票连续</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个交易日的收盘价均低于公司上一个会计</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年度末经审计的每股净资产时（以下简称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启</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动条件</w:t>
            </w:r>
            <w:r>
              <w:rPr>
                <w:rFonts w:ascii="Times New Roman" w:hAnsi="Times New Roman" w:cs="Times New Roman" w:eastAsia="Times New Roman" w:hint="default"/>
                <w:w w:val="99"/>
                <w:sz w:val="18"/>
                <w:szCs w:val="18"/>
              </w:rPr>
              <w:t>"</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则公司应按本预案规定的规则启动</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稳定股价措施。在公司年度财务报告公开披露</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后至上述期间，如果公司因利润分配、资本公</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积金转增股本、增发、配股等原因进行除权、</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公司及其控</w:t>
            </w: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5"/>
                <w:sz w:val="18"/>
                <w:szCs w:val="18"/>
              </w:rPr>
              <w:t>除息的，前述每股净资产相应进行调整。</w:t>
            </w:r>
            <w:r>
              <w:rPr>
                <w:rFonts w:ascii="Times New Roman" w:hAnsi="Times New Roman" w:cs="Times New Roman" w:eastAsia="Times New Roman" w:hint="default"/>
                <w:spacing w:val="-5"/>
                <w:sz w:val="18"/>
                <w:szCs w:val="18"/>
              </w:rPr>
              <w:t>2.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相</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2"/>
                <w:sz w:val="18"/>
                <w:szCs w:val="18"/>
              </w:rPr>
              <w:t>股股东、董事</w:t>
            </w:r>
            <w:r>
              <w:rPr>
                <w:rFonts w:ascii="宋体" w:hAnsi="宋体" w:cs="宋体" w:eastAsia="宋体" w:hint="default"/>
                <w:sz w:val="18"/>
                <w:szCs w:val="18"/>
              </w:rPr>
              <w:t> 和高级管理</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3"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20"/>
              <w:jc w:val="left"/>
              <w:rPr>
                <w:rFonts w:ascii="宋体" w:hAnsi="宋体" w:cs="宋体" w:eastAsia="宋体" w:hint="default"/>
                <w:sz w:val="18"/>
                <w:szCs w:val="18"/>
              </w:rPr>
            </w:pPr>
            <w:r>
              <w:rPr>
                <w:rFonts w:ascii="宋体" w:hAnsi="宋体" w:cs="宋体" w:eastAsia="宋体" w:hint="default"/>
                <w:spacing w:val="-3"/>
                <w:sz w:val="18"/>
                <w:szCs w:val="18"/>
              </w:rPr>
              <w:t>关责任主体：本预案所称相关责任主体包括公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司、控股股东、董事及高级管理人员。本预案</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3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人员</w:t>
            </w: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中应采取稳定股价措施的董事（独立董事除</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2"/>
                <w:sz w:val="18"/>
                <w:szCs w:val="18"/>
              </w:rPr>
              <w:t>）</w:t>
            </w:r>
            <w:r>
              <w:rPr>
                <w:rFonts w:ascii="宋体" w:hAnsi="宋体" w:cs="宋体" w:eastAsia="宋体" w:hint="default"/>
                <w:sz w:val="18"/>
                <w:szCs w:val="18"/>
              </w:rPr>
              <w:t>、高级管理人员既包括在</w:t>
            </w:r>
            <w:r>
              <w:rPr>
                <w:rFonts w:ascii="宋体" w:hAnsi="宋体" w:cs="宋体" w:eastAsia="宋体" w:hint="default"/>
                <w:spacing w:val="2"/>
                <w:sz w:val="18"/>
                <w:szCs w:val="18"/>
              </w:rPr>
              <w:t>公</w:t>
            </w:r>
            <w:r>
              <w:rPr>
                <w:rFonts w:ascii="宋体" w:hAnsi="宋体" w:cs="宋体" w:eastAsia="宋体" w:hint="default"/>
                <w:sz w:val="18"/>
                <w:szCs w:val="18"/>
              </w:rPr>
              <w:t>司上市时任职</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人员，也包括公司上市后三年内新任职人员</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（公司在其新任职人员作出承诺履行公司发</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行上市时董事、高级管理人员已作出的稳定股</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价承诺要求后，方可予以聘任</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稳定股价</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的具体措施：稳定股价的具体措施包括公司回</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购股份、控股股东及董事、高级管理人员增持</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买入股份。若启动条件触发，上述具体措施</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9"/>
              <w:jc w:val="left"/>
              <w:rPr>
                <w:rFonts w:ascii="宋体" w:hAnsi="宋体" w:cs="宋体" w:eastAsia="宋体" w:hint="default"/>
                <w:sz w:val="18"/>
                <w:szCs w:val="18"/>
              </w:rPr>
            </w:pPr>
            <w:r>
              <w:rPr>
                <w:rFonts w:ascii="宋体" w:hAnsi="宋体" w:cs="宋体" w:eastAsia="宋体" w:hint="default"/>
                <w:sz w:val="18"/>
                <w:szCs w:val="18"/>
              </w:rPr>
              <w:t>执行的优先顺序以公司回购股份为第一顺位，</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如公司回购股份将导致公司不满足法定上市</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条件，则第一顺位为控股股东、董事、高级管</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理人员增持</w:t>
            </w:r>
            <w:r>
              <w:rPr>
                <w:rFonts w:ascii="Times New Roman" w:hAnsi="Times New Roman" w:cs="Times New Roman" w:eastAsia="Times New Roman" w:hint="default"/>
                <w:sz w:val="18"/>
                <w:szCs w:val="18"/>
              </w:rPr>
              <w:t>/</w:t>
            </w:r>
            <w:r>
              <w:rPr>
                <w:rFonts w:ascii="宋体" w:hAnsi="宋体" w:cs="宋体" w:eastAsia="宋体" w:hint="default"/>
                <w:sz w:val="18"/>
                <w:szCs w:val="18"/>
              </w:rPr>
              <w:t>买入公司股份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）公司回购股</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份：公司回购股份应符合《上市公司回购社会</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公众股份管理办法（试行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等</w:t>
            </w:r>
            <w:r>
              <w:rPr>
                <w:rFonts w:ascii="宋体" w:hAnsi="宋体" w:cs="宋体" w:eastAsia="宋体" w:hint="default"/>
                <w:sz w:val="18"/>
                <w:szCs w:val="18"/>
              </w:rPr>
              <w:t>相关法律法规</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800" w:right="0"/>
        </w:sectPr>
      </w:pPr>
    </w:p>
    <w:p>
      <w:pPr>
        <w:spacing w:line="240" w:lineRule="auto" w:before="0"/>
        <w:rPr>
          <w:rFonts w:ascii="Times New Roman" w:hAnsi="Times New Roman" w:cs="Times New Roman" w:eastAsia="Times New Roman" w:hint="default"/>
          <w:sz w:val="20"/>
          <w:szCs w:val="20"/>
        </w:rPr>
      </w:pPr>
      <w:r>
        <w:rPr/>
        <w:pict>
          <v:shape style="position:absolute;margin-left:354.790009pt;margin-top:72.475983pt;width:102.15pt;height:686.5pt;mso-position-horizontal-relative:page;mso-position-vertical-relative:page;z-index:-11666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0" w:right="0"/>
                    <w:jc w:val="left"/>
                  </w:pPr>
                  <w:r>
                    <w:rPr/>
                    <w:t>买入公司股份：</w:t>
                  </w:r>
                </w:p>
              </w:txbxContent>
            </v:textbox>
            <w10:wrap type="none"/>
          </v:shape>
        </w:pict>
      </w:r>
      <w:r>
        <w:rPr/>
        <w:pict>
          <v:group style="position:absolute;margin-left:45.720001pt;margin-top:71.759979pt;width:503.9pt;height:687.95pt;mso-position-horizontal-relative:page;mso-position-vertical-relative:page;z-index:-1166608" coordorigin="914,1435" coordsize="10078,13759">
            <v:group style="position:absolute;left:924;top:1450;width:1837;height:13730" coordorigin="924,1450" coordsize="1837,13730">
              <v:shape style="position:absolute;left:924;top:1450;width:1837;height:13730" coordorigin="924,1450" coordsize="1837,13730" path="m924,15180l2760,15180,2760,1450,924,1450,924,15180xe" filled="true" fillcolor="#d2d2d2" stroked="false">
                <v:path arrowok="t"/>
                <v:fill type="solid"/>
              </v:shape>
            </v:group>
            <v:group style="position:absolute;left:924;top:1445;width:1835;height:2" coordorigin="924,1445" coordsize="1835,2">
              <v:shape style="position:absolute;left:924;top:1445;width:1835;height:2" coordorigin="924,1445" coordsize="1835,0" path="m924,1445l2758,1445e" filled="false" stroked="true" strokeweight=".48pt" strokecolor="#000000">
                <v:path arrowok="t"/>
              </v:shape>
            </v:group>
            <v:group style="position:absolute;left:2768;top:1445;width:1057;height:2" coordorigin="2768,1445" coordsize="1057,2">
              <v:shape style="position:absolute;left:2768;top:1445;width:1057;height:2" coordorigin="2768,1445" coordsize="1057,0" path="m2768,1445l3824,1445e" filled="false" stroked="true" strokeweight=".48pt" strokecolor="#000000">
                <v:path arrowok="t"/>
              </v:shape>
            </v:group>
            <v:group style="position:absolute;left:3834;top:1445;width:840;height:2" coordorigin="3834,1445" coordsize="840,2">
              <v:shape style="position:absolute;left:3834;top:1445;width:840;height:2" coordorigin="3834,1445" coordsize="840,0" path="m3834,1445l4674,1445e" filled="false" stroked="true" strokeweight=".48pt" strokecolor="#000000">
                <v:path arrowok="t"/>
              </v:shape>
            </v:group>
            <v:group style="position:absolute;left:8299;top:1450;width:840;height:13730" coordorigin="8299,1450" coordsize="840,13730">
              <v:shape style="position:absolute;left:8299;top:1450;width:840;height:13730" coordorigin="8299,1450" coordsize="840,13730" path="m8299,15180l9139,15180,9139,1450,8299,1450,8299,15180xe" filled="true" fillcolor="#ffffff" stroked="false">
                <v:path arrowok="t"/>
                <v:fill type="solid"/>
              </v:shape>
            </v:group>
            <v:group style="position:absolute;left:4683;top:1445;width:3606;height:2" coordorigin="4683,1445" coordsize="3606,2">
              <v:shape style="position:absolute;left:4683;top:1445;width:3606;height:2" coordorigin="4683,1445" coordsize="3606,0" path="m4683,1445l8289,1445e" filled="false" stroked="true" strokeweight=".48pt" strokecolor="#000000">
                <v:path arrowok="t"/>
              </v:shape>
            </v:group>
            <v:group style="position:absolute;left:8299;top:1445;width:840;height:2" coordorigin="8299,1445" coordsize="840,2">
              <v:shape style="position:absolute;left:8299;top:1445;width:840;height:2" coordorigin="8299,1445" coordsize="840,0" path="m8299,1445l9139,1445e" filled="false" stroked="true" strokeweight=".48pt" strokecolor="#000000">
                <v:path arrowok="t"/>
              </v:shape>
            </v:group>
            <v:group style="position:absolute;left:9148;top:1445;width:843;height:2" coordorigin="9148,1445" coordsize="843,2">
              <v:shape style="position:absolute;left:9148;top:1445;width:843;height:2" coordorigin="9148,1445" coordsize="843,0" path="m9148,1445l9991,1445e" filled="false" stroked="true" strokeweight=".48pt" strokecolor="#000000">
                <v:path arrowok="t"/>
              </v:shape>
            </v:group>
            <v:group style="position:absolute;left:10001;top:1445;width:982;height:2" coordorigin="10001,1445" coordsize="982,2">
              <v:shape style="position:absolute;left:10001;top:1445;width:982;height:2" coordorigin="10001,1445" coordsize="982,0" path="m10001,1445l10982,1445e" filled="false" stroked="true" strokeweight=".48pt" strokecolor="#000000">
                <v:path arrowok="t"/>
              </v:shape>
            </v:group>
            <v:group style="position:absolute;left:919;top:1440;width:2;height:13750" coordorigin="919,1440" coordsize="2,13750">
              <v:shape style="position:absolute;left:919;top:1440;width:2;height:13750" coordorigin="919,1440" coordsize="0,13750" path="m919,1440l919,15189e" filled="false" stroked="true" strokeweight=".48pt" strokecolor="#000000">
                <v:path arrowok="t"/>
              </v:shape>
            </v:group>
            <v:group style="position:absolute;left:924;top:15184;width:1835;height:2" coordorigin="924,15184" coordsize="1835,2">
              <v:shape style="position:absolute;left:924;top:15184;width:1835;height:2" coordorigin="924,15184" coordsize="1835,0" path="m924,15184l2758,15184e" filled="false" stroked="true" strokeweight=".47998pt" strokecolor="#000000">
                <v:path arrowok="t"/>
              </v:shape>
            </v:group>
            <v:group style="position:absolute;left:2763;top:1440;width:2;height:13750" coordorigin="2763,1440" coordsize="2,13750">
              <v:shape style="position:absolute;left:2763;top:1440;width:2;height:13750" coordorigin="2763,1440" coordsize="0,13750" path="m2763,1440l2763,15189e" filled="false" stroked="true" strokeweight=".48pt" strokecolor="#000000">
                <v:path arrowok="t"/>
              </v:shape>
            </v:group>
            <v:group style="position:absolute;left:2768;top:15184;width:1057;height:2" coordorigin="2768,15184" coordsize="1057,2">
              <v:shape style="position:absolute;left:2768;top:15184;width:1057;height:2" coordorigin="2768,15184" coordsize="1057,0" path="m2768,15184l3824,15184e" filled="false" stroked="true" strokeweight=".47998pt" strokecolor="#000000">
                <v:path arrowok="t"/>
              </v:shape>
            </v:group>
            <v:group style="position:absolute;left:3829;top:1440;width:2;height:13750" coordorigin="3829,1440" coordsize="2,13750">
              <v:shape style="position:absolute;left:3829;top:1440;width:2;height:13750" coordorigin="3829,1440" coordsize="0,13750" path="m3829,1440l3829,15189e" filled="false" stroked="true" strokeweight=".48pt" strokecolor="#000000">
                <v:path arrowok="t"/>
              </v:shape>
            </v:group>
            <v:group style="position:absolute;left:3834;top:15184;width:840;height:2" coordorigin="3834,15184" coordsize="840,2">
              <v:shape style="position:absolute;left:3834;top:15184;width:840;height:2" coordorigin="3834,15184" coordsize="840,0" path="m3834,15184l4674,15184e" filled="false" stroked="true" strokeweight=".47998pt" strokecolor="#000000">
                <v:path arrowok="t"/>
              </v:shape>
            </v:group>
            <v:group style="position:absolute;left:4679;top:1440;width:2;height:13750" coordorigin="4679,1440" coordsize="2,13750">
              <v:shape style="position:absolute;left:4679;top:1440;width:2;height:13750" coordorigin="4679,1440" coordsize="0,13750" path="m4679,1440l4679,15189e" filled="false" stroked="true" strokeweight=".48pt" strokecolor="#000000">
                <v:path arrowok="t"/>
              </v:shape>
            </v:group>
            <v:group style="position:absolute;left:4683;top:15184;width:3606;height:2" coordorigin="4683,15184" coordsize="3606,2">
              <v:shape style="position:absolute;left:4683;top:15184;width:3606;height:2" coordorigin="4683,15184" coordsize="3606,0" path="m4683,15184l8289,15184e" filled="false" stroked="true" strokeweight=".47998pt" strokecolor="#000000">
                <v:path arrowok="t"/>
              </v:shape>
            </v:group>
            <v:group style="position:absolute;left:8294;top:1440;width:2;height:13750" coordorigin="8294,1440" coordsize="2,13750">
              <v:shape style="position:absolute;left:8294;top:1440;width:2;height:13750" coordorigin="8294,1440" coordsize="0,13750" path="m8294,1440l8294,15189e" filled="false" stroked="true" strokeweight=".48001pt" strokecolor="#000000">
                <v:path arrowok="t"/>
              </v:shape>
            </v:group>
            <v:group style="position:absolute;left:8299;top:15184;width:840;height:2" coordorigin="8299,15184" coordsize="840,2">
              <v:shape style="position:absolute;left:8299;top:15184;width:840;height:2" coordorigin="8299,15184" coordsize="840,0" path="m8299,15184l9139,15184e" filled="false" stroked="true" strokeweight=".47998pt" strokecolor="#000000">
                <v:path arrowok="t"/>
              </v:shape>
            </v:group>
            <v:group style="position:absolute;left:9144;top:1440;width:2;height:13750" coordorigin="9144,1440" coordsize="2,13750">
              <v:shape style="position:absolute;left:9144;top:1440;width:2;height:13750" coordorigin="9144,1440" coordsize="0,13750" path="m9144,1440l9144,15189e" filled="false" stroked="true" strokeweight=".48001pt" strokecolor="#000000">
                <v:path arrowok="t"/>
              </v:shape>
            </v:group>
            <v:group style="position:absolute;left:9148;top:15184;width:843;height:2" coordorigin="9148,15184" coordsize="843,2">
              <v:shape style="position:absolute;left:9148;top:15184;width:843;height:2" coordorigin="9148,15184" coordsize="843,0" path="m9148,15184l9991,15184e" filled="false" stroked="true" strokeweight=".47998pt" strokecolor="#000000">
                <v:path arrowok="t"/>
              </v:shape>
            </v:group>
            <v:group style="position:absolute;left:9996;top:1440;width:2;height:13750" coordorigin="9996,1440" coordsize="2,13750">
              <v:shape style="position:absolute;left:9996;top:1440;width:2;height:13750" coordorigin="9996,1440" coordsize="0,13750" path="m9996,1440l9996,15189e" filled="false" stroked="true" strokeweight=".48001pt" strokecolor="#000000">
                <v:path arrowok="t"/>
              </v:shape>
            </v:group>
            <v:group style="position:absolute;left:10001;top:15184;width:982;height:2" coordorigin="10001,15184" coordsize="982,2">
              <v:shape style="position:absolute;left:10001;top:15184;width:982;height:2" coordorigin="10001,15184" coordsize="982,0" path="m10001,15184l10982,15184e" filled="false" stroked="true" strokeweight=".47998pt" strokecolor="#000000">
                <v:path arrowok="t"/>
              </v:shape>
            </v:group>
            <v:group style="position:absolute;left:10987;top:1440;width:2;height:13750" coordorigin="10987,1440" coordsize="2,13750">
              <v:shape style="position:absolute;left:10987;top:1440;width:2;height:13750" coordorigin="10987,1440" coordsize="0,13750" path="m10987,1440l10987,15189e" filled="false" stroked="true" strokeweight=".47998pt" strokecolor="#000000">
                <v:path arrowok="t"/>
              </v:shape>
            </v:group>
            <w10:wrap type="none"/>
          </v:group>
        </w:pict>
      </w:r>
    </w:p>
    <w:p>
      <w:pPr>
        <w:pStyle w:val="BodyText"/>
        <w:spacing w:line="319" w:lineRule="auto" w:before="160"/>
        <w:ind w:left="3907" w:right="3562"/>
        <w:jc w:val="both"/>
      </w:pPr>
      <w:r>
        <w:rPr>
          <w:spacing w:val="-3"/>
        </w:rPr>
        <w:t>的规定，且不应导致公司股权分布不符合上市</w:t>
      </w:r>
      <w:r>
        <w:rPr>
          <w:spacing w:val="-71"/>
        </w:rPr>
        <w:t> </w:t>
      </w:r>
      <w:r>
        <w:rPr>
          <w:spacing w:val="-71"/>
        </w:rPr>
      </w:r>
      <w:r>
        <w:rPr>
          <w:spacing w:val="-3"/>
        </w:rPr>
        <w:t>条件。公司每次回购股份不低于预案实施时公</w:t>
      </w:r>
      <w:r>
        <w:rPr>
          <w:spacing w:val="-71"/>
        </w:rPr>
        <w:t> </w:t>
      </w:r>
      <w:r>
        <w:rPr>
          <w:spacing w:val="-71"/>
        </w:rPr>
      </w:r>
      <w:r>
        <w:rPr/>
        <w:t>司总股本的</w:t>
      </w:r>
      <w:r>
        <w:rPr>
          <w:spacing w:val="-45"/>
        </w:rPr>
        <w:t> </w:t>
      </w:r>
      <w:r>
        <w:rPr>
          <w:rFonts w:ascii="Times New Roman" w:hAnsi="Times New Roman" w:cs="Times New Roman" w:eastAsia="Times New Roman" w:hint="default"/>
        </w:rPr>
        <w:t>0.5%</w:t>
      </w:r>
      <w:r>
        <w:rPr/>
        <w:t>，</w:t>
      </w:r>
      <w:r>
        <w:rPr>
          <w:rFonts w:ascii="Times New Roman" w:hAnsi="Times New Roman" w:cs="Times New Roman" w:eastAsia="Times New Roman" w:hint="default"/>
        </w:rPr>
        <w:t>12 </w:t>
      </w:r>
      <w:r>
        <w:rPr/>
        <w:t>个月内累计不超过</w:t>
      </w:r>
      <w:r>
        <w:rPr>
          <w:spacing w:val="-45"/>
        </w:rPr>
        <w:t> </w:t>
      </w:r>
      <w:r>
        <w:rPr>
          <w:rFonts w:ascii="Times New Roman" w:hAnsi="Times New Roman" w:cs="Times New Roman" w:eastAsia="Times New Roman" w:hint="default"/>
        </w:rPr>
        <w:t>2%</w:t>
      </w:r>
      <w:r>
        <w:rPr/>
        <w:t>。</w:t>
      </w:r>
    </w:p>
    <w:p>
      <w:pPr>
        <w:pStyle w:val="BodyText"/>
        <w:spacing w:line="312" w:lineRule="auto"/>
        <w:ind w:left="3907" w:right="3619"/>
        <w:jc w:val="left"/>
      </w:pPr>
      <w:r>
        <w:rPr/>
        <w:t>（</w:t>
      </w:r>
      <w:r>
        <w:rPr>
          <w:rFonts w:ascii="Times New Roman" w:hAnsi="Times New Roman" w:cs="Times New Roman" w:eastAsia="Times New Roman" w:hint="default"/>
        </w:rPr>
        <w:t>2</w:t>
      </w:r>
      <w:r>
        <w:rPr/>
        <w:t>）控股股东及董事、高级管理人员增持</w:t>
      </w:r>
      <w:r>
        <w:rPr>
          <w:rFonts w:ascii="Times New Roman" w:hAnsi="Times New Roman" w:cs="Times New Roman" w:eastAsia="Times New Roman" w:hint="default"/>
        </w:rPr>
        <w:t>/</w:t>
      </w:r>
      <w:r>
        <w:rPr/>
        <w:t>买 </w:t>
      </w:r>
      <w:r>
        <w:rPr>
          <w:spacing w:val="-3"/>
        </w:rPr>
        <w:t>入公司股份：当公司回购股份的措施出现下列</w:t>
      </w:r>
      <w:r>
        <w:rPr>
          <w:spacing w:val="-71"/>
        </w:rPr>
        <w:t> </w:t>
      </w:r>
      <w:r>
        <w:rPr>
          <w:spacing w:val="-71"/>
        </w:rPr>
      </w:r>
      <w:r>
        <w:rPr>
          <w:spacing w:val="-3"/>
        </w:rPr>
        <w:t>情况之一，且控股股东、董事及高级管理人员</w:t>
      </w:r>
      <w:r>
        <w:rPr>
          <w:spacing w:val="-72"/>
        </w:rPr>
        <w:t> </w:t>
      </w:r>
      <w:r>
        <w:rPr>
          <w:spacing w:val="-72"/>
        </w:rPr>
      </w:r>
      <w:r>
        <w:rPr/>
        <w:t>增持公司股份不会致使公司不满足法定上市 </w:t>
      </w:r>
      <w:r>
        <w:rPr>
          <w:spacing w:val="-3"/>
        </w:rPr>
        <w:t>条件时，则公司当年不再实施回购，由控股股</w:t>
      </w:r>
      <w:r>
        <w:rPr>
          <w:spacing w:val="-72"/>
        </w:rPr>
        <w:t> </w:t>
      </w:r>
      <w:r>
        <w:rPr>
          <w:spacing w:val="-72"/>
        </w:rPr>
      </w:r>
      <w:r>
        <w:rPr/>
        <w:t>东及董事、高级管理人员同时进行增持</w:t>
      </w:r>
      <w:r>
        <w:rPr>
          <w:rFonts w:ascii="Times New Roman" w:hAnsi="Times New Roman" w:cs="Times New Roman" w:eastAsia="Times New Roman" w:hint="default"/>
        </w:rPr>
        <w:t>/</w:t>
      </w:r>
      <w:r>
        <w:rPr/>
        <w:t>买入 </w:t>
      </w:r>
      <w:r>
        <w:rPr>
          <w:spacing w:val="-3"/>
        </w:rPr>
        <w:t>公司股份：①公司无法实施回购股份或回购股</w:t>
      </w:r>
      <w:r>
        <w:rPr>
          <w:spacing w:val="-71"/>
        </w:rPr>
        <w:t> </w:t>
      </w:r>
      <w:r>
        <w:rPr>
          <w:spacing w:val="-71"/>
        </w:rPr>
      </w:r>
      <w:r>
        <w:rPr>
          <w:spacing w:val="-3"/>
        </w:rPr>
        <w:t>份议案未获得公司股东大会批准；②若公司一</w:t>
      </w:r>
      <w:r>
        <w:rPr>
          <w:spacing w:val="-71"/>
        </w:rPr>
        <w:t> </w:t>
      </w:r>
      <w:r>
        <w:rPr>
          <w:spacing w:val="-71"/>
        </w:rPr>
      </w:r>
      <w:r>
        <w:rPr>
          <w:spacing w:val="-5"/>
        </w:rPr>
        <w:t>次或多次实施回购后启动条件再次被触发，且</w:t>
      </w:r>
      <w:r>
        <w:rPr>
          <w:spacing w:val="-71"/>
        </w:rPr>
        <w:t> </w:t>
      </w:r>
      <w:r>
        <w:rPr>
          <w:spacing w:val="-71"/>
        </w:rPr>
      </w:r>
      <w:r>
        <w:rPr/>
        <w:t>公司</w:t>
      </w:r>
      <w:r>
        <w:rPr>
          <w:spacing w:val="-46"/>
        </w:rPr>
        <w:t> </w:t>
      </w:r>
      <w:r>
        <w:rPr>
          <w:rFonts w:ascii="Times New Roman" w:hAnsi="Times New Roman" w:cs="Times New Roman" w:eastAsia="Times New Roman" w:hint="default"/>
        </w:rPr>
        <w:t>12 </w:t>
      </w:r>
      <w:r>
        <w:rPr/>
        <w:t>个月内累计回购股份已经达到公司总 股本的</w:t>
      </w:r>
      <w:r>
        <w:rPr>
          <w:spacing w:val="-33"/>
        </w:rPr>
        <w:t> </w:t>
      </w:r>
      <w:r>
        <w:rPr>
          <w:rFonts w:ascii="Times New Roman" w:hAnsi="Times New Roman" w:cs="Times New Roman" w:eastAsia="Times New Roman" w:hint="default"/>
          <w:spacing w:val="-9"/>
        </w:rPr>
        <w:t>2%</w:t>
      </w:r>
      <w:r>
        <w:rPr>
          <w:spacing w:val="-9"/>
        </w:rPr>
        <w:t>。控股股东增持公司股份应符合《上</w:t>
      </w:r>
      <w:r>
        <w:rPr>
          <w:spacing w:val="-88"/>
        </w:rPr>
        <w:t> </w:t>
      </w:r>
      <w:r>
        <w:rPr>
          <w:spacing w:val="-88"/>
        </w:rPr>
      </w:r>
      <w:r>
        <w:rPr/>
        <w:t>市公司收购管理办法》等相关法律法规的规 定，董事、高级管理人员增持</w:t>
      </w:r>
      <w:r>
        <w:rPr>
          <w:rFonts w:ascii="Times New Roman" w:hAnsi="Times New Roman" w:cs="Times New Roman" w:eastAsia="Times New Roman" w:hint="default"/>
        </w:rPr>
        <w:t>/</w:t>
      </w:r>
      <w:r>
        <w:rPr/>
        <w:t>买入公司股份 </w:t>
      </w:r>
      <w:r>
        <w:rPr>
          <w:spacing w:val="-3"/>
        </w:rPr>
        <w:t>应符合《上市公司董事、监事和高级管理人员</w:t>
      </w:r>
      <w:r>
        <w:rPr>
          <w:spacing w:val="-72"/>
        </w:rPr>
        <w:t> </w:t>
      </w:r>
      <w:r>
        <w:rPr>
          <w:spacing w:val="-72"/>
        </w:rPr>
      </w:r>
      <w:r>
        <w:rPr>
          <w:spacing w:val="-3"/>
        </w:rPr>
        <w:t>所持本公司股份及其变动管理规则》等相关法</w:t>
      </w:r>
      <w:r>
        <w:rPr>
          <w:spacing w:val="-71"/>
        </w:rPr>
        <w:t> </w:t>
      </w:r>
      <w:r>
        <w:rPr>
          <w:spacing w:val="-71"/>
        </w:rPr>
      </w:r>
      <w:r>
        <w:rPr>
          <w:spacing w:val="-3"/>
        </w:rPr>
        <w:t>律法规的规定。控股股东每次增持股份不低于</w:t>
      </w:r>
      <w:r>
        <w:rPr>
          <w:spacing w:val="-71"/>
        </w:rPr>
        <w:t> </w:t>
      </w:r>
      <w:r>
        <w:rPr>
          <w:spacing w:val="-71"/>
        </w:rPr>
      </w:r>
      <w:r>
        <w:rPr/>
        <w:t>控股股东增持的启动条件被触发时公司股本</w:t>
      </w:r>
    </w:p>
    <w:p>
      <w:pPr>
        <w:pStyle w:val="BodyText"/>
        <w:spacing w:line="309" w:lineRule="auto" w:before="22"/>
        <w:ind w:left="3907" w:right="3550"/>
        <w:jc w:val="left"/>
      </w:pPr>
      <w:r>
        <w:rPr/>
        <w:t>的</w:t>
      </w:r>
      <w:r>
        <w:rPr>
          <w:spacing w:val="-46"/>
        </w:rPr>
        <w:t> </w:t>
      </w:r>
      <w:r>
        <w:rPr>
          <w:rFonts w:ascii="Times New Roman" w:hAnsi="Times New Roman" w:cs="Times New Roman" w:eastAsia="Times New Roman" w:hint="default"/>
        </w:rPr>
        <w:t>0.5%</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个月内累计不超过</w:t>
      </w:r>
      <w:r>
        <w:rPr>
          <w:spacing w:val="-46"/>
        </w:rPr>
        <w:t> </w:t>
      </w:r>
      <w:r>
        <w:rPr>
          <w:rFonts w:ascii="Times New Roman" w:hAnsi="Times New Roman" w:cs="Times New Roman" w:eastAsia="Times New Roman" w:hint="default"/>
        </w:rPr>
        <w:t>2%</w:t>
      </w:r>
      <w:r>
        <w:rPr/>
        <w:t>。各董事、 高级管理人员每次增持股份的资金额不低于 本人上一年度从公司领取税后收入的</w:t>
      </w:r>
      <w:r>
        <w:rPr>
          <w:spacing w:val="-43"/>
        </w:rPr>
        <w:t> </w:t>
      </w:r>
      <w:r>
        <w:rPr>
          <w:rFonts w:ascii="Times New Roman" w:hAnsi="Times New Roman" w:cs="Times New Roman" w:eastAsia="Times New Roman" w:hint="default"/>
          <w:spacing w:val="-10"/>
        </w:rPr>
        <w:t>20%</w:t>
      </w:r>
      <w:r>
        <w:rPr>
          <w:spacing w:val="-10"/>
        </w:rPr>
        <w:t>，</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42"/>
        </w:rPr>
        <w:t> </w:t>
      </w:r>
      <w:r>
        <w:rPr/>
        <w:t>个月内累计不超过本人上一年度从公司领取 税后收入的 </w:t>
      </w:r>
      <w:r>
        <w:rPr>
          <w:rFonts w:ascii="Times New Roman" w:hAnsi="Times New Roman" w:cs="Times New Roman" w:eastAsia="Times New Roman" w:hint="default"/>
        </w:rPr>
        <w:t>50%</w:t>
      </w:r>
      <w:r>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稳定股价措施的启动程 </w:t>
      </w:r>
      <w:r>
        <w:rPr>
          <w:spacing w:val="-9"/>
        </w:rPr>
        <w:t>序：（</w:t>
      </w:r>
      <w:r>
        <w:rPr>
          <w:rFonts w:ascii="Times New Roman" w:hAnsi="Times New Roman" w:cs="Times New Roman" w:eastAsia="Times New Roman" w:hint="default"/>
          <w:spacing w:val="-9"/>
        </w:rPr>
        <w:t>1</w:t>
      </w:r>
      <w:r>
        <w:rPr>
          <w:spacing w:val="-9"/>
        </w:rPr>
        <w:t>）公司回购：①</w:t>
      </w:r>
      <w:r>
        <w:rPr/>
        <w:t> 公司董事会应在上述</w:t>
      </w:r>
      <w:r>
        <w:rPr>
          <w:spacing w:val="-81"/>
        </w:rPr>
        <w:t> </w:t>
      </w:r>
      <w:r>
        <w:rPr>
          <w:spacing w:val="-81"/>
        </w:rPr>
      </w:r>
      <w:r>
        <w:rPr/>
        <w:t>公司回购启动条件成就之日起的</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个交易日 内作出回购股份的决议。②</w:t>
      </w:r>
      <w:r>
        <w:rPr>
          <w:spacing w:val="1"/>
        </w:rPr>
        <w:t> </w:t>
      </w:r>
      <w:r>
        <w:rPr/>
        <w:t>公司董事会应当</w:t>
      </w:r>
      <w:r>
        <w:rPr/>
        <w:t> 在作出回购股份决议后的</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个工作日内公告董 </w:t>
      </w:r>
      <w:r>
        <w:rPr>
          <w:spacing w:val="-3"/>
        </w:rPr>
        <w:t>事会决议、回购股份预案，并发布召开股东大</w:t>
      </w:r>
      <w:r>
        <w:rPr>
          <w:spacing w:val="-72"/>
        </w:rPr>
        <w:t> </w:t>
      </w:r>
      <w:r>
        <w:rPr>
          <w:spacing w:val="-72"/>
        </w:rPr>
      </w:r>
      <w:r>
        <w:rPr/>
        <w:t>会的通知。③</w:t>
      </w:r>
      <w:r>
        <w:rPr>
          <w:spacing w:val="1"/>
        </w:rPr>
        <w:t> </w:t>
      </w:r>
      <w:r>
        <w:rPr/>
        <w:t>公司应在公司股东大会决议作</w:t>
      </w:r>
      <w:r>
        <w:rPr/>
        <w:t> </w:t>
      </w:r>
      <w:r>
        <w:rPr>
          <w:spacing w:val="-3"/>
        </w:rPr>
        <w:t>出之日起次日开始启动回购，并应在履行相关</w:t>
      </w:r>
      <w:r>
        <w:rPr>
          <w:spacing w:val="-71"/>
        </w:rPr>
        <w:t> </w:t>
      </w:r>
      <w:r>
        <w:rPr>
          <w:spacing w:val="-71"/>
        </w:rPr>
      </w:r>
      <w:r>
        <w:rPr/>
        <w:t>法定程序后的 </w:t>
      </w:r>
      <w:r>
        <w:rPr>
          <w:rFonts w:ascii="Times New Roman" w:hAnsi="Times New Roman" w:cs="Times New Roman" w:eastAsia="Times New Roman" w:hint="default"/>
        </w:rPr>
        <w:t>90 </w:t>
      </w:r>
      <w:r>
        <w:rPr>
          <w:spacing w:val="-6"/>
        </w:rPr>
        <w:t>日内实施完毕。④</w:t>
      </w:r>
      <w:r>
        <w:rPr>
          <w:spacing w:val="-39"/>
        </w:rPr>
        <w:t> </w:t>
      </w:r>
      <w:r>
        <w:rPr/>
        <w:t>公司回购</w:t>
      </w:r>
      <w:r>
        <w:rPr/>
        <w:t> </w:t>
      </w:r>
      <w:r>
        <w:rPr>
          <w:spacing w:val="-5"/>
        </w:rPr>
        <w:t>方案实施完毕后，应在</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个工作日内公告公司</w:t>
      </w:r>
    </w:p>
    <w:p>
      <w:pPr>
        <w:pStyle w:val="BodyText"/>
        <w:spacing w:line="307" w:lineRule="auto" w:before="5"/>
        <w:ind w:left="3907" w:right="3620"/>
        <w:jc w:val="left"/>
      </w:pPr>
      <w:r>
        <w:rPr/>
        <w:t>股份变动报告，并在</w:t>
      </w:r>
      <w:r>
        <w:rPr>
          <w:spacing w:val="-45"/>
        </w:rPr>
        <w:t> </w:t>
      </w:r>
      <w:r>
        <w:rPr>
          <w:rFonts w:ascii="Times New Roman" w:hAnsi="Times New Roman" w:cs="Times New Roman" w:eastAsia="Times New Roman" w:hint="default"/>
        </w:rPr>
        <w:t>10 </w:t>
      </w:r>
      <w:r>
        <w:rPr/>
        <w:t>日内依法注销所回购 </w:t>
      </w:r>
      <w:r>
        <w:rPr>
          <w:spacing w:val="-7"/>
        </w:rPr>
        <w:t>的股份，办理工商变更登记手续。（</w:t>
      </w:r>
      <w:r>
        <w:rPr>
          <w:rFonts w:ascii="Times New Roman" w:hAnsi="Times New Roman" w:cs="Times New Roman" w:eastAsia="Times New Roman" w:hint="default"/>
          <w:spacing w:val="-7"/>
        </w:rPr>
        <w:t>2</w:t>
      </w:r>
      <w:r>
        <w:rPr>
          <w:spacing w:val="-7"/>
        </w:rPr>
        <w:t>）控股股</w:t>
      </w:r>
      <w:r>
        <w:rPr>
          <w:spacing w:val="-78"/>
        </w:rPr>
        <w:t> </w:t>
      </w:r>
      <w:r>
        <w:rPr>
          <w:spacing w:val="-78"/>
        </w:rPr>
      </w:r>
      <w:r>
        <w:rPr/>
        <w:t>东及董事、高级管理人员增持</w:t>
      </w:r>
      <w:r>
        <w:rPr>
          <w:rFonts w:ascii="Times New Roman" w:hAnsi="Times New Roman" w:cs="Times New Roman" w:eastAsia="Times New Roman" w:hint="default"/>
        </w:rPr>
        <w:t>/ </w:t>
      </w:r>
      <w:r>
        <w:rPr>
          <w:spacing w:val="-3"/>
        </w:rPr>
        <w:t>公司董事会应在控股股东及董事、高级管理人</w:t>
      </w:r>
      <w:r>
        <w:rPr>
          <w:spacing w:val="-71"/>
        </w:rPr>
        <w:t> </w:t>
      </w:r>
      <w:r>
        <w:rPr>
          <w:spacing w:val="-71"/>
        </w:rPr>
      </w:r>
      <w:r>
        <w:rPr/>
        <w:t>员增持启动条件成就之日起</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个交易日内作出 </w:t>
      </w:r>
      <w:r>
        <w:rPr>
          <w:spacing w:val="-3"/>
        </w:rPr>
        <w:t>增持公告，义务主体应在增持公告作出之次日</w:t>
      </w:r>
      <w:r>
        <w:rPr>
          <w:spacing w:val="-71"/>
        </w:rPr>
        <w:t> </w:t>
      </w:r>
      <w:r>
        <w:rPr>
          <w:spacing w:val="-71"/>
        </w:rPr>
      </w:r>
      <w:r>
        <w:rPr/>
        <w:t>启动增持，并应在履行相关法定程序后的</w:t>
      </w:r>
      <w:r>
        <w:rPr>
          <w:spacing w:val="-44"/>
        </w:rPr>
        <w:t> </w:t>
      </w:r>
      <w:r>
        <w:rPr>
          <w:rFonts w:ascii="Times New Roman" w:hAnsi="Times New Roman" w:cs="Times New Roman" w:eastAsia="Times New Roman" w:hint="default"/>
        </w:rPr>
        <w:t>90</w:t>
      </w:r>
      <w:r>
        <w:rPr>
          <w:rFonts w:ascii="Times New Roman" w:hAnsi="Times New Roman" w:cs="Times New Roman" w:eastAsia="Times New Roman" w:hint="default"/>
          <w:spacing w:val="1"/>
        </w:rPr>
        <w:t> </w:t>
      </w:r>
      <w:r>
        <w:rPr>
          <w:spacing w:val="-3"/>
        </w:rPr>
        <w:t>日内实施完毕增持义务。控股股东、董事及高</w:t>
      </w:r>
      <w:r>
        <w:rPr>
          <w:spacing w:val="-72"/>
        </w:rPr>
        <w:t> </w:t>
      </w:r>
      <w:r>
        <w:rPr>
          <w:spacing w:val="-72"/>
        </w:rPr>
      </w:r>
      <w:r>
        <w:rPr/>
        <w:t>级管理人员实施完毕上述以稳定股价为目的 </w:t>
      </w:r>
      <w:r>
        <w:rPr>
          <w:spacing w:val="-3"/>
        </w:rPr>
        <w:t>的增持义务后，仍可根据法律法规的规定，自</w:t>
      </w:r>
    </w:p>
    <w:p>
      <w:pPr>
        <w:spacing w:after="0" w:line="307" w:lineRule="auto"/>
        <w:jc w:val="left"/>
        <w:sectPr>
          <w:pgSz w:w="11910" w:h="16840"/>
          <w:pgMar w:header="748" w:footer="974" w:top="1060" w:bottom="1160" w:left="800" w:right="0"/>
        </w:sectPr>
      </w:pPr>
    </w:p>
    <w:p>
      <w:pPr>
        <w:spacing w:line="240" w:lineRule="auto" w:before="0"/>
        <w:rPr>
          <w:rFonts w:ascii="Times New Roman" w:hAnsi="Times New Roman" w:cs="Times New Roman" w:eastAsia="Times New Roman" w:hint="default"/>
          <w:sz w:val="20"/>
          <w:szCs w:val="20"/>
        </w:rPr>
      </w:pPr>
      <w:r>
        <w:rPr/>
        <w:pict>
          <v:shape style="position:absolute;margin-left:408.940002pt;margin-top:72.47998pt;width:48pt;height:329.7pt;mso-position-horizontal-relative:page;mso-position-vertical-relative:page;z-index:-1166560" type="#_x0000_t202" filled="false" stroked="false">
            <v:textbox inset="0,0,0,0">
              <w:txbxContent>
                <w:p>
                  <w:pPr>
                    <w:pStyle w:val="BodyText"/>
                    <w:spacing w:line="240" w:lineRule="auto" w:before="10"/>
                    <w:ind w:left="0" w:right="0"/>
                    <w:jc w:val="left"/>
                  </w:pPr>
                  <w:r>
                    <w:rPr/>
                    <w:t>）</w:t>
                  </w:r>
                </w:p>
              </w:txbxContent>
            </v:textbox>
            <w10:wrap type="none"/>
          </v:shape>
        </w:pict>
      </w:r>
      <w:r>
        <w:rPr/>
        <w:pict>
          <v:shape style="position:absolute;margin-left:390.890015pt;margin-top:672.335999pt;width:66.05pt;height:95.65pt;mso-position-horizontal-relative:page;mso-position-vertical-relative:page;z-index:-11665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left="0" w:right="0"/>
                    <w:jc w:val="left"/>
                  </w:pPr>
                  <w:r>
                    <w:rPr/>
                    <w:t>送股、</w:t>
                  </w:r>
                </w:p>
              </w:txbxContent>
            </v:textbox>
            <w10:wrap type="none"/>
          </v:shape>
        </w:pict>
      </w:r>
      <w:r>
        <w:rPr/>
        <w:pict>
          <v:group style="position:absolute;margin-left:191.690002pt;margin-top:672.335999pt;width:42pt;height:95.65pt;mso-position-horizontal-relative:page;mso-position-vertical-relative:page;z-index:-1166512" coordorigin="3834,13447" coordsize="840,1913">
            <v:group style="position:absolute;left:3834;top:13447;width:840;height:1913" coordorigin="3834,13447" coordsize="840,1913">
              <v:shape style="position:absolute;left:3834;top:13447;width:840;height:1913" coordorigin="3834,13447" coordsize="840,1913" path="m3834,15360l4674,15360,4674,13447,3834,13447,3834,15360xe" filled="true" fillcolor="#ffffff" stroked="false">
                <v:path arrowok="t"/>
                <v:fill type="solid"/>
              </v:shape>
            </v:group>
            <v:group style="position:absolute;left:3858;top:14208;width:792;height:392" coordorigin="3858,14208" coordsize="792,392">
              <v:shape style="position:absolute;left:3858;top:14208;width:792;height:392" coordorigin="3858,14208" coordsize="792,392" path="m3858,14599l4650,14599,4650,14208,3858,14208,3858,14599xe" filled="true" fillcolor="#ffffff" stroked="false">
                <v:path arrowok="t"/>
                <v:fill type="solid"/>
              </v:shape>
            </v:group>
            <w10:wrap type="none"/>
          </v:group>
        </w:pict>
      </w:r>
      <w:r>
        <w:rPr/>
        <w:pict>
          <v:group style="position:absolute;margin-left:414.940002pt;margin-top:672.335999pt;width:42pt;height:95.65pt;mso-position-horizontal-relative:page;mso-position-vertical-relative:page;z-index:-1166488" coordorigin="8299,13447" coordsize="840,1913">
            <v:group style="position:absolute;left:8299;top:13447;width:840;height:1913" coordorigin="8299,13447" coordsize="840,1913">
              <v:shape style="position:absolute;left:8299;top:13447;width:840;height:1913" coordorigin="8299,13447" coordsize="840,1913" path="m8299,15360l9139,15360,9139,13447,8299,13447,8299,15360xe" filled="true" fillcolor="#ffffff" stroked="false">
                <v:path arrowok="t"/>
                <v:fill type="solid"/>
              </v:shape>
            </v:group>
            <v:group style="position:absolute;left:8323;top:14052;width:795;height:353" coordorigin="8323,14052" coordsize="795,353">
              <v:shape style="position:absolute;left:8323;top:14052;width:795;height:353" coordorigin="8323,14052" coordsize="795,353" path="m8323,14404l9117,14404,9117,14052,8323,14052,8323,14404xe" filled="true" fillcolor="#ffffff" stroked="false">
                <v:path arrowok="t"/>
                <v:fill type="solid"/>
              </v:shape>
            </v:group>
            <v:group style="position:absolute;left:8323;top:14404;width:795;height:351" coordorigin="8323,14404" coordsize="795,351">
              <v:shape style="position:absolute;left:8323;top:14404;width:795;height:351" coordorigin="8323,14404" coordsize="795,351" path="m8323,14755l9117,14755,9117,14404,8323,14404,8323,14755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844"/>
        <w:gridCol w:w="1066"/>
        <w:gridCol w:w="850"/>
        <w:gridCol w:w="3615"/>
        <w:gridCol w:w="850"/>
        <w:gridCol w:w="852"/>
        <w:gridCol w:w="991"/>
      </w:tblGrid>
      <w:tr>
        <w:trPr>
          <w:trHeight w:val="322"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愿实施其他目的的增持计划。</w:t>
            </w:r>
            <w:r>
              <w:rPr>
                <w:rFonts w:ascii="Times New Roman" w:hAnsi="Times New Roman" w:cs="Times New Roman" w:eastAsia="Times New Roman" w:hint="default"/>
                <w:spacing w:val="-3"/>
                <w:sz w:val="18"/>
                <w:szCs w:val="18"/>
              </w:rPr>
              <w:t>5. </w:t>
            </w:r>
            <w:r>
              <w:rPr>
                <w:rFonts w:ascii="Times New Roman" w:hAnsi="Times New Roman" w:cs="Times New Roman" w:eastAsia="Times New Roman" w:hint="default"/>
                <w:spacing w:val="9"/>
                <w:sz w:val="18"/>
                <w:szCs w:val="18"/>
              </w:rPr>
              <w:t> </w:t>
            </w:r>
            <w:r>
              <w:rPr>
                <w:rFonts w:ascii="宋体" w:hAnsi="宋体" w:cs="宋体" w:eastAsia="宋体" w:hint="default"/>
                <w:spacing w:val="-8"/>
                <w:sz w:val="18"/>
                <w:szCs w:val="18"/>
              </w:rPr>
              <w:t>约束机制（</w:t>
            </w:r>
            <w:r>
              <w:rPr>
                <w:rFonts w:ascii="Times New Roman" w:hAnsi="Times New Roman" w:cs="Times New Roman" w:eastAsia="Times New Roman" w:hint="default"/>
                <w:spacing w:val="-8"/>
                <w:sz w:val="18"/>
                <w:szCs w:val="18"/>
              </w:rPr>
              <w:t>1</w:t>
            </w:r>
          </w:p>
        </w:tc>
        <w:tc>
          <w:tcPr>
            <w:tcW w:w="850" w:type="dxa"/>
            <w:vMerge w:val="restart"/>
            <w:tcBorders>
              <w:top w:val="single" w:sz="4" w:space="0" w:color="000000"/>
              <w:left w:val="single" w:sz="4" w:space="0" w:color="000000"/>
              <w:right w:val="single" w:sz="4" w:space="0" w:color="000000"/>
            </w:tcBorders>
          </w:tcPr>
          <w:p>
            <w:pPr>
              <w:pStyle w:val="TableParagraph"/>
              <w:spacing w:line="659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42pt;height:329.7pt;mso-position-horizontal-relative:char;mso-position-vertical-relative:line" coordorigin="0,0" coordsize="840,6594">
                  <v:group style="position:absolute;left:0;top:0;width:840;height:6594" coordorigin="0,0" coordsize="840,6594">
                    <v:shape style="position:absolute;left:0;top:0;width:840;height:6594" coordorigin="0,0" coordsize="840,6594" path="m0,6594l840,6594,840,0,0,0,0,6594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85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公司控股股东、董事、高级管理人员未按本预</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案的规定提出或未实际实施增持计划，公司有</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权责令其在限期内履行增持义务，否则公司有</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权将未履行义务相等金额的现金分红、应付薪</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酬予以暂时扣留直至其履行增持义务。</w:t>
            </w:r>
            <w:r>
              <w:rPr>
                <w:rFonts w:ascii="宋体" w:hAnsi="宋体" w:cs="宋体" w:eastAsia="宋体" w:hint="default"/>
                <w:spacing w:val="1"/>
                <w:sz w:val="18"/>
                <w:szCs w:val="18"/>
              </w:rPr>
              <w:t> </w:t>
            </w:r>
            <w:r>
              <w:rPr>
                <w:rFonts w:ascii="宋体" w:hAnsi="宋体" w:cs="宋体" w:eastAsia="宋体" w:hint="default"/>
                <w:sz w:val="18"/>
                <w:szCs w:val="18"/>
              </w:rPr>
              <w:t>公司</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董事、高级管理人员拒不履行本预案规定的股</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票增持义务，公司可以依法更换、解聘相关人</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22"/>
                <w:sz w:val="18"/>
                <w:szCs w:val="18"/>
              </w:rPr>
              <w:t>）</w:t>
            </w:r>
            <w:r>
              <w:rPr>
                <w:rFonts w:ascii="宋体" w:hAnsi="宋体" w:cs="宋体" w:eastAsia="宋体" w:hint="default"/>
                <w:sz w:val="18"/>
                <w:szCs w:val="18"/>
              </w:rPr>
              <w:t>本预案中稳定公司</w:t>
            </w:r>
            <w:r>
              <w:rPr>
                <w:rFonts w:ascii="宋体" w:hAnsi="宋体" w:cs="宋体" w:eastAsia="宋体" w:hint="default"/>
                <w:spacing w:val="2"/>
                <w:sz w:val="18"/>
                <w:szCs w:val="18"/>
              </w:rPr>
              <w:t>股</w:t>
            </w:r>
            <w:r>
              <w:rPr>
                <w:rFonts w:ascii="宋体" w:hAnsi="宋体" w:cs="宋体" w:eastAsia="宋体" w:hint="default"/>
                <w:sz w:val="18"/>
                <w:szCs w:val="18"/>
              </w:rPr>
              <w:t>价的具体措施由</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相关主体提出，并由公司依据信息披露的相关</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规定进行公告，即构成相关主体对公司及社会</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公众股东的公开承诺，如达到实施条件而无合</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理正当理由拒绝履行的，相关主体将承担相应</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的法律责任，给投资者造成损失的，将依法承</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担赔偿责任。</w:t>
            </w:r>
            <w:r>
              <w:rPr>
                <w:rFonts w:ascii="Times New Roman" w:hAnsi="Times New Roman" w:cs="Times New Roman" w:eastAsia="Times New Roman" w:hint="default"/>
                <w:spacing w:val="-6"/>
                <w:sz w:val="18"/>
                <w:szCs w:val="18"/>
              </w:rPr>
              <w:t>6. </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法律效力：本预案经公司股东</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大会审议通过后，自公司完成首次公开发行股</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票并上市之日起生效。如法律法规或政策变动</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等情形导致本预案与相关规定不符，公司董事</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会应对本预案进行调整的，需经出席股东大会</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的股东所持有表决权股份总数的二分之一以</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上同意通过。</w:t>
            </w: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358" w:hRule="exact"/>
        </w:trPr>
        <w:tc>
          <w:tcPr>
            <w:tcW w:w="1844" w:type="dxa"/>
            <w:vMerge/>
            <w:tcBorders>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发行人控股股东吴飞舟承诺：在发行人上市后</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三年内不减持发行人股份；在本人承诺的持股</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锁定期满后两年内进行减持的，每年减持发行</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人的股份不超过本人所持有的发行人股份总</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，减持价格不低于发行人首次公开</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发行股票的发行价。若发行人股份在该期间内</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发生派息、送股、资本公积转增股本等除权除</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发行人控股 股东吴飞舟</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5"/>
              <w:jc w:val="right"/>
              <w:rPr>
                <w:rFonts w:ascii="宋体" w:hAnsi="宋体" w:cs="宋体" w:eastAsia="宋体" w:hint="default"/>
                <w:sz w:val="18"/>
                <w:szCs w:val="18"/>
              </w:rPr>
            </w:pPr>
            <w:r>
              <w:rPr>
                <w:rFonts w:ascii="宋体" w:hAnsi="宋体" w:cs="宋体" w:eastAsia="宋体" w:hint="default"/>
                <w:sz w:val="18"/>
                <w:szCs w:val="18"/>
              </w:rPr>
              <w:t>减持承诺</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both"/>
              <w:rPr>
                <w:rFonts w:ascii="宋体" w:hAnsi="宋体" w:cs="宋体" w:eastAsia="宋体" w:hint="default"/>
                <w:sz w:val="18"/>
                <w:szCs w:val="18"/>
              </w:rPr>
            </w:pPr>
            <w:r>
              <w:rPr>
                <w:rFonts w:ascii="宋体" w:hAnsi="宋体" w:cs="宋体" w:eastAsia="宋体" w:hint="default"/>
                <w:spacing w:val="-3"/>
                <w:sz w:val="18"/>
                <w:szCs w:val="18"/>
              </w:rPr>
              <w:t>息事项的，发行价应相应作除权除息处理。在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本人承诺的持股锁定期满后的两年后，减持价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格在满足本人已作出的各项承诺的前提下根</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3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据减持当时的市场价格而定。本人承诺将在实</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施减持时，提前三个交易日通过发行人进行公</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告，减持股份行为的期限为减持公告后的六个</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月内，未履行公告程序前不得减持，本人持有</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发行人的股份低于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时除外。若本人未履行</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上述承诺，则减持股份所得收益归发行人所</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r>
        <w:trPr>
          <w:trHeight w:val="192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股东中投财 富、山东五 岳、马庆选 </w:t>
            </w:r>
            <w:r>
              <w:rPr>
                <w:rFonts w:ascii="宋体" w:hAnsi="宋体" w:cs="宋体" w:eastAsia="宋体" w:hint="default"/>
                <w:spacing w:val="-12"/>
                <w:sz w:val="18"/>
                <w:szCs w:val="18"/>
              </w:rPr>
              <w:t>姚国宁、史振</w:t>
            </w:r>
            <w:r>
              <w:rPr>
                <w:rFonts w:ascii="宋体" w:hAnsi="宋体" w:cs="宋体" w:eastAsia="宋体" w:hint="default"/>
                <w:sz w:val="18"/>
                <w:szCs w:val="18"/>
              </w:rPr>
              <w:t> </w:t>
            </w:r>
            <w:r>
              <w:rPr>
                <w:rFonts w:ascii="宋体" w:hAnsi="宋体" w:cs="宋体" w:eastAsia="宋体" w:hint="default"/>
                <w:spacing w:val="-12"/>
                <w:sz w:val="18"/>
                <w:szCs w:val="18"/>
              </w:rPr>
              <w:t>生、王维承诺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43" w:right="95"/>
              <w:jc w:val="right"/>
              <w:rPr>
                <w:rFonts w:ascii="宋体" w:hAnsi="宋体" w:cs="宋体" w:eastAsia="宋体" w:hint="default"/>
                <w:sz w:val="18"/>
                <w:szCs w:val="18"/>
              </w:rPr>
            </w:pPr>
            <w:r>
              <w:rPr>
                <w:rFonts w:ascii="宋体" w:hAnsi="宋体" w:cs="宋体" w:eastAsia="宋体" w:hint="default"/>
                <w:spacing w:val="-3"/>
                <w:sz w:val="18"/>
                <w:szCs w:val="18"/>
              </w:rPr>
              <w:t>、减持承诺</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股东中投财富、山东五岳、马庆选、姚国宁、 </w:t>
            </w:r>
            <w:r>
              <w:rPr>
                <w:rFonts w:ascii="宋体" w:hAnsi="宋体" w:cs="宋体" w:eastAsia="宋体" w:hint="default"/>
                <w:spacing w:val="-3"/>
                <w:sz w:val="18"/>
                <w:szCs w:val="18"/>
              </w:rPr>
              <w:t>史振生、王维承诺：在发行人上市后一年内不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减持发行人股份；本人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本企业在承诺 </w:t>
            </w:r>
            <w:r>
              <w:rPr>
                <w:rFonts w:ascii="宋体" w:hAnsi="宋体" w:cs="宋体" w:eastAsia="宋体" w:hint="default"/>
                <w:spacing w:val="-3"/>
                <w:sz w:val="18"/>
                <w:szCs w:val="18"/>
              </w:rPr>
              <w:t>的持股锁定期满后的两年内进行减持的，减持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价格不低于发行人首次公开发行股票的发行 </w:t>
            </w:r>
            <w:r>
              <w:rPr>
                <w:rFonts w:ascii="宋体" w:hAnsi="宋体" w:cs="宋体" w:eastAsia="宋体" w:hint="default"/>
                <w:spacing w:val="-4"/>
                <w:sz w:val="18"/>
                <w:szCs w:val="18"/>
              </w:rPr>
              <w:t>价。若发行人股份在该期间内发生派息、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pgSz w:w="11910" w:h="16840"/>
          <w:pgMar w:header="748" w:footer="974" w:top="1060" w:bottom="1160" w:left="8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844"/>
        <w:gridCol w:w="1066"/>
        <w:gridCol w:w="850"/>
        <w:gridCol w:w="3615"/>
        <w:gridCol w:w="850"/>
        <w:gridCol w:w="852"/>
        <w:gridCol w:w="991"/>
      </w:tblGrid>
      <w:tr>
        <w:trPr>
          <w:trHeight w:val="31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资本公积转增股本等除权除息事项的，发行价</w:t>
            </w: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应相应作除权除息处理。在本人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业承诺的持股锁定期满后的两年后，减持价格</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在满足本人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本企业已作出的各项承诺</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的前提下根据减持当时的市场价格而定。本人</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本企业承诺将在实施减持时，提前三</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个交易日通过发行人进行公告，减持股份行为</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的期限为减持公告后的六个月内，未履行公告</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程序前不得减持，本人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本企业持有发</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行人的股份低于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时除外。若本人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本企业未履行上述承诺，则减持股份所得收益</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归发行人所有。</w:t>
            </w: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363" w:hRule="exact"/>
        </w:trPr>
        <w:tc>
          <w:tcPr>
            <w:tcW w:w="1844" w:type="dxa"/>
            <w:vMerge/>
            <w:tcBorders>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如发行人本次公开发行股票的招股说明书及</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相关信息披露资料有虚假记载、误导性陈述或</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者重大遗漏，对判断发行人是否符合法律规定</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的发行条件构成重大、实质影响的，发行人将</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在中国证监会等有权部门认定有关违法事实</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个工作日内，根据相关法律法规及《公</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司章程（草案</w:t>
            </w:r>
            <w:r>
              <w:rPr>
                <w:rFonts w:ascii="宋体" w:hAnsi="宋体" w:cs="宋体" w:eastAsia="宋体" w:hint="default"/>
                <w:spacing w:val="-92"/>
                <w:sz w:val="18"/>
                <w:szCs w:val="18"/>
              </w:rPr>
              <w:t>）</w:t>
            </w:r>
            <w:r>
              <w:rPr>
                <w:rFonts w:ascii="宋体" w:hAnsi="宋体" w:cs="宋体" w:eastAsia="宋体" w:hint="default"/>
                <w:sz w:val="18"/>
                <w:szCs w:val="18"/>
              </w:rPr>
              <w:t>》规定召开董</w:t>
            </w:r>
            <w:r>
              <w:rPr>
                <w:rFonts w:ascii="宋体" w:hAnsi="宋体" w:cs="宋体" w:eastAsia="宋体" w:hint="default"/>
                <w:spacing w:val="2"/>
                <w:sz w:val="18"/>
                <w:szCs w:val="18"/>
              </w:rPr>
              <w:t>事</w:t>
            </w:r>
            <w:r>
              <w:rPr>
                <w:rFonts w:ascii="宋体" w:hAnsi="宋体" w:cs="宋体" w:eastAsia="宋体" w:hint="default"/>
                <w:sz w:val="18"/>
                <w:szCs w:val="18"/>
              </w:rPr>
              <w:t>会、拟订股份</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回购的具体方案并按法定程序召集、召开临时</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股东大会进行审议，并经相关主管部门批准或</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20"/>
              <w:jc w:val="both"/>
              <w:rPr>
                <w:rFonts w:ascii="宋体" w:hAnsi="宋体" w:cs="宋体" w:eastAsia="宋体" w:hint="default"/>
                <w:sz w:val="18"/>
                <w:szCs w:val="18"/>
              </w:rPr>
            </w:pPr>
            <w:r>
              <w:rPr>
                <w:rFonts w:ascii="宋体" w:hAnsi="宋体" w:cs="宋体" w:eastAsia="宋体" w:hint="default"/>
                <w:spacing w:val="-3"/>
                <w:sz w:val="18"/>
                <w:szCs w:val="18"/>
              </w:rPr>
              <w:t>核准或备案，启动股份回购措施；发行人将依</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法回购首次公开发行的全部新股（不含原股东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公开发售的股份）；回购价格不低于公司股票</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3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发行价加上股票发行后至回购时相关期间银</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行同期存款利息。如公司上市后有利润分配或</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送配股份等除权、除息行为，上述发行价为除</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权除息后的价格。上述回购实施时法律法规另</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有规定的从其规定。若因本次公开发行股票的</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招股说明书及信息披露资料有虚假记载、误导</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性陈述或者重大遗漏，致使投资者在证券发行</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和交易中遭受损失的，公司将依法赔偿投资者</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损失。</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844" w:type="dxa"/>
            <w:vMerge/>
            <w:tcBorders>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公司控股股东吴飞舟承诺：如公司本次公开</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发行股票的招股说明书及相关信息披露资料</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有虚假记载、误导性陈述或者重大遗漏，对判</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4" w:right="22"/>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12"/>
                <w:sz w:val="18"/>
                <w:szCs w:val="18"/>
              </w:rPr>
              <w:t>东、董事、监</w:t>
            </w:r>
            <w:r>
              <w:rPr>
                <w:rFonts w:ascii="宋体" w:hAnsi="宋体" w:cs="宋体" w:eastAsia="宋体" w:hint="default"/>
                <w:sz w:val="18"/>
                <w:szCs w:val="18"/>
              </w:rPr>
              <w:t> </w:t>
            </w:r>
            <w:r>
              <w:rPr>
                <w:rFonts w:ascii="宋体" w:hAnsi="宋体" w:cs="宋体" w:eastAsia="宋体" w:hint="default"/>
                <w:spacing w:val="-12"/>
                <w:sz w:val="18"/>
                <w:szCs w:val="18"/>
              </w:rPr>
              <w:t>事、高级管理</w:t>
            </w:r>
            <w:r>
              <w:rPr>
                <w:rFonts w:ascii="宋体" w:hAnsi="宋体" w:cs="宋体" w:eastAsia="宋体" w:hint="default"/>
                <w:sz w:val="18"/>
                <w:szCs w:val="18"/>
              </w:rPr>
              <w:t> 人</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断公司是否符合法律规定的发行条件构成重 </w:t>
            </w:r>
            <w:r>
              <w:rPr>
                <w:rFonts w:ascii="宋体" w:hAnsi="宋体" w:cs="宋体" w:eastAsia="宋体" w:hint="default"/>
                <w:spacing w:val="-3"/>
                <w:sz w:val="18"/>
                <w:szCs w:val="18"/>
              </w:rPr>
              <w:t>大、实质影响的，承诺人将在中国证监会等有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权部门认定有关违法事实后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个工作日内依 </w:t>
            </w:r>
            <w:r>
              <w:rPr>
                <w:rFonts w:ascii="宋体" w:hAnsi="宋体" w:cs="宋体" w:eastAsia="宋体" w:hint="default"/>
                <w:spacing w:val="-3"/>
                <w:sz w:val="18"/>
                <w:szCs w:val="18"/>
              </w:rPr>
              <w:t>法提议召集、召开公司董事会、股东大会，并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在相关会议中就公司回购首次公开发行新股</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的相关议案投赞成票。公司控股股东、董事、</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监事、高级管理人员承诺：若因本次公开发行</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股票的招股说明书及相关信息披露资料有虚</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8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844"/>
        <w:gridCol w:w="1066"/>
        <w:gridCol w:w="850"/>
        <w:gridCol w:w="3615"/>
        <w:gridCol w:w="850"/>
        <w:gridCol w:w="852"/>
        <w:gridCol w:w="991"/>
      </w:tblGrid>
      <w:tr>
        <w:trPr>
          <w:trHeight w:val="31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假记载、误导性陈述或者重大遗漏，致使投资</w:t>
            </w: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者在证券交易中遭受损失的，本人将依法赔偿</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投资者损失。投资者损失根据公司与投资者协</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商确定的金额或者依据证券监督管理部门、司</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法机关认定的方式或金额予以确定。</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363" w:hRule="exact"/>
        </w:trPr>
        <w:tc>
          <w:tcPr>
            <w:tcW w:w="1844" w:type="dxa"/>
            <w:vMerge/>
            <w:tcBorders>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本人不会无偿或以不公平条件向其他单位或</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者个人输送利益，也不采用其他方式损害公司</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利益。本人将严格遵守公司的预算管理，本人</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的任何职务消费行为均将在为履行本人职责</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之必须的范围内发生，并严格接受公司监督管</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理，避免浪费或超前消费。本人不会动用公司</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资产从事与履行本人职责无关的投资、消费活</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动。本人将尽最大努力促使公司填补即期回报</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的措施实现。本人将尽责促使由董事会或薪酬</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委员会制定的薪酬制度与公司填补被摊薄即</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期回报措施的执行情况相挂钩。本人将尽责促</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使公司未来拟公布的公司股权激励的行权条</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z w:val="18"/>
                <w:szCs w:val="18"/>
              </w:rPr>
              <w:t>(</w:t>
            </w: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r>
              <w:rPr>
                <w:rFonts w:ascii="宋体" w:hAnsi="宋体" w:cs="宋体" w:eastAsia="宋体" w:hint="default"/>
                <w:sz w:val="18"/>
                <w:szCs w:val="18"/>
              </w:rPr>
              <w:t>与公司填补回报措施的执行情况相挂</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钩。本人将支持与公司填补回报措施的执行情</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全体董事和 高级管理人 员</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况相挂钩的相关议案，并愿意投赞成票</w:t>
            </w:r>
            <w:r>
              <w:rPr>
                <w:rFonts w:ascii="Times New Roman" w:hAnsi="Times New Roman" w:cs="Times New Roman" w:eastAsia="Times New Roman" w:hint="default"/>
                <w:sz w:val="18"/>
                <w:szCs w:val="18"/>
              </w:rPr>
              <w:t>(</w:t>
            </w:r>
            <w:r>
              <w:rPr>
                <w:rFonts w:ascii="宋体" w:hAnsi="宋体" w:cs="宋体" w:eastAsia="宋体" w:hint="default"/>
                <w:sz w:val="18"/>
                <w:szCs w:val="18"/>
              </w:rPr>
              <w:t>如有 投票权</w:t>
            </w:r>
            <w:r>
              <w:rPr>
                <w:rFonts w:ascii="Times New Roman" w:hAnsi="Times New Roman" w:cs="Times New Roman" w:eastAsia="Times New Roman" w:hint="default"/>
                <w:sz w:val="18"/>
                <w:szCs w:val="18"/>
              </w:rPr>
              <w:t>)</w:t>
            </w:r>
            <w:r>
              <w:rPr>
                <w:rFonts w:ascii="宋体" w:hAnsi="宋体" w:cs="宋体" w:eastAsia="宋体" w:hint="default"/>
                <w:sz w:val="18"/>
                <w:szCs w:val="18"/>
              </w:rPr>
              <w:t>。在中国证监会、深圳证券交易所另 行发布填补被摊薄即期回报措施及其承诺的 </w:t>
            </w:r>
            <w:r>
              <w:rPr>
                <w:rFonts w:ascii="宋体" w:hAnsi="宋体" w:cs="宋体" w:eastAsia="宋体" w:hint="default"/>
                <w:spacing w:val="-3"/>
                <w:sz w:val="18"/>
                <w:szCs w:val="18"/>
              </w:rPr>
              <w:t>相关意见及实施细则后，如果公司的相关规定</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及本人承诺与该等规定不符时，本人承诺将按</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照中国证监会及深圳证券交易所的规定出具</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补充承诺，并积极推进公司作出新的规定，以</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符合中国证监会及深圳券交易所要求。本人承</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诺全面、完整及时履行公司制定的有关填补被</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摊薄即期回报措施以及本人对此作出的任何</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有关填补被摊薄即期回报措施承诺。若本人违</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反该等承诺，给公司或者股东造成损失的，本</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人愿意</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在股东大会及中国证监指定报</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刊公开作出解释并道歉</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20"/>
                <w:sz w:val="18"/>
                <w:szCs w:val="18"/>
              </w:rPr>
              <w:t>）</w:t>
            </w:r>
            <w:r>
              <w:rPr>
                <w:rFonts w:ascii="宋体" w:hAnsi="宋体" w:cs="宋体" w:eastAsia="宋体" w:hint="default"/>
                <w:sz w:val="18"/>
                <w:szCs w:val="18"/>
              </w:rPr>
              <w:t>依法承担对公司</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或股东的补偿责任</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）无条件接受深圳</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证券交易所等监管机构按照其制定或发布的</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有关规则，对本人作出的处罚或采取的相关监</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管措施。 </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844" w:type="dxa"/>
            <w:vMerge/>
            <w:tcBorders>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12"/>
                <w:sz w:val="18"/>
                <w:szCs w:val="18"/>
              </w:rPr>
              <w:t>东、实际控制</w:t>
            </w:r>
            <w:r>
              <w:rPr>
                <w:rFonts w:ascii="宋体" w:hAnsi="宋体" w:cs="宋体" w:eastAsia="宋体" w:hint="default"/>
                <w:sz w:val="18"/>
                <w:szCs w:val="18"/>
              </w:rPr>
              <w:t> 人吴飞舟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任何情形下，本人均不会滥用控股股东、实 </w:t>
            </w:r>
            <w:r>
              <w:rPr>
                <w:rFonts w:ascii="宋体" w:hAnsi="宋体" w:cs="宋体" w:eastAsia="宋体" w:hint="default"/>
                <w:spacing w:val="-3"/>
                <w:sz w:val="18"/>
                <w:szCs w:val="18"/>
              </w:rPr>
              <w:t>际控制人地位，均不会越权干预公司经营管理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活动，不会侵占公司利益。</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986"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4" w:lineRule="auto"/>
              <w:ind w:left="24" w:right="130"/>
              <w:jc w:val="left"/>
              <w:rPr>
                <w:rFonts w:ascii="宋体" w:hAnsi="宋体" w:cs="宋体" w:eastAsia="宋体" w:hint="default"/>
                <w:sz w:val="18"/>
                <w:szCs w:val="18"/>
              </w:rPr>
            </w:pPr>
            <w:r>
              <w:rPr>
                <w:rFonts w:ascii="宋体" w:hAnsi="宋体" w:cs="宋体" w:eastAsia="宋体" w:hint="default"/>
                <w:sz w:val="18"/>
                <w:szCs w:val="18"/>
              </w:rPr>
              <w:t>实际控制人 吴飞舟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若因报告期内社会保险和住房公积金缴纳不 </w:t>
            </w:r>
            <w:r>
              <w:rPr>
                <w:rFonts w:ascii="宋体" w:hAnsi="宋体" w:cs="宋体" w:eastAsia="宋体" w:hint="default"/>
                <w:spacing w:val="-3"/>
                <w:sz w:val="18"/>
                <w:szCs w:val="18"/>
              </w:rPr>
              <w:t>规范而受到有关主管部门的追缴、处罚或因此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而引起的纠纷，发行人或子公司利益受到的一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31"/>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pgSz w:w="11910" w:h="16840"/>
          <w:pgMar w:header="748" w:footer="974" w:top="1060" w:bottom="1160" w:left="800" w:right="0"/>
        </w:sectPr>
      </w:pPr>
    </w:p>
    <w:p>
      <w:pPr>
        <w:spacing w:line="240" w:lineRule="auto" w:before="0"/>
        <w:rPr>
          <w:rFonts w:ascii="Times New Roman" w:hAnsi="Times New Roman" w:cs="Times New Roman" w:eastAsia="Times New Roman" w:hint="default"/>
          <w:sz w:val="20"/>
          <w:szCs w:val="20"/>
        </w:rPr>
      </w:pPr>
      <w:r>
        <w:rPr/>
        <w:pict>
          <v:shape style="position:absolute;margin-left:372.764008pt;margin-top:90.61998pt;width:84.2pt;height:347.25pt;mso-position-horizontal-relative:page;mso-position-vertical-relative:page;z-index:-11664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具体如下：</w:t>
                  </w:r>
                </w:p>
              </w:txbxContent>
            </v:textbox>
            <w10:wrap type="none"/>
          </v:shape>
        </w:pict>
      </w:r>
      <w:r>
        <w:rPr/>
        <w:pict>
          <v:group style="position:absolute;margin-left:414.940002pt;margin-top:90.61998pt;width:42pt;height:347.25pt;mso-position-horizontal-relative:page;mso-position-vertical-relative:page;z-index:-1166440" coordorigin="8299,1812" coordsize="840,6945">
            <v:group style="position:absolute;left:8299;top:1812;width:840;height:6945" coordorigin="8299,1812" coordsize="840,6945">
              <v:shape style="position:absolute;left:8299;top:1812;width:840;height:6945" coordorigin="8299,1812" coordsize="840,6945" path="m8299,8757l9139,8757,9139,1812,8299,1812,8299,8757xe" filled="true" fillcolor="#ffffff" stroked="false">
                <v:path arrowok="t"/>
                <v:fill type="solid"/>
              </v:shape>
            </v:group>
            <v:group style="position:absolute;left:8323;top:4933;width:795;height:354" coordorigin="8323,4933" coordsize="795,354">
              <v:shape style="position:absolute;left:8323;top:4933;width:795;height:354" coordorigin="8323,4933" coordsize="795,354" path="m8323,5286l9117,5286,9117,4933,8323,4933,8323,5286xe" filled="true" fillcolor="#ffffff" stroked="false">
                <v:path arrowok="t"/>
                <v:fill type="solid"/>
              </v:shape>
            </v:group>
            <v:group style="position:absolute;left:8323;top:5286;width:795;height:351" coordorigin="8323,5286" coordsize="795,351">
              <v:shape style="position:absolute;left:8323;top:5286;width:795;height:351" coordorigin="8323,5286" coordsize="795,351" path="m8323,5636l9117,5636,9117,5286,8323,5286,8323,5636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844"/>
        <w:gridCol w:w="1066"/>
        <w:gridCol w:w="850"/>
        <w:gridCol w:w="3615"/>
        <w:gridCol w:w="850"/>
        <w:gridCol w:w="852"/>
        <w:gridCol w:w="991"/>
      </w:tblGrid>
      <w:tr>
        <w:trPr>
          <w:trHeight w:val="363"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切损失皆由本人承担。</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844" w:type="dxa"/>
            <w:vMerge/>
            <w:tcBorders>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公司控股股东、实际控制人吴飞舟出具了《关</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于减少和规范关联交易的承诺函</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一、除已经向相关中介机构书面披露的关联交</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易以外，本人以及下属全资</w:t>
            </w:r>
            <w:r>
              <w:rPr>
                <w:rFonts w:ascii="Times New Roman" w:hAnsi="Times New Roman" w:cs="Times New Roman" w:eastAsia="Times New Roman" w:hint="default"/>
                <w:sz w:val="18"/>
                <w:szCs w:val="18"/>
              </w:rPr>
              <w:t>/</w:t>
            </w:r>
            <w:r>
              <w:rPr>
                <w:rFonts w:ascii="宋体" w:hAnsi="宋体" w:cs="宋体" w:eastAsia="宋体" w:hint="default"/>
                <w:sz w:val="18"/>
                <w:szCs w:val="18"/>
              </w:rPr>
              <w:t>控股子公司及其</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他可实际控制企业（以下简称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附属企业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发行人之间现时不存在其他任何依照法律法</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规和中国证监会的有关规定应披露而未披露</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的关联交易；二、如本人与发行人发生或存在</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不可避免的关联交易，本人保证将本着公允、</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22"/>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12"/>
                <w:sz w:val="18"/>
                <w:szCs w:val="18"/>
              </w:rPr>
              <w:t>东、实际控制</w:t>
            </w:r>
            <w:r>
              <w:rPr>
                <w:rFonts w:ascii="宋体" w:hAnsi="宋体" w:cs="宋体" w:eastAsia="宋体" w:hint="default"/>
                <w:sz w:val="18"/>
                <w:szCs w:val="18"/>
              </w:rPr>
              <w:t> 人吴飞舟</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95"/>
              <w:jc w:val="left"/>
              <w:rPr>
                <w:rFonts w:ascii="宋体" w:hAnsi="宋体" w:cs="宋体" w:eastAsia="宋体" w:hint="default"/>
                <w:sz w:val="18"/>
                <w:szCs w:val="18"/>
              </w:rPr>
            </w:pPr>
            <w:r>
              <w:rPr>
                <w:rFonts w:ascii="宋体" w:hAnsi="宋体" w:cs="宋体" w:eastAsia="宋体" w:hint="default"/>
                <w:sz w:val="18"/>
                <w:szCs w:val="18"/>
              </w:rPr>
              <w:t>规范关联 交易承诺</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9"/>
              <w:jc w:val="both"/>
              <w:rPr>
                <w:rFonts w:ascii="宋体" w:hAnsi="宋体" w:cs="宋体" w:eastAsia="宋体" w:hint="default"/>
                <w:sz w:val="18"/>
                <w:szCs w:val="18"/>
              </w:rPr>
            </w:pPr>
            <w:r>
              <w:rPr>
                <w:rFonts w:ascii="宋体" w:hAnsi="宋体" w:cs="宋体" w:eastAsia="宋体" w:hint="default"/>
                <w:sz w:val="18"/>
                <w:szCs w:val="18"/>
              </w:rPr>
              <w:t>透明的原则，遵循公开的市场公平交易原则， </w:t>
            </w:r>
            <w:r>
              <w:rPr>
                <w:rFonts w:ascii="宋体" w:hAnsi="宋体" w:cs="宋体" w:eastAsia="宋体" w:hint="default"/>
                <w:spacing w:val="-3"/>
                <w:sz w:val="18"/>
                <w:szCs w:val="18"/>
              </w:rPr>
              <w:t>严格履行关联交易决策程序，涉及到本人的关</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联交易，本人将在相关董事会和股东大会中回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避表决，同时按相关规定及时履行信息披露义</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务。三、本人保证不会通过关联交易损害发行</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人及发行人其他股东的合法权益。四、本人保</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证不会通过向发行人借款，由发行人提供担</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保、代偿债务、代垫款项等各种方式侵占发行</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人的资金。五、本人保证不会通过关联交易非</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关联化的形式损害发行人及发行人其他股东</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的合法权益。六、本人将确保本人直系亲属、</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本人及直系亲属所控制的其他公司亦遵循上</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述承诺。</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844" w:type="dxa"/>
            <w:vMerge/>
            <w:tcBorders>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一、本人目前没有、将来也不会在中国境内或</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境外直接或间接从事或参与任何与发行人相</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同、相似或在商业上对发行人构成竞争的业务</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及活动；或拥有与发行人存在竞争关系的任何</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实体、机构、经济组织的权益；或以其他任何</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形式取得上述经济实体、机构、经济组织的控</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制权；或在上述经济实体、机构、经济组织中</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12"/>
                <w:sz w:val="18"/>
                <w:szCs w:val="18"/>
              </w:rPr>
              <w:t>东、实际控制</w:t>
            </w:r>
            <w:r>
              <w:rPr>
                <w:rFonts w:ascii="宋体" w:hAnsi="宋体" w:cs="宋体" w:eastAsia="宋体" w:hint="default"/>
                <w:sz w:val="18"/>
                <w:szCs w:val="18"/>
              </w:rPr>
              <w:t> 人吴飞舟</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避免同业 竞争的承 诺</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both"/>
              <w:rPr>
                <w:rFonts w:ascii="宋体" w:hAnsi="宋体" w:cs="宋体" w:eastAsia="宋体" w:hint="default"/>
                <w:sz w:val="18"/>
                <w:szCs w:val="18"/>
              </w:rPr>
            </w:pPr>
            <w:r>
              <w:rPr>
                <w:rFonts w:ascii="宋体" w:hAnsi="宋体" w:cs="宋体" w:eastAsia="宋体" w:hint="default"/>
                <w:spacing w:val="-3"/>
                <w:sz w:val="18"/>
                <w:szCs w:val="18"/>
              </w:rPr>
              <w:t>担任高级管理人员或核心技术人员。本人将持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续促使本人的配偶、父母、子女、其他关系密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切的家庭成员在未来不直接或间接从事、参与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或进行与公司的生产、经营相竞争的任何活</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pacing w:val="1"/>
                <w:sz w:val="18"/>
                <w:szCs w:val="18"/>
              </w:rPr>
              <w:t> </w:t>
            </w:r>
            <w:r>
              <w:rPr>
                <w:rFonts w:ascii="宋体" w:hAnsi="宋体" w:cs="宋体" w:eastAsia="宋体" w:hint="default"/>
                <w:sz w:val="18"/>
                <w:szCs w:val="18"/>
              </w:rPr>
              <w:t>二、本人承诺不利用从发行人获取的信</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息从事、直接或间接参与和发行人相竞争的活</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动，并承诺不进行任何损害或可能损害发行人</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利益的其他竞争行为。三、如违反上述承诺，</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本人愿意承担由此产生的全部责任，充分赔偿</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或补偿由此给发行人造成的所有直接或间接</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20"/>
              <w:jc w:val="left"/>
              <w:rPr>
                <w:rFonts w:ascii="宋体" w:hAnsi="宋体" w:cs="宋体" w:eastAsia="宋体" w:hint="default"/>
                <w:sz w:val="18"/>
                <w:szCs w:val="18"/>
              </w:rPr>
            </w:pPr>
            <w:r>
              <w:rPr>
                <w:rFonts w:ascii="宋体" w:hAnsi="宋体" w:cs="宋体" w:eastAsia="宋体" w:hint="default"/>
                <w:sz w:val="18"/>
                <w:szCs w:val="18"/>
              </w:rPr>
              <w:t>公司将严格履行就首次公开发行股票并在创 </w:t>
            </w:r>
            <w:r>
              <w:rPr>
                <w:rFonts w:ascii="宋体" w:hAnsi="宋体" w:cs="宋体" w:eastAsia="宋体" w:hint="default"/>
                <w:spacing w:val="-3"/>
                <w:sz w:val="18"/>
                <w:szCs w:val="18"/>
              </w:rPr>
              <w:t>业板上市所作出的所有公开承诺事项，并承诺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pgSz w:w="11910" w:h="16840"/>
          <w:pgMar w:header="748" w:footer="974" w:top="1060" w:bottom="1160" w:left="800" w:right="0"/>
        </w:sectPr>
      </w:pPr>
    </w:p>
    <w:p>
      <w:pPr>
        <w:spacing w:line="240" w:lineRule="auto" w:before="0"/>
        <w:rPr>
          <w:rFonts w:ascii="Times New Roman" w:hAnsi="Times New Roman" w:cs="Times New Roman" w:eastAsia="Times New Roman" w:hint="default"/>
          <w:sz w:val="20"/>
          <w:szCs w:val="20"/>
        </w:rPr>
      </w:pPr>
      <w:r>
        <w:rPr/>
        <w:pict>
          <v:shape style="position:absolute;margin-left:327.790009pt;margin-top:72.47998pt;width:129.15pt;height:376.55pt;mso-position-horizontal-relative:page;mso-position-vertical-relative:page;z-index:-11663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5"/>
                    <w:ind w:left="0" w:right="0"/>
                    <w:jc w:val="left"/>
                  </w:pPr>
                  <w:r>
                    <w:rPr/>
                    <w:t>不得进行公开再融资；</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844"/>
        <w:gridCol w:w="1066"/>
        <w:gridCol w:w="850"/>
        <w:gridCol w:w="3615"/>
        <w:gridCol w:w="850"/>
        <w:gridCol w:w="852"/>
        <w:gridCol w:w="991"/>
      </w:tblGrid>
      <w:tr>
        <w:trPr>
          <w:trHeight w:val="322"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Times New Roman" w:hAnsi="Times New Roman" w:cs="Times New Roman" w:eastAsia="Times New Roman" w:hint="default"/>
                <w:sz w:val="18"/>
                <w:szCs w:val="18"/>
              </w:rPr>
              <w:t>"</w:t>
            </w:r>
            <w:r>
              <w:rPr>
                <w:rFonts w:ascii="宋体" w:hAnsi="宋体" w:cs="宋体" w:eastAsia="宋体" w:hint="default"/>
                <w:sz w:val="18"/>
                <w:szCs w:val="18"/>
              </w:rPr>
              <w:t>一、如本公司非因不可抗力原因导致</w:t>
            </w:r>
          </w:p>
        </w:tc>
        <w:tc>
          <w:tcPr>
            <w:tcW w:w="850" w:type="dxa"/>
            <w:vMerge w:val="restart"/>
            <w:tcBorders>
              <w:top w:val="single" w:sz="4" w:space="0" w:color="000000"/>
              <w:left w:val="single" w:sz="4" w:space="0" w:color="000000"/>
              <w:right w:val="single" w:sz="4" w:space="0" w:color="000000"/>
            </w:tcBorders>
          </w:tcPr>
          <w:p>
            <w:pPr>
              <w:pStyle w:val="TableParagraph"/>
              <w:spacing w:line="75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0"/>
                <w:sz w:val="20"/>
                <w:szCs w:val="20"/>
              </w:rPr>
              <w:pict>
                <v:group style="width:42pt;height:376.55pt;mso-position-horizontal-relative:char;mso-position-vertical-relative:line" coordorigin="0,0" coordsize="840,7531">
                  <v:group style="position:absolute;left:0;top:0;width:840;height:7531" coordorigin="0,0" coordsize="840,7531">
                    <v:shape style="position:absolute;left:0;top:0;width:840;height:7531" coordorigin="0,0" coordsize="840,7531" path="m0,7530l840,7530,840,0,0,0,0,7530xe" filled="true" fillcolor="#ffffff" stroked="false">
                      <v:path arrowok="t"/>
                      <v:fill type="solid"/>
                    </v:shape>
                  </v:group>
                </v:group>
              </w:pict>
            </w:r>
            <w:r>
              <w:rPr>
                <w:rFonts w:ascii="Times New Roman" w:hAnsi="Times New Roman" w:cs="Times New Roman" w:eastAsia="Times New Roman" w:hint="default"/>
                <w:position w:val="-150"/>
                <w:sz w:val="20"/>
                <w:szCs w:val="20"/>
              </w:rPr>
            </w:r>
          </w:p>
        </w:tc>
        <w:tc>
          <w:tcPr>
            <w:tcW w:w="85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未能履行公开承诺事项，需提出新的承诺（相</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关承诺需按法律、法规、公司章程的规定履行</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相关审批程序</w:t>
            </w:r>
            <w:r>
              <w:rPr>
                <w:rFonts w:ascii="宋体" w:hAnsi="宋体" w:cs="宋体" w:eastAsia="宋体" w:hint="default"/>
                <w:spacing w:val="-92"/>
                <w:sz w:val="18"/>
                <w:szCs w:val="18"/>
              </w:rPr>
              <w:t>）</w:t>
            </w:r>
            <w:r>
              <w:rPr>
                <w:rFonts w:ascii="宋体" w:hAnsi="宋体" w:cs="宋体" w:eastAsia="宋体" w:hint="default"/>
                <w:sz w:val="18"/>
                <w:szCs w:val="18"/>
              </w:rPr>
              <w:t>，并接受如下</w:t>
            </w:r>
            <w:r>
              <w:rPr>
                <w:rFonts w:ascii="宋体" w:hAnsi="宋体" w:cs="宋体" w:eastAsia="宋体" w:hint="default"/>
                <w:spacing w:val="2"/>
                <w:sz w:val="18"/>
                <w:szCs w:val="18"/>
              </w:rPr>
              <w:t>约</w:t>
            </w:r>
            <w:r>
              <w:rPr>
                <w:rFonts w:ascii="宋体" w:hAnsi="宋体" w:cs="宋体" w:eastAsia="宋体" w:hint="default"/>
                <w:sz w:val="18"/>
                <w:szCs w:val="18"/>
              </w:rPr>
              <w:t>束措施，直至</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新的承诺履行完毕或相应补救措施实施完毕：</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．在股东大会及中国证监会指定的披露媒体</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上公开说明未履行的具体原因并向股东和社</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．公司该等未履行承诺的行为负有个人责任</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的董事、监事、高级管理人员调减或停发薪酬</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或津贴；</w:t>
            </w:r>
            <w:r>
              <w:rPr>
                <w:rFonts w:ascii="Times New Roman" w:hAnsi="Times New Roman" w:cs="Times New Roman" w:eastAsia="Times New Roman" w:hint="default"/>
                <w:sz w:val="18"/>
                <w:szCs w:val="18"/>
              </w:rPr>
              <w:t>4</w:t>
            </w:r>
            <w:r>
              <w:rPr>
                <w:rFonts w:ascii="宋体" w:hAnsi="宋体" w:cs="宋体" w:eastAsia="宋体" w:hint="default"/>
                <w:sz w:val="18"/>
                <w:szCs w:val="18"/>
              </w:rPr>
              <w:t>．不得批准未履行承诺的董事、监</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事、高级管理人员的主动离职申请，但可以进</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行职务变更；</w:t>
            </w:r>
            <w:r>
              <w:rPr>
                <w:rFonts w:ascii="Times New Roman" w:hAnsi="Times New Roman" w:cs="Times New Roman" w:eastAsia="Times New Roman" w:hint="default"/>
                <w:sz w:val="18"/>
                <w:szCs w:val="18"/>
              </w:rPr>
              <w:t>5</w:t>
            </w:r>
            <w:r>
              <w:rPr>
                <w:rFonts w:ascii="宋体" w:hAnsi="宋体" w:cs="宋体" w:eastAsia="宋体" w:hint="default"/>
                <w:sz w:val="18"/>
                <w:szCs w:val="18"/>
              </w:rPr>
              <w:t>．给投资者造成损失的，本公</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司将向投资者依法承担赔偿责任。二、如本公</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司因不可抗力原因导致未能履行公开承诺事</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项的，需提出新的承诺（相关承诺需按法律、</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法规、公司章程的规定履行相关审批程序</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并接受如下约束措施，直至新的承诺履行完毕</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或相应补救措施实施完毕：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中国证监会指定的披露媒体上公开说明未履</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行的具体原因并向股东和社会公众投资者道</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歉；</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．尽快研究将投资者利益损失降低到最</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小的处理方案，并提交股东大会审议，尽可能</w:t>
            </w: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358" w:hRule="exact"/>
        </w:trPr>
        <w:tc>
          <w:tcPr>
            <w:tcW w:w="1844"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地保护本公司投资者利益。 </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363" w:hRule="exact"/>
        </w:trPr>
        <w:tc>
          <w:tcPr>
            <w:tcW w:w="1844" w:type="dxa"/>
            <w:vMerge/>
            <w:tcBorders>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一、如本人非因不可抗力原因导致未能履行</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公开承诺事项的，需提出新的承诺并接受如下</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约束措施，直至新的承诺履行完毕或相应补救</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措施实施完毕</w:t>
            </w:r>
            <w:r>
              <w:rPr>
                <w:rFonts w:ascii="宋体" w:hAnsi="宋体" w:cs="宋体" w:eastAsia="宋体" w:hint="default"/>
                <w:spacing w:val="-86"/>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在股东大</w:t>
            </w:r>
            <w:r>
              <w:rPr>
                <w:rFonts w:ascii="宋体" w:hAnsi="宋体" w:cs="宋体" w:eastAsia="宋体" w:hint="default"/>
                <w:spacing w:val="-3"/>
                <w:sz w:val="18"/>
                <w:szCs w:val="18"/>
              </w:rPr>
              <w:t>会</w:t>
            </w:r>
            <w:r>
              <w:rPr>
                <w:rFonts w:ascii="宋体" w:hAnsi="宋体" w:cs="宋体" w:eastAsia="宋体" w:hint="default"/>
                <w:sz w:val="18"/>
                <w:szCs w:val="18"/>
              </w:rPr>
              <w:t>及中国证监会指</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定的披露媒体上公开说明未履行的具体原因</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并向股东和社会公众投资者道歉</w:t>
            </w:r>
            <w:r>
              <w:rPr>
                <w:rFonts w:ascii="宋体" w:hAnsi="宋体" w:cs="宋体" w:eastAsia="宋体" w:hint="default"/>
                <w:spacing w:val="-86"/>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不得转让</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所持有的发行人股份，因被强制执行、上市公</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司重组、未履行保护投资者利益承诺等必须转</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1004"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314" w:lineRule="auto" w:before="147"/>
              <w:ind w:left="24" w:right="22"/>
              <w:jc w:val="left"/>
              <w:rPr>
                <w:rFonts w:ascii="宋体" w:hAnsi="宋体" w:cs="宋体" w:eastAsia="宋体" w:hint="default"/>
                <w:sz w:val="18"/>
                <w:szCs w:val="18"/>
              </w:rPr>
            </w:pPr>
            <w:r>
              <w:rPr>
                <w:rFonts w:ascii="宋体" w:hAnsi="宋体" w:cs="宋体" w:eastAsia="宋体" w:hint="default"/>
                <w:spacing w:val="-12"/>
                <w:sz w:val="18"/>
                <w:szCs w:val="18"/>
              </w:rPr>
              <w:t>控股股东、实</w:t>
            </w:r>
            <w:r>
              <w:rPr>
                <w:rFonts w:ascii="宋体" w:hAnsi="宋体" w:cs="宋体" w:eastAsia="宋体" w:hint="default"/>
                <w:sz w:val="18"/>
                <w:szCs w:val="18"/>
              </w:rPr>
              <w:t> 际控制人吴</w:t>
            </w:r>
          </w:p>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飞舟</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20"/>
              <w:jc w:val="both"/>
              <w:rPr>
                <w:rFonts w:ascii="宋体" w:hAnsi="宋体" w:cs="宋体" w:eastAsia="宋体" w:hint="default"/>
                <w:sz w:val="18"/>
                <w:szCs w:val="18"/>
              </w:rPr>
            </w:pPr>
            <w:r>
              <w:rPr>
                <w:rFonts w:ascii="宋体" w:hAnsi="宋体" w:cs="宋体" w:eastAsia="宋体" w:hint="default"/>
                <w:spacing w:val="-8"/>
                <w:sz w:val="18"/>
                <w:szCs w:val="18"/>
              </w:rPr>
              <w:t>让股权的情形除外；</w:t>
            </w:r>
            <w:r>
              <w:rPr>
                <w:rFonts w:ascii="Times New Roman" w:hAnsi="Times New Roman" w:cs="Times New Roman" w:eastAsia="Times New Roman" w:hint="default"/>
                <w:spacing w:val="-8"/>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暂不领取发行人利润分</w:t>
            </w:r>
            <w:r>
              <w:rPr>
                <w:rFonts w:ascii="宋体" w:hAnsi="宋体" w:cs="宋体" w:eastAsia="宋体" w:hint="default"/>
                <w:sz w:val="18"/>
                <w:szCs w:val="18"/>
              </w:rPr>
              <w:t> </w:t>
            </w:r>
            <w:r>
              <w:rPr>
                <w:rFonts w:ascii="宋体" w:hAnsi="宋体" w:cs="宋体" w:eastAsia="宋体" w:hint="default"/>
                <w:spacing w:val="-7"/>
                <w:sz w:val="18"/>
                <w:szCs w:val="18"/>
              </w:rPr>
              <w:t>配中归属于本人的部分；</w:t>
            </w:r>
            <w:r>
              <w:rPr>
                <w:rFonts w:ascii="Times New Roman" w:hAnsi="Times New Roman" w:cs="Times New Roman" w:eastAsia="Times New Roman" w:hint="default"/>
                <w:spacing w:val="-7"/>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如果因未履行相关</w:t>
            </w:r>
            <w:r>
              <w:rPr>
                <w:rFonts w:ascii="宋体" w:hAnsi="宋体" w:cs="宋体" w:eastAsia="宋体" w:hint="default"/>
                <w:sz w:val="18"/>
                <w:szCs w:val="18"/>
              </w:rPr>
              <w:t> </w:t>
            </w:r>
            <w:r>
              <w:rPr>
                <w:rFonts w:ascii="宋体" w:hAnsi="宋体" w:cs="宋体" w:eastAsia="宋体" w:hint="default"/>
                <w:spacing w:val="-3"/>
                <w:sz w:val="18"/>
                <w:szCs w:val="18"/>
              </w:rPr>
              <w:t>承诺事项而获得收益的，所获收益归发行人所</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50"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有，并在获得收益的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个工作日内将所获收</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益支付给发行人指定账户</w:t>
            </w:r>
            <w:r>
              <w:rPr>
                <w:rFonts w:ascii="宋体" w:hAnsi="宋体" w:cs="宋体" w:eastAsia="宋体" w:hint="default"/>
                <w:spacing w:val="-86"/>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因本人未履行招</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股说明书的公开承诺事项给投资者造成损失</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7"/>
                <w:sz w:val="18"/>
                <w:szCs w:val="18"/>
              </w:rPr>
              <w:t>的，依法赔偿投资者损失；</w:t>
            </w:r>
            <w:r>
              <w:rPr>
                <w:rFonts w:ascii="Times New Roman" w:hAnsi="Times New Roman" w:cs="Times New Roman" w:eastAsia="Times New Roman" w:hint="default"/>
                <w:spacing w:val="-7"/>
                <w:sz w:val="18"/>
                <w:szCs w:val="18"/>
              </w:rPr>
              <w:t>6.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因发行人未履行</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招股说明书的公开承诺事项，给投资者造成损</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失的，本人将依法承担连带赔偿责任。二、如</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本人因不可抗力原因导致未能履行公开承诺</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事项的，需提出新的承诺并接受如下约束措</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施，直至新的承诺履行完毕或相应补救措施实</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800" w:right="0"/>
        </w:sectPr>
      </w:pPr>
    </w:p>
    <w:p>
      <w:pPr>
        <w:spacing w:line="240" w:lineRule="auto" w:before="0"/>
        <w:rPr>
          <w:rFonts w:ascii="Times New Roman" w:hAnsi="Times New Roman" w:cs="Times New Roman" w:eastAsia="Times New Roman" w:hint="default"/>
          <w:sz w:val="20"/>
          <w:szCs w:val="20"/>
        </w:rPr>
      </w:pPr>
      <w:r>
        <w:rPr/>
        <w:pict>
          <v:group style="position:absolute;margin-left:191.690002pt;margin-top:153.019989pt;width:42pt;height:409.65pt;mso-position-horizontal-relative:page;mso-position-vertical-relative:page;z-index:-1166368" coordorigin="3834,3060" coordsize="840,8193">
            <v:group style="position:absolute;left:3834;top:3060;width:840;height:8193" coordorigin="3834,3060" coordsize="840,8193">
              <v:shape style="position:absolute;left:3834;top:3060;width:840;height:8193" coordorigin="3834,3060" coordsize="840,8193" path="m3834,11253l4674,11253,4674,3060,3834,3060,3834,11253xe" filled="true" fillcolor="#ffffff" stroked="false">
                <v:path arrowok="t"/>
                <v:fill type="solid"/>
              </v:shape>
            </v:group>
            <v:group style="position:absolute;left:3858;top:6961;width:792;height:392" coordorigin="3858,6961" coordsize="792,392">
              <v:shape style="position:absolute;left:3858;top:6961;width:792;height:392" coordorigin="3858,6961" coordsize="792,392" path="m3858,7352l4650,7352,4650,6961,3858,6961,3858,7352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844"/>
        <w:gridCol w:w="1066"/>
        <w:gridCol w:w="850"/>
        <w:gridCol w:w="3615"/>
        <w:gridCol w:w="850"/>
        <w:gridCol w:w="852"/>
        <w:gridCol w:w="991"/>
      </w:tblGrid>
      <w:tr>
        <w:trPr>
          <w:trHeight w:val="1611"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施完毕：</w:t>
            </w:r>
            <w:r>
              <w:rPr>
                <w:rFonts w:ascii="Times New Roman" w:hAnsi="Times New Roman" w:cs="Times New Roman" w:eastAsia="Times New Roman" w:hint="default"/>
                <w:spacing w:val="-15"/>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在股东大会及中国证监会指定的披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露媒体上公开说明未履行的具体原因并向股 </w:t>
            </w:r>
            <w:r>
              <w:rPr>
                <w:rFonts w:ascii="宋体" w:hAnsi="宋体" w:cs="宋体" w:eastAsia="宋体" w:hint="default"/>
                <w:spacing w:val="-7"/>
                <w:sz w:val="18"/>
                <w:szCs w:val="18"/>
              </w:rPr>
              <w:t>东和社会公众投资者道歉；</w:t>
            </w:r>
            <w:r>
              <w:rPr>
                <w:rFonts w:ascii="Times New Roman" w:hAnsi="Times New Roman" w:cs="Times New Roman" w:eastAsia="Times New Roman" w:hint="default"/>
                <w:spacing w:val="-7"/>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尽快研究将投资 </w:t>
            </w:r>
            <w:r>
              <w:rPr>
                <w:rFonts w:ascii="宋体" w:hAnsi="宋体" w:cs="宋体" w:eastAsia="宋体" w:hint="default"/>
                <w:spacing w:val="-3"/>
                <w:sz w:val="18"/>
                <w:szCs w:val="18"/>
              </w:rPr>
              <w:t>者利益损失降低到最小的处理方案，尽可能地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保护发行人投资者利益。 </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82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4" w:right="130"/>
              <w:jc w:val="both"/>
              <w:rPr>
                <w:rFonts w:ascii="宋体" w:hAnsi="宋体" w:cs="宋体" w:eastAsia="宋体" w:hint="default"/>
                <w:sz w:val="18"/>
                <w:szCs w:val="18"/>
              </w:rPr>
            </w:pPr>
            <w:r>
              <w:rPr>
                <w:rFonts w:ascii="宋体" w:hAnsi="宋体" w:cs="宋体" w:eastAsia="宋体" w:hint="default"/>
                <w:sz w:val="18"/>
                <w:szCs w:val="18"/>
              </w:rPr>
              <w:t>董事、监事 高级管理人 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全体董事、监事、高级管理人员就公开承诺 </w:t>
            </w:r>
            <w:r>
              <w:rPr>
                <w:rFonts w:ascii="宋体" w:hAnsi="宋体" w:cs="宋体" w:eastAsia="宋体" w:hint="default"/>
                <w:spacing w:val="-3"/>
                <w:sz w:val="18"/>
                <w:szCs w:val="18"/>
              </w:rPr>
              <w:t>事项的约束措施作出承诺如下：一、如本人非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因不可抗力原因导致未能履行公开承诺事项 </w:t>
            </w:r>
            <w:r>
              <w:rPr>
                <w:rFonts w:ascii="宋体" w:hAnsi="宋体" w:cs="宋体" w:eastAsia="宋体" w:hint="default"/>
                <w:spacing w:val="-3"/>
                <w:sz w:val="18"/>
                <w:szCs w:val="18"/>
              </w:rPr>
              <w:t>的，需提出新的承诺并接受如下约束措施，直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至新的承诺履行完毕或相应补救措施实施完 </w:t>
            </w:r>
            <w:r>
              <w:rPr>
                <w:rFonts w:ascii="宋体" w:hAnsi="宋体" w:cs="宋体" w:eastAsia="宋体" w:hint="default"/>
                <w:spacing w:val="-22"/>
                <w:sz w:val="18"/>
                <w:szCs w:val="18"/>
              </w:rPr>
              <w:t>毕：</w:t>
            </w:r>
            <w:r>
              <w:rPr>
                <w:rFonts w:ascii="Times New Roman" w:hAnsi="Times New Roman" w:cs="Times New Roman" w:eastAsia="Times New Roman" w:hint="default"/>
                <w:spacing w:val="-22"/>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在股东大会及中国证监会指定的披露媒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体上公开说明未履行的具体原因并向股东和 </w:t>
            </w:r>
            <w:r>
              <w:rPr>
                <w:rFonts w:ascii="宋体" w:hAnsi="宋体" w:cs="宋体" w:eastAsia="宋体" w:hint="default"/>
                <w:spacing w:val="-8"/>
                <w:sz w:val="18"/>
                <w:szCs w:val="18"/>
              </w:rPr>
              <w:t>社会公众投资者道歉；</w:t>
            </w:r>
            <w:r>
              <w:rPr>
                <w:rFonts w:ascii="Times New Roman" w:hAnsi="Times New Roman" w:cs="Times New Roman" w:eastAsia="Times New Roman" w:hint="default"/>
                <w:spacing w:val="-8"/>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主动申请调减或停发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薪酬或津贴；</w:t>
            </w:r>
            <w:r>
              <w:rPr>
                <w:rFonts w:ascii="Times New Roman" w:hAnsi="Times New Roman" w:cs="Times New Roman" w:eastAsia="Times New Roman" w:hint="default"/>
                <w:spacing w:val="-11"/>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如果因未履行相关承诺事项而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获得收益的，所获收益归发行人所有，并在获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得收益的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个工作日内将所获收益支付给 </w:t>
            </w:r>
            <w:r>
              <w:rPr>
                <w:rFonts w:ascii="宋体" w:hAnsi="宋体" w:cs="宋体" w:eastAsia="宋体" w:hint="default"/>
                <w:spacing w:val="-9"/>
                <w:sz w:val="18"/>
                <w:szCs w:val="18"/>
              </w:rPr>
              <w:t>发行人指定账户；</w:t>
            </w:r>
            <w:r>
              <w:rPr>
                <w:rFonts w:ascii="Times New Roman" w:hAnsi="Times New Roman" w:cs="Times New Roman" w:eastAsia="Times New Roman" w:hint="default"/>
                <w:spacing w:val="-9"/>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因本人未履行招股说明书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的公开承诺事项给投资者造成损失的，依法赔</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0"/>
                <w:sz w:val="18"/>
                <w:szCs w:val="18"/>
              </w:rPr>
              <w:t>偿投资者损失；</w:t>
            </w:r>
            <w:r>
              <w:rPr>
                <w:rFonts w:ascii="Times New Roman" w:hAnsi="Times New Roman" w:cs="Times New Roman" w:eastAsia="Times New Roman" w:hint="default"/>
                <w:spacing w:val="-10"/>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因发行人未履行招股说明书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的公开承诺事项，给投资者造成损失的，本人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将依法承担连带赔偿责任。二、如本人因不可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抗力原因导致未能履行公开承诺事项的，需提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出新的承诺并接受如下约束措施，直至新的承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诺履行完毕或相应补救措施实施完毕：</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在股 东大会及中国证监会指定的披露媒体上公开 说明未履行的具体原因并向股东和社会公众 </w:t>
            </w:r>
            <w:r>
              <w:rPr>
                <w:rFonts w:ascii="宋体" w:hAnsi="宋体" w:cs="宋体" w:eastAsia="宋体" w:hint="default"/>
                <w:spacing w:val="-11"/>
                <w:sz w:val="18"/>
                <w:szCs w:val="18"/>
              </w:rPr>
              <w:t>投资者道歉；</w:t>
            </w:r>
            <w:r>
              <w:rPr>
                <w:rFonts w:ascii="Times New Roman" w:hAnsi="Times New Roman" w:cs="Times New Roman" w:eastAsia="Times New Roman" w:hint="default"/>
                <w:spacing w:val="-11"/>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尽快研究将投资者利益损失降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低到最小的处理方案，尽可能地保护发行人投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资者利益。三、本人承诺不因职务变更、离职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等原因而放弃履行已作出的承诺；未经发行人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同意，本人不得主动要求离职。 </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0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61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0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61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2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完成履行的具体原因 及下一步的工作计划</w:t>
            </w:r>
          </w:p>
        </w:tc>
        <w:tc>
          <w:tcPr>
            <w:tcW w:w="82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8" w:footer="974" w:top="1060" w:bottom="1160" w:left="800" w:right="0"/>
        </w:sectPr>
      </w:pPr>
    </w:p>
    <w:p>
      <w:pPr>
        <w:spacing w:line="240" w:lineRule="auto" w:before="11"/>
        <w:rPr>
          <w:rFonts w:ascii="Times New Roman" w:hAnsi="Times New Roman" w:cs="Times New Roman" w:eastAsia="Times New Roman" w:hint="default"/>
          <w:sz w:val="27"/>
          <w:szCs w:val="27"/>
        </w:rPr>
      </w:pPr>
    </w:p>
    <w:p>
      <w:pPr>
        <w:pStyle w:val="Heading4"/>
        <w:spacing w:line="259" w:lineRule="auto" w:before="36"/>
        <w:ind w:right="982"/>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118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财政部于</w:t>
      </w:r>
      <w:r>
        <w:rPr>
          <w:rFonts w:ascii="Times New Roman" w:hAnsi="Times New Roman" w:cs="Times New Roman" w:eastAsia="Times New Roman" w:hint="default"/>
        </w:rPr>
        <w:t>2017</w:t>
      </w:r>
      <w:r>
        <w:rPr/>
        <w:t>年颁布《企业会计准则第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金融工具确认和计量》（财会</w:t>
      </w:r>
      <w:r>
        <w:rPr>
          <w:rFonts w:ascii="Times New Roman" w:hAnsi="Times New Roman" w:cs="Times New Roman" w:eastAsia="Times New Roman" w:hint="default"/>
        </w:rPr>
        <w:t>[2017]7</w:t>
      </w:r>
      <w:r>
        <w:rPr/>
        <w:t>号）、《企业会计准则第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w:t>
      </w:r>
    </w:p>
    <w:p>
      <w:pPr>
        <w:pStyle w:val="BodyText"/>
        <w:spacing w:line="228" w:lineRule="exact"/>
        <w:ind w:right="982"/>
        <w:jc w:val="left"/>
      </w:pPr>
      <w:r>
        <w:rPr/>
        <w:t>融资产转移》（财会</w:t>
      </w:r>
      <w:r>
        <w:rPr>
          <w:rFonts w:ascii="Times New Roman" w:hAnsi="Times New Roman" w:cs="Times New Roman" w:eastAsia="Times New Roman" w:hint="default"/>
        </w:rPr>
        <w:t>[2017]8</w:t>
      </w:r>
      <w:r>
        <w:rPr/>
        <w:t>号）、《企业会计准则第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套期会计》（财会</w:t>
      </w:r>
      <w:r>
        <w:rPr>
          <w:rFonts w:ascii="Times New Roman" w:hAnsi="Times New Roman" w:cs="Times New Roman" w:eastAsia="Times New Roman" w:hint="default"/>
        </w:rPr>
        <w:t>[2017]9</w:t>
      </w:r>
      <w:r>
        <w:rPr/>
        <w:t>号）、《企业会计准则第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w:t>
      </w:r>
    </w:p>
    <w:p>
      <w:pPr>
        <w:pStyle w:val="BodyText"/>
        <w:spacing w:line="300" w:lineRule="auto" w:before="63"/>
        <w:ind w:right="982"/>
        <w:jc w:val="left"/>
      </w:pPr>
      <w:r>
        <w:rPr>
          <w:spacing w:val="-1"/>
        </w:rPr>
        <w:t>工具列报》（财会</w:t>
      </w:r>
      <w:r>
        <w:rPr>
          <w:rFonts w:ascii="Times New Roman" w:hAnsi="Times New Roman" w:cs="Times New Roman" w:eastAsia="Times New Roman" w:hint="default"/>
          <w:spacing w:val="-1"/>
        </w:rPr>
        <w:t>[2017]14</w:t>
      </w:r>
      <w:r>
        <w:rPr>
          <w:spacing w:val="-1"/>
        </w:rPr>
        <w:t>号），要求境内上市的企业自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日起施行新金融工具相关会计准则。公司根据前述会计</w:t>
      </w:r>
      <w:r>
        <w:rPr>
          <w:spacing w:val="-56"/>
        </w:rPr>
        <w:t> </w:t>
      </w:r>
      <w:r>
        <w:rPr>
          <w:spacing w:val="-56"/>
        </w:rPr>
      </w:r>
      <w:r>
        <w:rPr/>
        <w:t>准则的修订要求，对会计政策相关内容进行相应变更，主要变更内容如下：</w:t>
      </w:r>
    </w:p>
    <w:p>
      <w:pPr>
        <w:pStyle w:val="BodyText"/>
        <w:spacing w:line="309" w:lineRule="auto" w:before="70"/>
        <w:ind w:right="1132" w:firstLine="360"/>
        <w:jc w:val="both"/>
      </w:pPr>
      <w:r>
        <w:rPr/>
        <w:t>（</w:t>
      </w:r>
      <w:r>
        <w:rPr>
          <w:rFonts w:ascii="Times New Roman" w:hAnsi="Times New Roman" w:cs="Times New Roman" w:eastAsia="Times New Roman" w:hint="default"/>
        </w:rPr>
        <w:t>1</w:t>
      </w:r>
      <w:r>
        <w:rPr/>
        <w:t>）以企业持有金融资产的</w:t>
      </w:r>
      <w:r>
        <w:rPr>
          <w:rFonts w:ascii="Times New Roman" w:hAnsi="Times New Roman" w:cs="Times New Roman" w:eastAsia="Times New Roman" w:hint="default"/>
        </w:rPr>
        <w:t>“</w:t>
      </w:r>
      <w:r>
        <w:rPr/>
        <w:t>业务模式</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金融资产合同现金流量特征</w:t>
      </w:r>
      <w:r>
        <w:rPr>
          <w:rFonts w:ascii="Times New Roman" w:hAnsi="Times New Roman" w:cs="Times New Roman" w:eastAsia="Times New Roman" w:hint="default"/>
        </w:rPr>
        <w:t>”</w:t>
      </w:r>
      <w:r>
        <w:rPr/>
        <w:t>作为金融资产分类的判断依据，将金融资产分 </w:t>
      </w:r>
      <w:r>
        <w:rPr>
          <w:spacing w:val="-2"/>
        </w:rPr>
        <w:t>类为以摊余成本计量的金融资产、以公允价值计量且其变动计入其他综合收益的金融资产以及以公允价值计量且其变动计入</w:t>
      </w:r>
      <w:r>
        <w:rPr>
          <w:spacing w:val="-64"/>
        </w:rPr>
        <w:t> </w:t>
      </w:r>
      <w:r>
        <w:rPr>
          <w:spacing w:val="-64"/>
        </w:rPr>
      </w:r>
      <w:r>
        <w:rPr/>
        <w:t>当期损益的金融资产三类；</w:t>
      </w:r>
    </w:p>
    <w:p>
      <w:pPr>
        <w:pStyle w:val="BodyText"/>
        <w:spacing w:line="300" w:lineRule="auto" w:before="65"/>
        <w:ind w:right="1179" w:firstLine="360"/>
        <w:jc w:val="both"/>
      </w:pPr>
      <w:r>
        <w:rPr/>
        <w:t>（</w:t>
      </w:r>
      <w:r>
        <w:rPr>
          <w:rFonts w:ascii="Times New Roman" w:hAnsi="Times New Roman" w:cs="Times New Roman" w:eastAsia="Times New Roman" w:hint="default"/>
        </w:rPr>
        <w:t>2</w:t>
      </w:r>
      <w:r>
        <w:rPr/>
        <w:t>）将金融资产减值会计处理由</w:t>
      </w:r>
      <w:r>
        <w:rPr>
          <w:rFonts w:ascii="Times New Roman" w:hAnsi="Times New Roman" w:cs="Times New Roman" w:eastAsia="Times New Roman" w:hint="default"/>
        </w:rPr>
        <w:t>“</w:t>
      </w:r>
      <w:r>
        <w:rPr/>
        <w:t>已发生损失法</w:t>
      </w:r>
      <w:r>
        <w:rPr>
          <w:rFonts w:ascii="Times New Roman" w:hAnsi="Times New Roman" w:cs="Times New Roman" w:eastAsia="Times New Roman" w:hint="default"/>
        </w:rPr>
        <w:t>”</w:t>
      </w:r>
      <w:r>
        <w:rPr/>
        <w:t>修改为</w:t>
      </w:r>
      <w:r>
        <w:rPr>
          <w:rFonts w:ascii="Times New Roman" w:hAnsi="Times New Roman" w:cs="Times New Roman" w:eastAsia="Times New Roman" w:hint="default"/>
        </w:rPr>
        <w:t>“</w:t>
      </w:r>
      <w:r>
        <w:rPr/>
        <w:t>预期损失法</w:t>
      </w:r>
      <w:r>
        <w:rPr>
          <w:rFonts w:ascii="Times New Roman" w:hAnsi="Times New Roman" w:cs="Times New Roman" w:eastAsia="Times New Roman" w:hint="default"/>
        </w:rPr>
        <w:t>”</w:t>
      </w:r>
      <w:r>
        <w:rPr/>
        <w:t>，要求考虑金融资产未来预期信用损失情况，从 而更加及时、足额地计提金融资产减值准备；</w:t>
      </w:r>
    </w:p>
    <w:p>
      <w:pPr>
        <w:pStyle w:val="BodyText"/>
        <w:spacing w:line="309" w:lineRule="auto" w:before="72"/>
        <w:ind w:right="1132" w:firstLine="360"/>
        <w:jc w:val="both"/>
      </w:pPr>
      <w:r>
        <w:rPr/>
        <w:t>（</w:t>
      </w:r>
      <w:r>
        <w:rPr>
          <w:rFonts w:ascii="Times New Roman" w:hAnsi="Times New Roman" w:cs="Times New Roman" w:eastAsia="Times New Roman" w:hint="default"/>
        </w:rPr>
        <w:t>3</w:t>
      </w:r>
      <w:r>
        <w:rPr/>
        <w:t>）调整非交易性权益工具投资的会计处理，允许企业将非交易性权益工具投资指定为以公允价值计量且其变动计入 </w:t>
      </w:r>
      <w:r>
        <w:rPr>
          <w:spacing w:val="-2"/>
        </w:rPr>
        <w:t>其他综合收益进行处理，但该指定不可撤销，且在处置时不得将原计入其他综合收益的累计公允价值变动额结转计入当期损</w:t>
      </w:r>
      <w:r>
        <w:rPr>
          <w:spacing w:val="-64"/>
        </w:rPr>
        <w:t> </w:t>
      </w:r>
      <w:r>
        <w:rPr>
          <w:spacing w:val="-64"/>
        </w:rPr>
      </w:r>
      <w:r>
        <w:rPr/>
        <w:t>益；</w:t>
      </w:r>
    </w:p>
    <w:p>
      <w:pPr>
        <w:pStyle w:val="BodyText"/>
        <w:spacing w:line="240" w:lineRule="auto" w:before="62"/>
        <w:ind w:left="513" w:right="982"/>
        <w:jc w:val="left"/>
      </w:pPr>
      <w:r>
        <w:rPr/>
        <w:t>（</w:t>
      </w:r>
      <w:r>
        <w:rPr>
          <w:rFonts w:ascii="Times New Roman" w:hAnsi="Times New Roman" w:cs="Times New Roman" w:eastAsia="Times New Roman" w:hint="default"/>
        </w:rPr>
        <w:t>4</w:t>
      </w:r>
      <w:r>
        <w:rPr/>
        <w:t>）进一步明确金融资产转移的判断原则及其会计处理；</w:t>
      </w:r>
    </w:p>
    <w:p>
      <w:pPr>
        <w:pStyle w:val="BodyText"/>
        <w:spacing w:line="340" w:lineRule="auto" w:before="104"/>
        <w:ind w:left="513" w:right="982"/>
        <w:jc w:val="left"/>
      </w:pPr>
      <w:r>
        <w:rPr/>
        <w:t>（</w:t>
      </w:r>
      <w:r>
        <w:rPr>
          <w:rFonts w:ascii="Times New Roman" w:hAnsi="Times New Roman" w:cs="Times New Roman" w:eastAsia="Times New Roman" w:hint="default"/>
        </w:rPr>
        <w:t>5</w:t>
      </w:r>
      <w:r>
        <w:rPr/>
        <w:t>）套期会计准则更加强调套期会计与企业风险管理活动的有机结合，更好地反映企业的风险管理活动。 </w:t>
      </w:r>
      <w:r>
        <w:rPr>
          <w:spacing w:val="-2"/>
        </w:rPr>
        <w:t>执行变更后的会计政策，不涉及以往年度的追溯调整，不影响公司</w:t>
      </w:r>
      <w:r>
        <w:rPr>
          <w:rFonts w:ascii="Times New Roman" w:hAnsi="Times New Roman" w:cs="Times New Roman" w:eastAsia="Times New Roman" w:hint="default"/>
          <w:spacing w:val="-2"/>
        </w:rPr>
        <w:t>2018</w:t>
      </w:r>
      <w:r>
        <w:rPr>
          <w:spacing w:val="-2"/>
        </w:rPr>
        <w:t>年度相关财务指标。除上述会计政策变更外，其</w:t>
      </w:r>
    </w:p>
    <w:p>
      <w:pPr>
        <w:pStyle w:val="BodyText"/>
        <w:spacing w:line="228" w:lineRule="exact"/>
        <w:ind w:right="982"/>
        <w:jc w:val="left"/>
      </w:pPr>
      <w:r>
        <w:rPr/>
        <w:t>余未变更部分仍采用财政部前期颁布的《企业会计准则</w:t>
      </w:r>
      <w:r>
        <w:rPr>
          <w:rFonts w:ascii="Times New Roman" w:hAnsi="Times New Roman" w:cs="Times New Roman" w:eastAsia="Times New Roman" w:hint="default"/>
        </w:rPr>
        <w:t>—</w:t>
      </w:r>
      <w:r>
        <w:rPr/>
        <w:t>基本准则》和各项具体会计准则、企业会计准则应用指南、企业会</w:t>
      </w:r>
    </w:p>
    <w:p>
      <w:pPr>
        <w:pStyle w:val="BodyText"/>
        <w:spacing w:line="240" w:lineRule="auto" w:before="63"/>
        <w:ind w:right="982"/>
        <w:jc w:val="left"/>
      </w:pPr>
      <w:r>
        <w:rPr/>
        <w:t>计准则解释公告及其他相关规定执行。</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00" w:lineRule="auto"/>
        <w:ind w:right="982" w:firstLine="36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日，财政部颁布了《关于修订印发</w:t>
      </w:r>
      <w:r>
        <w:rPr>
          <w:rFonts w:ascii="Times New Roman" w:hAnsi="Times New Roman" w:cs="Times New Roman" w:eastAsia="Times New Roman" w:hint="default"/>
          <w:spacing w:val="-1"/>
        </w:rPr>
        <w:t>2019</w:t>
      </w:r>
      <w:r>
        <w:rPr>
          <w:spacing w:val="-1"/>
        </w:rPr>
        <w:t>年度一般企业财务报表格式的通知》（财会</w:t>
      </w:r>
      <w:r>
        <w:rPr>
          <w:rFonts w:ascii="Times New Roman" w:hAnsi="Times New Roman" w:cs="Times New Roman" w:eastAsia="Times New Roman" w:hint="default"/>
          <w:spacing w:val="-1"/>
        </w:rPr>
        <w:t>[2019]6</w:t>
      </w:r>
      <w:r>
        <w:rPr>
          <w:spacing w:val="-1"/>
        </w:rPr>
        <w:t>号）（以下简称</w:t>
      </w:r>
      <w:r>
        <w:rPr/>
        <w:t> </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[2019]6</w:t>
      </w:r>
      <w:r>
        <w:rPr/>
        <w:t>号</w:t>
      </w:r>
      <w:r>
        <w:rPr>
          <w:rFonts w:ascii="Times New Roman" w:hAnsi="Times New Roman" w:cs="Times New Roman" w:eastAsia="Times New Roman" w:hint="default"/>
        </w:rPr>
        <w:t>”</w:t>
      </w:r>
      <w:r>
        <w:rPr/>
        <w:t>），对一般企业财务报表格式进行了修订，适用于执行企业会计准则的非金融企业</w:t>
      </w:r>
      <w:r>
        <w:rPr>
          <w:rFonts w:ascii="Times New Roman" w:hAnsi="Times New Roman" w:cs="Times New Roman" w:eastAsia="Times New Roman" w:hint="default"/>
        </w:rPr>
        <w:t>2019</w:t>
      </w:r>
      <w:r>
        <w:rPr/>
        <w:t>年度中期财务报表 和年度财务报表及以后期间的财务报表。结合</w:t>
      </w:r>
      <w:r>
        <w:rPr>
          <w:rFonts w:ascii="Times New Roman" w:hAnsi="Times New Roman" w:cs="Times New Roman" w:eastAsia="Times New Roman" w:hint="default"/>
        </w:rPr>
        <w:t>[2019]6</w:t>
      </w:r>
      <w:r>
        <w:rPr/>
        <w:t>号通知的要求，公司对财务报表格式及部分科目列报进行相应调整：</w:t>
      </w:r>
    </w:p>
    <w:p>
      <w:pPr>
        <w:pStyle w:val="BodyText"/>
        <w:spacing w:line="240" w:lineRule="auto" w:before="53"/>
        <w:ind w:left="513" w:right="982"/>
        <w:jc w:val="left"/>
      </w:pPr>
      <w:r>
        <w:rPr>
          <w:rFonts w:ascii="Times New Roman" w:hAnsi="Times New Roman" w:cs="Times New Roman" w:eastAsia="Times New Roman" w:hint="default"/>
        </w:rPr>
        <w:t>1</w:t>
      </w:r>
      <w:r>
        <w:rPr/>
        <w:t>、资产负债表：</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982"/>
        <w:jc w:val="left"/>
      </w:pPr>
      <w:r>
        <w:rPr/>
        <w:t>（</w:t>
      </w:r>
      <w:r>
        <w:rPr>
          <w:rFonts w:ascii="Times New Roman" w:hAnsi="Times New Roman" w:cs="Times New Roman" w:eastAsia="Times New Roman" w:hint="default"/>
        </w:rPr>
        <w:t>1</w:t>
      </w:r>
      <w:r>
        <w:rPr/>
        <w:t>）将原</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两个项目；</w:t>
      </w:r>
    </w:p>
    <w:p>
      <w:pPr>
        <w:pStyle w:val="BodyText"/>
        <w:spacing w:line="240" w:lineRule="auto" w:before="104"/>
        <w:ind w:left="513" w:right="982"/>
        <w:jc w:val="left"/>
      </w:pPr>
      <w:r>
        <w:rPr/>
        <w:t>（</w:t>
      </w:r>
      <w:r>
        <w:rPr>
          <w:rFonts w:ascii="Times New Roman" w:hAnsi="Times New Roman" w:cs="Times New Roman" w:eastAsia="Times New Roman" w:hint="default"/>
        </w:rPr>
        <w:t>2</w:t>
      </w:r>
      <w:r>
        <w:rPr/>
        <w:t>）将原</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两个项目；</w:t>
      </w:r>
    </w:p>
    <w:p>
      <w:pPr>
        <w:pStyle w:val="BodyText"/>
        <w:spacing w:line="300" w:lineRule="auto" w:before="101"/>
        <w:ind w:right="1143" w:firstLine="360"/>
        <w:jc w:val="left"/>
      </w:pPr>
      <w:r>
        <w:rPr/>
        <w:t>（</w:t>
      </w:r>
      <w:r>
        <w:rPr>
          <w:rFonts w:ascii="Times New Roman" w:hAnsi="Times New Roman" w:cs="Times New Roman" w:eastAsia="Times New Roman" w:hint="default"/>
        </w:rPr>
        <w:t>3</w:t>
      </w:r>
      <w:r>
        <w:rPr/>
        <w:t>）新增</w:t>
      </w:r>
      <w:r>
        <w:rPr>
          <w:rFonts w:ascii="Times New Roman" w:hAnsi="Times New Roman" w:cs="Times New Roman" w:eastAsia="Times New Roman" w:hint="default"/>
        </w:rPr>
        <w:t>“</w:t>
      </w:r>
      <w:r>
        <w:rPr/>
        <w:t>应收款项融资</w:t>
      </w:r>
      <w:r>
        <w:rPr>
          <w:rFonts w:ascii="Times New Roman" w:hAnsi="Times New Roman" w:cs="Times New Roman" w:eastAsia="Times New Roman" w:hint="default"/>
        </w:rPr>
        <w:t>”</w:t>
      </w:r>
      <w:r>
        <w:rPr/>
        <w:t>项目，反映资产负债表日以公允价值计量且其变动计入其他综合收益的应收票据和应收账款 等。</w:t>
      </w:r>
    </w:p>
    <w:p>
      <w:pPr>
        <w:pStyle w:val="BodyText"/>
        <w:spacing w:line="240" w:lineRule="auto" w:before="72"/>
        <w:ind w:left="513" w:right="982"/>
        <w:jc w:val="left"/>
      </w:pPr>
      <w:r>
        <w:rPr>
          <w:rFonts w:ascii="Times New Roman" w:hAnsi="Times New Roman" w:cs="Times New Roman" w:eastAsia="Times New Roman" w:hint="default"/>
        </w:rPr>
        <w:t>2</w:t>
      </w:r>
      <w:r>
        <w:rPr/>
        <w:t>、利润表：</w:t>
      </w:r>
    </w:p>
    <w:p>
      <w:pPr>
        <w:pStyle w:val="BodyText"/>
        <w:spacing w:line="300" w:lineRule="auto" w:before="103"/>
        <w:ind w:right="1164" w:firstLine="360"/>
        <w:jc w:val="left"/>
      </w:pPr>
      <w:r>
        <w:rPr/>
        <w:t>（</w:t>
      </w:r>
      <w:r>
        <w:rPr>
          <w:rFonts w:ascii="Times New Roman" w:hAnsi="Times New Roman" w:cs="Times New Roman" w:eastAsia="Times New Roman" w:hint="default"/>
        </w:rPr>
        <w:t>1</w:t>
      </w:r>
      <w:r>
        <w:rPr/>
        <w:t>）在</w:t>
      </w:r>
      <w:r>
        <w:rPr>
          <w:rFonts w:ascii="Times New Roman" w:hAnsi="Times New Roman" w:cs="Times New Roman" w:eastAsia="Times New Roman" w:hint="default"/>
        </w:rPr>
        <w:t>“</w:t>
      </w:r>
      <w:r>
        <w:rPr/>
        <w:t>投资收益</w:t>
      </w:r>
      <w:r>
        <w:rPr>
          <w:rFonts w:ascii="Times New Roman" w:hAnsi="Times New Roman" w:cs="Times New Roman" w:eastAsia="Times New Roman" w:hint="default"/>
        </w:rPr>
        <w:t>”</w:t>
      </w:r>
      <w:r>
        <w:rPr/>
        <w:t>项下新增</w:t>
      </w:r>
      <w:r>
        <w:rPr>
          <w:rFonts w:ascii="Times New Roman" w:hAnsi="Times New Roman" w:cs="Times New Roman" w:eastAsia="Times New Roman" w:hint="default"/>
        </w:rPr>
        <w:t>“</w:t>
      </w:r>
      <w:r>
        <w:rPr/>
        <w:t>其中：以摊余成本计量的金融资产终止确认收益（损失以</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w:t>
      </w:r>
      <w:r>
        <w:rPr/>
        <w:t>号填列）</w:t>
      </w:r>
      <w:r>
        <w:rPr>
          <w:rFonts w:ascii="Times New Roman" w:hAnsi="Times New Roman" w:cs="Times New Roman" w:eastAsia="Times New Roman" w:hint="default"/>
        </w:rPr>
        <w:t>”</w:t>
      </w:r>
      <w:r>
        <w:rPr/>
        <w:t>，该项目反映企业 因转让等情形导致终止确认以摊余成本计量的金融资产而产生的利得或损失；</w:t>
      </w:r>
    </w:p>
    <w:p>
      <w:pPr>
        <w:pStyle w:val="BodyText"/>
        <w:spacing w:line="300" w:lineRule="auto" w:before="70"/>
        <w:ind w:right="1140" w:firstLine="360"/>
        <w:jc w:val="left"/>
      </w:pPr>
      <w:r>
        <w:rPr/>
        <w:t>（</w:t>
      </w:r>
      <w:r>
        <w:rPr>
          <w:rFonts w:ascii="Times New Roman" w:hAnsi="Times New Roman" w:cs="Times New Roman" w:eastAsia="Times New Roman" w:hint="default"/>
        </w:rPr>
        <w:t>2</w:t>
      </w:r>
      <w:r>
        <w:rPr/>
        <w:t>）将</w:t>
      </w:r>
      <w:r>
        <w:rPr>
          <w:rFonts w:ascii="Times New Roman" w:hAnsi="Times New Roman" w:cs="Times New Roman" w:eastAsia="Times New Roman" w:hint="default"/>
        </w:rPr>
        <w:t>“</w:t>
      </w:r>
      <w:r>
        <w:rPr/>
        <w:t>资产减值损失</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信用减值损失</w:t>
      </w:r>
      <w:r>
        <w:rPr>
          <w:rFonts w:ascii="Times New Roman" w:hAnsi="Times New Roman" w:cs="Times New Roman" w:eastAsia="Times New Roman" w:hint="default"/>
        </w:rPr>
        <w:t>”</w:t>
      </w:r>
      <w:r>
        <w:rPr/>
        <w:t>项目位置移至</w:t>
      </w:r>
      <w:r>
        <w:rPr>
          <w:rFonts w:ascii="Times New Roman" w:hAnsi="Times New Roman" w:cs="Times New Roman" w:eastAsia="Times New Roman" w:hint="default"/>
        </w:rPr>
        <w:t>“</w:t>
      </w:r>
      <w:r>
        <w:rPr/>
        <w:t>公允价值变动收益</w:t>
      </w:r>
      <w:r>
        <w:rPr>
          <w:rFonts w:ascii="Times New Roman" w:hAnsi="Times New Roman" w:cs="Times New Roman" w:eastAsia="Times New Roman" w:hint="default"/>
        </w:rPr>
        <w:t>”</w:t>
      </w:r>
      <w:r>
        <w:rPr/>
        <w:t>之后；将</w:t>
      </w:r>
      <w:r>
        <w:rPr>
          <w:rFonts w:ascii="Times New Roman" w:hAnsi="Times New Roman" w:cs="Times New Roman" w:eastAsia="Times New Roman" w:hint="default"/>
        </w:rPr>
        <w:t>“</w:t>
      </w:r>
      <w:r>
        <w:rPr/>
        <w:t>减：资产减值损失</w:t>
      </w:r>
      <w:r>
        <w:rPr>
          <w:rFonts w:ascii="Times New Roman" w:hAnsi="Times New Roman" w:cs="Times New Roman" w:eastAsia="Times New Roman" w:hint="default"/>
        </w:rPr>
        <w:t>”</w:t>
      </w:r>
      <w:r>
        <w:rPr/>
        <w:t>调整为</w:t>
      </w:r>
      <w:r>
        <w:rPr>
          <w:rFonts w:ascii="Times New Roman" w:hAnsi="Times New Roman" w:cs="Times New Roman" w:eastAsia="Times New Roman" w:hint="default"/>
        </w:rPr>
        <w:t>“</w:t>
      </w:r>
      <w:r>
        <w:rPr/>
        <w:t>加： 资产减值损失（损失以</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w:t>
      </w:r>
      <w:r>
        <w:rPr/>
        <w:t>号填列）</w:t>
      </w:r>
      <w:r>
        <w:rPr>
          <w:rFonts w:ascii="Times New Roman" w:hAnsi="Times New Roman" w:cs="Times New Roman" w:eastAsia="Times New Roman" w:hint="default"/>
        </w:rPr>
        <w:t>”</w:t>
      </w:r>
      <w:r>
        <w:rPr/>
        <w:t>；将</w:t>
      </w:r>
      <w:r>
        <w:rPr>
          <w:rFonts w:ascii="Times New Roman" w:hAnsi="Times New Roman" w:cs="Times New Roman" w:eastAsia="Times New Roman" w:hint="default"/>
        </w:rPr>
        <w:t>“</w:t>
      </w:r>
      <w:r>
        <w:rPr/>
        <w:t>减：信用减值损失</w:t>
      </w:r>
      <w:r>
        <w:rPr>
          <w:rFonts w:ascii="Times New Roman" w:hAnsi="Times New Roman" w:cs="Times New Roman" w:eastAsia="Times New Roman" w:hint="default"/>
        </w:rPr>
        <w:t>”</w:t>
      </w:r>
      <w:r>
        <w:rPr/>
        <w:t>调整为</w:t>
      </w:r>
      <w:r>
        <w:rPr>
          <w:rFonts w:ascii="Times New Roman" w:hAnsi="Times New Roman" w:cs="Times New Roman" w:eastAsia="Times New Roman" w:hint="default"/>
        </w:rPr>
        <w:t>“</w:t>
      </w:r>
      <w:r>
        <w:rPr/>
        <w:t>加：信用减值损失（损失以</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w:t>
      </w:r>
      <w:r>
        <w:rPr/>
        <w:t>号填列）</w:t>
      </w:r>
      <w:r>
        <w:rPr>
          <w:rFonts w:ascii="Times New Roman" w:hAnsi="Times New Roman" w:cs="Times New Roman" w:eastAsia="Times New Roman" w:hint="default"/>
        </w:rPr>
        <w:t>”</w:t>
      </w:r>
      <w:r>
        <w:rPr/>
        <w:t>。</w:t>
      </w:r>
    </w:p>
    <w:p>
      <w:pPr>
        <w:pStyle w:val="BodyText"/>
        <w:spacing w:line="340" w:lineRule="auto" w:before="53"/>
        <w:ind w:left="513" w:right="1133"/>
        <w:jc w:val="left"/>
      </w:pPr>
      <w:r>
        <w:rPr>
          <w:rFonts w:ascii="Times New Roman" w:hAnsi="Times New Roman" w:cs="Times New Roman" w:eastAsia="Times New Roman" w:hint="default"/>
        </w:rPr>
        <w:t>3</w:t>
      </w:r>
      <w:r>
        <w:rPr/>
        <w:t>、现金流量表： 现金流量表明确了政府补助的填列口径，企业实际收到的政府补助，无论是与资产相关还是与收益相关，均在</w:t>
      </w:r>
      <w:r>
        <w:rPr>
          <w:rFonts w:ascii="Times New Roman" w:hAnsi="Times New Roman" w:cs="Times New Roman" w:eastAsia="Times New Roman" w:hint="default"/>
        </w:rPr>
        <w:t>“</w:t>
      </w:r>
      <w:r>
        <w:rPr/>
        <w:t>收到其</w:t>
      </w:r>
    </w:p>
    <w:p>
      <w:pPr>
        <w:pStyle w:val="BodyText"/>
        <w:spacing w:line="229" w:lineRule="exact"/>
        <w:ind w:right="982"/>
        <w:jc w:val="left"/>
      </w:pPr>
      <w:r>
        <w:rPr/>
        <w:t>他与经营活动有关的现金</w:t>
      </w:r>
      <w:r>
        <w:rPr>
          <w:rFonts w:ascii="Times New Roman" w:hAnsi="Times New Roman" w:cs="Times New Roman" w:eastAsia="Times New Roman" w:hint="default"/>
        </w:rPr>
        <w:t>”</w:t>
      </w:r>
      <w:r>
        <w:rPr/>
        <w:t>项目填列。</w:t>
      </w:r>
    </w:p>
    <w:p>
      <w:pPr>
        <w:pStyle w:val="BodyText"/>
        <w:spacing w:line="240" w:lineRule="auto" w:before="101"/>
        <w:ind w:left="513" w:right="982"/>
        <w:jc w:val="left"/>
      </w:pPr>
      <w:r>
        <w:rPr>
          <w:rFonts w:ascii="Times New Roman" w:hAnsi="Times New Roman" w:cs="Times New Roman" w:eastAsia="Times New Roman" w:hint="default"/>
        </w:rPr>
        <w:t>4</w:t>
      </w:r>
      <w:r>
        <w:rPr/>
        <w:t>、所有者权益变动表：</w:t>
      </w:r>
    </w:p>
    <w:p>
      <w:pPr>
        <w:pStyle w:val="BodyText"/>
        <w:spacing w:line="300" w:lineRule="auto" w:before="103"/>
        <w:ind w:right="1143" w:firstLine="360"/>
        <w:jc w:val="left"/>
      </w:pPr>
      <w:r>
        <w:rPr/>
        <w:t>（</w:t>
      </w:r>
      <w:r>
        <w:rPr>
          <w:rFonts w:ascii="Times New Roman" w:hAnsi="Times New Roman" w:cs="Times New Roman" w:eastAsia="Times New Roman" w:hint="default"/>
        </w:rPr>
        <w:t>1</w:t>
      </w:r>
      <w:r>
        <w:rPr/>
        <w:t>）明确了</w:t>
      </w:r>
      <w:r>
        <w:rPr>
          <w:rFonts w:ascii="Times New Roman" w:hAnsi="Times New Roman" w:cs="Times New Roman" w:eastAsia="Times New Roman" w:hint="default"/>
        </w:rPr>
        <w:t>“</w:t>
      </w:r>
      <w:r>
        <w:rPr/>
        <w:t>其他权益工具持有者投入资本</w:t>
      </w:r>
      <w:r>
        <w:rPr>
          <w:rFonts w:ascii="Times New Roman" w:hAnsi="Times New Roman" w:cs="Times New Roman" w:eastAsia="Times New Roman" w:hint="default"/>
        </w:rPr>
        <w:t>”</w:t>
      </w:r>
      <w:r>
        <w:rPr/>
        <w:t>项目的填列口径，反映企业发行的除普通股以外分类为权益工具的金融工 具的持有者投入资本的金额。</w:t>
      </w:r>
    </w:p>
    <w:p>
      <w:pPr>
        <w:pStyle w:val="BodyText"/>
        <w:spacing w:line="312" w:lineRule="auto" w:before="72"/>
        <w:ind w:right="1132" w:firstLine="360"/>
        <w:jc w:val="both"/>
      </w:pPr>
      <w:r>
        <w:rPr/>
        <w:t>（</w:t>
      </w:r>
      <w:r>
        <w:rPr>
          <w:rFonts w:ascii="Times New Roman" w:hAnsi="Times New Roman" w:cs="Times New Roman" w:eastAsia="Times New Roman" w:hint="default"/>
        </w:rPr>
        <w:t>2</w:t>
      </w:r>
      <w:r>
        <w:rPr/>
        <w:t>）新增</w:t>
      </w:r>
      <w:r>
        <w:rPr>
          <w:rFonts w:ascii="Times New Roman" w:hAnsi="Times New Roman" w:cs="Times New Roman" w:eastAsia="Times New Roman" w:hint="default"/>
        </w:rPr>
        <w:t>“</w:t>
      </w:r>
      <w:r>
        <w:rPr/>
        <w:t>其他综合收益结转留存收益</w:t>
      </w:r>
      <w:r>
        <w:rPr>
          <w:rFonts w:ascii="Times New Roman" w:hAnsi="Times New Roman" w:cs="Times New Roman" w:eastAsia="Times New Roman" w:hint="default"/>
        </w:rPr>
        <w:t>”</w:t>
      </w:r>
      <w:r>
        <w:rPr/>
        <w:t>项目，主要反映：企业指定为以公允价值计量且其变动计入其他综合收益的非 </w:t>
      </w:r>
      <w:r>
        <w:rPr>
          <w:spacing w:val="-2"/>
        </w:rPr>
        <w:t>交易性权益工具投资终止确认时，之前计入其他综合收益的累计利得或损失从其他综合收益中转入留存收益的金额；企业指</w:t>
      </w:r>
      <w:r>
        <w:rPr>
          <w:spacing w:val="-64"/>
        </w:rPr>
        <w:t> </w:t>
      </w:r>
      <w:r>
        <w:rPr>
          <w:spacing w:val="-64"/>
        </w:rPr>
      </w:r>
      <w:r>
        <w:rPr>
          <w:spacing w:val="-2"/>
        </w:rPr>
        <w:t>定为以公允价值计量且其变动计入当期损益的金融负债终止确认时，之前由企业自身信用风险变动引起而计入其他综合收益</w:t>
      </w:r>
      <w:r>
        <w:rPr>
          <w:spacing w:val="-64"/>
        </w:rPr>
        <w:t> </w:t>
      </w:r>
      <w:r>
        <w:rPr>
          <w:spacing w:val="-64"/>
        </w:rPr>
      </w:r>
      <w:r>
        <w:rPr/>
        <w:t>的累计利得或损失从其他综合收益中转入留存收益的金额等。</w:t>
      </w:r>
    </w:p>
    <w:p>
      <w:pPr>
        <w:pStyle w:val="BodyText"/>
        <w:spacing w:line="309" w:lineRule="auto" w:before="61"/>
        <w:ind w:right="1033" w:firstLine="360"/>
        <w:jc w:val="left"/>
      </w:pPr>
      <w:r>
        <w:rPr>
          <w:spacing w:val="-2"/>
        </w:rPr>
        <w:t>本次公司会计政策变更仅对财务报表格式和部分科目列示产生影响，不影响公司当年所有者权益、净利润等相关财务指</w:t>
      </w:r>
      <w:r>
        <w:rPr/>
        <w:t> 标。除上述项目变动影响外，其余未变更部分仍采用财政部前期颁布的《企业会计准则</w:t>
      </w:r>
      <w:r>
        <w:rPr>
          <w:rFonts w:ascii="Times New Roman" w:hAnsi="Times New Roman" w:cs="Times New Roman" w:eastAsia="Times New Roman" w:hint="default"/>
        </w:rPr>
        <w:t>—</w:t>
      </w:r>
      <w:r>
        <w:rPr/>
        <w:t>基本准则》和各项具体会计准则、 企业会计准则应用指南、企业会计准则解释公告及其他相关规定执行。</w:t>
      </w:r>
    </w:p>
    <w:p>
      <w:pPr>
        <w:spacing w:line="240" w:lineRule="auto" w:before="4"/>
        <w:rPr>
          <w:rFonts w:ascii="宋体" w:hAnsi="宋体" w:cs="宋体" w:eastAsia="宋体" w:hint="default"/>
          <w:sz w:val="21"/>
          <w:szCs w:val="21"/>
        </w:rPr>
      </w:pPr>
    </w:p>
    <w:p>
      <w:pPr>
        <w:pStyle w:val="Heading2"/>
        <w:spacing w:line="240" w:lineRule="auto"/>
        <w:ind w:right="982"/>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79" w:type="dxa"/>
        <w:tblLayout w:type="fixed"/>
        <w:tblCellMar>
          <w:top w:w="0" w:type="dxa"/>
          <w:left w:w="0" w:type="dxa"/>
          <w:bottom w:w="0" w:type="dxa"/>
          <w:right w:w="0" w:type="dxa"/>
        </w:tblCellMar>
        <w:tblLook w:val="01E0"/>
      </w:tblPr>
      <w:tblGrid>
        <w:gridCol w:w="2410"/>
        <w:gridCol w:w="2057"/>
        <w:gridCol w:w="1277"/>
        <w:gridCol w:w="3829"/>
      </w:tblGrid>
      <w:tr>
        <w:trPr>
          <w:trHeight w:val="65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91" w:right="294"/>
              <w:jc w:val="left"/>
              <w:rPr>
                <w:rFonts w:ascii="宋体" w:hAnsi="宋体" w:cs="宋体" w:eastAsia="宋体" w:hint="default"/>
                <w:sz w:val="18"/>
                <w:szCs w:val="18"/>
              </w:rPr>
            </w:pPr>
            <w:r>
              <w:rPr>
                <w:rFonts w:ascii="宋体" w:hAnsi="宋体" w:cs="宋体" w:eastAsia="宋体" w:hint="default"/>
                <w:b/>
                <w:bCs/>
                <w:sz w:val="18"/>
                <w:szCs w:val="18"/>
              </w:rPr>
              <w:t>报告期内取得和</w:t>
            </w:r>
            <w:r>
              <w:rPr>
                <w:rFonts w:ascii="宋体" w:hAnsi="宋体" w:cs="宋体" w:eastAsia="宋体" w:hint="default"/>
                <w:b/>
                <w:bCs/>
                <w:w w:val="99"/>
                <w:sz w:val="18"/>
                <w:szCs w:val="18"/>
              </w:rPr>
              <w:t> </w:t>
            </w:r>
            <w:r>
              <w:rPr>
                <w:rFonts w:ascii="宋体" w:hAnsi="宋体" w:cs="宋体" w:eastAsia="宋体" w:hint="default"/>
                <w:b/>
                <w:bCs/>
                <w:sz w:val="18"/>
                <w:szCs w:val="18"/>
              </w:rPr>
              <w:t>处置子公司方式</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宋体" w:hAnsi="宋体" w:cs="宋体" w:eastAsia="宋体" w:hint="default"/>
                <w:b/>
                <w:bCs/>
                <w:sz w:val="18"/>
                <w:szCs w:val="18"/>
              </w:rPr>
              <w:t>认缴出资</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76"/>
              <w:ind w:left="271"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对整体生产经营和业绩的影响</w:t>
            </w:r>
            <w:r>
              <w:rPr>
                <w:rFonts w:ascii="宋体" w:hAnsi="宋体" w:cs="宋体" w:eastAsia="宋体" w:hint="default"/>
                <w:sz w:val="18"/>
                <w:szCs w:val="18"/>
              </w:rPr>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广州大奇数据科技有限公司</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1000</w:t>
            </w:r>
          </w:p>
        </w:tc>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7"/>
              <w:jc w:val="center"/>
              <w:rPr>
                <w:rFonts w:ascii="宋体" w:hAnsi="宋体" w:cs="宋体" w:eastAsia="宋体" w:hint="default"/>
                <w:sz w:val="18"/>
                <w:szCs w:val="18"/>
              </w:rPr>
            </w:pPr>
            <w:r>
              <w:rPr>
                <w:rFonts w:ascii="宋体" w:hAnsi="宋体" w:cs="宋体" w:eastAsia="宋体" w:hint="default"/>
                <w:sz w:val="18"/>
                <w:szCs w:val="18"/>
              </w:rPr>
              <w:t>报告期内，对整体生产经营和业绩无重大影响。</w:t>
            </w: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现聘任的会计事务所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110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荣健、曾霞芬</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both"/>
      </w:pPr>
      <w:r>
        <w:rPr/>
        <w:t>是否改聘会计师事务所</w:t>
      </w:r>
    </w:p>
    <w:p>
      <w:pPr>
        <w:pStyle w:val="BodyText"/>
        <w:spacing w:line="340" w:lineRule="auto" w:before="115"/>
        <w:ind w:right="8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是否在审计期间改聘会计师事务所</w:t>
      </w:r>
    </w:p>
    <w:p>
      <w:pPr>
        <w:pStyle w:val="BodyText"/>
        <w:spacing w:line="340" w:lineRule="auto" w:before="39"/>
        <w:ind w:right="78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38" w:lineRule="auto" w:before="41"/>
        <w:ind w:right="8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聘任、解聘会计师事务所情况说明</w:t>
      </w:r>
    </w:p>
    <w:p>
      <w:pPr>
        <w:pStyle w:val="BodyText"/>
        <w:spacing w:line="309" w:lineRule="auto" w:before="44"/>
        <w:ind w:right="1129" w:firstLine="360"/>
        <w:jc w:val="both"/>
      </w:pPr>
      <w:r>
        <w:rPr>
          <w:spacing w:val="-1"/>
        </w:rPr>
        <w:t>公司原审计机构瑞华会计师事务所（特殊普通合伙）（以下简称</w:t>
      </w:r>
      <w:r>
        <w:rPr>
          <w:rFonts w:ascii="Times New Roman" w:hAnsi="Times New Roman" w:cs="Times New Roman" w:eastAsia="Times New Roman" w:hint="default"/>
          <w:spacing w:val="-1"/>
        </w:rPr>
        <w:t>“</w:t>
      </w:r>
      <w:r>
        <w:rPr>
          <w:spacing w:val="-1"/>
        </w:rPr>
        <w:t>瑞华会计师事务所</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瑞华</w:t>
      </w:r>
      <w:r>
        <w:rPr>
          <w:rFonts w:ascii="Times New Roman" w:hAnsi="Times New Roman" w:cs="Times New Roman" w:eastAsia="Times New Roman" w:hint="default"/>
          <w:spacing w:val="-1"/>
        </w:rPr>
        <w:t>”</w:t>
      </w:r>
      <w:r>
        <w:rPr>
          <w:spacing w:val="-1"/>
        </w:rPr>
        <w:t>）自担任公司审计机构以</w:t>
      </w:r>
      <w:r>
        <w:rPr/>
        <w:t> 来，为公司提供了高质量的审计服务，其出具的审计报告客观、公正、真实地反映了公司的财务状</w:t>
      </w:r>
      <w:r>
        <w:rPr>
          <w:spacing w:val="7"/>
        </w:rPr>
        <w:t> </w:t>
      </w:r>
      <w:r>
        <w:rPr/>
        <w:t>况和经营成果，切实履</w:t>
      </w:r>
      <w:r>
        <w:rPr>
          <w:spacing w:val="-88"/>
        </w:rPr>
        <w:t> </w:t>
      </w:r>
      <w:r>
        <w:rPr>
          <w:spacing w:val="-88"/>
        </w:rPr>
      </w:r>
      <w:r>
        <w:rPr/>
        <w:t>行了审计机构应尽的职责，从专业的角度维护了公司及全</w:t>
      </w:r>
      <w:r>
        <w:rPr>
          <w:spacing w:val="-18"/>
        </w:rPr>
        <w:t> </w:t>
      </w:r>
      <w:r>
        <w:rPr/>
        <w:t>体股东的合法权益。</w:t>
      </w:r>
    </w:p>
    <w:p>
      <w:pPr>
        <w:pStyle w:val="BodyText"/>
        <w:spacing w:line="300" w:lineRule="auto" w:before="65"/>
        <w:ind w:right="1128" w:firstLine="360"/>
        <w:jc w:val="both"/>
      </w:pPr>
      <w:r>
        <w:rPr>
          <w:spacing w:val="-2"/>
        </w:rPr>
        <w:t>综合考虑公司业务发展和未来审计工作需求，公司拟不再聘请瑞华会计师事务所为公司</w:t>
      </w:r>
      <w:r>
        <w:rPr>
          <w:rFonts w:ascii="Times New Roman" w:hAnsi="Times New Roman" w:cs="Times New Roman" w:eastAsia="Times New Roman" w:hint="default"/>
          <w:spacing w:val="-2"/>
        </w:rPr>
        <w:t>2019</w:t>
      </w:r>
      <w:r>
        <w:rPr>
          <w:spacing w:val="-2"/>
        </w:rPr>
        <w:t>年度审计机构，并就更换审</w:t>
      </w:r>
      <w:r>
        <w:rPr/>
        <w:t> 计机构事项与瑞华进行了事先沟通，征得了瑞华的理解和支持，公司对瑞华的辛勤工作表示由衷的感谢！</w:t>
      </w:r>
    </w:p>
    <w:p>
      <w:pPr>
        <w:pStyle w:val="BodyText"/>
        <w:spacing w:line="300" w:lineRule="auto" w:before="70"/>
        <w:ind w:right="1047" w:firstLine="360"/>
        <w:jc w:val="both"/>
      </w:pPr>
      <w:r>
        <w:rPr/>
        <w:t>经公司董事会审计委员会提议，公司拟聘请立信会计师事务所为公司</w:t>
      </w:r>
      <w:r>
        <w:rPr>
          <w:rFonts w:ascii="Times New Roman" w:hAnsi="Times New Roman" w:cs="Times New Roman" w:eastAsia="Times New Roman" w:hint="default"/>
        </w:rPr>
        <w:t>2019</w:t>
      </w:r>
      <w:r>
        <w:rPr/>
        <w:t>年度审计机构，负责公司</w:t>
      </w:r>
      <w:r>
        <w:rPr>
          <w:rFonts w:ascii="Times New Roman" w:hAnsi="Times New Roman" w:cs="Times New Roman" w:eastAsia="Times New Roman" w:hint="default"/>
        </w:rPr>
        <w:t>2019</w:t>
      </w:r>
      <w:r>
        <w:rPr/>
        <w:t>年度财务报告、 内部控制等审计工作，聘任期限为一年。</w:t>
      </w:r>
    </w:p>
    <w:p>
      <w:pPr>
        <w:pStyle w:val="BodyText"/>
        <w:spacing w:line="240" w:lineRule="auto" w:before="72"/>
        <w:ind w:right="0"/>
        <w:jc w:val="both"/>
      </w:pPr>
      <w:r>
        <w:rPr/>
        <w:t>聘请内部控制审计会计师事务所、财务顾问或保荐人情况</w:t>
      </w:r>
    </w:p>
    <w:p>
      <w:pPr>
        <w:pStyle w:val="BodyText"/>
        <w:spacing w:line="338" w:lineRule="auto" w:before="117"/>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日召开第三届董事会第四次会议，并于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日召开</w:t>
      </w:r>
      <w:r>
        <w:rPr>
          <w:rFonts w:ascii="Times New Roman" w:hAnsi="Times New Roman" w:cs="Times New Roman" w:eastAsia="Times New Roman" w:hint="default"/>
        </w:rPr>
        <w:t>2019</w:t>
      </w:r>
      <w:r>
        <w:rPr/>
        <w:t>年第二次临时股东大会，审议通过了</w:t>
      </w:r>
    </w:p>
    <w:p>
      <w:pPr>
        <w:pStyle w:val="BodyText"/>
        <w:spacing w:line="230" w:lineRule="exact"/>
        <w:ind w:right="0"/>
        <w:jc w:val="both"/>
      </w:pPr>
      <w:r>
        <w:rPr/>
        <w:t>公司公开发行可转换公司债券（以下简称</w:t>
      </w:r>
      <w:r>
        <w:rPr>
          <w:rFonts w:ascii="Times New Roman" w:hAnsi="Times New Roman" w:cs="Times New Roman" w:eastAsia="Times New Roman" w:hint="default"/>
        </w:rPr>
        <w:t>“</w:t>
      </w:r>
      <w:r>
        <w:rPr/>
        <w:t>本次发行可转债</w:t>
      </w:r>
      <w:r>
        <w:rPr>
          <w:rFonts w:ascii="Times New Roman" w:hAnsi="Times New Roman" w:cs="Times New Roman" w:eastAsia="Times New Roman" w:hint="default"/>
        </w:rPr>
        <w:t>”</w:t>
      </w:r>
      <w:r>
        <w:rPr/>
        <w:t>）的相关议案。经股东大会授权，公司董事会聘请华创证券担任</w:t>
      </w:r>
    </w:p>
    <w:p>
      <w:pPr>
        <w:pStyle w:val="BodyText"/>
        <w:spacing w:line="309" w:lineRule="auto" w:before="63"/>
        <w:ind w:right="1131"/>
        <w:jc w:val="both"/>
      </w:pPr>
      <w:r>
        <w:rPr>
          <w:spacing w:val="-2"/>
        </w:rPr>
        <w:t>公司本次发行可转债的保荐机构，由其负责本次发行可转债的保荐工作及证券上市后的持续督导工作，持续督导期间为公司</w:t>
      </w:r>
      <w:r>
        <w:rPr>
          <w:spacing w:val="-64"/>
        </w:rPr>
        <w:t> </w:t>
      </w:r>
      <w:r>
        <w:rPr>
          <w:spacing w:val="-64"/>
        </w:rPr>
      </w:r>
      <w:r>
        <w:rPr>
          <w:spacing w:val="-2"/>
        </w:rPr>
        <w:t>本次公开发行可转换公司债券上市当年剩余时间及其后</w:t>
      </w:r>
      <w:r>
        <w:rPr>
          <w:rFonts w:ascii="Times New Roman" w:hAnsi="Times New Roman" w:cs="Times New Roman" w:eastAsia="Times New Roman" w:hint="default"/>
          <w:spacing w:val="-2"/>
        </w:rPr>
        <w:t>2</w:t>
      </w:r>
      <w:r>
        <w:rPr>
          <w:spacing w:val="-2"/>
        </w:rPr>
        <w:t>个完整会计年度（即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日至</w:t>
      </w:r>
      <w:r>
        <w:rPr>
          <w:rFonts w:ascii="Times New Roman" w:hAnsi="Times New Roman" w:cs="Times New Roman" w:eastAsia="Times New Roman" w:hint="default"/>
          <w:spacing w:val="-2"/>
        </w:rPr>
        <w:t>2022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日）。具体内容</w:t>
      </w:r>
      <w:r>
        <w:rPr>
          <w:spacing w:val="-58"/>
        </w:rPr>
        <w:t> </w:t>
      </w:r>
      <w:r>
        <w:rPr>
          <w:spacing w:val="-58"/>
        </w:rPr>
      </w:r>
      <w:r>
        <w:rPr/>
        <w:t>详见巨潮资讯网（</w:t>
      </w:r>
      <w:hyperlink r:id="rId11">
        <w:r>
          <w:rPr>
            <w:rFonts w:ascii="Times New Roman" w:hAnsi="Times New Roman" w:cs="Times New Roman" w:eastAsia="Times New Roman" w:hint="default"/>
          </w:rPr>
          <w:t>www.cninfo.com.cn</w:t>
        </w:r>
      </w:hyperlink>
      <w:r>
        <w:rPr/>
        <w:t>）《关于变更保荐机构及保荐代表人的公告》（公告编号：</w:t>
      </w:r>
      <w:r>
        <w:rPr>
          <w:rFonts w:ascii="Times New Roman" w:hAnsi="Times New Roman" w:cs="Times New Roman" w:eastAsia="Times New Roman" w:hint="default"/>
        </w:rPr>
        <w:t>2019-102</w:t>
      </w:r>
      <w:r>
        <w:rPr/>
        <w:t>）。</w:t>
      </w:r>
    </w:p>
    <w:p>
      <w:pPr>
        <w:pStyle w:val="BodyText"/>
        <w:spacing w:line="316" w:lineRule="auto" w:before="46"/>
        <w:ind w:right="1132" w:firstLine="360"/>
        <w:jc w:val="both"/>
      </w:pPr>
      <w:r>
        <w:rPr>
          <w:spacing w:val="-2"/>
        </w:rPr>
        <w:t>根据相关规定，公司终止了与原保荐机构东方花旗证券有限公司的保荐协议，华创证券将承接东方花旗证券有限公司尚</w:t>
      </w:r>
      <w:r>
        <w:rPr/>
        <w:t> 未完成的持续督导工作。华创证券指派保荐代表人王立柱先生、朱明举先生负责相关具体工作。</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after="0" w:line="3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512"/>
        <w:gridCol w:w="1366"/>
        <w:gridCol w:w="1942"/>
        <w:gridCol w:w="1277"/>
        <w:gridCol w:w="1275"/>
        <w:gridCol w:w="1135"/>
        <w:gridCol w:w="1205"/>
      </w:tblGrid>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512"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9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募集资金置换未事先履</w:t>
            </w:r>
          </w:p>
        </w:tc>
        <w:tc>
          <w:tcPr>
            <w:tcW w:w="1277"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c>
          <w:tcPr>
            <w:tcW w:w="1205" w:type="dxa"/>
            <w:vMerge w:val="restart"/>
            <w:tcBorders>
              <w:top w:val="single" w:sz="4" w:space="0" w:color="000000"/>
              <w:left w:val="single" w:sz="4" w:space="0" w:color="000000"/>
              <w:right w:val="single" w:sz="4" w:space="0" w:color="000000"/>
            </w:tcBorders>
          </w:tcPr>
          <w:p>
            <w:pPr/>
          </w:p>
        </w:tc>
      </w:tr>
      <w:tr>
        <w:trPr>
          <w:trHeight w:val="1253" w:hRule="exact"/>
        </w:trPr>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北京思特奇信息技 术股份有限公司</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6"/>
              <w:jc w:val="both"/>
              <w:rPr>
                <w:rFonts w:ascii="宋体" w:hAnsi="宋体" w:cs="宋体" w:eastAsia="宋体" w:hint="default"/>
                <w:sz w:val="18"/>
                <w:szCs w:val="18"/>
              </w:rPr>
            </w:pPr>
            <w:r>
              <w:rPr>
                <w:rFonts w:ascii="宋体" w:hAnsi="宋体" w:cs="宋体" w:eastAsia="宋体" w:hint="default"/>
                <w:sz w:val="18"/>
                <w:szCs w:val="18"/>
              </w:rPr>
              <w:t>行审议程序及时披露等 问题，违反了《创业板 上市公司规范运作指引</w:t>
            </w:r>
          </w:p>
          <w:p>
            <w:pPr>
              <w:pStyle w:val="TableParagraph"/>
              <w:spacing w:line="240" w:lineRule="auto" w:before="1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7</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深交所出具创 业板监管函 </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号</w:t>
            </w:r>
          </w:p>
        </w:tc>
        <w:tc>
          <w:tcPr>
            <w:tcW w:w="1135"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r>
      <w:tr>
        <w:trPr>
          <w:trHeight w:val="350" w:hRule="exact"/>
        </w:trPr>
        <w:tc>
          <w:tcPr>
            <w:tcW w:w="1512"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9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条的规定</w:t>
            </w:r>
          </w:p>
        </w:tc>
        <w:tc>
          <w:tcPr>
            <w:tcW w:w="1277"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整改情况说明</w:t>
      </w:r>
    </w:p>
    <w:p>
      <w:pPr>
        <w:pStyle w:val="BodyText"/>
        <w:spacing w:line="338" w:lineRule="auto" w:before="118"/>
        <w:ind w:left="513" w:right="98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日召开第二届董事会第十七次会议、第二届监事会第十五次会议，并于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日召开</w:t>
      </w:r>
      <w:r>
        <w:rPr>
          <w:rFonts w:ascii="Times New Roman" w:hAnsi="Times New Roman" w:cs="Times New Roman" w:eastAsia="Times New Roman" w:hint="default"/>
          <w:spacing w:val="-2"/>
        </w:rPr>
        <w:t>2017</w:t>
      </w:r>
      <w:r>
        <w:rPr>
          <w:spacing w:val="-2"/>
        </w:rPr>
        <w:t>年度</w:t>
      </w:r>
    </w:p>
    <w:p>
      <w:pPr>
        <w:pStyle w:val="BodyText"/>
        <w:spacing w:line="217" w:lineRule="exact"/>
        <w:ind w:right="982"/>
        <w:jc w:val="left"/>
      </w:pPr>
      <w:r>
        <w:rPr/>
        <w:t>股东大会，审议通过了《关于对以募集资金置换预先投入募投项目的自有资金予以确认的议案》，补充履行了募集资金置换</w:t>
      </w:r>
    </w:p>
    <w:p>
      <w:pPr>
        <w:pStyle w:val="BodyText"/>
        <w:spacing w:line="360" w:lineRule="auto" w:before="76"/>
        <w:ind w:left="513" w:right="982" w:hanging="360"/>
        <w:jc w:val="left"/>
        <w:rPr>
          <w:rFonts w:ascii="Times New Roman" w:hAnsi="Times New Roman" w:cs="Times New Roman" w:eastAsia="Times New Roman" w:hint="default"/>
        </w:rPr>
      </w:pPr>
      <w:r>
        <w:rPr/>
        <w:t>的审议程序和信息披露义务。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日召开第二届董事会第二十六次会议、第二届监事会第二十四次会议，并于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日召开</w:t>
      </w:r>
      <w:r>
        <w:rPr>
          <w:rFonts w:ascii="Times New Roman" w:hAnsi="Times New Roman" w:cs="Times New Roman" w:eastAsia="Times New Roman" w:hint="default"/>
          <w:spacing w:val="-2"/>
        </w:rPr>
        <w:t>2018</w:t>
      </w:r>
    </w:p>
    <w:p>
      <w:pPr>
        <w:pStyle w:val="BodyText"/>
        <w:spacing w:line="199" w:lineRule="exact"/>
        <w:ind w:right="982"/>
        <w:jc w:val="left"/>
      </w:pPr>
      <w:r>
        <w:rPr/>
        <w:t>年度股东大会，审议通过了《关于对以募集资金置换预先投入募投项目的自有资金予以重新确认的议案》，对募集资金置换</w:t>
      </w:r>
    </w:p>
    <w:p>
      <w:pPr>
        <w:pStyle w:val="BodyText"/>
        <w:spacing w:line="240" w:lineRule="auto" w:before="76"/>
        <w:ind w:right="982"/>
        <w:jc w:val="left"/>
      </w:pPr>
      <w:r>
        <w:rPr/>
        <w:t>金额进行了重新确认。</w:t>
      </w:r>
    </w:p>
    <w:p>
      <w:pPr>
        <w:pStyle w:val="BodyText"/>
        <w:spacing w:line="240" w:lineRule="auto" w:before="117"/>
        <w:ind w:right="982"/>
        <w:jc w:val="left"/>
      </w:pPr>
      <w:r>
        <w:rPr/>
        <w:t>董事、监事、高级管理人员、持股</w:t>
      </w:r>
      <w:r>
        <w:rPr>
          <w:spacing w:val="-45"/>
        </w:rPr>
        <w:t> </w:t>
      </w:r>
      <w:r>
        <w:rPr>
          <w:rFonts w:ascii="Times New Roman" w:hAnsi="Times New Roman" w:cs="Times New Roman" w:eastAsia="Times New Roman" w:hint="default"/>
        </w:rPr>
        <w:t>5%</w:t>
      </w:r>
      <w:r>
        <w:rPr/>
        <w:t>以上的股东违规买卖公司股票情况</w:t>
      </w:r>
    </w:p>
    <w:p>
      <w:pPr>
        <w:pStyle w:val="BodyText"/>
        <w:spacing w:line="240" w:lineRule="auto" w:before="101"/>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40" w:lineRule="auto" w:before="103"/>
        <w:ind w:left="513" w:right="982"/>
        <w:jc w:val="left"/>
      </w:pPr>
      <w:r>
        <w:rPr>
          <w:rFonts w:ascii="Times New Roman" w:hAnsi="Times New Roman" w:cs="Times New Roman" w:eastAsia="Times New Roman" w:hint="default"/>
        </w:rPr>
        <w:t>1</w:t>
      </w:r>
      <w:r>
        <w:rPr/>
        <w:t>、报告期内公司股权激励计划的实施情况 </w:t>
      </w: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13</w:t>
      </w:r>
      <w:r>
        <w:rPr>
          <w:spacing w:val="-1"/>
        </w:rPr>
        <w:t>日在指定信息披露媒体巨潮资讯网（</w:t>
      </w:r>
      <w:hyperlink r:id="rId11">
        <w:r>
          <w:rPr>
            <w:rFonts w:ascii="Times New Roman" w:hAnsi="Times New Roman" w:cs="Times New Roman" w:eastAsia="Times New Roman" w:hint="default"/>
            <w:spacing w:val="-1"/>
          </w:rPr>
          <w:t>www.cninfo.com.cn</w:t>
        </w:r>
      </w:hyperlink>
      <w:r>
        <w:rPr>
          <w:spacing w:val="-1"/>
        </w:rPr>
        <w:t>）刊登了《关于</w:t>
      </w:r>
      <w:r>
        <w:rPr>
          <w:rFonts w:ascii="Times New Roman" w:hAnsi="Times New Roman" w:cs="Times New Roman" w:eastAsia="Times New Roman" w:hint="default"/>
          <w:spacing w:val="-1"/>
        </w:rPr>
        <w:t>2017</w:t>
      </w:r>
      <w:r>
        <w:rPr>
          <w:spacing w:val="-1"/>
        </w:rPr>
        <w:t>年限制性股票激励计划</w:t>
      </w:r>
    </w:p>
    <w:p>
      <w:pPr>
        <w:pStyle w:val="BodyText"/>
        <w:spacing w:line="228" w:lineRule="exact"/>
        <w:ind w:right="982"/>
        <w:jc w:val="left"/>
      </w:pPr>
      <w:r>
        <w:rPr/>
        <w:t>全部限制性股票回购注销完成的公告》（公告编号：</w:t>
      </w:r>
      <w:r>
        <w:rPr>
          <w:rFonts w:ascii="Times New Roman" w:hAnsi="Times New Roman" w:cs="Times New Roman" w:eastAsia="Times New Roman" w:hint="default"/>
        </w:rPr>
        <w:t>2019-016</w:t>
      </w:r>
      <w:r>
        <w:rPr/>
        <w:t>），本次回购注销</w:t>
      </w:r>
      <w:r>
        <w:rPr>
          <w:rFonts w:ascii="Times New Roman" w:hAnsi="Times New Roman" w:cs="Times New Roman" w:eastAsia="Times New Roman" w:hint="default"/>
        </w:rPr>
        <w:t>2017</w:t>
      </w:r>
      <w:r>
        <w:rPr/>
        <w:t>年限制性股票激励计划原</w:t>
      </w:r>
      <w:r>
        <w:rPr>
          <w:rFonts w:ascii="Times New Roman" w:hAnsi="Times New Roman" w:cs="Times New Roman" w:eastAsia="Times New Roman" w:hint="default"/>
        </w:rPr>
        <w:t>408</w:t>
      </w:r>
      <w:r>
        <w:rPr/>
        <w:t>名激励对</w:t>
      </w:r>
    </w:p>
    <w:p>
      <w:pPr>
        <w:pStyle w:val="BodyText"/>
        <w:spacing w:line="300" w:lineRule="auto" w:before="63"/>
        <w:ind w:right="982"/>
        <w:jc w:val="left"/>
      </w:pPr>
      <w:r>
        <w:rPr/>
        <w:t>象已获授尚未解除限售的全部限制性股票共计</w:t>
      </w:r>
      <w:r>
        <w:rPr>
          <w:rFonts w:ascii="Times New Roman" w:hAnsi="Times New Roman" w:cs="Times New Roman" w:eastAsia="Times New Roman" w:hint="default"/>
        </w:rPr>
        <w:t>94.26</w:t>
      </w:r>
      <w:r>
        <w:rPr/>
        <w:t>万股，占回购前公司总股本比例</w:t>
      </w:r>
      <w:r>
        <w:rPr>
          <w:rFonts w:ascii="Times New Roman" w:hAnsi="Times New Roman" w:cs="Times New Roman" w:eastAsia="Times New Roman" w:hint="default"/>
        </w:rPr>
        <w:t>0.89%</w:t>
      </w:r>
      <w:r>
        <w:rPr/>
        <w:t>。公司已于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日在中国</w:t>
      </w:r>
      <w:r>
        <w:rPr>
          <w:spacing w:val="-57"/>
        </w:rPr>
        <w:t> </w:t>
      </w:r>
      <w:r>
        <w:rPr/>
        <w:t>证券登记结算有限责任公司深圳分公司办理完成回购注销手续。</w:t>
      </w:r>
    </w:p>
    <w:p>
      <w:pPr>
        <w:pStyle w:val="BodyText"/>
        <w:spacing w:line="340" w:lineRule="auto" w:before="70"/>
        <w:ind w:left="513" w:right="1843" w:hanging="36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rFonts w:ascii="Times New Roman" w:hAnsi="Times New Roman" w:cs="Times New Roman" w:eastAsia="Times New Roman" w:hint="default"/>
        </w:rPr>
        <w:t>2</w:t>
      </w:r>
      <w:r>
        <w:rPr/>
        <w:t>、实施股权激励计划对公司本报告期财务状况和经营成果的影响 因公司终止实施</w:t>
      </w:r>
      <w:r>
        <w:rPr>
          <w:rFonts w:ascii="Times New Roman" w:hAnsi="Times New Roman" w:cs="Times New Roman" w:eastAsia="Times New Roman" w:hint="default"/>
        </w:rPr>
        <w:t>2017</w:t>
      </w:r>
      <w:r>
        <w:rPr/>
        <w:t>年限制性股票激励计划，本报告期内确认的股份支付费用为</w:t>
      </w:r>
      <w:r>
        <w:rPr>
          <w:rFonts w:ascii="Times New Roman" w:hAnsi="Times New Roman" w:cs="Times New Roman" w:eastAsia="Times New Roman" w:hint="default"/>
        </w:rPr>
        <w:t>356.30</w:t>
      </w:r>
      <w:r>
        <w:rPr/>
        <w:t>万元。</w:t>
      </w:r>
    </w:p>
    <w:p>
      <w:pPr>
        <w:spacing w:line="240" w:lineRule="auto" w:before="8"/>
        <w:rPr>
          <w:rFonts w:ascii="宋体" w:hAnsi="宋体" w:cs="宋体" w:eastAsia="宋体" w:hint="default"/>
          <w:sz w:val="17"/>
          <w:szCs w:val="17"/>
        </w:rPr>
      </w:pPr>
    </w:p>
    <w:p>
      <w:pPr>
        <w:pStyle w:val="Heading2"/>
        <w:spacing w:line="240" w:lineRule="auto"/>
        <w:ind w:right="982"/>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t>公司报告期未发生与日常经营相关的关联交易。</w:t>
      </w:r>
    </w:p>
    <w:p>
      <w:pPr>
        <w:spacing w:line="240" w:lineRule="auto" w:before="0"/>
        <w:rPr>
          <w:rFonts w:ascii="宋体" w:hAnsi="宋体" w:cs="宋体" w:eastAsia="宋体" w:hint="default"/>
          <w:sz w:val="18"/>
          <w:szCs w:val="18"/>
        </w:rPr>
      </w:pPr>
    </w:p>
    <w:p>
      <w:pPr>
        <w:pStyle w:val="Heading4"/>
        <w:spacing w:line="240" w:lineRule="auto" w:before="118"/>
        <w:ind w:right="982"/>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4"/>
        <w:spacing w:line="240" w:lineRule="auto"/>
        <w:ind w:right="982"/>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4"/>
        <w:spacing w:line="240" w:lineRule="auto"/>
        <w:ind w:right="98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4"/>
        <w:spacing w:line="240" w:lineRule="auto"/>
        <w:ind w:right="982"/>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982"/>
        <w:jc w:val="left"/>
        <w:rPr>
          <w:b w:val="0"/>
          <w:bCs w:val="0"/>
        </w:rPr>
      </w:pPr>
      <w:r>
        <w:rPr/>
        <w:t>十六、重大合同及其履行情况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4"/>
        <w:spacing w:line="240" w:lineRule="auto"/>
        <w:ind w:right="98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4"/>
        <w:spacing w:line="240" w:lineRule="auto"/>
        <w:ind w:right="98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1"/>
        <w:rPr>
          <w:rFonts w:ascii="宋体" w:hAnsi="宋体" w:cs="宋体" w:eastAsia="宋体" w:hint="default"/>
          <w:sz w:val="21"/>
          <w:szCs w:val="21"/>
        </w:rPr>
      </w:pPr>
    </w:p>
    <w:p>
      <w:pPr>
        <w:pStyle w:val="Heading4"/>
        <w:spacing w:line="240" w:lineRule="auto"/>
        <w:ind w:right="982"/>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9"/>
        <w:gridCol w:w="922"/>
        <w:gridCol w:w="924"/>
        <w:gridCol w:w="1302"/>
        <w:gridCol w:w="1057"/>
        <w:gridCol w:w="1041"/>
        <w:gridCol w:w="1048"/>
        <w:gridCol w:w="790"/>
        <w:gridCol w:w="783"/>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6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2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5"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6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1"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深圳思特奇信息技术 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0"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2019/6/25-20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20/6/24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北京无限易信科技有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0"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2019/6/25-20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20/6/24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上海实均信息技术有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450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0"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2019/6/25-20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20/6/24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7" w:right="7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7"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r>
      <w:tr>
        <w:trPr>
          <w:trHeight w:val="713"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r>
      <w:tr>
        <w:trPr>
          <w:trHeight w:val="409"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1.03%</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1"/>
        <w:ind w:right="982"/>
        <w:jc w:val="left"/>
      </w:pPr>
      <w:r>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18"/>
        <w:ind w:right="982"/>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after="0" w:line="338"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2"/>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1"/>
        <w:rPr>
          <w:rFonts w:ascii="宋体" w:hAnsi="宋体" w:cs="宋体" w:eastAsia="宋体" w:hint="default"/>
          <w:sz w:val="21"/>
          <w:szCs w:val="21"/>
        </w:rPr>
      </w:pPr>
    </w:p>
    <w:p>
      <w:pPr>
        <w:pStyle w:val="Heading4"/>
        <w:spacing w:line="240" w:lineRule="auto"/>
        <w:ind w:right="982"/>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4"/>
        <w:rPr>
          <w:rFonts w:ascii="宋体" w:hAnsi="宋体" w:cs="宋体" w:eastAsia="宋体" w:hint="default"/>
          <w:sz w:val="21"/>
          <w:szCs w:val="21"/>
        </w:rPr>
      </w:pPr>
    </w:p>
    <w:p>
      <w:pPr>
        <w:pStyle w:val="Heading4"/>
        <w:spacing w:line="240" w:lineRule="auto"/>
        <w:ind w:right="982"/>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982"/>
        <w:jc w:val="left"/>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spacing w:line="544" w:lineRule="auto" w:before="0"/>
        <w:ind w:left="153" w:right="9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100"/>
          <w:sz w:val="21"/>
          <w:szCs w:val="21"/>
        </w:rPr>
        <w:t> </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年度社会责任报告》已于</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日披露于中国证监会指定信息披露媒体巨潮资讯网（</w:t>
      </w:r>
      <w:hyperlink r:id="rId11">
        <w:r>
          <w:rPr>
            <w:rFonts w:ascii="Times New Roman" w:hAnsi="Times New Roman" w:cs="Times New Roman" w:eastAsia="Times New Roman" w:hint="default"/>
            <w:spacing w:val="-2"/>
            <w:sz w:val="18"/>
            <w:szCs w:val="18"/>
          </w:rPr>
          <w:t>www.cninfo.com.cn</w:t>
        </w:r>
      </w:hyperlink>
      <w:r>
        <w:rPr>
          <w:rFonts w:ascii="宋体" w:hAnsi="宋体" w:cs="宋体" w:eastAsia="宋体" w:hint="default"/>
          <w:spacing w:val="-2"/>
          <w:sz w:val="18"/>
          <w:szCs w:val="18"/>
        </w:rPr>
        <w:t>）。</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pStyle w:val="BodyText"/>
        <w:spacing w:line="240" w:lineRule="auto" w:before="51"/>
        <w:ind w:right="982"/>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18"/>
        <w:ind w:right="982"/>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3"/>
        <w:jc w:val="left"/>
      </w:pPr>
      <w:r>
        <w:rPr/>
        <w:t>上市公司及其子公司是否属于环境保护部门公布的重点排污单位 否</w:t>
      </w:r>
    </w:p>
    <w:p>
      <w:pPr>
        <w:pStyle w:val="BodyText"/>
        <w:spacing w:line="240" w:lineRule="auto" w:before="27"/>
        <w:ind w:right="982"/>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28" w:firstLine="360"/>
        <w:jc w:val="both"/>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日在指定信息披露媒体巨潮资讯网（</w:t>
      </w:r>
      <w:hyperlink r:id="rId11">
        <w:r>
          <w:rPr>
            <w:rFonts w:ascii="Times New Roman" w:hAnsi="Times New Roman" w:cs="Times New Roman" w:eastAsia="Times New Roman" w:hint="default"/>
            <w:spacing w:val="-2"/>
          </w:rPr>
          <w:t>www.cninfo.com.cn</w:t>
        </w:r>
      </w:hyperlink>
      <w:r>
        <w:rPr>
          <w:spacing w:val="-2"/>
        </w:rPr>
        <w:t>）刊登了《关于持股</w:t>
      </w:r>
      <w:r>
        <w:rPr>
          <w:rFonts w:ascii="Times New Roman" w:hAnsi="Times New Roman" w:cs="Times New Roman" w:eastAsia="Times New Roman" w:hint="default"/>
          <w:spacing w:val="-2"/>
        </w:rPr>
        <w:t>5%</w:t>
      </w:r>
      <w:r>
        <w:rPr>
          <w:spacing w:val="-2"/>
        </w:rPr>
        <w:t>以上股东权益变动</w:t>
      </w:r>
      <w:r>
        <w:rPr>
          <w:w w:val="99"/>
        </w:rPr>
        <w:t> </w:t>
      </w:r>
      <w:r>
        <w:rPr/>
        <w:t>的提示性公告》（公告编号：</w:t>
      </w:r>
      <w:r>
        <w:rPr>
          <w:rFonts w:ascii="Times New Roman" w:hAnsi="Times New Roman" w:cs="Times New Roman" w:eastAsia="Times New Roman" w:hint="default"/>
        </w:rPr>
        <w:t>2019-015</w:t>
      </w:r>
      <w:r>
        <w:rPr/>
        <w:t>），本次权益变动完成后，股东姚国宁的持股比例降至</w:t>
      </w:r>
      <w:r>
        <w:rPr>
          <w:rFonts w:ascii="Times New Roman" w:hAnsi="Times New Roman" w:cs="Times New Roman" w:eastAsia="Times New Roman" w:hint="default"/>
        </w:rPr>
        <w:t>5%</w:t>
      </w:r>
      <w:r>
        <w:rPr/>
        <w:t>以下，不再为公司持股</w:t>
      </w:r>
      <w:r>
        <w:rPr>
          <w:rFonts w:ascii="Times New Roman" w:hAnsi="Times New Roman" w:cs="Times New Roman" w:eastAsia="Times New Roman" w:hint="default"/>
        </w:rPr>
        <w:t>5%</w:t>
      </w:r>
      <w:r>
        <w:rPr>
          <w:rFonts w:ascii="Times New Roman" w:hAnsi="Times New Roman" w:cs="Times New Roman" w:eastAsia="Times New Roman" w:hint="default"/>
          <w:spacing w:val="-2"/>
          <w:w w:val="99"/>
        </w:rPr>
        <w:t> </w:t>
      </w:r>
      <w:r>
        <w:rPr/>
        <w:t>以上股东。</w:t>
      </w:r>
    </w:p>
    <w:p>
      <w:pPr>
        <w:pStyle w:val="BodyText"/>
        <w:spacing w:line="300" w:lineRule="auto" w:before="72"/>
        <w:ind w:right="1127" w:firstLine="36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日在指定信息披露媒体巨潮资讯网（</w:t>
      </w:r>
      <w:hyperlink r:id="rId11">
        <w:r>
          <w:rPr>
            <w:rFonts w:ascii="Times New Roman" w:hAnsi="Times New Roman" w:cs="Times New Roman" w:eastAsia="Times New Roman" w:hint="default"/>
          </w:rPr>
          <w:t>www.cninfo.com.cn</w:t>
        </w:r>
      </w:hyperlink>
      <w:r>
        <w:rPr/>
        <w:t>）刊登了《关于</w:t>
      </w:r>
      <w:r>
        <w:rPr>
          <w:rFonts w:ascii="Times New Roman" w:hAnsi="Times New Roman" w:cs="Times New Roman" w:eastAsia="Times New Roman" w:hint="default"/>
        </w:rPr>
        <w:t>2017</w:t>
      </w:r>
      <w:r>
        <w:rPr/>
        <w:t>年限制性股票激励</w:t>
      </w:r>
      <w:r>
        <w:rPr>
          <w:w w:val="99"/>
        </w:rPr>
        <w:t> </w:t>
      </w:r>
      <w:r>
        <w:rPr>
          <w:spacing w:val="-1"/>
        </w:rPr>
        <w:t>计划全部限制性股票回购注销完成的公告》（公告编号：</w:t>
      </w:r>
      <w:r>
        <w:rPr>
          <w:rFonts w:ascii="Times New Roman" w:hAnsi="Times New Roman" w:cs="Times New Roman" w:eastAsia="Times New Roman" w:hint="default"/>
          <w:spacing w:val="-1"/>
        </w:rPr>
        <w:t>2019-016</w:t>
      </w:r>
      <w:r>
        <w:rPr>
          <w:spacing w:val="-1"/>
        </w:rPr>
        <w:t>），公司</w:t>
      </w:r>
      <w:r>
        <w:rPr>
          <w:rFonts w:ascii="Times New Roman" w:hAnsi="Times New Roman" w:cs="Times New Roman" w:eastAsia="Times New Roman" w:hint="default"/>
          <w:spacing w:val="-1"/>
        </w:rPr>
        <w:t>2017</w:t>
      </w:r>
      <w:r>
        <w:rPr>
          <w:spacing w:val="-1"/>
        </w:rPr>
        <w:t>年限制性股票激励计划已授予尚未解除限售</w:t>
      </w:r>
      <w:r>
        <w:rPr>
          <w:w w:val="99"/>
        </w:rPr>
        <w:t> </w:t>
      </w:r>
      <w:r>
        <w:rPr>
          <w:spacing w:val="2"/>
        </w:rPr>
        <w:t>的全部限制性股票共计</w:t>
      </w:r>
      <w:r>
        <w:rPr>
          <w:rFonts w:ascii="Times New Roman" w:hAnsi="Times New Roman" w:cs="Times New Roman" w:eastAsia="Times New Roman" w:hint="default"/>
          <w:spacing w:val="2"/>
        </w:rPr>
        <w:t>94.26</w:t>
      </w:r>
      <w:r>
        <w:rPr>
          <w:spacing w:val="2"/>
        </w:rPr>
        <w:t>万股，已于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日在中国证券登记结算有限责任公司深圳分公司办理完成回购注销手</w:t>
      </w:r>
      <w:r>
        <w:rPr>
          <w:spacing w:val="-87"/>
        </w:rPr>
        <w:t> </w:t>
      </w:r>
      <w:r>
        <w:rPr>
          <w:spacing w:val="-87"/>
        </w:rPr>
      </w:r>
      <w:r>
        <w:rPr/>
        <w:t>续。本次回购注销完成后，公司总股本由</w:t>
      </w:r>
      <w:r>
        <w:rPr>
          <w:rFonts w:ascii="Times New Roman" w:hAnsi="Times New Roman" w:cs="Times New Roman" w:eastAsia="Times New Roman" w:hint="default"/>
        </w:rPr>
        <w:t>106,117,800</w:t>
      </w:r>
      <w:r>
        <w:rPr/>
        <w:t>股减少至</w:t>
      </w:r>
      <w:r>
        <w:rPr>
          <w:rFonts w:ascii="Times New Roman" w:hAnsi="Times New Roman" w:cs="Times New Roman" w:eastAsia="Times New Roman" w:hint="default"/>
        </w:rPr>
        <w:t>105,175,200</w:t>
      </w:r>
      <w:r>
        <w:rPr/>
        <w:t>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日，公司完成了本次注册资本变</w:t>
      </w:r>
      <w:r>
        <w:rPr>
          <w:w w:val="99"/>
        </w:rPr>
        <w:t> </w:t>
      </w:r>
      <w:r>
        <w:rPr/>
        <w:t>更的工商登记手续。</w:t>
      </w:r>
    </w:p>
    <w:p>
      <w:pPr>
        <w:spacing w:after="0" w:line="300"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8" w:firstLine="360"/>
        <w:jc w:val="both"/>
      </w:pPr>
      <w:r>
        <w:rPr>
          <w:rFonts w:ascii="Times New Roman" w:hAnsi="Times New Roman" w:cs="Times New Roman" w:eastAsia="Times New Roman" w:hint="default"/>
          <w:spacing w:val="-1"/>
        </w:rPr>
        <w:t>3</w:t>
      </w:r>
      <w:r>
        <w:rPr>
          <w:spacing w:val="-1"/>
        </w:rPr>
        <w:t>、公司</w:t>
      </w:r>
      <w:r>
        <w:rPr>
          <w:rFonts w:ascii="Times New Roman" w:hAnsi="Times New Roman" w:cs="Times New Roman" w:eastAsia="Times New Roman" w:hint="default"/>
          <w:spacing w:val="-1"/>
        </w:rPr>
        <w:t>2017</w:t>
      </w:r>
      <w:r>
        <w:rPr>
          <w:spacing w:val="-1"/>
        </w:rPr>
        <w:t>年限制性股票激励计划全部限制性股票回购注销完成后，因总股本减少，股东王维的持股比例由</w:t>
      </w:r>
      <w:r>
        <w:rPr>
          <w:rFonts w:ascii="Times New Roman" w:hAnsi="Times New Roman" w:cs="Times New Roman" w:eastAsia="Times New Roman" w:hint="default"/>
          <w:spacing w:val="-1"/>
        </w:rPr>
        <w:t>4.99555%</w:t>
      </w:r>
      <w:r>
        <w:rPr>
          <w:rFonts w:ascii="Times New Roman" w:hAnsi="Times New Roman" w:cs="Times New Roman" w:eastAsia="Times New Roman" w:hint="default"/>
        </w:rPr>
        <w:t> </w:t>
      </w:r>
      <w:r>
        <w:rPr>
          <w:spacing w:val="-2"/>
        </w:rPr>
        <w:t>被动增加至</w:t>
      </w:r>
      <w:r>
        <w:rPr>
          <w:rFonts w:ascii="Times New Roman" w:hAnsi="Times New Roman" w:cs="Times New Roman" w:eastAsia="Times New Roman" w:hint="default"/>
          <w:spacing w:val="-2"/>
        </w:rPr>
        <w:t>5%</w:t>
      </w:r>
      <w:r>
        <w:rPr>
          <w:spacing w:val="-2"/>
        </w:rPr>
        <w:t>以上。</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日，王维先生以集中竞价交易方式减持公司股份</w:t>
      </w:r>
      <w:r>
        <w:rPr>
          <w:rFonts w:ascii="Times New Roman" w:hAnsi="Times New Roman" w:cs="Times New Roman" w:eastAsia="Times New Roman" w:hint="default"/>
          <w:spacing w:val="-2"/>
        </w:rPr>
        <w:t>42,700</w:t>
      </w:r>
      <w:r>
        <w:rPr>
          <w:spacing w:val="-2"/>
        </w:rPr>
        <w:t>股，持有公司股份比例再次降至</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8"/>
        </w:rPr>
        <w:t> </w:t>
      </w:r>
      <w:r>
        <w:rPr>
          <w:spacing w:val="14"/>
        </w:rPr>
        <w:t>以下，</w:t>
      </w:r>
      <w:r>
        <w:rPr>
          <w:spacing w:val="-69"/>
        </w:rPr>
        <w:t> </w:t>
      </w:r>
      <w:r>
        <w:rPr/>
        <w:t>不</w:t>
      </w:r>
      <w:r>
        <w:rPr>
          <w:spacing w:val="-67"/>
        </w:rPr>
        <w:t> </w:t>
      </w:r>
      <w:r>
        <w:rPr>
          <w:spacing w:val="14"/>
        </w:rPr>
        <w:t>再为公</w:t>
      </w:r>
      <w:r>
        <w:rPr>
          <w:spacing w:val="-67"/>
        </w:rPr>
        <w:t> </w:t>
      </w:r>
      <w:r>
        <w:rPr>
          <w:spacing w:val="14"/>
        </w:rPr>
        <w:t>司持股</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spacing w:val="15"/>
        </w:rPr>
        <w:t>以上股东</w:t>
      </w:r>
      <w:r>
        <w:rPr>
          <w:spacing w:val="-67"/>
        </w:rPr>
        <w:t> </w:t>
      </w:r>
      <w:r>
        <w:rPr/>
        <w:t>，</w:t>
      </w:r>
      <w:r>
        <w:rPr>
          <w:spacing w:val="-69"/>
        </w:rPr>
        <w:t> </w:t>
      </w:r>
      <w:r>
        <w:rPr>
          <w:spacing w:val="10"/>
        </w:rPr>
        <w:t>具体</w:t>
      </w:r>
      <w:r>
        <w:rPr>
          <w:spacing w:val="-67"/>
        </w:rPr>
        <w:t> </w:t>
      </w:r>
      <w:r>
        <w:rPr>
          <w:spacing w:val="14"/>
        </w:rPr>
        <w:t>内容详</w:t>
      </w:r>
      <w:r>
        <w:rPr>
          <w:spacing w:val="-67"/>
        </w:rPr>
        <w:t> </w:t>
      </w:r>
      <w:r>
        <w:rPr>
          <w:spacing w:val="10"/>
        </w:rPr>
        <w:t>见公</w:t>
      </w:r>
      <w:r>
        <w:rPr>
          <w:spacing w:val="-67"/>
        </w:rPr>
        <w:t> </w:t>
      </w:r>
      <w:r>
        <w:rPr>
          <w:spacing w:val="10"/>
        </w:rPr>
        <w:t>司于</w:t>
      </w:r>
      <w:r>
        <w:rPr>
          <w:spacing w:val="-6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t>年</w:t>
      </w:r>
      <w:r>
        <w:rPr>
          <w:spacing w:val="-69"/>
        </w:rPr>
        <w:t> </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月</w:t>
      </w:r>
      <w:r>
        <w:rPr>
          <w:spacing w:val="-69"/>
        </w:rPr>
        <w:t> </w:t>
      </w:r>
      <w:r>
        <w:rPr>
          <w:rFonts w:ascii="Times New Roman" w:hAnsi="Times New Roman" w:cs="Times New Roman" w:eastAsia="Times New Roman" w:hint="default"/>
        </w:rPr>
        <w:t>15</w:t>
      </w:r>
      <w:r>
        <w:rPr>
          <w:rFonts w:ascii="Times New Roman" w:hAnsi="Times New Roman" w:cs="Times New Roman" w:eastAsia="Times New Roman" w:hint="default"/>
          <w:spacing w:val="-23"/>
        </w:rPr>
        <w:t> </w:t>
      </w:r>
      <w:r>
        <w:rPr>
          <w:spacing w:val="18"/>
        </w:rPr>
        <w:t>日刊登在指定信息</w:t>
      </w:r>
      <w:r>
        <w:rPr>
          <w:spacing w:val="-67"/>
        </w:rPr>
        <w:t> </w:t>
      </w:r>
      <w:r>
        <w:rPr>
          <w:spacing w:val="14"/>
        </w:rPr>
        <w:t>披露媒</w:t>
      </w:r>
      <w:r>
        <w:rPr>
          <w:spacing w:val="-67"/>
        </w:rPr>
        <w:t> </w:t>
      </w:r>
      <w:r>
        <w:rPr>
          <w:spacing w:val="14"/>
        </w:rPr>
        <w:t>体巨潮</w:t>
      </w:r>
      <w:r>
        <w:rPr>
          <w:spacing w:val="-67"/>
        </w:rPr>
        <w:t> </w:t>
      </w:r>
      <w:r>
        <w:rPr>
          <w:spacing w:val="10"/>
        </w:rPr>
        <w:t>资讯</w:t>
      </w:r>
      <w:r>
        <w:rPr>
          <w:spacing w:val="-67"/>
        </w:rPr>
        <w:t> </w:t>
      </w:r>
      <w:r>
        <w:rPr/>
        <w:t>网</w:t>
      </w:r>
    </w:p>
    <w:p>
      <w:pPr>
        <w:pStyle w:val="BodyText"/>
        <w:spacing w:line="240" w:lineRule="auto" w:before="13"/>
        <w:ind w:right="982"/>
        <w:jc w:val="left"/>
      </w:pPr>
      <w:r>
        <w:rPr/>
        <w:t>（</w:t>
      </w:r>
      <w:hyperlink r:id="rId11">
        <w:r>
          <w:rPr>
            <w:rFonts w:ascii="Times New Roman" w:hAnsi="Times New Roman" w:cs="Times New Roman" w:eastAsia="Times New Roman" w:hint="default"/>
          </w:rPr>
          <w:t>www.cninfo.com.cn</w:t>
        </w:r>
      </w:hyperlink>
      <w:r>
        <w:rPr/>
        <w:t>）《关于持股</w:t>
      </w:r>
      <w:r>
        <w:rPr>
          <w:rFonts w:ascii="Times New Roman" w:hAnsi="Times New Roman" w:cs="Times New Roman" w:eastAsia="Times New Roman" w:hint="default"/>
        </w:rPr>
        <w:t>5%</w:t>
      </w:r>
      <w:r>
        <w:rPr/>
        <w:t>以上股东权益变动的提示性公告》（公告编号：</w:t>
      </w:r>
      <w:r>
        <w:rPr>
          <w:rFonts w:ascii="Times New Roman" w:hAnsi="Times New Roman" w:cs="Times New Roman" w:eastAsia="Times New Roman" w:hint="default"/>
        </w:rPr>
        <w:t>2019-053</w:t>
      </w:r>
      <w:r>
        <w:rPr/>
        <w:t>）。</w:t>
      </w:r>
    </w:p>
    <w:p>
      <w:pPr>
        <w:pStyle w:val="BodyText"/>
        <w:spacing w:line="300" w:lineRule="auto" w:before="103"/>
        <w:ind w:right="1082" w:firstLine="360"/>
        <w:jc w:val="both"/>
      </w:pP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日召开第二届董事会第二十一次会议，审议通过了《关于对外投资之设立广州大奇数据有限公司</w:t>
      </w:r>
      <w:r>
        <w:rPr/>
        <w:t> </w:t>
      </w:r>
      <w:r>
        <w:rPr>
          <w:rFonts w:ascii="Times New Roman" w:hAnsi="Times New Roman" w:cs="Times New Roman" w:eastAsia="Times New Roman" w:hint="default"/>
        </w:rPr>
        <w:t>(</w:t>
      </w:r>
      <w:r>
        <w:rPr/>
        <w:t>暂定名</w:t>
      </w:r>
      <w:r>
        <w:rPr>
          <w:rFonts w:ascii="Times New Roman" w:hAnsi="Times New Roman" w:cs="Times New Roman" w:eastAsia="Times New Roman" w:hint="default"/>
        </w:rPr>
        <w:t>)</w:t>
      </w:r>
      <w:r>
        <w:rPr/>
        <w:t>的议案》，公司拟使用自有资金人民币</w:t>
      </w:r>
      <w:r>
        <w:rPr>
          <w:rFonts w:ascii="Times New Roman" w:hAnsi="Times New Roman" w:cs="Times New Roman" w:eastAsia="Times New Roman" w:hint="default"/>
        </w:rPr>
        <w:t>1,000</w:t>
      </w:r>
      <w:r>
        <w:rPr/>
        <w:t>万元设立全资子公司广州大奇数据有限公司（以下简称</w:t>
      </w:r>
      <w:r>
        <w:rPr>
          <w:rFonts w:ascii="Times New Roman" w:hAnsi="Times New Roman" w:cs="Times New Roman" w:eastAsia="Times New Roman" w:hint="default"/>
        </w:rPr>
        <w:t>“</w:t>
      </w:r>
      <w:r>
        <w:rPr/>
        <w:t>大奇数据</w:t>
      </w:r>
      <w:r>
        <w:rPr>
          <w:rFonts w:ascii="Times New Roman" w:hAnsi="Times New Roman" w:cs="Times New Roman" w:eastAsia="Times New Roman" w:hint="default"/>
        </w:rPr>
        <w:t>”</w:t>
      </w:r>
      <w:r>
        <w:rPr/>
        <w:t>）。 大奇数据已于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月完成工商设立登记手续，领取了广州市黄埔区市场和质量监督管理局颁发的《营业执照》，核准名</w:t>
      </w:r>
      <w:r>
        <w:rPr>
          <w:spacing w:val="-86"/>
        </w:rPr>
        <w:t> </w:t>
      </w:r>
      <w:r>
        <w:rPr>
          <w:spacing w:val="-86"/>
        </w:rPr>
      </w:r>
      <w:r>
        <w:rPr/>
        <w:t>称为：广州大奇数据科技有限公司，统一社会信用代码为</w:t>
      </w:r>
      <w:r>
        <w:rPr>
          <w:rFonts w:ascii="Times New Roman" w:hAnsi="Times New Roman" w:cs="Times New Roman" w:eastAsia="Times New Roman" w:hint="default"/>
        </w:rPr>
        <w:t>91440101MA5CR68CX4</w:t>
      </w:r>
      <w:r>
        <w:rPr/>
        <w:t>。</w:t>
      </w:r>
    </w:p>
    <w:p>
      <w:pPr>
        <w:pStyle w:val="BodyText"/>
        <w:spacing w:line="300" w:lineRule="auto" w:before="51"/>
        <w:ind w:right="1039" w:firstLine="360"/>
        <w:jc w:val="left"/>
      </w:pPr>
      <w:r>
        <w:rPr>
          <w:rFonts w:ascii="Times New Roman" w:hAnsi="Times New Roman" w:cs="Times New Roman" w:eastAsia="Times New Roman" w:hint="default"/>
          <w:spacing w:val="-2"/>
        </w:rPr>
        <w:t>5</w:t>
      </w:r>
      <w:r>
        <w:rPr>
          <w:spacing w:val="-2"/>
        </w:rPr>
        <w:t>、公司第二届董事会、监事会已于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日届满。</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日，公司召开</w:t>
      </w:r>
      <w:r>
        <w:rPr>
          <w:rFonts w:ascii="Times New Roman" w:hAnsi="Times New Roman" w:cs="Times New Roman" w:eastAsia="Times New Roman" w:hint="default"/>
          <w:spacing w:val="-2"/>
        </w:rPr>
        <w:t>2018</w:t>
      </w:r>
      <w:r>
        <w:rPr>
          <w:spacing w:val="-2"/>
        </w:rPr>
        <w:t>年度股东大会，完成换届选举，</w:t>
      </w:r>
      <w:r>
        <w:rPr/>
        <w:t> 具体内容详见公司刊登在指定信息披露媒体巨潮资讯网（</w:t>
      </w:r>
      <w:hyperlink r:id="rId11">
        <w:r>
          <w:rPr>
            <w:rFonts w:ascii="Times New Roman" w:hAnsi="Times New Roman" w:cs="Times New Roman" w:eastAsia="Times New Roman" w:hint="default"/>
          </w:rPr>
          <w:t>www.cninfo.com.cn</w:t>
        </w:r>
      </w:hyperlink>
      <w:r>
        <w:rPr/>
        <w:t>）《关于董事会、监事会完成换届选举暨部分</w:t>
      </w:r>
      <w:r>
        <w:rPr>
          <w:spacing w:val="-26"/>
        </w:rPr>
        <w:t> </w:t>
      </w:r>
      <w:r>
        <w:rPr>
          <w:spacing w:val="-26"/>
        </w:rPr>
      </w:r>
      <w:r>
        <w:rPr/>
        <w:t>董事届满离任的公告》（公告编号：</w:t>
      </w:r>
      <w:r>
        <w:rPr>
          <w:rFonts w:ascii="Times New Roman" w:hAnsi="Times New Roman" w:cs="Times New Roman" w:eastAsia="Times New Roman" w:hint="default"/>
        </w:rPr>
        <w:t>2019-058</w:t>
      </w:r>
      <w:r>
        <w:rPr/>
        <w:t>）。</w:t>
      </w:r>
    </w:p>
    <w:p>
      <w:pPr>
        <w:pStyle w:val="BodyText"/>
        <w:spacing w:line="300" w:lineRule="auto" w:before="53"/>
        <w:ind w:right="1042" w:firstLine="360"/>
        <w:jc w:val="left"/>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日，公司召开第三届董事会第二次会议、第三届监事会第二次会议，审议通过了《关于公司购买办公楼</w:t>
      </w:r>
      <w:r>
        <w:rPr/>
        <w:t> </w:t>
      </w:r>
      <w:r>
        <w:rPr>
          <w:spacing w:val="-5"/>
        </w:rPr>
        <w:t>的议案》，公司拟向北京万毓房地产开发有限公司（以下简称</w:t>
      </w:r>
      <w:r>
        <w:rPr>
          <w:rFonts w:ascii="Times New Roman" w:hAnsi="Times New Roman" w:cs="Times New Roman" w:eastAsia="Times New Roman" w:hint="default"/>
          <w:spacing w:val="-5"/>
        </w:rPr>
        <w:t>“</w:t>
      </w:r>
      <w:r>
        <w:rPr>
          <w:spacing w:val="-5"/>
        </w:rPr>
        <w:t>北京万毓地产</w:t>
      </w:r>
      <w:r>
        <w:rPr>
          <w:rFonts w:ascii="Times New Roman" w:hAnsi="Times New Roman" w:cs="Times New Roman" w:eastAsia="Times New Roman" w:hint="default"/>
          <w:spacing w:val="-5"/>
        </w:rPr>
        <w:t>”</w:t>
      </w:r>
      <w:r>
        <w:rPr>
          <w:spacing w:val="-5"/>
        </w:rPr>
        <w:t>）购置位于北京市海淀区万科翠湖国际南区</w:t>
      </w:r>
      <w:r>
        <w:rPr>
          <w:rFonts w:ascii="Times New Roman" w:hAnsi="Times New Roman" w:cs="Times New Roman" w:eastAsia="Times New Roman" w:hint="default"/>
          <w:spacing w:val="-5"/>
        </w:rPr>
        <w:t>0062</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地块</w:t>
      </w:r>
      <w:r>
        <w:rPr>
          <w:rFonts w:ascii="Times New Roman" w:hAnsi="Times New Roman" w:cs="Times New Roman" w:eastAsia="Times New Roman" w:hint="default"/>
        </w:rPr>
        <w:t>7</w:t>
      </w:r>
      <w:r>
        <w:rPr/>
        <w:t>号楼的房产用于办公，预测总建筑面积为</w:t>
      </w:r>
      <w:r>
        <w:rPr>
          <w:rFonts w:ascii="Times New Roman" w:hAnsi="Times New Roman" w:cs="Times New Roman" w:eastAsia="Times New Roman" w:hint="default"/>
        </w:rPr>
        <w:t>8173.52</w:t>
      </w:r>
      <w:r>
        <w:rPr/>
        <w:t>平米，交易价格约为人民币</w:t>
      </w:r>
      <w:r>
        <w:rPr>
          <w:rFonts w:ascii="Times New Roman" w:hAnsi="Times New Roman" w:cs="Times New Roman" w:eastAsia="Times New Roman" w:hint="default"/>
        </w:rPr>
        <w:t>31,011.925</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日，公司与 北京万毓地产签署了《翠湖国际南区</w:t>
      </w:r>
      <w:r>
        <w:rPr>
          <w:rFonts w:ascii="Times New Roman" w:hAnsi="Times New Roman" w:cs="Times New Roman" w:eastAsia="Times New Roman" w:hint="default"/>
        </w:rPr>
        <w:t>7#</w:t>
      </w:r>
      <w:r>
        <w:rPr/>
        <w:t>房屋合作协议》，标的资产交易价格（按预测面积核算）为人民币</w:t>
      </w:r>
      <w:r>
        <w:rPr>
          <w:rFonts w:ascii="Times New Roman" w:hAnsi="Times New Roman" w:cs="Times New Roman" w:eastAsia="Times New Roman" w:hint="default"/>
        </w:rPr>
        <w:t>31,011.925</w:t>
      </w:r>
      <w:r>
        <w:rPr/>
        <w:t>万元。</w:t>
      </w:r>
      <w:r>
        <w:rPr>
          <w:spacing w:val="-85"/>
        </w:rPr>
        <w:t> </w:t>
      </w:r>
      <w:r>
        <w:rPr>
          <w:spacing w:val="-85"/>
        </w:rPr>
      </w:r>
      <w:r>
        <w:rPr>
          <w:spacing w:val="-1"/>
        </w:rPr>
        <w:t>具体内容详见公司刊登在指定信息披露媒体巨潮资讯网（</w:t>
      </w:r>
      <w:hyperlink r:id="rId11">
        <w:r>
          <w:rPr>
            <w:rFonts w:ascii="Times New Roman" w:hAnsi="Times New Roman" w:cs="Times New Roman" w:eastAsia="Times New Roman" w:hint="default"/>
            <w:spacing w:val="-1"/>
          </w:rPr>
          <w:t>www.cninfo.com.cn</w:t>
        </w:r>
      </w:hyperlink>
      <w:r>
        <w:rPr>
          <w:spacing w:val="-1"/>
        </w:rPr>
        <w:t>）《关于公司购买办公楼的公告》（公告编号：</w:t>
      </w:r>
      <w:r>
        <w:rPr>
          <w:spacing w:val="-53"/>
        </w:rPr>
        <w:t> </w:t>
      </w:r>
      <w:r>
        <w:rPr>
          <w:spacing w:val="-53"/>
        </w:rPr>
      </w:r>
      <w:r>
        <w:rPr>
          <w:rFonts w:ascii="Times New Roman" w:hAnsi="Times New Roman" w:cs="Times New Roman" w:eastAsia="Times New Roman" w:hint="default"/>
        </w:rPr>
        <w:t>2019-078</w:t>
      </w:r>
      <w:r>
        <w:rPr/>
        <w:t>）、《关于公司购买办公楼的进展公告》（公告编号：</w:t>
      </w:r>
      <w:r>
        <w:rPr>
          <w:rFonts w:ascii="Times New Roman" w:hAnsi="Times New Roman" w:cs="Times New Roman" w:eastAsia="Times New Roman" w:hint="default"/>
        </w:rPr>
        <w:t>2019-087</w:t>
      </w:r>
      <w:r>
        <w:rPr/>
        <w:t>）。</w:t>
      </w:r>
    </w:p>
    <w:p>
      <w:pPr>
        <w:pStyle w:val="BodyText"/>
        <w:spacing w:line="300" w:lineRule="auto" w:before="53"/>
        <w:ind w:right="1042" w:firstLine="360"/>
        <w:jc w:val="both"/>
      </w:pP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日，公司召开第三届董事会第四次会议、第三届监事会第四次会议，并于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23</w:t>
      </w:r>
      <w:r>
        <w:rPr>
          <w:spacing w:val="-2"/>
        </w:rPr>
        <w:t>日召开</w:t>
      </w:r>
      <w:r>
        <w:rPr>
          <w:rFonts w:ascii="Times New Roman" w:hAnsi="Times New Roman" w:cs="Times New Roman" w:eastAsia="Times New Roman" w:hint="default"/>
          <w:spacing w:val="-2"/>
        </w:rPr>
        <w:t>2019</w:t>
      </w:r>
      <w:r>
        <w:rPr>
          <w:spacing w:val="-2"/>
        </w:rPr>
        <w:t>年第二</w:t>
      </w:r>
      <w:r>
        <w:rPr/>
        <w:t> 次临时股东大会，审议通过了公司公开发行可转换公司债券的相关议案。经股东大会授权，公司于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日召开第三</w:t>
      </w:r>
      <w:r>
        <w:rPr>
          <w:spacing w:val="-85"/>
        </w:rPr>
        <w:t> </w:t>
      </w:r>
      <w:r>
        <w:rPr>
          <w:spacing w:val="-85"/>
        </w:rPr>
      </w:r>
      <w:r>
        <w:rPr>
          <w:spacing w:val="-4"/>
        </w:rPr>
        <w:t>届董事会第五次会议、第三届监事会第五次会议，审议通过了《关于公司公开发行可转换公司债券预案（修订稿）的议案》、</w:t>
      </w:r>
    </w:p>
    <w:p>
      <w:pPr>
        <w:pStyle w:val="BodyText"/>
        <w:spacing w:line="240" w:lineRule="auto" w:before="31"/>
        <w:ind w:right="982"/>
        <w:jc w:val="left"/>
        <w:rPr>
          <w:rFonts w:ascii="Times New Roman" w:hAnsi="Times New Roman" w:cs="Times New Roman" w:eastAsia="Times New Roman" w:hint="default"/>
        </w:rPr>
      </w:pPr>
      <w:r>
        <w:rPr/>
        <w:t>《关于公司公开发行可转换公司债券的论证分析报告（修订稿）的议案》。具体内容详见公司分别于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2019</w:t>
      </w:r>
    </w:p>
    <w:p>
      <w:pPr>
        <w:pStyle w:val="BodyText"/>
        <w:spacing w:line="240" w:lineRule="auto" w:before="63"/>
        <w:ind w:right="982"/>
        <w:jc w:val="left"/>
      </w:pP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日刊登在指定信息披露媒体巨潮资讯网（</w:t>
      </w:r>
      <w:hyperlink r:id="rId11">
        <w:r>
          <w:rPr>
            <w:rFonts w:ascii="Times New Roman" w:hAnsi="Times New Roman" w:cs="Times New Roman" w:eastAsia="Times New Roman" w:hint="default"/>
          </w:rPr>
          <w:t>www.cninfo.com.cn</w:t>
        </w:r>
      </w:hyperlink>
      <w:r>
        <w:rPr/>
        <w:t>）的相关公告。</w:t>
      </w:r>
    </w:p>
    <w:p>
      <w:pPr>
        <w:pStyle w:val="BodyText"/>
        <w:spacing w:line="300" w:lineRule="auto" w:before="101"/>
        <w:ind w:right="1131"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日，公司收到中国证监会出具的《中国证监会行政许可申请受理单》（受理序号：</w:t>
      </w:r>
      <w:r>
        <w:rPr>
          <w:rFonts w:ascii="Times New Roman" w:hAnsi="Times New Roman" w:cs="Times New Roman" w:eastAsia="Times New Roman" w:hint="default"/>
          <w:spacing w:val="-2"/>
        </w:rPr>
        <w:t>192573</w:t>
      </w:r>
      <w:r>
        <w:rPr>
          <w:spacing w:val="-2"/>
        </w:rPr>
        <w:t>号），具体内容</w:t>
      </w:r>
      <w:r>
        <w:rPr/>
        <w:t> 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日刊登在指定信息披露媒体巨潮资讯网（</w:t>
      </w:r>
      <w:hyperlink r:id="rId11">
        <w:r>
          <w:rPr>
            <w:rFonts w:ascii="Times New Roman" w:hAnsi="Times New Roman" w:cs="Times New Roman" w:eastAsia="Times New Roman" w:hint="default"/>
          </w:rPr>
          <w:t>www.cninfo.com.cn</w:t>
        </w:r>
      </w:hyperlink>
      <w:r>
        <w:rPr/>
        <w:t>）的公告。</w:t>
      </w:r>
    </w:p>
    <w:p>
      <w:pPr>
        <w:pStyle w:val="BodyText"/>
        <w:spacing w:line="300" w:lineRule="auto" w:before="53"/>
        <w:ind w:right="1041"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日，公司收到中国证监会出具的《中国证监会行政许可项目审查一次反馈意见通知书》（</w:t>
      </w:r>
      <w:r>
        <w:rPr>
          <w:rFonts w:ascii="Times New Roman" w:hAnsi="Times New Roman" w:cs="Times New Roman" w:eastAsia="Times New Roman" w:hint="default"/>
          <w:spacing w:val="-2"/>
        </w:rPr>
        <w:t>192573</w:t>
      </w:r>
      <w:r>
        <w:rPr>
          <w:spacing w:val="-2"/>
        </w:rPr>
        <w:t>号）（以</w:t>
      </w:r>
      <w:r>
        <w:rPr/>
        <w:t> </w:t>
      </w:r>
      <w:r>
        <w:rPr>
          <w:spacing w:val="-3"/>
        </w:rPr>
        <w:t>下简称</w:t>
      </w:r>
      <w:r>
        <w:rPr>
          <w:rFonts w:ascii="Times New Roman" w:hAnsi="Times New Roman" w:cs="Times New Roman" w:eastAsia="Times New Roman" w:hint="default"/>
          <w:spacing w:val="-3"/>
        </w:rPr>
        <w:t>“</w:t>
      </w:r>
      <w:r>
        <w:rPr>
          <w:spacing w:val="-3"/>
        </w:rPr>
        <w:t>反馈意见</w:t>
      </w:r>
      <w:r>
        <w:rPr>
          <w:rFonts w:ascii="Times New Roman" w:hAnsi="Times New Roman" w:cs="Times New Roman" w:eastAsia="Times New Roman" w:hint="default"/>
          <w:spacing w:val="-3"/>
        </w:rPr>
        <w:t>”</w:t>
      </w:r>
      <w:r>
        <w:rPr>
          <w:spacing w:val="-3"/>
        </w:rPr>
        <w:t>），需要公司就有关问题作出书面说明和解释。公司与相关中介机构对反馈意见逐项进行认真研究和落实，</w:t>
      </w:r>
      <w:r>
        <w:rPr>
          <w:spacing w:val="-78"/>
        </w:rPr>
        <w:t> </w:t>
      </w:r>
      <w:r>
        <w:rPr>
          <w:spacing w:val="-78"/>
        </w:rPr>
      </w:r>
      <w:r>
        <w:rPr>
          <w:spacing w:val="-2"/>
        </w:rPr>
        <w:t>并按照反馈意见的要求对所涉及的事项进行了问题答复。具体回复内容详见公司于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22</w:t>
      </w:r>
      <w:r>
        <w:rPr>
          <w:spacing w:val="-2"/>
        </w:rPr>
        <w:t>日刊登在指定信息披露媒体</w:t>
      </w:r>
      <w:r>
        <w:rPr>
          <w:spacing w:val="-59"/>
        </w:rPr>
        <w:t> </w:t>
      </w:r>
      <w:r>
        <w:rPr>
          <w:spacing w:val="-59"/>
        </w:rPr>
      </w:r>
      <w:r>
        <w:rPr/>
        <w:t>巨潮资讯网（</w:t>
      </w:r>
      <w:hyperlink r:id="rId11">
        <w:r>
          <w:rPr>
            <w:rFonts w:ascii="Times New Roman" w:hAnsi="Times New Roman" w:cs="Times New Roman" w:eastAsia="Times New Roman" w:hint="default"/>
          </w:rPr>
          <w:t>www.cninfo.com.cn</w:t>
        </w:r>
      </w:hyperlink>
      <w:r>
        <w:rPr/>
        <w:t>）《公司与华创证券有限责任公司关于公司创业板公开发行可转换公司债券申请文件反馈</w:t>
      </w:r>
      <w:r>
        <w:rPr>
          <w:spacing w:val="-28"/>
        </w:rPr>
        <w:t> </w:t>
      </w:r>
      <w:r>
        <w:rPr>
          <w:spacing w:val="-28"/>
        </w:rPr>
      </w:r>
      <w:r>
        <w:rPr/>
        <w:t>意见的回复》。</w:t>
      </w:r>
    </w:p>
    <w:p>
      <w:pPr>
        <w:pStyle w:val="BodyText"/>
        <w:spacing w:line="300" w:lineRule="auto" w:before="72"/>
        <w:ind w:right="1039" w:firstLine="360"/>
        <w:jc w:val="both"/>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日，公司收到中国证监会出具的《关于请做好北京思特奇信息技术股份有限公司创业板公开发行可转债发 审委会议准备工作的函》（以下简称</w:t>
      </w:r>
      <w:r>
        <w:rPr>
          <w:rFonts w:ascii="Times New Roman" w:hAnsi="Times New Roman" w:cs="Times New Roman" w:eastAsia="Times New Roman" w:hint="default"/>
        </w:rPr>
        <w:t>“</w:t>
      </w:r>
      <w:r>
        <w:rPr/>
        <w:t>《告知函》</w:t>
      </w:r>
      <w:r>
        <w:rPr>
          <w:rFonts w:ascii="Times New Roman" w:hAnsi="Times New Roman" w:cs="Times New Roman" w:eastAsia="Times New Roman" w:hint="default"/>
        </w:rPr>
        <w:t>”</w:t>
      </w:r>
      <w:r>
        <w:rPr/>
        <w:t>）。公司与相关中介机构对《告知函》中提出的相关问题进行了认真研究 </w:t>
      </w:r>
      <w:r>
        <w:rPr>
          <w:spacing w:val="-2"/>
        </w:rPr>
        <w:t>和逐项落实，并对《告知函》进行了回复，具体内容详见公司于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日刊登在巨潮资讯网（</w:t>
      </w:r>
      <w:hyperlink r:id="rId11">
        <w:r>
          <w:rPr>
            <w:rFonts w:ascii="Times New Roman" w:hAnsi="Times New Roman" w:cs="Times New Roman" w:eastAsia="Times New Roman" w:hint="default"/>
            <w:spacing w:val="-2"/>
          </w:rPr>
          <w:t>http://www.cninfo.com.cn</w:t>
        </w:r>
      </w:hyperlink>
      <w:r>
        <w:rPr>
          <w:spacing w:val="-2"/>
        </w:rPr>
        <w:t>）</w:t>
      </w:r>
    </w:p>
    <w:p>
      <w:pPr>
        <w:pStyle w:val="BodyText"/>
        <w:spacing w:line="300" w:lineRule="auto" w:before="13"/>
        <w:ind w:right="982"/>
        <w:jc w:val="left"/>
      </w:pPr>
      <w:r>
        <w:rPr>
          <w:spacing w:val="2"/>
        </w:rPr>
        <w:t>《公司与华创证券有限责任公司关于</w:t>
      </w:r>
      <w:r>
        <w:rPr>
          <w:rFonts w:ascii="Times New Roman" w:hAnsi="Times New Roman" w:cs="Times New Roman" w:eastAsia="Times New Roman" w:hint="default"/>
          <w:spacing w:val="2"/>
        </w:rPr>
        <w:t>&lt;</w:t>
      </w:r>
      <w:r>
        <w:rPr>
          <w:spacing w:val="2"/>
        </w:rPr>
        <w:t>关于请做好北京思特奇信息技术股份有限公司创业板公开发行可转债发审委会议准</w:t>
      </w:r>
      <w:r>
        <w:rPr>
          <w:spacing w:val="-48"/>
        </w:rPr>
        <w:t> </w:t>
      </w:r>
      <w:r>
        <w:rPr>
          <w:spacing w:val="-48"/>
        </w:rPr>
      </w:r>
      <w:r>
        <w:rPr/>
        <w:t>备工作的函</w:t>
      </w:r>
      <w:r>
        <w:rPr>
          <w:rFonts w:ascii="Times New Roman" w:hAnsi="Times New Roman" w:cs="Times New Roman" w:eastAsia="Times New Roman" w:hint="default"/>
        </w:rPr>
        <w:t>&gt;</w:t>
      </w:r>
      <w:r>
        <w:rPr/>
        <w:t>的回复》。</w:t>
      </w:r>
    </w:p>
    <w:p>
      <w:pPr>
        <w:pStyle w:val="BodyText"/>
        <w:spacing w:line="300" w:lineRule="auto" w:before="52"/>
        <w:ind w:right="1134" w:firstLine="360"/>
        <w:jc w:val="both"/>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日，中国证监会第十八届发行审核委员会</w:t>
      </w:r>
      <w:r>
        <w:rPr>
          <w:rFonts w:ascii="Times New Roman" w:hAnsi="Times New Roman" w:cs="Times New Roman" w:eastAsia="Times New Roman" w:hint="default"/>
        </w:rPr>
        <w:t>2020</w:t>
      </w:r>
      <w:r>
        <w:rPr/>
        <w:t>年第</w:t>
      </w:r>
      <w:r>
        <w:rPr>
          <w:rFonts w:ascii="Times New Roman" w:hAnsi="Times New Roman" w:cs="Times New Roman" w:eastAsia="Times New Roman" w:hint="default"/>
        </w:rPr>
        <w:t>36</w:t>
      </w:r>
      <w:r>
        <w:rPr/>
        <w:t>次工作会议对公司公开发行可转换公司债券的申请进 行了审核。根据会议审核结果，公司本次公开发行可转换公司债券申请获得审核通过。</w:t>
      </w:r>
    </w:p>
    <w:p>
      <w:pPr>
        <w:pStyle w:val="BodyText"/>
        <w:spacing w:line="300" w:lineRule="auto" w:before="72"/>
        <w:ind w:right="1132" w:firstLine="360"/>
        <w:jc w:val="both"/>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日，公司收到中国证监会出具的《关于核准北京思特奇信息技术股份有限公司公开发行可转换公司债券的批</w:t>
      </w:r>
      <w:r>
        <w:rPr/>
        <w:t> 复》（证监许可</w:t>
      </w:r>
      <w:r>
        <w:rPr>
          <w:rFonts w:ascii="Times New Roman" w:hAnsi="Times New Roman" w:cs="Times New Roman" w:eastAsia="Times New Roman" w:hint="default"/>
        </w:rPr>
        <w:t>[2020]590</w:t>
      </w:r>
      <w:r>
        <w:rPr/>
        <w:t>号），公司公开发行可转换公司债券申请获得中国证监会的核准批复。</w:t>
      </w:r>
    </w:p>
    <w:p>
      <w:pPr>
        <w:pStyle w:val="BodyText"/>
        <w:spacing w:line="316" w:lineRule="auto" w:before="53"/>
        <w:ind w:right="1132" w:firstLine="360"/>
        <w:jc w:val="both"/>
      </w:pPr>
      <w:r>
        <w:rPr>
          <w:spacing w:val="-2"/>
        </w:rPr>
        <w:t>公司董事会将根据相关法律法规、中国证监会批复文件的要求以及公司股东大会的授权，在规定期限内办理本次可转换</w:t>
      </w:r>
      <w:r>
        <w:rPr/>
        <w:t> 公司债券发行相关事宜，并及时履行信息披露义务。</w:t>
      </w:r>
    </w:p>
    <w:p>
      <w:pPr>
        <w:pStyle w:val="BodyText"/>
        <w:spacing w:line="300" w:lineRule="auto" w:before="57"/>
        <w:ind w:right="1132" w:firstLine="360"/>
        <w:jc w:val="both"/>
      </w:pPr>
      <w:r>
        <w:rPr>
          <w:rFonts w:ascii="Times New Roman" w:hAnsi="Times New Roman" w:cs="Times New Roman" w:eastAsia="Times New Roman" w:hint="default"/>
        </w:rPr>
        <w:t>8</w:t>
      </w:r>
      <w:r>
        <w:rPr/>
        <w:t>、经公司</w:t>
      </w:r>
      <w:r>
        <w:rPr>
          <w:rFonts w:ascii="Times New Roman" w:hAnsi="Times New Roman" w:cs="Times New Roman" w:eastAsia="Times New Roman" w:hint="default"/>
        </w:rPr>
        <w:t>2019</w:t>
      </w:r>
      <w:r>
        <w:rPr/>
        <w:t>年第二次临时股东大会授权，公司董事会聘请华创证券担任公司本次公开发行可转换公司债券的保荐机 构，并于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日与华创证券签署了《北京思特奇信息技术股份有限公司与华创证券有限责任公司关于公开发行可转</w:t>
      </w:r>
      <w:r>
        <w:rPr>
          <w:spacing w:val="-86"/>
        </w:rPr>
        <w:t> </w:t>
      </w:r>
      <w:r>
        <w:rPr>
          <w:spacing w:val="-86"/>
        </w:rPr>
      </w:r>
      <w:r>
        <w:rPr>
          <w:spacing w:val="-2"/>
        </w:rPr>
        <w:t>换公司债券并上市之承销及保荐协议》，由其负责本次发行可转债的保荐工作及证券上市后的持续督导工作，持续督导期间</w:t>
      </w:r>
    </w:p>
    <w:p>
      <w:pPr>
        <w:spacing w:after="0" w:line="300"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3"/>
        <w:jc w:val="left"/>
      </w:pPr>
      <w:r>
        <w:rPr/>
        <w:t>为公司本次公开发行可转换公司债券上市当年剩余时间及其后</w:t>
      </w:r>
      <w:r>
        <w:rPr>
          <w:rFonts w:ascii="Times New Roman" w:hAnsi="Times New Roman" w:cs="Times New Roman" w:eastAsia="Times New Roman" w:hint="default"/>
        </w:rPr>
        <w:t>2</w:t>
      </w:r>
      <w:r>
        <w:rPr/>
        <w:t>个完整会计年度。同时，公司根据相关规定终止了与原保荐</w:t>
      </w:r>
      <w:r>
        <w:rPr>
          <w:spacing w:val="-83"/>
        </w:rPr>
        <w:t> </w:t>
      </w:r>
      <w:r>
        <w:rPr>
          <w:spacing w:val="-83"/>
        </w:rPr>
      </w:r>
      <w:r>
        <w:rPr>
          <w:spacing w:val="14"/>
        </w:rPr>
        <w:t>机构东方花旗证券有限公司的保荐协议。具体内容详见公司于</w:t>
      </w:r>
      <w:r>
        <w:rPr>
          <w:spacing w:val="-46"/>
        </w:rPr>
        <w:t> </w:t>
      </w:r>
      <w:r>
        <w:rPr>
          <w:rFonts w:ascii="Times New Roman" w:hAnsi="Times New Roman" w:cs="Times New Roman" w:eastAsia="Times New Roman" w:hint="default"/>
          <w:spacing w:val="11"/>
        </w:rPr>
        <w:t>2019</w:t>
      </w:r>
      <w:r>
        <w:rPr>
          <w:spacing w:val="11"/>
        </w:rPr>
        <w:t>年</w:t>
      </w:r>
      <w:r>
        <w:rPr>
          <w:rFonts w:ascii="Times New Roman" w:hAnsi="Times New Roman" w:cs="Times New Roman" w:eastAsia="Times New Roman" w:hint="default"/>
          <w:spacing w:val="11"/>
        </w:rPr>
        <w:t>9</w:t>
      </w:r>
      <w:r>
        <w:rPr>
          <w:spacing w:val="11"/>
        </w:rPr>
        <w:t>月</w:t>
      </w:r>
      <w:r>
        <w:rPr>
          <w:rFonts w:ascii="Times New Roman" w:hAnsi="Times New Roman" w:cs="Times New Roman" w:eastAsia="Times New Roman" w:hint="default"/>
          <w:spacing w:val="11"/>
        </w:rPr>
        <w:t>30</w:t>
      </w:r>
      <w:r>
        <w:rPr>
          <w:spacing w:val="11"/>
        </w:rPr>
        <w:t>日刊登在指定信息披露媒体巨潮资讯网</w:t>
      </w:r>
    </w:p>
    <w:p>
      <w:pPr>
        <w:pStyle w:val="BodyText"/>
        <w:spacing w:line="240" w:lineRule="auto" w:before="13"/>
        <w:ind w:right="982"/>
        <w:jc w:val="left"/>
      </w:pPr>
      <w:r>
        <w:rPr/>
        <w:t>（</w:t>
      </w:r>
      <w:hyperlink r:id="rId11">
        <w:r>
          <w:rPr>
            <w:rFonts w:ascii="Times New Roman" w:hAnsi="Times New Roman" w:cs="Times New Roman" w:eastAsia="Times New Roman" w:hint="default"/>
          </w:rPr>
          <w:t>www.cninfo.com.cn</w:t>
        </w:r>
      </w:hyperlink>
      <w:r>
        <w:rPr/>
        <w:t>）《关于变更保荐机构及保荐代表人的公告》（公告编号</w:t>
      </w:r>
      <w:r>
        <w:rPr>
          <w:rFonts w:ascii="Times New Roman" w:hAnsi="Times New Roman" w:cs="Times New Roman" w:eastAsia="Times New Roman" w:hint="default"/>
        </w:rPr>
        <w:t>2019-102</w:t>
      </w:r>
      <w:r>
        <w:rPr/>
        <w:t>）。</w:t>
      </w:r>
    </w:p>
    <w:p>
      <w:pPr>
        <w:pStyle w:val="BodyText"/>
        <w:spacing w:line="300" w:lineRule="auto" w:before="103"/>
        <w:ind w:right="1128" w:firstLine="360"/>
        <w:jc w:val="both"/>
      </w:pPr>
      <w:r>
        <w:rPr>
          <w:rFonts w:ascii="Times New Roman" w:hAnsi="Times New Roman" w:cs="Times New Roman" w:eastAsia="Times New Roman" w:hint="default"/>
          <w:spacing w:val="-2"/>
        </w:rPr>
        <w:t>9</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日在指定信息披露媒体巨潮资讯网（</w:t>
      </w:r>
      <w:hyperlink r:id="rId11">
        <w:r>
          <w:rPr>
            <w:rFonts w:ascii="Times New Roman" w:hAnsi="Times New Roman" w:cs="Times New Roman" w:eastAsia="Times New Roman" w:hint="default"/>
            <w:spacing w:val="-2"/>
          </w:rPr>
          <w:t>www.cninfo.com.cn</w:t>
        </w:r>
      </w:hyperlink>
      <w:r>
        <w:rPr>
          <w:spacing w:val="-2"/>
        </w:rPr>
        <w:t>）刊登了《关于持股</w:t>
      </w:r>
      <w:r>
        <w:rPr>
          <w:rFonts w:ascii="Times New Roman" w:hAnsi="Times New Roman" w:cs="Times New Roman" w:eastAsia="Times New Roman" w:hint="default"/>
          <w:spacing w:val="-2"/>
        </w:rPr>
        <w:t>5%</w:t>
      </w:r>
      <w:r>
        <w:rPr>
          <w:spacing w:val="-2"/>
        </w:rPr>
        <w:t>以上股东权益变</w:t>
      </w:r>
      <w:r>
        <w:rPr>
          <w:w w:val="99"/>
        </w:rPr>
        <w:t> </w:t>
      </w:r>
      <w:r>
        <w:rPr/>
        <w:t>动的提示性公告》（公告编号：</w:t>
      </w:r>
      <w:r>
        <w:rPr>
          <w:rFonts w:ascii="Times New Roman" w:hAnsi="Times New Roman" w:cs="Times New Roman" w:eastAsia="Times New Roman" w:hint="default"/>
        </w:rPr>
        <w:t>2019-106</w:t>
      </w:r>
      <w:r>
        <w:rPr/>
        <w:t>），本次权益变动完成后，股东史振生的持股比例降至</w:t>
      </w:r>
      <w:r>
        <w:rPr>
          <w:rFonts w:ascii="Times New Roman" w:hAnsi="Times New Roman" w:cs="Times New Roman" w:eastAsia="Times New Roman" w:hint="default"/>
        </w:rPr>
        <w:t>5%</w:t>
      </w:r>
      <w:r>
        <w:rPr/>
        <w:t>以下，不再为公司持股</w:t>
      </w:r>
      <w:r>
        <w:rPr>
          <w:spacing w:val="-31"/>
        </w:rPr>
        <w:t> </w:t>
      </w:r>
      <w:r>
        <w:rPr>
          <w:spacing w:val="-31"/>
        </w:rPr>
      </w:r>
      <w:r>
        <w:rPr>
          <w:rFonts w:ascii="Times New Roman" w:hAnsi="Times New Roman" w:cs="Times New Roman" w:eastAsia="Times New Roman" w:hint="default"/>
        </w:rPr>
        <w:t>5%</w:t>
      </w:r>
      <w:r>
        <w:rPr/>
        <w:t>以上股东。</w:t>
      </w:r>
    </w:p>
    <w:p>
      <w:pPr>
        <w:spacing w:line="240" w:lineRule="auto" w:before="3"/>
        <w:rPr>
          <w:rFonts w:ascii="宋体" w:hAnsi="宋体" w:cs="宋体" w:eastAsia="宋体" w:hint="default"/>
          <w:sz w:val="20"/>
          <w:szCs w:val="20"/>
        </w:rPr>
      </w:pPr>
    </w:p>
    <w:p>
      <w:pPr>
        <w:pStyle w:val="Heading2"/>
        <w:spacing w:line="240" w:lineRule="auto"/>
        <w:ind w:right="982"/>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45" w:right="0"/>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53" w:right="0"/>
        <w:jc w:val="left"/>
        <w:rPr>
          <w:b w:val="0"/>
          <w:bCs w:val="0"/>
        </w:rPr>
      </w:pPr>
      <w:r>
        <w:rPr/>
        <w:t>一、股份变动情况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253"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2228"/>
        <w:gridCol w:w="1035"/>
        <w:gridCol w:w="850"/>
        <w:gridCol w:w="569"/>
        <w:gridCol w:w="566"/>
        <w:gridCol w:w="1094"/>
        <w:gridCol w:w="891"/>
        <w:gridCol w:w="991"/>
        <w:gridCol w:w="994"/>
        <w:gridCol w:w="708"/>
      </w:tblGrid>
      <w:tr>
        <w:trPr>
          <w:trHeight w:val="403"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8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5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1"/>
              <w:ind w:left="98" w:right="9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36,992,617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34.86%</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18,369,030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-7,424,208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10,944,822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47,937,439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30.41%</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36,992,617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34.86%</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18,369,030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-7,424,208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10,944,822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47,937,439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30.41%</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36,992,617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34.86%</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18,369,030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-7,424,208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10,944,822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47,937,439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30.41%</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69,125,183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65.14%</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34,107,482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6,481,608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40,589,090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109,714,273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69.59%</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69,125,183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65.14%</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34,107,482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6,481,608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40,589,090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109,714,273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69.59%</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106,117,800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52,476,512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-942,600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51,533,912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157,651,712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880" w:right="0"/>
        </w:sectPr>
      </w:pPr>
    </w:p>
    <w:p>
      <w:pPr>
        <w:pStyle w:val="BodyText"/>
        <w:spacing w:line="240" w:lineRule="auto" w:before="51"/>
        <w:ind w:left="253" w:right="-19"/>
        <w:jc w:val="left"/>
      </w:pPr>
      <w:r>
        <w:rPr/>
        <w:t>股份变动的原因</w:t>
      </w:r>
    </w:p>
    <w:p>
      <w:pPr>
        <w:pStyle w:val="BodyText"/>
        <w:spacing w:line="240" w:lineRule="auto" w:before="115"/>
        <w:ind w:left="2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253" w:right="0"/>
        <w:jc w:val="left"/>
      </w:pPr>
      <w:r>
        <w:rPr/>
        <w:t>（</w:t>
      </w:r>
      <w:r>
        <w:rPr>
          <w:rFonts w:ascii="Times New Roman" w:hAnsi="Times New Roman" w:cs="Times New Roman" w:eastAsia="Times New Roman" w:hint="default"/>
        </w:rPr>
        <w:t>1</w:t>
      </w:r>
      <w:r>
        <w:rPr/>
        <w:t>）高管锁定股于每年度</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日，按高管持有数量的</w:t>
      </w:r>
      <w:r>
        <w:rPr>
          <w:rFonts w:ascii="Times New Roman" w:hAnsi="Times New Roman" w:cs="Times New Roman" w:eastAsia="Times New Roman" w:hint="default"/>
        </w:rPr>
        <w:t>25%</w:t>
      </w:r>
      <w:r>
        <w:rPr/>
        <w:t>解除锁定。</w:t>
      </w:r>
    </w:p>
    <w:p>
      <w:pPr>
        <w:spacing w:after="0" w:line="240" w:lineRule="auto"/>
        <w:jc w:val="left"/>
        <w:sectPr>
          <w:type w:val="continuous"/>
          <w:pgSz w:w="11910" w:h="16840"/>
          <w:pgMar w:top="1060" w:bottom="1160" w:left="880" w:right="0"/>
          <w:cols w:num="2" w:equalWidth="0">
            <w:col w:w="1634" w:space="635"/>
            <w:col w:w="8761"/>
          </w:cols>
        </w:sectPr>
      </w:pPr>
    </w:p>
    <w:p>
      <w:pPr>
        <w:pStyle w:val="BodyText"/>
        <w:spacing w:line="300" w:lineRule="auto" w:before="101"/>
        <w:ind w:left="253" w:right="1131"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日，公司在中国证券登记结算有限责任公司深圳分公司办理完成</w:t>
      </w:r>
      <w:r>
        <w:rPr>
          <w:rFonts w:ascii="Times New Roman" w:hAnsi="Times New Roman" w:cs="Times New Roman" w:eastAsia="Times New Roman" w:hint="default"/>
          <w:spacing w:val="-2"/>
        </w:rPr>
        <w:t>2017</w:t>
      </w:r>
      <w:r>
        <w:rPr>
          <w:spacing w:val="-2"/>
        </w:rPr>
        <w:t>年限制性股票激励计划全部限制</w:t>
      </w:r>
      <w:r>
        <w:rPr/>
        <w:t> 性股票（共计</w:t>
      </w:r>
      <w:r>
        <w:rPr>
          <w:rFonts w:ascii="Times New Roman" w:hAnsi="Times New Roman" w:cs="Times New Roman" w:eastAsia="Times New Roman" w:hint="default"/>
        </w:rPr>
        <w:t>94.26</w:t>
      </w:r>
      <w:r>
        <w:rPr/>
        <w:t>万股）回购注销手续，本次回购注销完成后，公司有限售条件股份减少</w:t>
      </w:r>
      <w:r>
        <w:rPr>
          <w:rFonts w:ascii="Times New Roman" w:hAnsi="Times New Roman" w:cs="Times New Roman" w:eastAsia="Times New Roman" w:hint="default"/>
        </w:rPr>
        <w:t>94.26</w:t>
      </w:r>
      <w:r>
        <w:rPr/>
        <w:t>万股，总股本由</w:t>
      </w:r>
      <w:r>
        <w:rPr>
          <w:rFonts w:ascii="Times New Roman" w:hAnsi="Times New Roman" w:cs="Times New Roman" w:eastAsia="Times New Roman" w:hint="default"/>
        </w:rPr>
        <w:t>106,117,800 </w:t>
      </w:r>
      <w:r>
        <w:rPr/>
        <w:t>股减少至</w:t>
      </w:r>
      <w:r>
        <w:rPr>
          <w:rFonts w:ascii="Times New Roman" w:hAnsi="Times New Roman" w:cs="Times New Roman" w:eastAsia="Times New Roman" w:hint="default"/>
        </w:rPr>
        <w:t>105,175,200</w:t>
      </w:r>
      <w:r>
        <w:rPr/>
        <w:t>股。</w:t>
      </w:r>
    </w:p>
    <w:p>
      <w:pPr>
        <w:pStyle w:val="BodyText"/>
        <w:spacing w:line="300" w:lineRule="auto" w:before="53"/>
        <w:ind w:left="253" w:right="1134"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日，公司召开</w:t>
      </w:r>
      <w:r>
        <w:rPr>
          <w:rFonts w:ascii="Times New Roman" w:hAnsi="Times New Roman" w:cs="Times New Roman" w:eastAsia="Times New Roman" w:hint="default"/>
          <w:spacing w:val="-2"/>
        </w:rPr>
        <w:t>2018</w:t>
      </w:r>
      <w:r>
        <w:rPr>
          <w:spacing w:val="-2"/>
        </w:rPr>
        <w:t>年度股东大会完成董事会、监事会换届选举，董事王维先生届满离任，且离任后不</w:t>
      </w:r>
      <w:r>
        <w:rPr/>
        <w:t> 再担任公司任何职务，王维先生所持公司股份</w:t>
      </w:r>
      <w:r>
        <w:rPr>
          <w:rFonts w:ascii="Times New Roman" w:hAnsi="Times New Roman" w:cs="Times New Roman" w:eastAsia="Times New Roman" w:hint="default"/>
        </w:rPr>
        <w:t>4,779,768</w:t>
      </w:r>
      <w:r>
        <w:rPr/>
        <w:t>股自离任申报之日起六个月内</w:t>
      </w:r>
      <w:r>
        <w:rPr>
          <w:rFonts w:ascii="Times New Roman" w:hAnsi="Times New Roman" w:cs="Times New Roman" w:eastAsia="Times New Roman" w:hint="default"/>
        </w:rPr>
        <w:t>100%</w:t>
      </w:r>
      <w:r>
        <w:rPr/>
        <w:t>锁定。</w:t>
      </w:r>
    </w:p>
    <w:p>
      <w:pPr>
        <w:pStyle w:val="BodyText"/>
        <w:spacing w:line="240" w:lineRule="auto" w:before="53"/>
        <w:ind w:left="613"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2018</w:t>
      </w:r>
      <w:r>
        <w:rPr/>
        <w:t>年度股东大会，审议通过了《关于公司</w:t>
      </w:r>
      <w:r>
        <w:rPr>
          <w:rFonts w:ascii="Times New Roman" w:hAnsi="Times New Roman" w:cs="Times New Roman" w:eastAsia="Times New Roman" w:hint="default"/>
        </w:rPr>
        <w:t>2018</w:t>
      </w:r>
      <w:r>
        <w:rPr/>
        <w:t>年度利润分配方案的议案》，以总股本</w:t>
      </w:r>
    </w:p>
    <w:p>
      <w:pPr>
        <w:pStyle w:val="BodyText"/>
        <w:spacing w:line="300" w:lineRule="auto" w:before="63"/>
        <w:ind w:left="253" w:right="1126"/>
        <w:jc w:val="both"/>
      </w:pPr>
      <w:r>
        <w:rPr/>
        <w:t>（</w:t>
      </w:r>
      <w:r>
        <w:rPr>
          <w:rFonts w:ascii="Times New Roman" w:hAnsi="Times New Roman" w:cs="Times New Roman" w:eastAsia="Times New Roman" w:hint="default"/>
        </w:rPr>
        <w:t>105,175,200</w:t>
      </w:r>
      <w:r>
        <w:rPr/>
        <w:t>股）扣除公司从二级市场回购的股份（</w:t>
      </w:r>
      <w:r>
        <w:rPr>
          <w:rFonts w:ascii="Times New Roman" w:hAnsi="Times New Roman" w:cs="Times New Roman" w:eastAsia="Times New Roman" w:hint="default"/>
        </w:rPr>
        <w:t>222,176</w:t>
      </w:r>
      <w:r>
        <w:rPr/>
        <w:t>股）后的股本</w:t>
      </w:r>
      <w:r>
        <w:rPr>
          <w:rFonts w:ascii="Times New Roman" w:hAnsi="Times New Roman" w:cs="Times New Roman" w:eastAsia="Times New Roman" w:hint="default"/>
        </w:rPr>
        <w:t>104,953,024</w:t>
      </w:r>
      <w:r>
        <w:rPr/>
        <w:t>股为基数，向全体股东每</w:t>
      </w:r>
      <w:r>
        <w:rPr>
          <w:rFonts w:ascii="Times New Roman" w:hAnsi="Times New Roman" w:cs="Times New Roman" w:eastAsia="Times New Roman" w:hint="default"/>
        </w:rPr>
        <w:t>10</w:t>
      </w:r>
      <w:r>
        <w:rPr/>
        <w:t>股派发现</w:t>
      </w:r>
      <w:r>
        <w:rPr>
          <w:spacing w:val="-50"/>
        </w:rPr>
        <w:t> </w:t>
      </w:r>
      <w:r>
        <w:rPr>
          <w:spacing w:val="-50"/>
        </w:rPr>
      </w:r>
      <w:r>
        <w:rPr>
          <w:spacing w:val="-2"/>
        </w:rPr>
        <w:t>金红利</w:t>
      </w:r>
      <w:r>
        <w:rPr>
          <w:rFonts w:ascii="Times New Roman" w:hAnsi="Times New Roman" w:cs="Times New Roman" w:eastAsia="Times New Roman" w:hint="default"/>
          <w:spacing w:val="-2"/>
        </w:rPr>
        <w:t>2.60</w:t>
      </w:r>
      <w:r>
        <w:rPr>
          <w:spacing w:val="-2"/>
        </w:rPr>
        <w:t>元（含税），共计派发现金股利人民币</w:t>
      </w:r>
      <w:r>
        <w:rPr>
          <w:rFonts w:ascii="Times New Roman" w:hAnsi="Times New Roman" w:cs="Times New Roman" w:eastAsia="Times New Roman" w:hint="default"/>
          <w:spacing w:val="-2"/>
        </w:rPr>
        <w:t>27,287,786.24</w:t>
      </w:r>
      <w:r>
        <w:rPr>
          <w:spacing w:val="-2"/>
        </w:rPr>
        <w:t>元，同时以资本公积金向全体股东每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股。本次权益</w:t>
      </w:r>
      <w:r>
        <w:rPr>
          <w:spacing w:val="-45"/>
        </w:rPr>
        <w:t> </w:t>
      </w:r>
      <w:r>
        <w:rPr>
          <w:spacing w:val="-45"/>
        </w:rPr>
      </w:r>
      <w:r>
        <w:rPr/>
        <w:t>分派股权登记日为：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日，除权除息日为：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日。本次权益分派实施后，公司新增股本</w:t>
      </w:r>
      <w:r>
        <w:rPr>
          <w:rFonts w:ascii="Times New Roman" w:hAnsi="Times New Roman" w:cs="Times New Roman" w:eastAsia="Times New Roman" w:hint="default"/>
        </w:rPr>
        <w:t>52,476,512</w:t>
      </w:r>
      <w:r>
        <w:rPr/>
        <w:t>股，总 股本增至</w:t>
      </w:r>
      <w:r>
        <w:rPr>
          <w:rFonts w:ascii="Times New Roman" w:hAnsi="Times New Roman" w:cs="Times New Roman" w:eastAsia="Times New Roman" w:hint="default"/>
        </w:rPr>
        <w:t>157,651,712</w:t>
      </w:r>
      <w:r>
        <w:rPr/>
        <w:t>股。</w:t>
      </w:r>
    </w:p>
    <w:p>
      <w:pPr>
        <w:pStyle w:val="BodyText"/>
        <w:spacing w:line="300" w:lineRule="auto" w:before="51"/>
        <w:ind w:left="253" w:right="1131" w:firstLine="36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日，公司原董事王维先生所持公司股份</w:t>
      </w:r>
      <w:r>
        <w:rPr>
          <w:rFonts w:ascii="Times New Roman" w:hAnsi="Times New Roman" w:cs="Times New Roman" w:eastAsia="Times New Roman" w:hint="default"/>
        </w:rPr>
        <w:t>7,169,652</w:t>
      </w:r>
      <w:r>
        <w:rPr/>
        <w:t>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日权益分派实施完成后，王维先生 所持股份由</w:t>
      </w:r>
      <w:r>
        <w:rPr>
          <w:rFonts w:ascii="Times New Roman" w:hAnsi="Times New Roman" w:cs="Times New Roman" w:eastAsia="Times New Roman" w:hint="default"/>
        </w:rPr>
        <w:t>4,779,768</w:t>
      </w:r>
      <w:r>
        <w:rPr/>
        <w:t>股增至</w:t>
      </w:r>
      <w:r>
        <w:rPr>
          <w:rFonts w:ascii="Times New Roman" w:hAnsi="Times New Roman" w:cs="Times New Roman" w:eastAsia="Times New Roman" w:hint="default"/>
        </w:rPr>
        <w:t>7,169,652</w:t>
      </w:r>
      <w:r>
        <w:rPr/>
        <w:t>股）离任锁定期已满，全部解除锁定。</w:t>
      </w:r>
    </w:p>
    <w:p>
      <w:pPr>
        <w:pStyle w:val="BodyText"/>
        <w:spacing w:line="240" w:lineRule="auto" w:before="53"/>
        <w:ind w:left="253" w:right="0"/>
        <w:jc w:val="both"/>
      </w:pPr>
      <w:r>
        <w:rPr/>
        <w:t>股份变动的批准情况</w:t>
      </w:r>
    </w:p>
    <w:p>
      <w:pPr>
        <w:pStyle w:val="BodyText"/>
        <w:spacing w:line="240" w:lineRule="auto" w:before="117"/>
        <w:ind w:left="2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613" w:right="0"/>
        <w:jc w:val="left"/>
      </w:pP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11</w:t>
      </w:r>
      <w:r>
        <w:rPr>
          <w:spacing w:val="6"/>
        </w:rPr>
        <w:t>日，公司召开</w:t>
      </w:r>
      <w:r>
        <w:rPr>
          <w:rFonts w:ascii="Times New Roman" w:hAnsi="Times New Roman" w:cs="Times New Roman" w:eastAsia="Times New Roman" w:hint="default"/>
          <w:spacing w:val="6"/>
        </w:rPr>
        <w:t>2018</w:t>
      </w:r>
      <w:r>
        <w:rPr>
          <w:spacing w:val="6"/>
        </w:rPr>
        <w:t>年度股东大会，审议通过了《关于公司</w:t>
      </w:r>
      <w:r>
        <w:rPr>
          <w:rFonts w:ascii="Times New Roman" w:hAnsi="Times New Roman" w:cs="Times New Roman" w:eastAsia="Times New Roman" w:hint="default"/>
          <w:spacing w:val="6"/>
        </w:rPr>
        <w:t>2018</w:t>
      </w:r>
      <w:r>
        <w:rPr>
          <w:spacing w:val="6"/>
        </w:rPr>
        <w:t>年度利润分配方案的议案》，以总股本</w:t>
      </w:r>
    </w:p>
    <w:p>
      <w:pPr>
        <w:pStyle w:val="BodyText"/>
        <w:spacing w:line="300" w:lineRule="auto" w:before="63"/>
        <w:ind w:left="253" w:right="1126"/>
        <w:jc w:val="both"/>
      </w:pPr>
      <w:r>
        <w:rPr/>
        <w:t>（</w:t>
      </w:r>
      <w:r>
        <w:rPr>
          <w:rFonts w:ascii="Times New Roman" w:hAnsi="Times New Roman" w:cs="Times New Roman" w:eastAsia="Times New Roman" w:hint="default"/>
        </w:rPr>
        <w:t>105,175,200</w:t>
      </w:r>
      <w:r>
        <w:rPr/>
        <w:t>股）扣除公司从二级市场回购的股份（</w:t>
      </w:r>
      <w:r>
        <w:rPr>
          <w:rFonts w:ascii="Times New Roman" w:hAnsi="Times New Roman" w:cs="Times New Roman" w:eastAsia="Times New Roman" w:hint="default"/>
        </w:rPr>
        <w:t>222,176</w:t>
      </w:r>
      <w:r>
        <w:rPr/>
        <w:t>股）后的股本</w:t>
      </w:r>
      <w:r>
        <w:rPr>
          <w:rFonts w:ascii="Times New Roman" w:hAnsi="Times New Roman" w:cs="Times New Roman" w:eastAsia="Times New Roman" w:hint="default"/>
        </w:rPr>
        <w:t>104,953,024</w:t>
      </w:r>
      <w:r>
        <w:rPr/>
        <w:t>股为基数，向全体股东每</w:t>
      </w:r>
      <w:r>
        <w:rPr>
          <w:rFonts w:ascii="Times New Roman" w:hAnsi="Times New Roman" w:cs="Times New Roman" w:eastAsia="Times New Roman" w:hint="default"/>
        </w:rPr>
        <w:t>10</w:t>
      </w:r>
      <w:r>
        <w:rPr/>
        <w:t>股派发现</w:t>
      </w:r>
      <w:r>
        <w:rPr>
          <w:spacing w:val="-50"/>
        </w:rPr>
        <w:t> </w:t>
      </w:r>
      <w:r>
        <w:rPr>
          <w:spacing w:val="-50"/>
        </w:rPr>
      </w:r>
      <w:r>
        <w:rPr>
          <w:spacing w:val="-2"/>
        </w:rPr>
        <w:t>金红利</w:t>
      </w:r>
      <w:r>
        <w:rPr>
          <w:rFonts w:ascii="Times New Roman" w:hAnsi="Times New Roman" w:cs="Times New Roman" w:eastAsia="Times New Roman" w:hint="default"/>
          <w:spacing w:val="-2"/>
        </w:rPr>
        <w:t>2.60</w:t>
      </w:r>
      <w:r>
        <w:rPr>
          <w:spacing w:val="-2"/>
        </w:rPr>
        <w:t>元（含税），共计派发现金股利人民币</w:t>
      </w:r>
      <w:r>
        <w:rPr>
          <w:rFonts w:ascii="Times New Roman" w:hAnsi="Times New Roman" w:cs="Times New Roman" w:eastAsia="Times New Roman" w:hint="default"/>
          <w:spacing w:val="-2"/>
        </w:rPr>
        <w:t>27,287,786.24</w:t>
      </w:r>
      <w:r>
        <w:rPr>
          <w:spacing w:val="-2"/>
        </w:rPr>
        <w:t>元，同时以资本公积金向全体股东每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股。本次权益</w:t>
      </w:r>
      <w:r>
        <w:rPr>
          <w:spacing w:val="-44"/>
        </w:rPr>
        <w:t> </w:t>
      </w:r>
      <w:r>
        <w:rPr>
          <w:spacing w:val="-44"/>
        </w:rPr>
      </w:r>
      <w:r>
        <w:rPr/>
        <w:t>分派股权登记日为：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日，除权除息日为：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日。本次权益分派实施后，公司新增股本</w:t>
      </w:r>
      <w:r>
        <w:rPr>
          <w:rFonts w:ascii="Times New Roman" w:hAnsi="Times New Roman" w:cs="Times New Roman" w:eastAsia="Times New Roman" w:hint="default"/>
        </w:rPr>
        <w:t>52,476,512</w:t>
      </w:r>
      <w:r>
        <w:rPr/>
        <w:t>股，总</w:t>
      </w:r>
    </w:p>
    <w:p>
      <w:pPr>
        <w:spacing w:after="0" w:line="300" w:lineRule="auto"/>
        <w:jc w:val="both"/>
        <w:sectPr>
          <w:type w:val="continuous"/>
          <w:pgSz w:w="11910" w:h="16840"/>
          <w:pgMar w:top="1060" w:bottom="1160" w:left="880" w:right="0"/>
        </w:sectPr>
      </w:pPr>
    </w:p>
    <w:p>
      <w:pPr>
        <w:spacing w:line="240" w:lineRule="auto" w:before="9"/>
        <w:rPr>
          <w:rFonts w:ascii="宋体" w:hAnsi="宋体" w:cs="宋体" w:eastAsia="宋体" w:hint="default"/>
          <w:sz w:val="25"/>
          <w:szCs w:val="25"/>
        </w:rPr>
      </w:pPr>
    </w:p>
    <w:p>
      <w:pPr>
        <w:pStyle w:val="BodyText"/>
        <w:spacing w:line="340" w:lineRule="auto" w:before="44"/>
        <w:ind w:left="333" w:right="8953"/>
        <w:jc w:val="left"/>
      </w:pPr>
      <w:r>
        <w:rPr/>
        <w:t>股本为</w:t>
      </w:r>
      <w:r>
        <w:rPr>
          <w:rFonts w:ascii="Times New Roman" w:hAnsi="Times New Roman" w:cs="Times New Roman" w:eastAsia="Times New Roman" w:hint="default"/>
        </w:rPr>
        <w:t>157,651,712</w:t>
      </w:r>
      <w:r>
        <w:rPr/>
        <w:t>股。 股份变动的过户情况</w:t>
      </w:r>
    </w:p>
    <w:p>
      <w:pPr>
        <w:pStyle w:val="BodyText"/>
        <w:spacing w:line="240" w:lineRule="auto" w:before="39"/>
        <w:ind w:left="3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693" w:right="401"/>
        <w:jc w:val="left"/>
      </w:pP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11</w:t>
      </w:r>
      <w:r>
        <w:rPr>
          <w:spacing w:val="6"/>
        </w:rPr>
        <w:t>日，公司召开</w:t>
      </w:r>
      <w:r>
        <w:rPr>
          <w:rFonts w:ascii="Times New Roman" w:hAnsi="Times New Roman" w:cs="Times New Roman" w:eastAsia="Times New Roman" w:hint="default"/>
          <w:spacing w:val="6"/>
        </w:rPr>
        <w:t>2018</w:t>
      </w:r>
      <w:r>
        <w:rPr>
          <w:spacing w:val="6"/>
        </w:rPr>
        <w:t>年度股东大会，审议通过了《关于公司</w:t>
      </w:r>
      <w:r>
        <w:rPr>
          <w:rFonts w:ascii="Times New Roman" w:hAnsi="Times New Roman" w:cs="Times New Roman" w:eastAsia="Times New Roman" w:hint="default"/>
          <w:spacing w:val="6"/>
        </w:rPr>
        <w:t>2018</w:t>
      </w:r>
      <w:r>
        <w:rPr>
          <w:spacing w:val="6"/>
        </w:rPr>
        <w:t>年度利润分配方案的议案》，以总股本</w:t>
      </w:r>
    </w:p>
    <w:p>
      <w:pPr>
        <w:pStyle w:val="BodyText"/>
        <w:spacing w:line="300" w:lineRule="auto" w:before="63"/>
        <w:ind w:left="333" w:right="1126"/>
        <w:jc w:val="both"/>
      </w:pPr>
      <w:r>
        <w:rPr/>
        <w:t>（</w:t>
      </w:r>
      <w:r>
        <w:rPr>
          <w:rFonts w:ascii="Times New Roman" w:hAnsi="Times New Roman" w:cs="Times New Roman" w:eastAsia="Times New Roman" w:hint="default"/>
        </w:rPr>
        <w:t>105,175,200</w:t>
      </w:r>
      <w:r>
        <w:rPr/>
        <w:t>股）扣除公司从二级市场回购的股份（</w:t>
      </w:r>
      <w:r>
        <w:rPr>
          <w:rFonts w:ascii="Times New Roman" w:hAnsi="Times New Roman" w:cs="Times New Roman" w:eastAsia="Times New Roman" w:hint="default"/>
        </w:rPr>
        <w:t>222,176</w:t>
      </w:r>
      <w:r>
        <w:rPr/>
        <w:t>股）后的股本</w:t>
      </w:r>
      <w:r>
        <w:rPr>
          <w:rFonts w:ascii="Times New Roman" w:hAnsi="Times New Roman" w:cs="Times New Roman" w:eastAsia="Times New Roman" w:hint="default"/>
        </w:rPr>
        <w:t>104,953,024</w:t>
      </w:r>
      <w:r>
        <w:rPr/>
        <w:t>股为基数，向全体股东每</w:t>
      </w:r>
      <w:r>
        <w:rPr>
          <w:rFonts w:ascii="Times New Roman" w:hAnsi="Times New Roman" w:cs="Times New Roman" w:eastAsia="Times New Roman" w:hint="default"/>
        </w:rPr>
        <w:t>10</w:t>
      </w:r>
      <w:r>
        <w:rPr/>
        <w:t>股派发现</w:t>
      </w:r>
      <w:r>
        <w:rPr>
          <w:spacing w:val="-50"/>
        </w:rPr>
        <w:t> </w:t>
      </w:r>
      <w:r>
        <w:rPr>
          <w:spacing w:val="-50"/>
        </w:rPr>
      </w:r>
      <w:r>
        <w:rPr>
          <w:spacing w:val="-2"/>
        </w:rPr>
        <w:t>金红利</w:t>
      </w:r>
      <w:r>
        <w:rPr>
          <w:rFonts w:ascii="Times New Roman" w:hAnsi="Times New Roman" w:cs="Times New Roman" w:eastAsia="Times New Roman" w:hint="default"/>
          <w:spacing w:val="-2"/>
        </w:rPr>
        <w:t>2.60</w:t>
      </w:r>
      <w:r>
        <w:rPr>
          <w:spacing w:val="-2"/>
        </w:rPr>
        <w:t>元（含税），共计派发现金股利人民币</w:t>
      </w:r>
      <w:r>
        <w:rPr>
          <w:rFonts w:ascii="Times New Roman" w:hAnsi="Times New Roman" w:cs="Times New Roman" w:eastAsia="Times New Roman" w:hint="default"/>
          <w:spacing w:val="-2"/>
        </w:rPr>
        <w:t>27,287,786.24</w:t>
      </w:r>
      <w:r>
        <w:rPr>
          <w:spacing w:val="-2"/>
        </w:rPr>
        <w:t>元，同时以资本公积金向全体股东每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股。本次权益</w:t>
      </w:r>
      <w:r>
        <w:rPr>
          <w:spacing w:val="-45"/>
        </w:rPr>
        <w:t> </w:t>
      </w:r>
      <w:r>
        <w:rPr>
          <w:spacing w:val="-45"/>
        </w:rPr>
      </w:r>
      <w:r>
        <w:rPr/>
        <w:t>分派股权登记日为：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日，除权除息日为：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日。本次权益分派实施后，公司新增股本</w:t>
      </w:r>
      <w:r>
        <w:rPr>
          <w:rFonts w:ascii="Times New Roman" w:hAnsi="Times New Roman" w:cs="Times New Roman" w:eastAsia="Times New Roman" w:hint="default"/>
        </w:rPr>
        <w:t>52,476,512</w:t>
      </w:r>
      <w:r>
        <w:rPr/>
        <w:t>股，总 股本为</w:t>
      </w:r>
      <w:r>
        <w:rPr>
          <w:rFonts w:ascii="Times New Roman" w:hAnsi="Times New Roman" w:cs="Times New Roman" w:eastAsia="Times New Roman" w:hint="default"/>
        </w:rPr>
        <w:t>157,651,712</w:t>
      </w:r>
      <w:r>
        <w:rPr/>
        <w:t>股。</w:t>
      </w:r>
    </w:p>
    <w:p>
      <w:pPr>
        <w:pStyle w:val="BodyText"/>
        <w:spacing w:line="240" w:lineRule="auto" w:before="53"/>
        <w:ind w:left="333" w:right="0"/>
        <w:jc w:val="both"/>
      </w:pPr>
      <w:r>
        <w:rPr/>
        <w:t>股份回购的实施进展情况</w:t>
      </w:r>
    </w:p>
    <w:p>
      <w:pPr>
        <w:pStyle w:val="BodyText"/>
        <w:spacing w:line="240" w:lineRule="auto" w:before="115"/>
        <w:ind w:left="3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693" w:right="401"/>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日，公司在指定信息披露媒体巨潮资讯网（</w:t>
      </w:r>
      <w:hyperlink r:id="rId11">
        <w:r>
          <w:rPr>
            <w:rFonts w:ascii="Times New Roman" w:hAnsi="Times New Roman" w:cs="Times New Roman" w:eastAsia="Times New Roman" w:hint="default"/>
          </w:rPr>
          <w:t>www.cninfo.com.cn</w:t>
        </w:r>
      </w:hyperlink>
      <w:r>
        <w:rPr/>
        <w:t>）披露了《回购股份报告书》（公告编号</w:t>
      </w:r>
    </w:p>
    <w:p>
      <w:pPr>
        <w:pStyle w:val="BodyText"/>
        <w:spacing w:line="240" w:lineRule="auto" w:before="63"/>
        <w:ind w:left="333" w:right="0"/>
        <w:jc w:val="both"/>
      </w:pPr>
      <w:r>
        <w:rPr>
          <w:rFonts w:ascii="Times New Roman" w:hAnsi="Times New Roman" w:cs="Times New Roman" w:eastAsia="Times New Roman" w:hint="default"/>
        </w:rPr>
        <w:t>2018-109</w:t>
      </w:r>
      <w:r>
        <w:rPr/>
        <w:t>），公司已在中国证券登记结算有限责任公司深圳分公司开立回购专用证券账户。</w:t>
      </w:r>
    </w:p>
    <w:p>
      <w:pPr>
        <w:pStyle w:val="BodyText"/>
        <w:spacing w:line="300" w:lineRule="auto" w:before="103"/>
        <w:ind w:left="333" w:right="1128" w:firstLine="36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14</w:t>
      </w:r>
      <w:r>
        <w:rPr>
          <w:spacing w:val="-1"/>
        </w:rPr>
        <w:t>日，公司首次通过回购专用证券账户以集中竞价交易方式实施股份回购，回购股份数量</w:t>
      </w:r>
      <w:r>
        <w:rPr>
          <w:rFonts w:ascii="Times New Roman" w:hAnsi="Times New Roman" w:cs="Times New Roman" w:eastAsia="Times New Roman" w:hint="default"/>
          <w:spacing w:val="-1"/>
        </w:rPr>
        <w:t>102,800</w:t>
      </w:r>
      <w:r>
        <w:rPr>
          <w:spacing w:val="-1"/>
        </w:rPr>
        <w:t>股，占公司</w:t>
      </w:r>
      <w:r>
        <w:rPr/>
        <w:t> </w:t>
      </w:r>
      <w:r>
        <w:rPr>
          <w:spacing w:val="-2"/>
        </w:rPr>
        <w:t>当时总股本比例</w:t>
      </w:r>
      <w:r>
        <w:rPr>
          <w:rFonts w:ascii="Times New Roman" w:hAnsi="Times New Roman" w:cs="Times New Roman" w:eastAsia="Times New Roman" w:hint="default"/>
          <w:spacing w:val="-2"/>
        </w:rPr>
        <w:t>0.0969%</w:t>
      </w:r>
      <w:r>
        <w:rPr>
          <w:spacing w:val="-2"/>
        </w:rPr>
        <w:t>，最高成交价</w:t>
      </w:r>
      <w:r>
        <w:rPr>
          <w:rFonts w:ascii="Times New Roman" w:hAnsi="Times New Roman" w:cs="Times New Roman" w:eastAsia="Times New Roman" w:hint="default"/>
          <w:spacing w:val="-2"/>
        </w:rPr>
        <w:t>17.91</w:t>
      </w:r>
      <w:r>
        <w:rPr>
          <w:spacing w:val="-2"/>
        </w:rPr>
        <w:t>元</w:t>
      </w:r>
      <w:r>
        <w:rPr>
          <w:rFonts w:ascii="Times New Roman" w:hAnsi="Times New Roman" w:cs="Times New Roman" w:eastAsia="Times New Roman" w:hint="default"/>
          <w:spacing w:val="-2"/>
        </w:rPr>
        <w:t>/</w:t>
      </w:r>
      <w:r>
        <w:rPr>
          <w:spacing w:val="-2"/>
        </w:rPr>
        <w:t>股，最低成交价</w:t>
      </w:r>
      <w:r>
        <w:rPr>
          <w:rFonts w:ascii="Times New Roman" w:hAnsi="Times New Roman" w:cs="Times New Roman" w:eastAsia="Times New Roman" w:hint="default"/>
          <w:spacing w:val="-2"/>
        </w:rPr>
        <w:t>17.55</w:t>
      </w:r>
      <w:r>
        <w:rPr>
          <w:spacing w:val="-2"/>
        </w:rPr>
        <w:t>元</w:t>
      </w:r>
      <w:r>
        <w:rPr>
          <w:rFonts w:ascii="Times New Roman" w:hAnsi="Times New Roman" w:cs="Times New Roman" w:eastAsia="Times New Roman" w:hint="default"/>
          <w:spacing w:val="-2"/>
        </w:rPr>
        <w:t>/</w:t>
      </w:r>
      <w:r>
        <w:rPr>
          <w:spacing w:val="-2"/>
        </w:rPr>
        <w:t>股，已使用资金总额人民币</w:t>
      </w:r>
      <w:r>
        <w:rPr>
          <w:rFonts w:ascii="Times New Roman" w:hAnsi="Times New Roman" w:cs="Times New Roman" w:eastAsia="Times New Roman" w:hint="default"/>
          <w:spacing w:val="-2"/>
        </w:rPr>
        <w:t>1,821,313.32</w:t>
      </w:r>
      <w:r>
        <w:rPr>
          <w:spacing w:val="-2"/>
        </w:rPr>
        <w:t>元（不含印花</w:t>
      </w:r>
      <w:r>
        <w:rPr>
          <w:spacing w:val="-24"/>
        </w:rPr>
        <w:t> </w:t>
      </w:r>
      <w:r>
        <w:rPr>
          <w:spacing w:val="-24"/>
        </w:rPr>
      </w:r>
      <w:r>
        <w:rPr/>
        <w:t>税、佣金等交易费用）。</w:t>
      </w:r>
    </w:p>
    <w:p>
      <w:pPr>
        <w:pStyle w:val="BodyText"/>
        <w:spacing w:line="240" w:lineRule="auto" w:before="70"/>
        <w:ind w:left="693" w:right="401"/>
        <w:jc w:val="left"/>
      </w:pP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日，本次回购股份期限已届满，公司通过回购专用证券账户以集中竞价交易方式累计回购股份数量</w:t>
      </w:r>
    </w:p>
    <w:p>
      <w:pPr>
        <w:pStyle w:val="BodyText"/>
        <w:spacing w:line="240" w:lineRule="auto" w:before="63"/>
        <w:ind w:left="333" w:right="0"/>
        <w:jc w:val="both"/>
      </w:pPr>
      <w:r>
        <w:rPr>
          <w:rFonts w:ascii="Times New Roman" w:hAnsi="Times New Roman" w:cs="Times New Roman" w:eastAsia="Times New Roman" w:hint="default"/>
          <w:spacing w:val="6"/>
        </w:rPr>
        <w:t>222,176</w:t>
      </w:r>
      <w:r>
        <w:rPr>
          <w:spacing w:val="6"/>
        </w:rPr>
        <w:t>股，占公司当时总股本比例</w:t>
      </w:r>
      <w:r>
        <w:rPr>
          <w:rFonts w:ascii="Times New Roman" w:hAnsi="Times New Roman" w:cs="Times New Roman" w:eastAsia="Times New Roman" w:hint="default"/>
          <w:spacing w:val="6"/>
        </w:rPr>
        <w:t>0.2112%</w:t>
      </w:r>
      <w:r>
        <w:rPr>
          <w:spacing w:val="6"/>
        </w:rPr>
        <w:t>，最高成交价</w:t>
      </w:r>
      <w:r>
        <w:rPr>
          <w:rFonts w:ascii="Times New Roman" w:hAnsi="Times New Roman" w:cs="Times New Roman" w:eastAsia="Times New Roman" w:hint="default"/>
          <w:spacing w:val="6"/>
        </w:rPr>
        <w:t>18.29</w:t>
      </w:r>
      <w:r>
        <w:rPr>
          <w:spacing w:val="6"/>
        </w:rPr>
        <w:t>元</w:t>
      </w:r>
      <w:r>
        <w:rPr>
          <w:rFonts w:ascii="Times New Roman" w:hAnsi="Times New Roman" w:cs="Times New Roman" w:eastAsia="Times New Roman" w:hint="default"/>
          <w:spacing w:val="6"/>
        </w:rPr>
        <w:t>/</w:t>
      </w:r>
      <w:r>
        <w:rPr>
          <w:spacing w:val="6"/>
        </w:rPr>
        <w:t>股，最低成交价</w:t>
      </w:r>
      <w:r>
        <w:rPr>
          <w:rFonts w:ascii="Times New Roman" w:hAnsi="Times New Roman" w:cs="Times New Roman" w:eastAsia="Times New Roman" w:hint="default"/>
          <w:spacing w:val="6"/>
        </w:rPr>
        <w:t>17.55</w:t>
      </w:r>
      <w:r>
        <w:rPr>
          <w:spacing w:val="6"/>
        </w:rPr>
        <w:t>元</w:t>
      </w:r>
      <w:r>
        <w:rPr>
          <w:rFonts w:ascii="Times New Roman" w:hAnsi="Times New Roman" w:cs="Times New Roman" w:eastAsia="Times New Roman" w:hint="default"/>
          <w:spacing w:val="6"/>
        </w:rPr>
        <w:t>/</w:t>
      </w:r>
      <w:r>
        <w:rPr>
          <w:spacing w:val="6"/>
        </w:rPr>
        <w:t>股，已使用资金总额人民币</w:t>
      </w:r>
    </w:p>
    <w:p>
      <w:pPr>
        <w:pStyle w:val="BodyText"/>
        <w:spacing w:line="300" w:lineRule="auto" w:before="63"/>
        <w:ind w:left="333" w:right="1131"/>
        <w:jc w:val="left"/>
      </w:pPr>
      <w:r>
        <w:rPr>
          <w:rFonts w:ascii="Times New Roman" w:hAnsi="Times New Roman" w:cs="Times New Roman" w:eastAsia="Times New Roman" w:hint="default"/>
        </w:rPr>
        <w:t>3,997,624.96</w:t>
      </w:r>
      <w:r>
        <w:rPr/>
        <w:t>元（不含佣金等交易费用），具体内容详见指定信息披露媒体巨潮资讯网（</w:t>
      </w:r>
      <w:hyperlink r:id="rId11">
        <w:r>
          <w:rPr>
            <w:rFonts w:ascii="Times New Roman" w:hAnsi="Times New Roman" w:cs="Times New Roman" w:eastAsia="Times New Roman" w:hint="default"/>
          </w:rPr>
          <w:t>www.cninfo.com.cn</w:t>
        </w:r>
      </w:hyperlink>
      <w:r>
        <w:rPr/>
        <w:t>）《关于股份回</w:t>
      </w:r>
      <w:r>
        <w:rPr>
          <w:spacing w:val="-70"/>
        </w:rPr>
        <w:t> </w:t>
      </w:r>
      <w:r>
        <w:rPr>
          <w:spacing w:val="-70"/>
        </w:rPr>
      </w:r>
      <w:r>
        <w:rPr/>
        <w:t>购实施结果暨股份变动公告》（公告编号：</w:t>
      </w:r>
      <w:r>
        <w:rPr>
          <w:rFonts w:ascii="Times New Roman" w:hAnsi="Times New Roman" w:cs="Times New Roman" w:eastAsia="Times New Roman" w:hint="default"/>
        </w:rPr>
        <w:t>2019-030</w:t>
      </w:r>
      <w:r>
        <w:rPr/>
        <w:t>）。</w:t>
      </w:r>
    </w:p>
    <w:p>
      <w:pPr>
        <w:pStyle w:val="BodyText"/>
        <w:spacing w:line="240" w:lineRule="auto" w:before="53"/>
        <w:ind w:left="333" w:right="0"/>
        <w:jc w:val="both"/>
      </w:pPr>
      <w:r>
        <w:rPr/>
        <w:t>采用集中竞价方式减持回购股份的实施进展情况</w:t>
      </w:r>
    </w:p>
    <w:p>
      <w:pPr>
        <w:pStyle w:val="BodyText"/>
        <w:spacing w:line="338" w:lineRule="auto" w:before="117"/>
        <w:ind w:left="333"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4"/>
        <w:ind w:left="3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9" w:lineRule="auto" w:before="103"/>
        <w:ind w:left="333"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月，公司回购注销</w:t>
      </w:r>
      <w:r>
        <w:rPr>
          <w:rFonts w:ascii="Times New Roman" w:hAnsi="Times New Roman" w:cs="Times New Roman" w:eastAsia="Times New Roman" w:hint="default"/>
        </w:rPr>
        <w:t>2017</w:t>
      </w:r>
      <w:r>
        <w:rPr/>
        <w:t>年限制性股票共计</w:t>
      </w:r>
      <w:r>
        <w:rPr>
          <w:rFonts w:ascii="Times New Roman" w:hAnsi="Times New Roman" w:cs="Times New Roman" w:eastAsia="Times New Roman" w:hint="default"/>
        </w:rPr>
        <w:t>94.26</w:t>
      </w:r>
      <w:r>
        <w:rPr/>
        <w:t>万股，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月，实施</w:t>
      </w:r>
      <w:r>
        <w:rPr>
          <w:rFonts w:ascii="Times New Roman" w:hAnsi="Times New Roman" w:cs="Times New Roman" w:eastAsia="Times New Roman" w:hint="default"/>
        </w:rPr>
        <w:t>2018</w:t>
      </w:r>
      <w:r>
        <w:rPr/>
        <w:t>年度权益分派方案，以资本公积金 </w:t>
      </w:r>
      <w:r>
        <w:rPr>
          <w:spacing w:val="-2"/>
        </w:rPr>
        <w:t>转增股本，导致总股本发生变化，已按有关准则规定，对上一年度以及本报告期的每股收益、归属于公司普通股股东的每股</w:t>
      </w:r>
      <w:r>
        <w:rPr>
          <w:spacing w:val="-64"/>
        </w:rPr>
        <w:t> </w:t>
      </w:r>
      <w:r>
        <w:rPr>
          <w:spacing w:val="-64"/>
        </w:rPr>
      </w:r>
      <w:r>
        <w:rPr/>
        <w:t>净资产等财务指标进行了调整。</w:t>
      </w:r>
    </w:p>
    <w:p>
      <w:pPr>
        <w:pStyle w:val="BodyText"/>
        <w:spacing w:line="240" w:lineRule="auto" w:before="65"/>
        <w:ind w:left="333" w:right="0"/>
        <w:jc w:val="both"/>
      </w:pPr>
      <w:r>
        <w:rPr/>
        <w:t>公司认为必要或证券监管机构要求披露的其他内容</w:t>
      </w:r>
    </w:p>
    <w:p>
      <w:pPr>
        <w:pStyle w:val="BodyText"/>
        <w:spacing w:line="240" w:lineRule="auto" w:before="115"/>
        <w:ind w:left="3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left="333"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333" w:right="36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2"/>
        <w:ind w:left="0" w:right="1130"/>
        <w:jc w:val="right"/>
      </w:pPr>
      <w:r>
        <w:rPr/>
        <w:t>单位：股</w:t>
      </w:r>
    </w:p>
    <w:p>
      <w:pPr>
        <w:spacing w:line="240" w:lineRule="auto" w:before="2"/>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1205"/>
        <w:gridCol w:w="1489"/>
        <w:gridCol w:w="1560"/>
        <w:gridCol w:w="1560"/>
        <w:gridCol w:w="1345"/>
        <w:gridCol w:w="1205"/>
        <w:gridCol w:w="1704"/>
      </w:tblGrid>
      <w:tr>
        <w:trPr>
          <w:trHeight w:val="401"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359" w:hRule="exact"/>
        </w:trPr>
        <w:tc>
          <w:tcPr>
            <w:tcW w:w="1205" w:type="dxa"/>
            <w:tcBorders>
              <w:top w:val="single" w:sz="4" w:space="0" w:color="000000"/>
              <w:left w:val="single" w:sz="4" w:space="0" w:color="000000"/>
              <w:bottom w:val="nil" w:sz="6" w:space="0" w:color="auto"/>
              <w:right w:val="single" w:sz="4" w:space="0" w:color="000000"/>
            </w:tcBorders>
          </w:tcPr>
          <w:p>
            <w:pPr/>
          </w:p>
        </w:tc>
        <w:tc>
          <w:tcPr>
            <w:tcW w:w="148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按照控股股东、实际</w:t>
            </w:r>
          </w:p>
        </w:tc>
      </w:tr>
      <w:tr>
        <w:trPr>
          <w:trHeight w:val="317" w:hRule="exact"/>
        </w:trPr>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31,958,293</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15,979,146</w:t>
            </w:r>
          </w:p>
        </w:tc>
        <w:tc>
          <w:tcPr>
            <w:tcW w:w="156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7"/>
              <w:jc w:val="right"/>
              <w:rPr>
                <w:rFonts w:ascii="Times New Roman" w:hAnsi="Times New Roman" w:cs="Times New Roman" w:eastAsia="Times New Roman" w:hint="default"/>
                <w:sz w:val="18"/>
                <w:szCs w:val="18"/>
              </w:rPr>
            </w:pPr>
            <w:r>
              <w:rPr>
                <w:rFonts w:ascii="Times New Roman"/>
                <w:spacing w:val="-1"/>
                <w:sz w:val="18"/>
              </w:rPr>
              <w:t>47,937,439</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控制人、董监高股份</w:t>
            </w:r>
          </w:p>
        </w:tc>
      </w:tr>
      <w:tr>
        <w:trPr>
          <w:trHeight w:val="351" w:hRule="exact"/>
        </w:trPr>
        <w:tc>
          <w:tcPr>
            <w:tcW w:w="1205" w:type="dxa"/>
            <w:tcBorders>
              <w:top w:val="nil" w:sz="6" w:space="0" w:color="auto"/>
              <w:left w:val="single" w:sz="4" w:space="0" w:color="000000"/>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锁定及解锁</w:t>
            </w:r>
          </w:p>
        </w:tc>
      </w:tr>
      <w:tr>
        <w:trPr>
          <w:trHeight w:val="363" w:hRule="exact"/>
        </w:trPr>
        <w:tc>
          <w:tcPr>
            <w:tcW w:w="1205" w:type="dxa"/>
            <w:tcBorders>
              <w:top w:val="single" w:sz="4" w:space="0" w:color="000000"/>
              <w:left w:val="single" w:sz="4" w:space="0" w:color="000000"/>
              <w:bottom w:val="nil" w:sz="6" w:space="0" w:color="auto"/>
              <w:right w:val="single" w:sz="4" w:space="0" w:color="000000"/>
            </w:tcBorders>
          </w:tcPr>
          <w:p>
            <w:pPr/>
          </w:p>
        </w:tc>
        <w:tc>
          <w:tcPr>
            <w:tcW w:w="148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19" w:hRule="exact"/>
        </w:trPr>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4,091,724</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3,077,928</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7,169,652</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高管离职锁定</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48"/>
              <w:jc w:val="left"/>
              <w:rPr>
                <w:rFonts w:ascii="宋体" w:hAnsi="宋体" w:cs="宋体" w:eastAsia="宋体" w:hint="default"/>
                <w:sz w:val="18"/>
                <w:szCs w:val="18"/>
              </w:rPr>
            </w:pPr>
            <w:r>
              <w:rPr>
                <w:rFonts w:ascii="宋体" w:hAnsi="宋体" w:cs="宋体" w:eastAsia="宋体" w:hint="default"/>
                <w:sz w:val="18"/>
                <w:szCs w:val="18"/>
              </w:rPr>
              <w:t>届满离任，自离任申 报之日起六个月内</w:t>
            </w:r>
          </w:p>
        </w:tc>
      </w:tr>
      <w:tr>
        <w:trPr>
          <w:trHeight w:val="317" w:hRule="exact"/>
        </w:trPr>
        <w:tc>
          <w:tcPr>
            <w:tcW w:w="1205" w:type="dxa"/>
            <w:tcBorders>
              <w:top w:val="nil" w:sz="6" w:space="0" w:color="auto"/>
              <w:left w:val="single" w:sz="4" w:space="0" w:color="000000"/>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锁定。</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748" w:footer="974" w:top="1060" w:bottom="1160" w:left="800" w:right="0"/>
        </w:sectPr>
      </w:pPr>
    </w:p>
    <w:p>
      <w:pPr>
        <w:spacing w:line="240" w:lineRule="auto" w:before="4"/>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1205"/>
        <w:gridCol w:w="1489"/>
        <w:gridCol w:w="1560"/>
        <w:gridCol w:w="1560"/>
        <w:gridCol w:w="1345"/>
        <w:gridCol w:w="1205"/>
        <w:gridCol w:w="1704"/>
      </w:tblGrid>
      <w:tr>
        <w:trPr>
          <w:trHeight w:val="987" w:hRule="exact"/>
        </w:trPr>
        <w:tc>
          <w:tcPr>
            <w:tcW w:w="120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日离任申报 锁定期满，全部解除 锁定。</w:t>
            </w:r>
          </w:p>
        </w:tc>
      </w:tr>
      <w:tr>
        <w:trPr>
          <w:trHeight w:val="358" w:hRule="exact"/>
        </w:trPr>
        <w:tc>
          <w:tcPr>
            <w:tcW w:w="1205" w:type="dxa"/>
            <w:tcBorders>
              <w:top w:val="single" w:sz="4" w:space="0" w:color="000000"/>
              <w:left w:val="single" w:sz="4" w:space="0" w:color="000000"/>
              <w:bottom w:val="nil" w:sz="6" w:space="0" w:color="auto"/>
              <w:right w:val="single" w:sz="4" w:space="0" w:color="000000"/>
            </w:tcBorders>
          </w:tcPr>
          <w:p>
            <w:pPr/>
          </w:p>
        </w:tc>
        <w:tc>
          <w:tcPr>
            <w:tcW w:w="148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股权激励限售股因终</w:t>
            </w:r>
          </w:p>
        </w:tc>
      </w:tr>
      <w:tr>
        <w:trPr>
          <w:trHeight w:val="317" w:hRule="exact"/>
        </w:trPr>
        <w:tc>
          <w:tcPr>
            <w:tcW w:w="1205" w:type="dxa"/>
            <w:tcBorders>
              <w:top w:val="nil" w:sz="6" w:space="0" w:color="auto"/>
              <w:left w:val="single" w:sz="4" w:space="0" w:color="000000"/>
              <w:bottom w:val="nil" w:sz="6" w:space="0" w:color="auto"/>
              <w:right w:val="single" w:sz="4" w:space="0" w:color="000000"/>
            </w:tcBorders>
          </w:tcPr>
          <w:p>
            <w:pPr/>
          </w:p>
        </w:tc>
        <w:tc>
          <w:tcPr>
            <w:tcW w:w="1489"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止实施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w:t>
            </w: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王德明</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172,800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-172,800</w:t>
            </w:r>
          </w:p>
        </w:tc>
        <w:tc>
          <w:tcPr>
            <w:tcW w:w="156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5"/>
              <w:jc w:val="center"/>
              <w:rPr>
                <w:rFonts w:ascii="宋体" w:hAnsi="宋体" w:cs="宋体" w:eastAsia="宋体" w:hint="default"/>
                <w:sz w:val="18"/>
                <w:szCs w:val="18"/>
              </w:rPr>
            </w:pPr>
            <w:r>
              <w:rPr>
                <w:rFonts w:ascii="宋体" w:hAnsi="宋体" w:cs="宋体" w:eastAsia="宋体" w:hint="default"/>
                <w:sz w:val="18"/>
                <w:szCs w:val="18"/>
              </w:rPr>
              <w:t>股权激励限售</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性股票激励计划已于</w:t>
            </w: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489"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日完</w:t>
            </w:r>
          </w:p>
        </w:tc>
      </w:tr>
      <w:tr>
        <w:trPr>
          <w:trHeight w:val="350" w:hRule="exact"/>
        </w:trPr>
        <w:tc>
          <w:tcPr>
            <w:tcW w:w="1205" w:type="dxa"/>
            <w:tcBorders>
              <w:top w:val="nil" w:sz="6" w:space="0" w:color="auto"/>
              <w:left w:val="single" w:sz="4" w:space="0" w:color="000000"/>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成回购注销</w:t>
            </w:r>
          </w:p>
        </w:tc>
      </w:tr>
      <w:tr>
        <w:trPr>
          <w:trHeight w:val="358" w:hRule="exact"/>
        </w:trPr>
        <w:tc>
          <w:tcPr>
            <w:tcW w:w="1205" w:type="dxa"/>
            <w:tcBorders>
              <w:top w:val="single" w:sz="4" w:space="0" w:color="000000"/>
              <w:left w:val="single" w:sz="4" w:space="0" w:color="000000"/>
              <w:bottom w:val="nil" w:sz="6" w:space="0" w:color="auto"/>
              <w:right w:val="single" w:sz="4" w:space="0" w:color="000000"/>
            </w:tcBorders>
          </w:tcPr>
          <w:p>
            <w:pPr/>
          </w:p>
        </w:tc>
        <w:tc>
          <w:tcPr>
            <w:tcW w:w="148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股权激励限售股因终</w:t>
            </w:r>
          </w:p>
        </w:tc>
      </w:tr>
      <w:tr>
        <w:trPr>
          <w:trHeight w:val="317" w:hRule="exact"/>
        </w:trPr>
        <w:tc>
          <w:tcPr>
            <w:tcW w:w="1205" w:type="dxa"/>
            <w:tcBorders>
              <w:top w:val="nil" w:sz="6" w:space="0" w:color="auto"/>
              <w:left w:val="single" w:sz="4" w:space="0" w:color="000000"/>
              <w:bottom w:val="nil" w:sz="6" w:space="0" w:color="auto"/>
              <w:right w:val="single" w:sz="4" w:space="0" w:color="000000"/>
            </w:tcBorders>
          </w:tcPr>
          <w:p>
            <w:pPr/>
          </w:p>
        </w:tc>
        <w:tc>
          <w:tcPr>
            <w:tcW w:w="1489"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止实施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w:t>
            </w: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咸海丰</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4,800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-4,800</w:t>
            </w:r>
          </w:p>
        </w:tc>
        <w:tc>
          <w:tcPr>
            <w:tcW w:w="156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5"/>
              <w:jc w:val="center"/>
              <w:rPr>
                <w:rFonts w:ascii="宋体" w:hAnsi="宋体" w:cs="宋体" w:eastAsia="宋体" w:hint="default"/>
                <w:sz w:val="18"/>
                <w:szCs w:val="18"/>
              </w:rPr>
            </w:pPr>
            <w:r>
              <w:rPr>
                <w:rFonts w:ascii="宋体" w:hAnsi="宋体" w:cs="宋体" w:eastAsia="宋体" w:hint="default"/>
                <w:sz w:val="18"/>
                <w:szCs w:val="18"/>
              </w:rPr>
              <w:t>股权激励限售</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性股票激励计划已于</w:t>
            </w: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489"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日完</w:t>
            </w:r>
          </w:p>
        </w:tc>
      </w:tr>
      <w:tr>
        <w:trPr>
          <w:trHeight w:val="353" w:hRule="exact"/>
        </w:trPr>
        <w:tc>
          <w:tcPr>
            <w:tcW w:w="1205" w:type="dxa"/>
            <w:tcBorders>
              <w:top w:val="nil" w:sz="6" w:space="0" w:color="auto"/>
              <w:left w:val="single" w:sz="4" w:space="0" w:color="000000"/>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成回购注销</w:t>
            </w:r>
          </w:p>
        </w:tc>
      </w:tr>
      <w:tr>
        <w:trPr>
          <w:trHeight w:val="358" w:hRule="exact"/>
        </w:trPr>
        <w:tc>
          <w:tcPr>
            <w:tcW w:w="1205" w:type="dxa"/>
            <w:tcBorders>
              <w:top w:val="single" w:sz="4" w:space="0" w:color="000000"/>
              <w:left w:val="single" w:sz="4" w:space="0" w:color="000000"/>
              <w:bottom w:val="nil" w:sz="6" w:space="0" w:color="auto"/>
              <w:right w:val="single" w:sz="4" w:space="0" w:color="000000"/>
            </w:tcBorders>
          </w:tcPr>
          <w:p>
            <w:pPr/>
          </w:p>
        </w:tc>
        <w:tc>
          <w:tcPr>
            <w:tcW w:w="148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股权激励限售股因终</w:t>
            </w:r>
          </w:p>
        </w:tc>
      </w:tr>
      <w:tr>
        <w:trPr>
          <w:trHeight w:val="317" w:hRule="exact"/>
        </w:trPr>
        <w:tc>
          <w:tcPr>
            <w:tcW w:w="1205" w:type="dxa"/>
            <w:tcBorders>
              <w:top w:val="nil" w:sz="6" w:space="0" w:color="auto"/>
              <w:left w:val="single" w:sz="4" w:space="0" w:color="000000"/>
              <w:bottom w:val="nil" w:sz="6" w:space="0" w:color="auto"/>
              <w:right w:val="single" w:sz="4" w:space="0" w:color="000000"/>
            </w:tcBorders>
          </w:tcPr>
          <w:p>
            <w:pPr/>
          </w:p>
        </w:tc>
        <w:tc>
          <w:tcPr>
            <w:tcW w:w="1489"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止实施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w:t>
            </w: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魏星</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2,400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-2,400</w:t>
            </w:r>
          </w:p>
        </w:tc>
        <w:tc>
          <w:tcPr>
            <w:tcW w:w="156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5"/>
              <w:jc w:val="center"/>
              <w:rPr>
                <w:rFonts w:ascii="宋体" w:hAnsi="宋体" w:cs="宋体" w:eastAsia="宋体" w:hint="default"/>
                <w:sz w:val="18"/>
                <w:szCs w:val="18"/>
              </w:rPr>
            </w:pPr>
            <w:r>
              <w:rPr>
                <w:rFonts w:ascii="宋体" w:hAnsi="宋体" w:cs="宋体" w:eastAsia="宋体" w:hint="default"/>
                <w:sz w:val="18"/>
                <w:szCs w:val="18"/>
              </w:rPr>
              <w:t>股权激励限售</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性股票激励计划已于</w:t>
            </w: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489"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日完</w:t>
            </w:r>
          </w:p>
        </w:tc>
      </w:tr>
      <w:tr>
        <w:trPr>
          <w:trHeight w:val="350" w:hRule="exact"/>
        </w:trPr>
        <w:tc>
          <w:tcPr>
            <w:tcW w:w="1205" w:type="dxa"/>
            <w:tcBorders>
              <w:top w:val="nil" w:sz="6" w:space="0" w:color="auto"/>
              <w:left w:val="single" w:sz="4" w:space="0" w:color="000000"/>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成回购注销</w:t>
            </w:r>
          </w:p>
        </w:tc>
      </w:tr>
      <w:tr>
        <w:trPr>
          <w:trHeight w:val="358" w:hRule="exact"/>
        </w:trPr>
        <w:tc>
          <w:tcPr>
            <w:tcW w:w="1205" w:type="dxa"/>
            <w:tcBorders>
              <w:top w:val="single" w:sz="4" w:space="0" w:color="000000"/>
              <w:left w:val="single" w:sz="4" w:space="0" w:color="000000"/>
              <w:bottom w:val="nil" w:sz="6" w:space="0" w:color="auto"/>
              <w:right w:val="single" w:sz="4" w:space="0" w:color="000000"/>
            </w:tcBorders>
          </w:tcPr>
          <w:p>
            <w:pPr/>
          </w:p>
        </w:tc>
        <w:tc>
          <w:tcPr>
            <w:tcW w:w="148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股权激励限售股因终</w:t>
            </w:r>
          </w:p>
        </w:tc>
      </w:tr>
      <w:tr>
        <w:trPr>
          <w:trHeight w:val="317" w:hRule="exact"/>
        </w:trPr>
        <w:tc>
          <w:tcPr>
            <w:tcW w:w="1205" w:type="dxa"/>
            <w:tcBorders>
              <w:top w:val="nil" w:sz="6" w:space="0" w:color="auto"/>
              <w:left w:val="single" w:sz="4" w:space="0" w:color="000000"/>
              <w:bottom w:val="nil" w:sz="6" w:space="0" w:color="auto"/>
              <w:right w:val="single" w:sz="4" w:space="0" w:color="000000"/>
            </w:tcBorders>
          </w:tcPr>
          <w:p>
            <w:pPr/>
          </w:p>
        </w:tc>
        <w:tc>
          <w:tcPr>
            <w:tcW w:w="1489"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止实施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w:t>
            </w: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762,600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-762,600</w:t>
            </w:r>
          </w:p>
        </w:tc>
        <w:tc>
          <w:tcPr>
            <w:tcW w:w="156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5"/>
              <w:jc w:val="center"/>
              <w:rPr>
                <w:rFonts w:ascii="宋体" w:hAnsi="宋体" w:cs="宋体" w:eastAsia="宋体" w:hint="default"/>
                <w:sz w:val="18"/>
                <w:szCs w:val="18"/>
              </w:rPr>
            </w:pPr>
            <w:r>
              <w:rPr>
                <w:rFonts w:ascii="宋体" w:hAnsi="宋体" w:cs="宋体" w:eastAsia="宋体" w:hint="default"/>
                <w:sz w:val="18"/>
                <w:szCs w:val="18"/>
              </w:rPr>
              <w:t>股权激励限售</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性股票激励计划已于</w:t>
            </w:r>
          </w:p>
        </w:tc>
      </w:tr>
      <w:tr>
        <w:trPr>
          <w:trHeight w:val="312" w:hRule="exact"/>
        </w:trPr>
        <w:tc>
          <w:tcPr>
            <w:tcW w:w="1205" w:type="dxa"/>
            <w:tcBorders>
              <w:top w:val="nil" w:sz="6" w:space="0" w:color="auto"/>
              <w:left w:val="single" w:sz="4" w:space="0" w:color="000000"/>
              <w:bottom w:val="nil" w:sz="6" w:space="0" w:color="auto"/>
              <w:right w:val="single" w:sz="4" w:space="0" w:color="000000"/>
            </w:tcBorders>
          </w:tcPr>
          <w:p>
            <w:pPr/>
          </w:p>
        </w:tc>
        <w:tc>
          <w:tcPr>
            <w:tcW w:w="1489"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vMerge/>
            <w:tcBorders>
              <w:left w:val="single" w:sz="4" w:space="0" w:color="000000"/>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日完</w:t>
            </w:r>
          </w:p>
        </w:tc>
      </w:tr>
      <w:tr>
        <w:trPr>
          <w:trHeight w:val="353" w:hRule="exact"/>
        </w:trPr>
        <w:tc>
          <w:tcPr>
            <w:tcW w:w="1205" w:type="dxa"/>
            <w:tcBorders>
              <w:top w:val="nil" w:sz="6" w:space="0" w:color="auto"/>
              <w:left w:val="single" w:sz="4" w:space="0" w:color="000000"/>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成回购注销</w:t>
            </w:r>
          </w:p>
        </w:tc>
      </w:tr>
      <w:tr>
        <w:trPr>
          <w:trHeight w:val="401"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36,992,617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18,114,474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6" w:right="0"/>
              <w:jc w:val="left"/>
              <w:rPr>
                <w:rFonts w:ascii="Times New Roman" w:hAnsi="Times New Roman" w:cs="Times New Roman" w:eastAsia="Times New Roman" w:hint="default"/>
                <w:sz w:val="18"/>
                <w:szCs w:val="18"/>
              </w:rPr>
            </w:pPr>
            <w:r>
              <w:rPr>
                <w:rFonts w:ascii="Times New Roman"/>
                <w:sz w:val="18"/>
              </w:rPr>
              <w:t>7,169,652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47,937,439</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pStyle w:val="Heading2"/>
        <w:spacing w:line="240" w:lineRule="auto" w:before="26"/>
        <w:ind w:left="333" w:right="0"/>
        <w:jc w:val="both"/>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333" w:right="0"/>
        <w:jc w:val="both"/>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left="333"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333" w:right="1128"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日，公司在中国证券登记结算有限责任公司办理完成回购注销手续，回购注销</w:t>
      </w:r>
      <w:r>
        <w:rPr>
          <w:rFonts w:ascii="Times New Roman" w:hAnsi="Times New Roman" w:cs="Times New Roman" w:eastAsia="Times New Roman" w:hint="default"/>
        </w:rPr>
        <w:t>2017</w:t>
      </w:r>
      <w:r>
        <w:rPr/>
        <w:t>年限制性股票激励计划 </w:t>
      </w:r>
      <w:r>
        <w:rPr>
          <w:spacing w:val="-2"/>
        </w:rPr>
        <w:t>已授予尚未解除限售的全部限制性股票共计</w:t>
      </w:r>
      <w:r>
        <w:rPr>
          <w:rFonts w:ascii="Times New Roman" w:hAnsi="Times New Roman" w:cs="Times New Roman" w:eastAsia="Times New Roman" w:hint="default"/>
          <w:spacing w:val="-2"/>
        </w:rPr>
        <w:t>94.26</w:t>
      </w:r>
      <w:r>
        <w:rPr>
          <w:spacing w:val="-2"/>
        </w:rPr>
        <w:t>万股，本次回购注销完成后，公司总股本由</w:t>
      </w:r>
      <w:r>
        <w:rPr>
          <w:rFonts w:ascii="Times New Roman" w:hAnsi="Times New Roman" w:cs="Times New Roman" w:eastAsia="Times New Roman" w:hint="default"/>
          <w:spacing w:val="-2"/>
        </w:rPr>
        <w:t>106,117,800</w:t>
      </w:r>
      <w:r>
        <w:rPr>
          <w:spacing w:val="-2"/>
        </w:rPr>
        <w:t>股减少至</w:t>
      </w:r>
      <w:r>
        <w:rPr>
          <w:rFonts w:ascii="Times New Roman" w:hAnsi="Times New Roman" w:cs="Times New Roman" w:eastAsia="Times New Roman" w:hint="default"/>
          <w:spacing w:val="-2"/>
        </w:rPr>
        <w:t>105,175,200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股。</w:t>
      </w:r>
    </w:p>
    <w:p>
      <w:pPr>
        <w:pStyle w:val="BodyText"/>
        <w:spacing w:line="240" w:lineRule="auto" w:before="70"/>
        <w:ind w:left="693" w:right="401"/>
        <w:jc w:val="left"/>
      </w:pP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11</w:t>
      </w:r>
      <w:r>
        <w:rPr>
          <w:spacing w:val="6"/>
        </w:rPr>
        <w:t>日，公司召开</w:t>
      </w:r>
      <w:r>
        <w:rPr>
          <w:rFonts w:ascii="Times New Roman" w:hAnsi="Times New Roman" w:cs="Times New Roman" w:eastAsia="Times New Roman" w:hint="default"/>
          <w:spacing w:val="6"/>
        </w:rPr>
        <w:t>2018</w:t>
      </w:r>
      <w:r>
        <w:rPr>
          <w:spacing w:val="6"/>
        </w:rPr>
        <w:t>年度股东大会，审议通过了《关于公司</w:t>
      </w:r>
      <w:r>
        <w:rPr>
          <w:rFonts w:ascii="Times New Roman" w:hAnsi="Times New Roman" w:cs="Times New Roman" w:eastAsia="Times New Roman" w:hint="default"/>
          <w:spacing w:val="6"/>
        </w:rPr>
        <w:t>2018</w:t>
      </w:r>
      <w:r>
        <w:rPr>
          <w:spacing w:val="6"/>
        </w:rPr>
        <w:t>年度利润分配方案的议案》，以总股本</w:t>
      </w:r>
    </w:p>
    <w:p>
      <w:pPr>
        <w:pStyle w:val="BodyText"/>
        <w:spacing w:line="300" w:lineRule="auto" w:before="63"/>
        <w:ind w:left="333" w:right="1126"/>
        <w:jc w:val="both"/>
      </w:pPr>
      <w:r>
        <w:rPr/>
        <w:t>（</w:t>
      </w:r>
      <w:r>
        <w:rPr>
          <w:rFonts w:ascii="Times New Roman" w:hAnsi="Times New Roman" w:cs="Times New Roman" w:eastAsia="Times New Roman" w:hint="default"/>
        </w:rPr>
        <w:t>105,175,200</w:t>
      </w:r>
      <w:r>
        <w:rPr/>
        <w:t>股）扣除公司从二级市场回购的股份（</w:t>
      </w:r>
      <w:r>
        <w:rPr>
          <w:rFonts w:ascii="Times New Roman" w:hAnsi="Times New Roman" w:cs="Times New Roman" w:eastAsia="Times New Roman" w:hint="default"/>
        </w:rPr>
        <w:t>222,176</w:t>
      </w:r>
      <w:r>
        <w:rPr/>
        <w:t>股）后的股本</w:t>
      </w:r>
      <w:r>
        <w:rPr>
          <w:rFonts w:ascii="Times New Roman" w:hAnsi="Times New Roman" w:cs="Times New Roman" w:eastAsia="Times New Roman" w:hint="default"/>
        </w:rPr>
        <w:t>104,953,024</w:t>
      </w:r>
      <w:r>
        <w:rPr/>
        <w:t>股为基数，向全体股东每</w:t>
      </w:r>
      <w:r>
        <w:rPr>
          <w:rFonts w:ascii="Times New Roman" w:hAnsi="Times New Roman" w:cs="Times New Roman" w:eastAsia="Times New Roman" w:hint="default"/>
        </w:rPr>
        <w:t>10</w:t>
      </w:r>
      <w:r>
        <w:rPr/>
        <w:t>股派发现</w:t>
      </w:r>
      <w:r>
        <w:rPr>
          <w:spacing w:val="-50"/>
        </w:rPr>
        <w:t> </w:t>
      </w:r>
      <w:r>
        <w:rPr>
          <w:spacing w:val="-50"/>
        </w:rPr>
      </w:r>
      <w:r>
        <w:rPr>
          <w:spacing w:val="-2"/>
        </w:rPr>
        <w:t>金红利</w:t>
      </w:r>
      <w:r>
        <w:rPr>
          <w:rFonts w:ascii="Times New Roman" w:hAnsi="Times New Roman" w:cs="Times New Roman" w:eastAsia="Times New Roman" w:hint="default"/>
          <w:spacing w:val="-2"/>
        </w:rPr>
        <w:t>2.60</w:t>
      </w:r>
      <w:r>
        <w:rPr>
          <w:spacing w:val="-2"/>
        </w:rPr>
        <w:t>元（含税），共计派发现金股利人民币</w:t>
      </w:r>
      <w:r>
        <w:rPr>
          <w:rFonts w:ascii="Times New Roman" w:hAnsi="Times New Roman" w:cs="Times New Roman" w:eastAsia="Times New Roman" w:hint="default"/>
          <w:spacing w:val="-2"/>
        </w:rPr>
        <w:t>27,287,786.24</w:t>
      </w:r>
      <w:r>
        <w:rPr>
          <w:spacing w:val="-2"/>
        </w:rPr>
        <w:t>元，同时以资本公积金向全体股东每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股。本次权益</w:t>
      </w:r>
      <w:r>
        <w:rPr>
          <w:spacing w:val="-45"/>
        </w:rPr>
        <w:t> </w:t>
      </w:r>
      <w:r>
        <w:rPr>
          <w:spacing w:val="-45"/>
        </w:rPr>
      </w:r>
      <w:r>
        <w:rPr/>
        <w:t>分派股权登记日为：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日，除权除息日为：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日。本次权益分派实施后，公司新增股本</w:t>
      </w:r>
      <w:r>
        <w:rPr>
          <w:rFonts w:ascii="Times New Roman" w:hAnsi="Times New Roman" w:cs="Times New Roman" w:eastAsia="Times New Roman" w:hint="default"/>
        </w:rPr>
        <w:t>52,476,512</w:t>
      </w:r>
      <w:r>
        <w:rPr/>
        <w:t>股，总 股本增至</w:t>
      </w:r>
      <w:r>
        <w:rPr>
          <w:rFonts w:ascii="Times New Roman" w:hAnsi="Times New Roman" w:cs="Times New Roman" w:eastAsia="Times New Roman" w:hint="default"/>
        </w:rPr>
        <w:t>157,651,712</w:t>
      </w:r>
      <w:r>
        <w:rPr/>
        <w:t>股。</w:t>
      </w:r>
    </w:p>
    <w:p>
      <w:pPr>
        <w:spacing w:after="0" w:line="300" w:lineRule="auto"/>
        <w:jc w:val="both"/>
        <w:sectPr>
          <w:pgSz w:w="11910" w:h="16840"/>
          <w:pgMar w:header="748" w:footer="974" w:top="1060" w:bottom="1160" w:left="800" w:right="0"/>
        </w:sectPr>
      </w:pPr>
    </w:p>
    <w:p>
      <w:pPr>
        <w:spacing w:line="240" w:lineRule="auto" w:before="8"/>
        <w:rPr>
          <w:rFonts w:ascii="宋体" w:hAnsi="宋体" w:cs="宋体" w:eastAsia="宋体" w:hint="default"/>
          <w:sz w:val="24"/>
          <w:szCs w:val="24"/>
        </w:rPr>
      </w:pPr>
      <w:r>
        <w:rPr/>
        <w:pict>
          <v:shape style="position:absolute;margin-left:163.344009pt;margin-top:661.299988pt;width:387.6pt;height:50.8pt;mso-position-horizontal-relative:page;mso-position-vertical-relative:page;z-index:-116632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有）</w:t>
                  </w:r>
                </w:p>
              </w:txbxContent>
            </v:textbox>
            <w10:wrap type="none"/>
          </v:shape>
        </w:pict>
      </w:r>
      <w:r>
        <w:rPr/>
        <w:pict>
          <v:group style="position:absolute;margin-left:178.610001pt;margin-top:696.459961pt;width:372.35pt;height:15.6pt;mso-position-horizontal-relative:page;mso-position-vertical-relative:page;z-index:-1166272" coordorigin="3572,13929" coordsize="7447,312">
            <v:shape style="position:absolute;left:3572;top:13929;width:7447;height:312" coordorigin="3572,13929" coordsize="7447,312" path="m3572,14241l11018,14241,11018,13929,3572,13929,3572,14241xe" filled="true" fillcolor="#ffffff" stroked="false">
              <v:path arrowok="t"/>
              <v:fill type="solid"/>
            </v:shape>
            <w10:wrap type="none"/>
          </v:group>
        </w:pict>
      </w:r>
    </w:p>
    <w:p>
      <w:pPr>
        <w:pStyle w:val="Heading4"/>
        <w:spacing w:line="240" w:lineRule="auto" w:before="36"/>
        <w:ind w:left="373" w:right="107"/>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73" w:right="1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373" w:right="107"/>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373" w:right="107"/>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331.390015pt;margin-top:19.677689pt;width:52.7pt;height:82.15pt;mso-position-horizontal-relative:page;mso-position-vertical-relative:paragraph;z-index:-1166296" coordorigin="6628,394" coordsize="1054,1643">
            <v:group style="position:absolute;left:6628;top:394;width:1054;height:1643" coordorigin="6628,394" coordsize="1054,1643">
              <v:shape style="position:absolute;left:6628;top:394;width:1054;height:1643" coordorigin="6628,394" coordsize="1054,1643" path="m6628,2036l7681,2036,7681,394,6628,394,6628,2036xe" filled="true" fillcolor="#ffffff" stroked="false">
                <v:path arrowok="t"/>
                <v:fill type="solid"/>
              </v:shape>
            </v:group>
            <v:group style="position:absolute;left:6649;top:1018;width:1008;height:395" coordorigin="6649,1018" coordsize="1008,395">
              <v:shape style="position:absolute;left:6649;top:1018;width:1008;height:395" coordorigin="6649,1018" coordsize="1008,395" path="m6649,1412l7657,1412,7657,1018,6649,1018,6649,1412xe" filled="true" fillcolor="#ffffff" stroked="false">
                <v:path arrowok="t"/>
                <v:fill type="solid"/>
              </v:shape>
            </v:group>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277"/>
        <w:gridCol w:w="1405"/>
        <w:gridCol w:w="928"/>
        <w:gridCol w:w="1064"/>
        <w:gridCol w:w="1063"/>
        <w:gridCol w:w="1064"/>
        <w:gridCol w:w="998"/>
        <w:gridCol w:w="1275"/>
        <w:gridCol w:w="1066"/>
      </w:tblGrid>
      <w:tr>
        <w:trPr>
          <w:trHeight w:val="165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78" w:right="0"/>
              <w:jc w:val="left"/>
              <w:rPr>
                <w:rFonts w:ascii="Times New Roman" w:hAnsi="Times New Roman" w:cs="Times New Roman" w:eastAsia="Times New Roman" w:hint="default"/>
                <w:sz w:val="18"/>
                <w:szCs w:val="18"/>
              </w:rPr>
            </w:pPr>
            <w:r>
              <w:rPr>
                <w:rFonts w:ascii="Times New Roman"/>
                <w:sz w:val="18"/>
              </w:rPr>
              <w:t>10,357</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173"/>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14,984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7"/>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78"/>
              <w:jc w:val="both"/>
              <w:rPr>
                <w:rFonts w:ascii="宋体" w:hAnsi="宋体" w:cs="宋体" w:eastAsia="宋体" w:hint="default"/>
                <w:sz w:val="18"/>
                <w:szCs w:val="18"/>
              </w:rPr>
            </w:pPr>
            <w:r>
              <w:rPr>
                <w:rFonts w:ascii="宋体" w:hAnsi="宋体" w:cs="宋体" w:eastAsia="宋体" w:hint="default"/>
                <w:sz w:val="18"/>
                <w:szCs w:val="18"/>
              </w:rPr>
              <w:t>年度报告披露日前上一月末 表决权恢复的优先股股东总 </w:t>
            </w:r>
            <w:r>
              <w:rPr>
                <w:rFonts w:ascii="宋体" w:hAnsi="宋体" w:cs="宋体" w:eastAsia="宋体" w:hint="default"/>
                <w:spacing w:val="-11"/>
                <w:sz w:val="18"/>
                <w:szCs w:val="18"/>
              </w:rPr>
              <w:t>数（如有）（参见注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1014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346"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9" w:right="73"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6" w:right="75"/>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3" w:right="4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405"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998"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股份状态</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47,937,439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15,979,146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0" w:right="0"/>
              <w:jc w:val="left"/>
              <w:rPr>
                <w:rFonts w:ascii="Times New Roman" w:hAnsi="Times New Roman" w:cs="Times New Roman" w:eastAsia="Times New Roman" w:hint="default"/>
                <w:sz w:val="18"/>
                <w:szCs w:val="18"/>
              </w:rPr>
            </w:pPr>
            <w:r>
              <w:rPr>
                <w:rFonts w:ascii="Times New Roman"/>
                <w:sz w:val="18"/>
              </w:rPr>
              <w:t>47,937,439</w:t>
            </w:r>
          </w:p>
        </w:tc>
        <w:tc>
          <w:tcPr>
            <w:tcW w:w="99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贵州海恒投资 管理有限公司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10,954,627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3,651,542</w:t>
            </w:r>
          </w:p>
        </w:tc>
        <w:tc>
          <w:tcPr>
            <w:tcW w:w="106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10,954,627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9,450,000</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山东五岳创业 投资有限公司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8,186,724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2,728,908</w:t>
            </w:r>
          </w:p>
        </w:tc>
        <w:tc>
          <w:tcPr>
            <w:tcW w:w="106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8,186,724</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马庆选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7,952,497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601,119</w:t>
            </w:r>
          </w:p>
        </w:tc>
        <w:tc>
          <w:tcPr>
            <w:tcW w:w="106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7,952,497</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史振生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7,394,418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733,278</w:t>
            </w:r>
          </w:p>
        </w:tc>
        <w:tc>
          <w:tcPr>
            <w:tcW w:w="106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7,394,418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7,085,952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1,784,784</w:t>
            </w:r>
          </w:p>
        </w:tc>
        <w:tc>
          <w:tcPr>
            <w:tcW w:w="106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7,085,952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4,195,200</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姚国宁</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w w:val="95"/>
                <w:sz w:val="18"/>
              </w:rPr>
              <w:t>6,842,110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865,570</w:t>
            </w:r>
          </w:p>
        </w:tc>
        <w:tc>
          <w:tcPr>
            <w:tcW w:w="106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6,842,110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毕树真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6,700,429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6,700,429</w:t>
            </w:r>
          </w:p>
        </w:tc>
        <w:tc>
          <w:tcPr>
            <w:tcW w:w="106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6,700,429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北京中盛华宇 技术合伙企业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3,589,260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1,000,860</w:t>
            </w:r>
          </w:p>
        </w:tc>
        <w:tc>
          <w:tcPr>
            <w:tcW w:w="106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3,589,260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61"/>
              <w:jc w:val="left"/>
              <w:rPr>
                <w:rFonts w:ascii="宋体" w:hAnsi="宋体" w:cs="宋体" w:eastAsia="宋体" w:hint="default"/>
                <w:sz w:val="18"/>
                <w:szCs w:val="18"/>
              </w:rPr>
            </w:pPr>
            <w:r>
              <w:rPr>
                <w:rFonts w:ascii="宋体" w:hAnsi="宋体" w:cs="宋体" w:eastAsia="宋体" w:hint="default"/>
                <w:sz w:val="18"/>
                <w:szCs w:val="18"/>
              </w:rPr>
              <w:t>北京天益瑞泰 技术合伙企业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1,752,190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234,530</w:t>
            </w:r>
          </w:p>
        </w:tc>
        <w:tc>
          <w:tcPr>
            <w:tcW w:w="106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1,752,190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6"/>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名股东的情况（如</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45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372.35pt;height:15.6pt;mso-position-horizontal-relative:char;mso-position-vertical-relative:line" coordorigin="0,0" coordsize="7447,312">
                  <v:group style="position:absolute;left:0;top:0;width:7447;height:312" coordorigin="0,0" coordsize="7447,312">
                    <v:shape style="position:absolute;left:0;top:0;width:7447;height:312" coordorigin="0,0" coordsize="7447,312" path="m0,312l7446,312,744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2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45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公司实际控制人吴飞舟与海恒投资、山东五岳、马庆选、史振生、王维、姚国宁、毕树真之间 不存在关联关系，也不存在一致行动。中盛华宇、天益瑞泰为员工持股平台。未知上述其他股 东之间是否存在关联关系及一致行动。</w:t>
            </w:r>
          </w:p>
        </w:tc>
      </w:tr>
    </w:tbl>
    <w:p>
      <w:pPr>
        <w:spacing w:after="0" w:line="316" w:lineRule="auto"/>
        <w:jc w:val="both"/>
        <w:rPr>
          <w:rFonts w:ascii="宋体" w:hAnsi="宋体" w:cs="宋体" w:eastAsia="宋体" w:hint="default"/>
          <w:sz w:val="18"/>
          <w:szCs w:val="18"/>
        </w:rPr>
        <w:sectPr>
          <w:pgSz w:w="11910" w:h="16840"/>
          <w:pgMar w:header="748" w:footer="974" w:top="1060" w:bottom="1160" w:left="760" w:right="0"/>
        </w:sectPr>
      </w:pPr>
    </w:p>
    <w:p>
      <w:pPr>
        <w:spacing w:line="240" w:lineRule="auto" w:before="4"/>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2682"/>
        <w:gridCol w:w="5118"/>
        <w:gridCol w:w="1275"/>
        <w:gridCol w:w="1066"/>
      </w:tblGrid>
      <w:tr>
        <w:trPr>
          <w:trHeight w:val="402" w:hRule="exact"/>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6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1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0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682" w:type="dxa"/>
            <w:vMerge/>
            <w:tcBorders>
              <w:left w:val="single" w:sz="4" w:space="0" w:color="000000"/>
              <w:bottom w:val="single" w:sz="4" w:space="0" w:color="000000"/>
              <w:right w:val="single" w:sz="4" w:space="0" w:color="000000"/>
            </w:tcBorders>
            <w:shd w:val="clear" w:color="auto" w:fill="D2D2D2"/>
          </w:tcPr>
          <w:p>
            <w:pPr/>
          </w:p>
        </w:tc>
        <w:tc>
          <w:tcPr>
            <w:tcW w:w="5118"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贵州海恒投资管理有限公司</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10,954,627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10,954,627</w:t>
            </w:r>
          </w:p>
        </w:tc>
      </w:tr>
      <w:tr>
        <w:trPr>
          <w:trHeight w:val="401" w:hRule="exac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山东五岳创业投资有限公司</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8,186,724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8,186,724</w:t>
            </w:r>
          </w:p>
        </w:tc>
      </w:tr>
      <w:tr>
        <w:trPr>
          <w:trHeight w:val="403" w:hRule="exac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马庆选</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7,952,497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7,952,497</w:t>
            </w:r>
          </w:p>
        </w:tc>
      </w:tr>
      <w:tr>
        <w:trPr>
          <w:trHeight w:val="401" w:hRule="exac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史振生</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7,394,418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7,394,418</w:t>
            </w:r>
          </w:p>
        </w:tc>
      </w:tr>
      <w:tr>
        <w:trPr>
          <w:trHeight w:val="403" w:hRule="exac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7,085,952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7,085,952</w:t>
            </w:r>
          </w:p>
        </w:tc>
      </w:tr>
      <w:tr>
        <w:trPr>
          <w:trHeight w:val="401" w:hRule="exac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姚国宁</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6,842,110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6,842,110</w:t>
            </w:r>
          </w:p>
        </w:tc>
      </w:tr>
      <w:tr>
        <w:trPr>
          <w:trHeight w:val="404" w:hRule="exac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毕树真</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6,700,429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6,700,429</w:t>
            </w:r>
          </w:p>
        </w:tc>
      </w:tr>
      <w:tr>
        <w:trPr>
          <w:trHeight w:val="713" w:hRule="exac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5"/>
                <w:sz w:val="18"/>
                <w:szCs w:val="18"/>
              </w:rPr>
              <w:t>北京中盛华宇技术合伙企业（有限</w:t>
            </w:r>
            <w:r>
              <w:rPr>
                <w:rFonts w:ascii="宋体" w:hAnsi="宋体" w:cs="宋体" w:eastAsia="宋体" w:hint="default"/>
                <w:sz w:val="18"/>
                <w:szCs w:val="18"/>
              </w:rPr>
              <w:t> 合伙）</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3,589,260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3,589,260</w:t>
            </w:r>
          </w:p>
        </w:tc>
      </w:tr>
      <w:tr>
        <w:trPr>
          <w:trHeight w:val="715" w:hRule="exac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5"/>
                <w:sz w:val="18"/>
                <w:szCs w:val="18"/>
              </w:rPr>
              <w:t>北京天益瑞泰技术合伙企业（有限</w:t>
            </w:r>
            <w:r>
              <w:rPr>
                <w:rFonts w:ascii="宋体" w:hAnsi="宋体" w:cs="宋体" w:eastAsia="宋体" w:hint="default"/>
                <w:sz w:val="18"/>
                <w:szCs w:val="18"/>
              </w:rPr>
              <w:t> 合伙）</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1,752,190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1,752,190</w:t>
            </w:r>
          </w:p>
        </w:tc>
      </w:tr>
      <w:tr>
        <w:trPr>
          <w:trHeight w:val="713" w:hRule="exac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5"/>
                <w:sz w:val="18"/>
                <w:szCs w:val="18"/>
              </w:rPr>
              <w:t>北京中盛鸿祥技术合伙企业（有限</w:t>
            </w:r>
            <w:r>
              <w:rPr>
                <w:rFonts w:ascii="宋体" w:hAnsi="宋体" w:cs="宋体" w:eastAsia="宋体" w:hint="default"/>
                <w:sz w:val="18"/>
                <w:szCs w:val="18"/>
              </w:rPr>
              <w:t> 合伙）</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1,744,220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1,744,220</w:t>
            </w:r>
          </w:p>
        </w:tc>
      </w:tr>
      <w:tr>
        <w:trPr>
          <w:trHeight w:val="1340"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3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74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3" w:right="42"/>
              <w:jc w:val="left"/>
              <w:rPr>
                <w:rFonts w:ascii="宋体" w:hAnsi="宋体" w:cs="宋体" w:eastAsia="宋体" w:hint="default"/>
                <w:sz w:val="18"/>
                <w:szCs w:val="18"/>
              </w:rPr>
            </w:pPr>
            <w:r>
              <w:rPr>
                <w:rFonts w:ascii="宋体" w:hAnsi="宋体" w:cs="宋体" w:eastAsia="宋体" w:hint="default"/>
                <w:sz w:val="18"/>
                <w:szCs w:val="18"/>
              </w:rPr>
              <w:t>中盛华宇、天益瑞泰、中盛鸿祥为员工持股平台。未知上述其他股东之间是否存在关联关系及 一致行动。</w:t>
            </w:r>
          </w:p>
        </w:tc>
      </w:tr>
      <w:tr>
        <w:trPr>
          <w:trHeight w:val="715"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74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373" w:right="107"/>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left="373" w:right="10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373" w:right="107"/>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left="373" w:right="107"/>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373" w:right="8593"/>
        <w:jc w:val="left"/>
      </w:pPr>
      <w:r>
        <w:rPr/>
        <w:t>控股股东性质：自然人控股 控股股东类型：自然人</w:t>
      </w:r>
    </w:p>
    <w:tbl>
      <w:tblPr>
        <w:tblW w:w="0" w:type="auto"/>
        <w:jc w:val="left"/>
        <w:tblInd w:w="369" w:type="dxa"/>
        <w:tblLayout w:type="fixed"/>
        <w:tblCellMar>
          <w:top w:w="0" w:type="dxa"/>
          <w:left w:w="0" w:type="dxa"/>
          <w:bottom w:w="0" w:type="dxa"/>
          <w:right w:w="0" w:type="dxa"/>
        </w:tblCellMar>
        <w:tblLook w:val="01E0"/>
      </w:tblPr>
      <w:tblGrid>
        <w:gridCol w:w="3417"/>
        <w:gridCol w:w="2031"/>
        <w:gridCol w:w="4119"/>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
              <w:jc w:val="both"/>
              <w:rPr>
                <w:rFonts w:ascii="宋体" w:hAnsi="宋体" w:cs="宋体" w:eastAsia="宋体" w:hint="default"/>
                <w:sz w:val="18"/>
                <w:szCs w:val="18"/>
              </w:rPr>
            </w:pPr>
            <w:r>
              <w:rPr>
                <w:rFonts w:ascii="宋体" w:hAnsi="宋体" w:cs="宋体" w:eastAsia="宋体" w:hint="default"/>
                <w:spacing w:val="-1"/>
                <w:sz w:val="18"/>
                <w:szCs w:val="18"/>
              </w:rPr>
              <w:t>公司董事长、总经理，全资子公司易信掌中云董事，全资子公司无限易信执行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董事、经理，全资子公司北京易信掌中云执行董事、经理，控股子公司思创立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方董事长，参股公司成都考拉悠然科技有限公司董事。</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left="373" w:right="107"/>
        <w:jc w:val="left"/>
      </w:pPr>
      <w:r>
        <w:rPr/>
        <w:t>控股股东报告期内变更</w:t>
      </w:r>
    </w:p>
    <w:p>
      <w:pPr>
        <w:spacing w:after="0" w:line="240" w:lineRule="auto"/>
        <w:jc w:val="left"/>
        <w:sectPr>
          <w:pgSz w:w="11910" w:h="16840"/>
          <w:pgMar w:header="748" w:footer="974" w:top="1060" w:bottom="1160" w:left="760" w:right="0"/>
        </w:sectPr>
      </w:pPr>
    </w:p>
    <w:p>
      <w:pPr>
        <w:spacing w:line="240" w:lineRule="auto" w:before="9"/>
        <w:rPr>
          <w:rFonts w:ascii="宋体" w:hAnsi="宋体" w:cs="宋体" w:eastAsia="宋体" w:hint="default"/>
          <w:sz w:val="25"/>
          <w:szCs w:val="25"/>
        </w:rPr>
      </w:pPr>
    </w:p>
    <w:p>
      <w:pPr>
        <w:pStyle w:val="BodyText"/>
        <w:spacing w:line="340" w:lineRule="auto" w:before="44"/>
        <w:ind w:right="68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982"/>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44"/>
        <w:ind w:left="0" w:right="1150"/>
        <w:jc w:val="right"/>
      </w:pPr>
      <w:r>
        <w:rPr/>
        <w:pict>
          <v:shape style="position:absolute;margin-left:56.484001pt;margin-top:-56.648308pt;width:479.2pt;height:143.3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公司董事长、总经理，全资子公司易信掌中云董事，全资子公司无限易信执行董事、经理 </w:t>
                        </w:r>
                        <w:r>
                          <w:rPr>
                            <w:rFonts w:ascii="宋体" w:hAnsi="宋体" w:cs="宋体" w:eastAsia="宋体" w:hint="default"/>
                            <w:spacing w:val="-3"/>
                            <w:sz w:val="18"/>
                            <w:szCs w:val="18"/>
                          </w:rPr>
                          <w:t>全资子公司北京易信掌中云执行董事、经理，控股子公司思创立方董事长，参股公司成都考</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拉悠然科技有限公司董事。</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982"/>
        <w:jc w:val="left"/>
      </w:pPr>
      <w:r>
        <w:rPr/>
        <w:t>实际控制人报告期内变更</w:t>
      </w:r>
    </w:p>
    <w:p>
      <w:pPr>
        <w:pStyle w:val="BodyText"/>
        <w:spacing w:line="348" w:lineRule="auto" w:before="115"/>
        <w:ind w:right="67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18"/>
          <w:szCs w:val="18"/>
        </w:rPr>
      </w:pPr>
    </w:p>
    <w:p>
      <w:pPr>
        <w:spacing w:line="3025" w:lineRule="exact"/>
        <w:ind w:left="2562"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3076003" cy="1920906"/>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3076003" cy="1920906"/>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3"/>
        <w:rPr>
          <w:rFonts w:ascii="宋体" w:hAnsi="宋体" w:cs="宋体" w:eastAsia="宋体" w:hint="default"/>
          <w:sz w:val="19"/>
          <w:szCs w:val="19"/>
        </w:rPr>
      </w:pPr>
    </w:p>
    <w:p>
      <w:pPr>
        <w:pStyle w:val="BodyText"/>
        <w:spacing w:line="240" w:lineRule="auto"/>
        <w:ind w:right="982"/>
        <w:jc w:val="left"/>
        <w:rPr>
          <w:rFonts w:ascii="宋体" w:hAnsi="宋体" w:cs="宋体" w:eastAsia="宋体" w:hint="default"/>
        </w:rPr>
      </w:pPr>
      <w:r>
        <w:rPr/>
        <w:t>实际控制人通过信托或其他资产管理方式控制公司</w:t>
      </w:r>
      <w:r>
        <w:rPr>
          <w:rFonts w:ascii="宋体" w:hAnsi="宋体" w:cs="宋体" w:eastAsia="宋体" w:hint="default"/>
        </w:rPr>
        <w:t> </w:t>
      </w:r>
    </w:p>
    <w:p>
      <w:pPr>
        <w:spacing w:line="240" w:lineRule="auto" w:before="1"/>
        <w:rPr>
          <w:rFonts w:ascii="宋体" w:hAnsi="宋体" w:cs="宋体" w:eastAsia="宋体" w:hint="default"/>
          <w:sz w:val="21"/>
          <w:szCs w:val="21"/>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982"/>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4" w:right="982"/>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938" w:right="401"/>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333" w:right="3619"/>
        <w:jc w:val="left"/>
        <w:rPr>
          <w:b w:val="0"/>
          <w:bCs w:val="0"/>
        </w:rPr>
      </w:pP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14" w:type="dxa"/>
        <w:tblLayout w:type="fixed"/>
        <w:tblCellMar>
          <w:top w:w="0" w:type="dxa"/>
          <w:left w:w="0" w:type="dxa"/>
          <w:bottom w:w="0" w:type="dxa"/>
          <w:right w:w="0" w:type="dxa"/>
        </w:tblCellMar>
        <w:tblLook w:val="01E0"/>
      </w:tblPr>
      <w:tblGrid>
        <w:gridCol w:w="797"/>
        <w:gridCol w:w="797"/>
        <w:gridCol w:w="799"/>
        <w:gridCol w:w="725"/>
        <w:gridCol w:w="710"/>
        <w:gridCol w:w="850"/>
        <w:gridCol w:w="852"/>
        <w:gridCol w:w="991"/>
        <w:gridCol w:w="850"/>
        <w:gridCol w:w="710"/>
        <w:gridCol w:w="992"/>
        <w:gridCol w:w="994"/>
      </w:tblGrid>
      <w:tr>
        <w:trPr>
          <w:trHeight w:val="1339"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0" w:right="5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9"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59" w:right="5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9"/>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32" w:right="39" w:hanging="92"/>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31,958,293</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15,979,146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47,937,439</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宋俊德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5,301,168</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605,100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2,389,884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7,085,952</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王德明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973,626</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172,800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400,413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1,201,239</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栾颖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唐国琼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张权利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孙永胜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股东代表 监事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210,600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张景松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21,700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300,300</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陈立勇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503,100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廉慧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股东代表 监事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7" w:right="0"/>
              <w:jc w:val="center"/>
              <w:rPr>
                <w:rFonts w:ascii="Times New Roman" w:hAnsi="Times New Roman" w:cs="Times New Roman" w:eastAsia="Times New Roman" w:hint="default"/>
                <w:sz w:val="18"/>
                <w:szCs w:val="18"/>
              </w:rPr>
            </w:pPr>
            <w:r>
              <w:rPr>
                <w:rFonts w:ascii="Times New Roman"/>
                <w:sz w:val="18"/>
              </w:rPr>
              <w:t>3,900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17,550</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股东代表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800" w:right="0"/>
        </w:sectPr>
      </w:pPr>
    </w:p>
    <w:p>
      <w:pPr>
        <w:spacing w:line="240" w:lineRule="auto" w:before="4"/>
        <w:rPr>
          <w:rFonts w:ascii="宋体" w:hAnsi="宋体" w:cs="宋体" w:eastAsia="宋体" w:hint="default"/>
          <w:b/>
          <w:bCs/>
          <w:sz w:val="28"/>
          <w:szCs w:val="28"/>
        </w:rPr>
      </w:pPr>
    </w:p>
    <w:tbl>
      <w:tblPr>
        <w:tblW w:w="0" w:type="auto"/>
        <w:jc w:val="left"/>
        <w:tblInd w:w="114" w:type="dxa"/>
        <w:tblLayout w:type="fixed"/>
        <w:tblCellMar>
          <w:top w:w="0" w:type="dxa"/>
          <w:left w:w="0" w:type="dxa"/>
          <w:bottom w:w="0" w:type="dxa"/>
          <w:right w:w="0" w:type="dxa"/>
        </w:tblCellMar>
        <w:tblLook w:val="01E0"/>
      </w:tblPr>
      <w:tblGrid>
        <w:gridCol w:w="797"/>
        <w:gridCol w:w="797"/>
        <w:gridCol w:w="799"/>
        <w:gridCol w:w="725"/>
        <w:gridCol w:w="710"/>
        <w:gridCol w:w="850"/>
        <w:gridCol w:w="852"/>
        <w:gridCol w:w="991"/>
        <w:gridCol w:w="850"/>
        <w:gridCol w:w="710"/>
        <w:gridCol w:w="992"/>
        <w:gridCol w:w="994"/>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9"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咸海丰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董事会秘 书、财务 总监</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550,800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136,860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206,970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620,910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13,700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62,100</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39,548,787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954,060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19,344,463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57,939,190</w:t>
            </w:r>
          </w:p>
        </w:tc>
      </w:tr>
    </w:tbl>
    <w:p>
      <w:pPr>
        <w:spacing w:line="240" w:lineRule="auto" w:before="3"/>
        <w:rPr>
          <w:rFonts w:ascii="宋体" w:hAnsi="宋体" w:cs="宋体" w:eastAsia="宋体" w:hint="default"/>
          <w:b/>
          <w:bCs/>
          <w:sz w:val="18"/>
          <w:szCs w:val="18"/>
        </w:rPr>
      </w:pPr>
    </w:p>
    <w:p>
      <w:pPr>
        <w:pStyle w:val="Heading2"/>
        <w:spacing w:line="240" w:lineRule="auto" w:before="26"/>
        <w:ind w:left="333" w:right="3619"/>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33" w:right="36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7"/>
          <w:szCs w:val="7"/>
        </w:rPr>
      </w:pPr>
    </w:p>
    <w:tbl>
      <w:tblPr>
        <w:tblW w:w="0" w:type="auto"/>
        <w:jc w:val="left"/>
        <w:tblInd w:w="32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第二届董事会任期届满离任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张权利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刘阳女士于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日逝世</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第二届董事会任期届满离任</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唐国琼</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换届选举第三届董事会任免</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换届选举第三届董事会任免</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换届选举第三届监事会任免</w:t>
            </w:r>
          </w:p>
        </w:tc>
      </w:tr>
    </w:tbl>
    <w:p>
      <w:pPr>
        <w:spacing w:line="240" w:lineRule="auto" w:before="3"/>
        <w:rPr>
          <w:rFonts w:ascii="宋体" w:hAnsi="宋体" w:cs="宋体" w:eastAsia="宋体" w:hint="default"/>
          <w:sz w:val="18"/>
          <w:szCs w:val="18"/>
        </w:rPr>
      </w:pPr>
    </w:p>
    <w:p>
      <w:pPr>
        <w:pStyle w:val="Heading2"/>
        <w:spacing w:line="240" w:lineRule="auto" w:before="26"/>
        <w:ind w:left="333" w:right="3619"/>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333" w:right="3733"/>
        <w:jc w:val="left"/>
      </w:pPr>
      <w:r>
        <w:rPr/>
        <w:t>公司现任董事、监事、高级管理人员专业背景、主要工作经历以及目前在公司的主要职责 公司董事会成员简历如下：</w:t>
      </w:r>
    </w:p>
    <w:p>
      <w:pPr>
        <w:pStyle w:val="BodyText"/>
        <w:spacing w:line="300" w:lineRule="auto" w:before="28"/>
        <w:ind w:left="333" w:right="401" w:firstLine="360"/>
        <w:jc w:val="left"/>
      </w:pPr>
      <w:r>
        <w:rPr>
          <w:rFonts w:ascii="宋体" w:hAnsi="宋体" w:cs="宋体" w:eastAsia="宋体" w:hint="default"/>
          <w:b/>
          <w:bCs/>
        </w:rPr>
        <w:t>吴飞舟先生：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4</w:t>
      </w:r>
      <w:r>
        <w:rPr/>
        <w:t>月出生，无境外永久居留权，硕士研究生学历。曾任职于摩托罗拉（中国）电子有限公司计算机 </w:t>
      </w:r>
      <w:r>
        <w:rPr>
          <w:spacing w:val="-4"/>
        </w:rPr>
        <w:t>部，</w:t>
      </w:r>
      <w:r>
        <w:rPr>
          <w:rFonts w:ascii="Times New Roman" w:hAnsi="Times New Roman" w:cs="Times New Roman" w:eastAsia="Times New Roman" w:hint="default"/>
          <w:spacing w:val="-4"/>
        </w:rPr>
        <w:t>1995</w:t>
      </w:r>
      <w:r>
        <w:rPr>
          <w:spacing w:val="-4"/>
        </w:rPr>
        <w:t>年参与共同设立公司前身北京思特奇计算机系统工程有限责任公司，历任董事长、董事、总经理，现任公司董事长、</w:t>
      </w:r>
      <w:r>
        <w:rPr>
          <w:spacing w:val="-39"/>
        </w:rPr>
        <w:t> </w:t>
      </w:r>
      <w:r>
        <w:rPr>
          <w:spacing w:val="-39"/>
        </w:rPr>
      </w:r>
      <w:r>
        <w:rPr/>
        <w:t>总经理。</w:t>
      </w:r>
    </w:p>
    <w:p>
      <w:pPr>
        <w:pStyle w:val="BodyText"/>
        <w:spacing w:line="309" w:lineRule="auto" w:before="70"/>
        <w:ind w:left="333" w:right="1133" w:firstLine="360"/>
        <w:jc w:val="both"/>
      </w:pPr>
      <w:r>
        <w:rPr>
          <w:rFonts w:ascii="宋体" w:hAnsi="宋体" w:cs="宋体" w:eastAsia="宋体" w:hint="default"/>
          <w:b/>
          <w:bCs/>
        </w:rPr>
        <w:t>宋俊德先生：</w:t>
      </w:r>
      <w:r>
        <w:rPr>
          <w:rFonts w:ascii="Times New Roman" w:hAnsi="Times New Roman" w:cs="Times New Roman" w:eastAsia="Times New Roman" w:hint="default"/>
        </w:rPr>
        <w:t>1938</w:t>
      </w:r>
      <w:r>
        <w:rPr/>
        <w:t>年</w:t>
      </w:r>
      <w:r>
        <w:rPr>
          <w:rFonts w:ascii="Times New Roman" w:hAnsi="Times New Roman" w:cs="Times New Roman" w:eastAsia="Times New Roman" w:hint="default"/>
        </w:rPr>
        <w:t>9</w:t>
      </w:r>
      <w:r>
        <w:rPr/>
        <w:t>月出生，无境外永久居留权，博士、教授、博士生导师。历任北京邮电大学（原北京邮电学院） </w:t>
      </w:r>
      <w:r>
        <w:rPr>
          <w:spacing w:val="-2"/>
        </w:rPr>
        <w:t>助教、讲师、副教授、教授，现任北京邮电大学教授、博士生导师；亿阳信通股份有限公司董事，北京青牛股份有限公司独</w:t>
      </w:r>
      <w:r>
        <w:rPr>
          <w:spacing w:val="-70"/>
        </w:rPr>
        <w:t> </w:t>
      </w:r>
      <w:r>
        <w:rPr>
          <w:spacing w:val="-70"/>
        </w:rPr>
      </w:r>
      <w:r>
        <w:rPr/>
        <w:t>立董事，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月起担任公司董事。</w:t>
      </w:r>
    </w:p>
    <w:p>
      <w:pPr>
        <w:pStyle w:val="BodyText"/>
        <w:spacing w:line="300" w:lineRule="auto" w:before="46"/>
        <w:ind w:left="333" w:right="1134" w:firstLine="360"/>
        <w:jc w:val="both"/>
      </w:pPr>
      <w:r>
        <w:rPr>
          <w:rFonts w:ascii="宋体" w:hAnsi="宋体" w:cs="宋体" w:eastAsia="宋体" w:hint="default"/>
          <w:b/>
          <w:bCs/>
        </w:rPr>
        <w:t>栾颖女士：</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7</w:t>
      </w:r>
      <w:r>
        <w:rPr/>
        <w:t>月出生，无境外永久居留权，大专学历。曾任北京安永普润投资管理有限公司财务总监、北京浩年 酒店管理有限公司副总经理；现任北京现代投资咨询有限公司财务总监、北京安永普润产权经纪有限公司财务总监。</w:t>
      </w:r>
      <w:r>
        <w:rPr>
          <w:rFonts w:ascii="Times New Roman" w:hAnsi="Times New Roman" w:cs="Times New Roman" w:eastAsia="Times New Roman" w:hint="default"/>
        </w:rPr>
        <w:t>2016</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w:t>
      </w:r>
      <w:r>
        <w:rPr>
          <w:rFonts w:ascii="Times New Roman" w:hAnsi="Times New Roman" w:cs="Times New Roman" w:eastAsia="Times New Roman" w:hint="default"/>
        </w:rPr>
        <w:t>3</w:t>
      </w:r>
      <w:r>
        <w:rPr/>
        <w:t>月起担任公司董事。</w:t>
      </w:r>
    </w:p>
    <w:p>
      <w:pPr>
        <w:spacing w:after="0" w:line="300" w:lineRule="auto"/>
        <w:jc w:val="both"/>
        <w:sectPr>
          <w:pgSz w:w="11910" w:h="16840"/>
          <w:pgMar w:header="748" w:footer="974" w:top="1060" w:bottom="1160" w:left="800" w:right="0"/>
        </w:sectPr>
      </w:pPr>
    </w:p>
    <w:p>
      <w:pPr>
        <w:spacing w:line="240" w:lineRule="auto" w:before="9"/>
        <w:rPr>
          <w:rFonts w:ascii="宋体" w:hAnsi="宋体" w:cs="宋体" w:eastAsia="宋体" w:hint="default"/>
          <w:sz w:val="25"/>
          <w:szCs w:val="25"/>
        </w:rPr>
      </w:pPr>
    </w:p>
    <w:p>
      <w:pPr>
        <w:pStyle w:val="BodyText"/>
        <w:spacing w:line="300" w:lineRule="auto" w:before="44"/>
        <w:ind w:right="1134" w:firstLine="360"/>
        <w:jc w:val="both"/>
      </w:pPr>
      <w:r>
        <w:rPr>
          <w:rFonts w:ascii="宋体" w:hAnsi="宋体" w:cs="宋体" w:eastAsia="宋体" w:hint="default"/>
          <w:b/>
          <w:bCs/>
        </w:rPr>
        <w:t>王德明先生：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5</w:t>
      </w:r>
      <w:r>
        <w:rPr/>
        <w:t>月出生，无境外永久居留权，本科学历。曾任职于黑龙江振龙集团机电公司、北京华友飞乐数码 科技有限公司；</w:t>
      </w:r>
      <w:r>
        <w:rPr>
          <w:rFonts w:ascii="Times New Roman" w:hAnsi="Times New Roman" w:cs="Times New Roman" w:eastAsia="Times New Roman" w:hint="default"/>
        </w:rPr>
        <w:t>2007</w:t>
      </w:r>
      <w:r>
        <w:rPr/>
        <w:t>年加入公司，现任公司董事。</w:t>
      </w:r>
    </w:p>
    <w:p>
      <w:pPr>
        <w:pStyle w:val="BodyText"/>
        <w:spacing w:line="300" w:lineRule="auto" w:before="53"/>
        <w:ind w:right="1130" w:firstLine="360"/>
        <w:jc w:val="both"/>
      </w:pPr>
      <w:r>
        <w:rPr>
          <w:rFonts w:ascii="宋体" w:hAnsi="宋体" w:cs="宋体" w:eastAsia="宋体" w:hint="default"/>
          <w:b/>
          <w:bCs/>
        </w:rPr>
        <w:t>唐国琼女士：</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5</w:t>
      </w:r>
      <w:r>
        <w:rPr/>
        <w:t>月出生，中国国籍，无境外永久居留权，会计学博士，中共党员，西南财经大学会计学院会计学 </w:t>
      </w:r>
      <w:r>
        <w:rPr>
          <w:spacing w:val="-2"/>
        </w:rPr>
        <w:t>教授，兼任四川省科技厅科技项目财务评审专家。</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月任创意信息（</w:t>
      </w:r>
      <w:r>
        <w:rPr>
          <w:rFonts w:ascii="Times New Roman" w:hAnsi="Times New Roman" w:cs="Times New Roman" w:eastAsia="Times New Roman" w:hint="default"/>
          <w:spacing w:val="-2"/>
        </w:rPr>
        <w:t>300366</w:t>
      </w:r>
      <w:r>
        <w:rPr>
          <w:spacing w:val="-2"/>
        </w:rPr>
        <w:t>）独立董事，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月至</w:t>
      </w:r>
      <w:r>
        <w:rPr>
          <w:spacing w:val="-55"/>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月任利君股份（</w:t>
      </w:r>
      <w:r>
        <w:rPr>
          <w:rFonts w:ascii="Times New Roman" w:hAnsi="Times New Roman" w:cs="Times New Roman" w:eastAsia="Times New Roman" w:hint="default"/>
        </w:rPr>
        <w:t>002651</w:t>
      </w:r>
      <w:r>
        <w:rPr/>
        <w:t>）独立董事，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月任茂业商业（</w:t>
      </w:r>
      <w:r>
        <w:rPr>
          <w:rFonts w:ascii="Times New Roman" w:hAnsi="Times New Roman" w:cs="Times New Roman" w:eastAsia="Times New Roman" w:hint="default"/>
        </w:rPr>
        <w:t>600828</w:t>
      </w:r>
      <w:r>
        <w:rPr/>
        <w:t>）独立董事，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2018</w:t>
      </w:r>
      <w:r>
        <w:rPr/>
        <w:t>年</w:t>
      </w:r>
    </w:p>
    <w:p>
      <w:pPr>
        <w:pStyle w:val="BodyText"/>
        <w:spacing w:line="300" w:lineRule="auto" w:before="13"/>
        <w:ind w:right="982"/>
        <w:jc w:val="left"/>
      </w:pPr>
      <w:r>
        <w:rPr>
          <w:rFonts w:ascii="Times New Roman" w:hAnsi="Times New Roman" w:cs="Times New Roman" w:eastAsia="Times New Roman" w:hint="default"/>
          <w:spacing w:val="-2"/>
        </w:rPr>
        <w:t>11</w:t>
      </w:r>
      <w:r>
        <w:rPr>
          <w:spacing w:val="-2"/>
        </w:rPr>
        <w:t>月任迅游科技（</w:t>
      </w:r>
      <w:r>
        <w:rPr>
          <w:rFonts w:ascii="Times New Roman" w:hAnsi="Times New Roman" w:cs="Times New Roman" w:eastAsia="Times New Roman" w:hint="default"/>
          <w:spacing w:val="-2"/>
        </w:rPr>
        <w:t>300467</w:t>
      </w:r>
      <w:r>
        <w:rPr>
          <w:spacing w:val="-2"/>
        </w:rPr>
        <w:t>）独立董事。现任乐山电力（</w:t>
      </w:r>
      <w:r>
        <w:rPr>
          <w:rFonts w:ascii="Times New Roman" w:hAnsi="Times New Roman" w:cs="Times New Roman" w:eastAsia="Times New Roman" w:hint="default"/>
          <w:spacing w:val="-2"/>
        </w:rPr>
        <w:t>600644</w:t>
      </w:r>
      <w:r>
        <w:rPr>
          <w:spacing w:val="-2"/>
        </w:rPr>
        <w:t>）、北京世纪德辰通信技术有限公司、成都圣诺生物制药有限</w:t>
      </w:r>
      <w:r>
        <w:rPr>
          <w:spacing w:val="-63"/>
        </w:rPr>
        <w:t> </w:t>
      </w:r>
      <w:r>
        <w:rPr>
          <w:spacing w:val="-63"/>
        </w:rPr>
      </w:r>
      <w:r>
        <w:rPr/>
        <w:t>公司、成都东骏激光股份有限公司独立董事。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日起担任公司独立董事。</w:t>
      </w:r>
    </w:p>
    <w:p>
      <w:pPr>
        <w:pStyle w:val="BodyText"/>
        <w:spacing w:line="300" w:lineRule="auto" w:before="13"/>
        <w:ind w:right="1131" w:firstLine="360"/>
        <w:jc w:val="both"/>
      </w:pPr>
      <w:r>
        <w:rPr>
          <w:rFonts w:ascii="宋体" w:hAnsi="宋体" w:cs="宋体" w:eastAsia="宋体" w:hint="default"/>
          <w:b/>
          <w:bCs/>
          <w:spacing w:val="-2"/>
        </w:rPr>
        <w:t>胡征女士：</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w:t>
      </w:r>
      <w:r>
        <w:rPr>
          <w:spacing w:val="-2"/>
        </w:rPr>
        <w:t>月出生，中国国籍，无境外永久居留权，金融学学士。胡征女士</w:t>
      </w:r>
      <w:r>
        <w:rPr>
          <w:rFonts w:ascii="Times New Roman" w:hAnsi="Times New Roman" w:cs="Times New Roman" w:eastAsia="Times New Roman" w:hint="default"/>
          <w:spacing w:val="-2"/>
        </w:rPr>
        <w:t>1980</w:t>
      </w:r>
      <w:r>
        <w:rPr>
          <w:spacing w:val="-2"/>
        </w:rPr>
        <w:t>年</w:t>
      </w:r>
      <w:r>
        <w:rPr>
          <w:rFonts w:ascii="Times New Roman" w:hAnsi="Times New Roman" w:cs="Times New Roman" w:eastAsia="Times New Roman" w:hint="default"/>
          <w:spacing w:val="-2"/>
        </w:rPr>
        <w:t>9</w:t>
      </w:r>
      <w:r>
        <w:rPr>
          <w:spacing w:val="-2"/>
        </w:rPr>
        <w:t>月进入西南财经大学金融专</w:t>
      </w:r>
      <w:r>
        <w:rPr/>
        <w:t> 业学习，</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月毕业后分配至江苏淮阴市人民银行计划科，从事计划统计工作，</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7</w:t>
      </w:r>
      <w:r>
        <w:rPr/>
        <w:t>月在东方电机厂财</w:t>
      </w:r>
      <w:r>
        <w:rPr>
          <w:spacing w:val="-87"/>
        </w:rPr>
        <w:t> </w:t>
      </w:r>
      <w:r>
        <w:rPr/>
        <w:t>务处任会计，</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8</w:t>
      </w:r>
      <w:r>
        <w:rPr/>
        <w:t>月调入东方电气集团财务公司，参与筹建财务公司的工作，并在财务公司先后担任计划部信贷员、资</w:t>
      </w:r>
      <w:r>
        <w:rPr>
          <w:spacing w:val="-85"/>
        </w:rPr>
        <w:t> </w:t>
      </w:r>
      <w:r>
        <w:rPr>
          <w:spacing w:val="-85"/>
        </w:rPr>
      </w:r>
      <w:r>
        <w:rPr/>
        <w:t>金科科长、计划科经理、证券部总经理等职。</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6</w:t>
      </w:r>
      <w:r>
        <w:rPr/>
        <w:t>月，参与财务公司证券部的筹建工作并任证券部经理。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10</w:t>
      </w:r>
      <w:r>
        <w:rPr/>
        <w:t>月至</w:t>
      </w:r>
      <w:r>
        <w:rPr>
          <w:spacing w:val="-3"/>
        </w:rPr>
        <w:t> </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月担任联合证券有限责任公司成都浣花北部证券营业部任总经理，期间</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月担任联合证券有限责</w:t>
      </w:r>
      <w:r>
        <w:rPr>
          <w:spacing w:val="-55"/>
        </w:rPr>
        <w:t> </w:t>
      </w:r>
      <w:r>
        <w:rPr>
          <w:spacing w:val="-55"/>
        </w:rPr>
      </w:r>
      <w:r>
        <w:rPr/>
        <w:t>任公司经纪业务部总经理，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月担任华泰联合证券股份有限公司成都浣花北部证券营业部总经理，</w:t>
      </w:r>
      <w:r>
        <w:rPr>
          <w:rFonts w:ascii="Times New Roman" w:hAnsi="Times New Roman" w:cs="Times New Roman" w:eastAsia="Times New Roman" w:hint="default"/>
        </w:rPr>
        <w:t>2011</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月担任华泰联合证券股份有限公司成都蜀金路证券营业部总经理，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月，担任华泰证券</w:t>
      </w:r>
      <w:r>
        <w:rPr>
          <w:spacing w:val="-56"/>
        </w:rPr>
        <w:t> </w:t>
      </w:r>
      <w:r>
        <w:rPr>
          <w:spacing w:val="-56"/>
        </w:rPr>
      </w:r>
      <w:r>
        <w:rPr/>
        <w:t>股份有限公司成都蜀金路证券营业部总经理，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月担任华泰证券股份有限公司四川分公司总经理。</w:t>
      </w:r>
      <w:r>
        <w:rPr>
          <w:rFonts w:ascii="Times New Roman" w:hAnsi="Times New Roman" w:cs="Times New Roman" w:eastAsia="Times New Roman" w:hint="default"/>
        </w:rPr>
        <w:t>2019</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日起担任公司独立董事。</w:t>
      </w:r>
    </w:p>
    <w:p>
      <w:pPr>
        <w:spacing w:line="240" w:lineRule="auto" w:before="0"/>
        <w:rPr>
          <w:rFonts w:ascii="宋体" w:hAnsi="宋体" w:cs="宋体" w:eastAsia="宋体" w:hint="default"/>
          <w:sz w:val="18"/>
          <w:szCs w:val="18"/>
        </w:rPr>
      </w:pPr>
    </w:p>
    <w:p>
      <w:pPr>
        <w:pStyle w:val="BodyText"/>
        <w:spacing w:line="357" w:lineRule="auto" w:before="130"/>
        <w:ind w:left="513" w:right="1119" w:hanging="360"/>
        <w:jc w:val="left"/>
      </w:pPr>
      <w:r>
        <w:rPr/>
        <w:t>公司监事会成员简历如下： </w:t>
      </w:r>
      <w:r>
        <w:rPr>
          <w:rFonts w:ascii="宋体" w:hAnsi="宋体" w:cs="宋体" w:eastAsia="宋体" w:hint="default"/>
          <w:b/>
          <w:bCs/>
        </w:rPr>
        <w:t>孙永胜先生：</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8</w:t>
      </w:r>
      <w:r>
        <w:rPr/>
        <w:t>月出生，无境外永久居留权，本科学历。曾任职于用友政务软件、大陆产业投资集团服务公司；</w:t>
      </w:r>
    </w:p>
    <w:p>
      <w:pPr>
        <w:pStyle w:val="BodyText"/>
        <w:spacing w:line="214" w:lineRule="exact"/>
        <w:ind w:right="982"/>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月加入公司，现任公司监事会主席。</w:t>
      </w:r>
    </w:p>
    <w:p>
      <w:pPr>
        <w:pStyle w:val="BodyText"/>
        <w:spacing w:line="300" w:lineRule="auto" w:before="103"/>
        <w:ind w:right="1040" w:firstLine="360"/>
        <w:jc w:val="both"/>
      </w:pPr>
      <w:r>
        <w:rPr>
          <w:rFonts w:ascii="宋体" w:hAnsi="宋体" w:cs="宋体" w:eastAsia="宋体" w:hint="default"/>
          <w:b/>
          <w:bCs/>
          <w:spacing w:val="-4"/>
        </w:rPr>
        <w:t>廉慧先生：</w:t>
      </w:r>
      <w:r>
        <w:rPr>
          <w:rFonts w:ascii="Times New Roman" w:hAnsi="Times New Roman" w:cs="Times New Roman" w:eastAsia="Times New Roman" w:hint="default"/>
          <w:spacing w:val="-4"/>
        </w:rPr>
        <w:t>1981</w:t>
      </w:r>
      <w:r>
        <w:rPr>
          <w:spacing w:val="-4"/>
        </w:rPr>
        <w:t>年</w:t>
      </w:r>
      <w:r>
        <w:rPr>
          <w:rFonts w:ascii="Times New Roman" w:hAnsi="Times New Roman" w:cs="Times New Roman" w:eastAsia="Times New Roman" w:hint="default"/>
          <w:spacing w:val="-4"/>
        </w:rPr>
        <w:t>10</w:t>
      </w:r>
      <w:r>
        <w:rPr>
          <w:spacing w:val="-4"/>
        </w:rPr>
        <w:t>月出生，无境外永久居留权，本科学历。曾任北京苏宁电器有限公司财务副部长。</w:t>
      </w:r>
      <w:r>
        <w:rPr>
          <w:rFonts w:ascii="Times New Roman" w:hAnsi="Times New Roman" w:cs="Times New Roman" w:eastAsia="Times New Roman" w:hint="default"/>
          <w:spacing w:val="-4"/>
        </w:rPr>
        <w:t>2011</w:t>
      </w:r>
      <w:r>
        <w:rPr>
          <w:spacing w:val="-4"/>
        </w:rPr>
        <w:t>年加入公司，</w:t>
      </w:r>
      <w:r>
        <w:rPr/>
        <w:t> 现任公司监事、内审部经理。</w:t>
      </w:r>
    </w:p>
    <w:p>
      <w:pPr>
        <w:pStyle w:val="BodyText"/>
        <w:spacing w:line="340" w:lineRule="auto" w:before="70"/>
        <w:ind w:left="513" w:right="982"/>
        <w:jc w:val="left"/>
      </w:pPr>
      <w:r>
        <w:rPr>
          <w:rFonts w:ascii="宋体" w:hAnsi="宋体" w:cs="宋体" w:eastAsia="宋体" w:hint="default"/>
          <w:b/>
          <w:bCs/>
          <w:spacing w:val="-2"/>
        </w:rPr>
        <w:t>陈立勇先生：</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9</w:t>
      </w:r>
      <w:r>
        <w:rPr>
          <w:spacing w:val="-2"/>
        </w:rPr>
        <w:t>月出生，无境外永久居留权，本科学历。</w:t>
      </w:r>
      <w:r>
        <w:rPr>
          <w:rFonts w:ascii="Times New Roman" w:hAnsi="Times New Roman" w:cs="Times New Roman" w:eastAsia="Times New Roman" w:hint="default"/>
          <w:spacing w:val="-2"/>
        </w:rPr>
        <w:t>2001</w:t>
      </w:r>
      <w:r>
        <w:rPr>
          <w:spacing w:val="-2"/>
        </w:rPr>
        <w:t>年加入公司，现任公司监事、销售部业务发展总监。</w:t>
      </w:r>
      <w:r>
        <w:rPr>
          <w:spacing w:val="-71"/>
        </w:rPr>
        <w:t> </w:t>
      </w:r>
      <w:r>
        <w:rPr>
          <w:spacing w:val="-71"/>
        </w:rPr>
      </w:r>
      <w:r>
        <w:rPr>
          <w:rFonts w:ascii="宋体" w:hAnsi="宋体" w:cs="宋体" w:eastAsia="宋体" w:hint="default"/>
          <w:b/>
          <w:bCs/>
        </w:rPr>
        <w:t>张景松先生：</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7</w:t>
      </w:r>
      <w:r>
        <w:rPr/>
        <w:t>月出生，无境外永久居留权，专科学历。曾任职于北京松下彩色显像管有限公司、北京信灵通通</w:t>
      </w:r>
    </w:p>
    <w:p>
      <w:pPr>
        <w:pStyle w:val="BodyText"/>
        <w:spacing w:line="228" w:lineRule="exact"/>
        <w:ind w:left="513" w:right="982" w:hanging="360"/>
        <w:jc w:val="left"/>
      </w:pPr>
      <w:r>
        <w:rPr/>
        <w:t>讯技术有限公司、北京联合海诚电讯技术有限公司、北京方正数码有限公司；</w:t>
      </w:r>
      <w:r>
        <w:rPr>
          <w:rFonts w:ascii="Times New Roman" w:hAnsi="Times New Roman" w:cs="Times New Roman" w:eastAsia="Times New Roman" w:hint="default"/>
        </w:rPr>
        <w:t>2003</w:t>
      </w:r>
      <w:r>
        <w:rPr/>
        <w:t>年加入公司，现任公司监事、行政经理。</w:t>
      </w:r>
    </w:p>
    <w:p>
      <w:pPr>
        <w:pStyle w:val="BodyText"/>
        <w:spacing w:line="240" w:lineRule="auto" w:before="63"/>
        <w:ind w:left="513" w:right="982"/>
        <w:jc w:val="left"/>
      </w:pPr>
      <w:r>
        <w:rPr>
          <w:rFonts w:ascii="宋体" w:hAnsi="宋体" w:cs="宋体" w:eastAsia="宋体" w:hint="default"/>
          <w:b/>
          <w:bCs/>
        </w:rPr>
        <w:t>张健先生：</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11</w:t>
      </w:r>
      <w:r>
        <w:rPr/>
        <w:t>月出生，中国国籍，无境外永久居留权，项目管理工程硕士。现任证联支付有限责任公司总经理。</w:t>
      </w:r>
    </w:p>
    <w:p>
      <w:pPr>
        <w:pStyle w:val="BodyText"/>
        <w:spacing w:line="240" w:lineRule="auto" w:before="63"/>
        <w:ind w:right="982"/>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日起担任公司监事。</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57" w:lineRule="auto"/>
        <w:ind w:left="513" w:right="1119" w:hanging="360"/>
        <w:jc w:val="left"/>
      </w:pPr>
      <w:r>
        <w:rPr/>
        <w:t>公司高级管理人员简历如下： </w:t>
      </w:r>
      <w:r>
        <w:rPr>
          <w:rFonts w:ascii="宋体" w:hAnsi="宋体" w:cs="宋体" w:eastAsia="宋体" w:hint="default"/>
          <w:b/>
          <w:bCs/>
        </w:rPr>
        <w:t>吴飞舟先生：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4</w:t>
      </w:r>
      <w:r>
        <w:rPr/>
        <w:t>月出生，无境外永久居留权，硕士研究生学历。曾任职于摩托罗拉（中国）电子有限公司计算机</w:t>
      </w:r>
    </w:p>
    <w:p>
      <w:pPr>
        <w:pStyle w:val="BodyText"/>
        <w:spacing w:line="214" w:lineRule="exact"/>
        <w:ind w:right="982"/>
        <w:jc w:val="left"/>
      </w:pPr>
      <w:r>
        <w:rPr>
          <w:spacing w:val="-4"/>
        </w:rPr>
        <w:t>部，</w:t>
      </w:r>
      <w:r>
        <w:rPr>
          <w:rFonts w:ascii="Times New Roman" w:hAnsi="Times New Roman" w:cs="Times New Roman" w:eastAsia="Times New Roman" w:hint="default"/>
          <w:spacing w:val="-4"/>
        </w:rPr>
        <w:t>1995</w:t>
      </w:r>
      <w:r>
        <w:rPr>
          <w:spacing w:val="-4"/>
        </w:rPr>
        <w:t>年参与共同设立公司前身北京思特奇计算机系统工程有限责任公司，历任董事长、董事、总经理，现任公司董事长、</w:t>
      </w:r>
    </w:p>
    <w:p>
      <w:pPr>
        <w:pStyle w:val="BodyText"/>
        <w:spacing w:line="240" w:lineRule="auto" w:before="63"/>
        <w:ind w:right="982"/>
        <w:jc w:val="left"/>
      </w:pPr>
      <w:r>
        <w:rPr/>
        <w:t>总经理。</w:t>
      </w:r>
    </w:p>
    <w:p>
      <w:pPr>
        <w:pStyle w:val="BodyText"/>
        <w:spacing w:line="309" w:lineRule="auto" w:before="117"/>
        <w:ind w:right="1130" w:firstLine="360"/>
        <w:jc w:val="both"/>
      </w:pPr>
      <w:r>
        <w:rPr>
          <w:rFonts w:ascii="宋体" w:hAnsi="宋体" w:cs="宋体" w:eastAsia="宋体" w:hint="default"/>
          <w:b/>
          <w:bCs/>
          <w:spacing w:val="-2"/>
        </w:rPr>
        <w:t>咸海丰先生：</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12</w:t>
      </w:r>
      <w:r>
        <w:rPr>
          <w:spacing w:val="-2"/>
        </w:rPr>
        <w:t>月出生，无境外永久居留权，硕士。曾任广西国泰会计师事务所审计部副经理、海通证券有限公</w:t>
      </w:r>
      <w:r>
        <w:rPr/>
        <w:t> </w:t>
      </w:r>
      <w:r>
        <w:rPr>
          <w:spacing w:val="-2"/>
        </w:rPr>
        <w:t>司投行部高级项目经理、大鹏证券有限公司风险管理部高级经理、北能能源有限公司财务总监、北京绵世投资集团股份有限</w:t>
      </w:r>
      <w:r>
        <w:rPr>
          <w:spacing w:val="-63"/>
        </w:rPr>
        <w:t> </w:t>
      </w:r>
      <w:r>
        <w:rPr>
          <w:spacing w:val="-63"/>
        </w:rPr>
      </w:r>
      <w:r>
        <w:rPr/>
        <w:t>公司财务总监。</w:t>
      </w:r>
      <w:r>
        <w:rPr>
          <w:rFonts w:ascii="Times New Roman" w:hAnsi="Times New Roman" w:cs="Times New Roman" w:eastAsia="Times New Roman" w:hint="default"/>
        </w:rPr>
        <w:t>2013</w:t>
      </w:r>
      <w:r>
        <w:rPr/>
        <w:t>年加入公司，现担任公司财务总监、董事会秘书。</w:t>
      </w:r>
    </w:p>
    <w:p>
      <w:pPr>
        <w:pStyle w:val="BodyText"/>
        <w:spacing w:line="309" w:lineRule="auto" w:before="46"/>
        <w:ind w:right="1130" w:firstLine="360"/>
        <w:jc w:val="both"/>
      </w:pPr>
      <w:r>
        <w:rPr>
          <w:rFonts w:ascii="宋体" w:hAnsi="宋体" w:cs="宋体" w:eastAsia="宋体" w:hint="default"/>
          <w:b/>
          <w:bCs/>
          <w:spacing w:val="-2"/>
        </w:rPr>
        <w:t>魏星女士：</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10</w:t>
      </w:r>
      <w:r>
        <w:rPr>
          <w:spacing w:val="-2"/>
        </w:rPr>
        <w:t>月出生，加拿大和香港永久居留权，硕士。曾任兰州有色冶金设计研究所助理工程师、冶金部建筑</w:t>
      </w:r>
      <w:r>
        <w:rPr/>
        <w:t> </w:t>
      </w:r>
      <w:r>
        <w:rPr>
          <w:spacing w:val="-2"/>
        </w:rPr>
        <w:t>研究总院环保研究所工程师、北京市标正图文电脑有限公司行政主管、北京创先广告有限公司人力资源经理、北大方正集团</w:t>
      </w:r>
      <w:r>
        <w:rPr>
          <w:spacing w:val="-63"/>
        </w:rPr>
        <w:t> </w:t>
      </w:r>
      <w:r>
        <w:rPr>
          <w:spacing w:val="-63"/>
        </w:rPr>
      </w:r>
      <w:r>
        <w:rPr/>
        <w:t>方正数码公司人力资源经理。</w:t>
      </w:r>
      <w:r>
        <w:rPr>
          <w:rFonts w:ascii="Times New Roman" w:hAnsi="Times New Roman" w:cs="Times New Roman" w:eastAsia="Times New Roman" w:hint="default"/>
        </w:rPr>
        <w:t>2002</w:t>
      </w:r>
      <w:r>
        <w:rPr/>
        <w:t>年加入公司，现担任公司副总经理。</w:t>
      </w:r>
    </w:p>
    <w:p>
      <w:pPr>
        <w:pStyle w:val="BodyText"/>
        <w:spacing w:line="240" w:lineRule="auto" w:before="43"/>
        <w:ind w:right="982"/>
        <w:jc w:val="left"/>
      </w:pPr>
      <w:r>
        <w:rPr/>
        <w:t>在股东单位任职情况</w:t>
      </w:r>
    </w:p>
    <w:p>
      <w:pPr>
        <w:pStyle w:val="BodyText"/>
        <w:spacing w:line="340"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39"/>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359" w:type="dxa"/>
        <w:tblLayout w:type="fixed"/>
        <w:tblCellMar>
          <w:top w:w="0" w:type="dxa"/>
          <w:left w:w="0" w:type="dxa"/>
          <w:bottom w:w="0" w:type="dxa"/>
          <w:right w:w="0" w:type="dxa"/>
        </w:tblCellMar>
        <w:tblLook w:val="01E0"/>
      </w:tblPr>
      <w:tblGrid>
        <w:gridCol w:w="1202"/>
        <w:gridCol w:w="3191"/>
        <w:gridCol w:w="1063"/>
        <w:gridCol w:w="1196"/>
        <w:gridCol w:w="1147"/>
        <w:gridCol w:w="1419"/>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3" w:right="72"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宋俊德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宋俊德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亿阳信通股份有限公司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宋俊德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北京青牛股份有限公司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栾颖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北京现代投资咨询有限公司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栾颖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北京安永普润产权经纪有限公司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唐国琼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西南财经大学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唐国琼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乐山电力股份有限公司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唐国琼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北京德辰科技股份有限公司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唐国琼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成都圣诺生物科技股份有限公司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唐国琼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成都东骏激光股份有限公司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证联支付有限责任公司北京分公司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北京联合天成价值网络科技有限公司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深圳金汇财富金融服务有限公司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0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2"/>
        <w:ind w:right="982"/>
        <w:jc w:val="left"/>
      </w:pPr>
      <w:r>
        <w:rPr/>
        <w:t>公司现任及报告期内离任董事、监事和高级管理人员近三年证券监管机构处罚的情况</w:t>
      </w:r>
    </w:p>
    <w:p>
      <w:pPr>
        <w:pStyle w:val="BodyText"/>
        <w:spacing w:line="340" w:lineRule="auto" w:before="115"/>
        <w:ind w:left="513" w:right="98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公司董事宋俊德先生，同时任亿阳信通股份有限公司（以下简称</w:t>
      </w:r>
      <w:r>
        <w:rPr>
          <w:rFonts w:ascii="Times New Roman" w:hAnsi="Times New Roman" w:cs="Times New Roman" w:eastAsia="Times New Roman" w:hint="default"/>
          <w:spacing w:val="-2"/>
        </w:rPr>
        <w:t>“</w:t>
      </w:r>
      <w:r>
        <w:rPr>
          <w:spacing w:val="-2"/>
        </w:rPr>
        <w:t>亿阳信通</w:t>
      </w:r>
      <w:r>
        <w:rPr>
          <w:rFonts w:ascii="Times New Roman" w:hAnsi="Times New Roman" w:cs="Times New Roman" w:eastAsia="Times New Roman" w:hint="default"/>
          <w:spacing w:val="-2"/>
        </w:rPr>
        <w:t>”</w:t>
      </w:r>
      <w:r>
        <w:rPr>
          <w:spacing w:val="-2"/>
        </w:rPr>
        <w:t>）董事。</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日，上海证券交易所</w:t>
      </w:r>
    </w:p>
    <w:p>
      <w:pPr>
        <w:pStyle w:val="BodyText"/>
        <w:spacing w:line="215" w:lineRule="exact"/>
        <w:ind w:right="982"/>
        <w:jc w:val="left"/>
      </w:pPr>
      <w:r>
        <w:rPr/>
        <w:t>出具《关于对亿阳信通股份有限公司及其控股股东亿阳集团股份有限公司、实际控制人邓伟及有关责任人予以纪律处分的决</w:t>
      </w:r>
    </w:p>
    <w:p>
      <w:pPr>
        <w:pStyle w:val="BodyText"/>
        <w:spacing w:line="240" w:lineRule="auto" w:before="76"/>
        <w:ind w:right="982"/>
        <w:jc w:val="left"/>
      </w:pPr>
      <w:r>
        <w:rPr/>
        <w:t>定》（</w:t>
      </w:r>
      <w:r>
        <w:rPr>
          <w:rFonts w:ascii="Times New Roman" w:hAnsi="Times New Roman" w:cs="Times New Roman" w:eastAsia="Times New Roman" w:hint="default"/>
        </w:rPr>
        <w:t>[2019]137</w:t>
      </w:r>
      <w:r>
        <w:rPr/>
        <w:t>号），认定有关责任人在履职方面存在违规行为，对亿阳信通时任董事宋俊德给予通报批评的处分。</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董事、监事、高级管理人员报酬的决策程序、确定依据、实际支付情况</w:t>
      </w:r>
    </w:p>
    <w:p>
      <w:pPr>
        <w:spacing w:after="0" w:line="240" w:lineRule="auto"/>
        <w:jc w:val="lef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65" w:type="dxa"/>
        <w:tblLayout w:type="fixed"/>
        <w:tblCellMar>
          <w:top w:w="0" w:type="dxa"/>
          <w:left w:w="0" w:type="dxa"/>
          <w:bottom w:w="0" w:type="dxa"/>
          <w:right w:w="0" w:type="dxa"/>
        </w:tblCellMar>
        <w:tblLook w:val="01E0"/>
      </w:tblPr>
      <w:tblGrid>
        <w:gridCol w:w="4078"/>
        <w:gridCol w:w="5404"/>
      </w:tblGrid>
      <w:tr>
        <w:trPr>
          <w:trHeight w:val="348" w:hRule="exact"/>
        </w:trPr>
        <w:tc>
          <w:tcPr>
            <w:tcW w:w="407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公司独立董事津贴由董事会提议后提请股东大会审议通过后实施。</w:t>
            </w:r>
          </w:p>
        </w:tc>
      </w:tr>
      <w:tr>
        <w:trPr>
          <w:trHeight w:val="658" w:hRule="exact"/>
        </w:trPr>
        <w:tc>
          <w:tcPr>
            <w:tcW w:w="407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4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pacing w:val="-1"/>
                <w:sz w:val="18"/>
                <w:szCs w:val="18"/>
              </w:rPr>
              <w:t>在公司领取薪酬的董事、监事、高级管理人员的薪酬和绩效考核方案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根据公司薪酬体系和绩效考核体系实施。</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报告期内，公司已向董事、监事和高级管理人员全额支付薪酬。</w:t>
            </w:r>
          </w:p>
        </w:tc>
      </w:tr>
    </w:tbl>
    <w:p>
      <w:pPr>
        <w:spacing w:line="240" w:lineRule="auto" w:before="5"/>
        <w:rPr>
          <w:rFonts w:ascii="宋体" w:hAnsi="宋体" w:cs="宋体" w:eastAsia="宋体" w:hint="default"/>
          <w:sz w:val="24"/>
          <w:szCs w:val="24"/>
        </w:rPr>
      </w:pPr>
    </w:p>
    <w:p>
      <w:pPr>
        <w:pStyle w:val="BodyText"/>
        <w:spacing w:line="240" w:lineRule="auto" w:before="44"/>
        <w:ind w:right="982"/>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036"/>
        <w:gridCol w:w="992"/>
        <w:gridCol w:w="1075"/>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96.81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宋俊德</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王维</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王德明</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栾颖</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常征</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张权利</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唐国琼</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胡征</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孙永胜</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股东代表监事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张景松</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陈立勇</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廉慧</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股东代表监事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股东代表监事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咸海丰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财务总监、董事会秘书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魏星</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82.74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504.64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982"/>
        <w:jc w:val="left"/>
      </w:pPr>
      <w:r>
        <w:rPr/>
        <w:t>公司董事、高级管理人员报告期内被授予的股权激励情况</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1,611</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1,557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3,168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3,168</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146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247</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sz w:val="18"/>
              </w:rPr>
              <w:t>3,168</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2,762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3,168</w:t>
            </w:r>
          </w:p>
        </w:tc>
      </w:tr>
    </w:tbl>
    <w:p>
      <w:pPr>
        <w:spacing w:line="240" w:lineRule="auto" w:before="3"/>
        <w:rPr>
          <w:rFonts w:ascii="宋体" w:hAnsi="宋体" w:cs="宋体" w:eastAsia="宋体" w:hint="default"/>
          <w:b/>
          <w:bCs/>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2" w:firstLine="360"/>
        <w:jc w:val="left"/>
      </w:pPr>
      <w:r>
        <w:rPr>
          <w:spacing w:val="-2"/>
        </w:rPr>
        <w:t>公司严格按照年度预算全面实施薪酬总额管控，通过生产投入定期分析，合理配置释放薪酬资源，减少成本损耗，打造</w:t>
      </w:r>
      <w:r>
        <w:rPr/>
        <w:t> 良性的薪酬管理活动。</w:t>
      </w:r>
    </w:p>
    <w:p>
      <w:pPr>
        <w:pStyle w:val="BodyText"/>
        <w:spacing w:line="300" w:lineRule="auto" w:before="19"/>
        <w:ind w:right="1123" w:firstLine="360"/>
        <w:jc w:val="left"/>
      </w:pPr>
      <w:r>
        <w:rPr>
          <w:rFonts w:ascii="Times New Roman" w:hAnsi="Times New Roman" w:cs="Times New Roman" w:eastAsia="Times New Roman" w:hint="default"/>
        </w:rPr>
        <w:t>1</w:t>
      </w:r>
      <w:r>
        <w:rPr/>
        <w:t>、报告期内，实现所有奖金来源均与利润挂钩，同时，在分配过程中强化了以岗位交付贡献，价值创造为目标的激励 分配规则，保证了公司、团队、管理者及员工自上而下利益分配的一致性。</w:t>
      </w:r>
    </w:p>
    <w:p>
      <w:pPr>
        <w:pStyle w:val="BodyText"/>
        <w:spacing w:line="240" w:lineRule="auto" w:before="31"/>
        <w:ind w:left="513" w:right="982"/>
        <w:jc w:val="left"/>
      </w:pPr>
      <w:r>
        <w:rPr>
          <w:rFonts w:ascii="Times New Roman" w:hAnsi="Times New Roman" w:cs="Times New Roman" w:eastAsia="Times New Roman" w:hint="default"/>
        </w:rPr>
        <w:t>2</w:t>
      </w:r>
      <w:r>
        <w:rPr/>
        <w:t>、通过定期跟踪核查成本执行数据，提前干预减少成本浪费，降低消耗性成本。</w:t>
      </w:r>
    </w:p>
    <w:p>
      <w:pPr>
        <w:pStyle w:val="BodyText"/>
        <w:spacing w:line="300" w:lineRule="auto" w:before="63"/>
        <w:ind w:right="1123" w:firstLine="360"/>
        <w:jc w:val="left"/>
      </w:pPr>
      <w:r>
        <w:rPr>
          <w:rFonts w:ascii="Times New Roman" w:hAnsi="Times New Roman" w:cs="Times New Roman" w:eastAsia="Times New Roman" w:hint="default"/>
        </w:rPr>
        <w:t>3</w:t>
      </w:r>
      <w:r>
        <w:rPr/>
        <w:t>、在总费用不变的情况下，全面统筹福利、薪酬调整，并优化各项福利方案，在保证持续提升员工关怀情况下，提升 成本价值。</w:t>
      </w:r>
    </w:p>
    <w:p>
      <w:pPr>
        <w:pStyle w:val="BodyText"/>
        <w:spacing w:line="300" w:lineRule="auto" w:before="31"/>
        <w:ind w:right="1123" w:firstLine="360"/>
        <w:jc w:val="left"/>
      </w:pPr>
      <w:r>
        <w:rPr>
          <w:rFonts w:ascii="Times New Roman" w:hAnsi="Times New Roman" w:cs="Times New Roman" w:eastAsia="Times New Roman" w:hint="default"/>
        </w:rPr>
        <w:t>4</w:t>
      </w:r>
      <w:r>
        <w:rPr/>
        <w:t>、本年度强化了对核心岗位、高绩效、高交付，高岗位交付的识别，结合外部市场，实施预算内的薪酬调整，激励分 配等管理活动，稳定团队及核心关键人员，持续提升团队绩效。</w:t>
      </w:r>
    </w:p>
    <w:p>
      <w:pPr>
        <w:pStyle w:val="BodyText"/>
        <w:spacing w:line="340" w:lineRule="auto" w:before="31"/>
        <w:ind w:right="1303" w:firstLine="360"/>
        <w:jc w:val="left"/>
      </w:pPr>
      <w:r>
        <w:rPr>
          <w:rFonts w:ascii="Times New Roman" w:hAnsi="Times New Roman" w:cs="Times New Roman" w:eastAsia="Times New Roman" w:hint="default"/>
        </w:rPr>
        <w:t>5</w:t>
      </w:r>
      <w:r>
        <w:rPr/>
        <w:t>、定期复盘总结执行数据，回归制度，流程要求及目标，持续优化机制流程，以更好地将各项管理策略落实到位。 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20"/>
        <w:ind w:left="297" w:right="982"/>
        <w:jc w:val="left"/>
      </w:pPr>
      <w:r>
        <w:rPr/>
        <w:t>公司核心技术人员保持稳定，报告期内未发生变动。</w:t>
      </w:r>
    </w:p>
    <w:p>
      <w:pPr>
        <w:spacing w:line="240" w:lineRule="auto" w:before="0"/>
        <w:rPr>
          <w:rFonts w:ascii="宋体" w:hAnsi="宋体" w:cs="宋体" w:eastAsia="宋体" w:hint="default"/>
          <w:sz w:val="18"/>
          <w:szCs w:val="18"/>
        </w:rPr>
      </w:pPr>
    </w:p>
    <w:p>
      <w:pPr>
        <w:pStyle w:val="Heading4"/>
        <w:spacing w:line="240" w:lineRule="auto" w:before="118"/>
        <w:ind w:right="982"/>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年度培训具体情况</w:t>
      </w:r>
    </w:p>
    <w:p>
      <w:pPr>
        <w:pStyle w:val="BodyText"/>
        <w:spacing w:line="300" w:lineRule="auto" w:before="63"/>
        <w:ind w:right="1131" w:firstLine="360"/>
        <w:jc w:val="both"/>
      </w:pPr>
      <w:r>
        <w:rPr>
          <w:rFonts w:ascii="Times New Roman" w:hAnsi="Times New Roman" w:cs="Times New Roman" w:eastAsia="Times New Roman" w:hint="default"/>
        </w:rPr>
        <w:t>2019</w:t>
      </w:r>
      <w:r>
        <w:rPr/>
        <w:t>年，公司组织实施</w:t>
      </w:r>
      <w:r>
        <w:rPr>
          <w:rFonts w:ascii="Times New Roman" w:hAnsi="Times New Roman" w:cs="Times New Roman" w:eastAsia="Times New Roman" w:hint="default"/>
        </w:rPr>
        <w:t>30</w:t>
      </w:r>
      <w:r>
        <w:rPr/>
        <w:t>场培训，培训项目包括：</w:t>
      </w:r>
      <w:r>
        <w:rPr>
          <w:spacing w:val="-21"/>
        </w:rPr>
        <w:t> </w:t>
      </w:r>
      <w:r>
        <w:rPr>
          <w:rFonts w:ascii="Times New Roman" w:hAnsi="Times New Roman" w:cs="Times New Roman" w:eastAsia="Times New Roman" w:hint="default"/>
        </w:rPr>
        <w:t>“</w:t>
      </w:r>
      <w:r>
        <w:rPr/>
        <w:t>通用素质类培训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管理者胜任力培训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人才梯队培训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未来 </w:t>
      </w:r>
      <w:r>
        <w:rPr>
          <w:spacing w:val="-1"/>
        </w:rPr>
        <w:t>之星训练营</w:t>
      </w:r>
      <w:r>
        <w:rPr>
          <w:rFonts w:ascii="Times New Roman" w:hAnsi="Times New Roman" w:cs="Times New Roman" w:eastAsia="Times New Roman" w:hint="default"/>
          <w:spacing w:val="-1"/>
        </w:rPr>
        <w:t>”</w:t>
      </w:r>
      <w:r>
        <w:rPr>
          <w:spacing w:val="-1"/>
        </w:rPr>
        <w:t>。其中，</w:t>
      </w:r>
      <w:r>
        <w:rPr>
          <w:rFonts w:ascii="Times New Roman" w:hAnsi="Times New Roman" w:cs="Times New Roman" w:eastAsia="Times New Roman" w:hint="default"/>
          <w:spacing w:val="-1"/>
        </w:rPr>
        <w:t>“</w:t>
      </w:r>
      <w:r>
        <w:rPr>
          <w:spacing w:val="-1"/>
        </w:rPr>
        <w:t>未来之星训练营</w:t>
      </w:r>
      <w:r>
        <w:rPr>
          <w:rFonts w:ascii="Times New Roman" w:hAnsi="Times New Roman" w:cs="Times New Roman" w:eastAsia="Times New Roman" w:hint="default"/>
          <w:spacing w:val="-1"/>
        </w:rPr>
        <w:t>”</w:t>
      </w:r>
      <w:r>
        <w:rPr>
          <w:spacing w:val="-1"/>
        </w:rPr>
        <w:t>为校招应届生专项定制，培训周期为</w:t>
      </w:r>
      <w:r>
        <w:rPr>
          <w:rFonts w:ascii="Times New Roman" w:hAnsi="Times New Roman" w:cs="Times New Roman" w:eastAsia="Times New Roman" w:hint="default"/>
          <w:spacing w:val="-1"/>
        </w:rPr>
        <w:t>3</w:t>
      </w:r>
      <w:r>
        <w:rPr>
          <w:spacing w:val="-1"/>
        </w:rPr>
        <w:t>个月，培训分为理论基础知识培训和项目实践</w:t>
      </w:r>
      <w:r>
        <w:rPr/>
        <w:t> 培训。通过分阶段的培训形式，更高效快速的培训出符合公司岗位胜任力的员工，更快的产出交付。</w:t>
      </w:r>
    </w:p>
    <w:p>
      <w:pPr>
        <w:spacing w:after="0" w:line="300"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9" w:firstLine="36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w:t>
      </w:r>
      <w:r>
        <w:rPr>
          <w:spacing w:val="-1"/>
        </w:rPr>
        <w:t>专业能力提升</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业务能力提升</w:t>
      </w:r>
      <w:r>
        <w:rPr>
          <w:rFonts w:ascii="Times New Roman" w:hAnsi="Times New Roman" w:cs="Times New Roman" w:eastAsia="Times New Roman" w:hint="default"/>
          <w:spacing w:val="-1"/>
        </w:rPr>
        <w:t>”</w:t>
      </w:r>
      <w:r>
        <w:rPr>
          <w:spacing w:val="-1"/>
        </w:rPr>
        <w:t>主要采用线上平台自学模式，学习内容将密切结合公司重点业务、技术方向定</w:t>
      </w:r>
      <w:r>
        <w:rPr/>
        <w:t> 制，学习人数超</w:t>
      </w:r>
      <w:r>
        <w:rPr>
          <w:rFonts w:ascii="Times New Roman" w:hAnsi="Times New Roman" w:cs="Times New Roman" w:eastAsia="Times New Roman" w:hint="default"/>
        </w:rPr>
        <w:t>3000</w:t>
      </w:r>
      <w:r>
        <w:rPr/>
        <w:t>余人次。</w:t>
      </w:r>
    </w:p>
    <w:p>
      <w:pPr>
        <w:pStyle w:val="BodyText"/>
        <w:spacing w:line="240" w:lineRule="auto" w:before="13"/>
        <w:ind w:left="513" w:right="98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t>年度培训发展计划</w:t>
      </w:r>
    </w:p>
    <w:p>
      <w:pPr>
        <w:pStyle w:val="BodyText"/>
        <w:spacing w:line="309" w:lineRule="auto" w:before="63"/>
        <w:ind w:right="1033" w:firstLine="360"/>
        <w:jc w:val="left"/>
      </w:pPr>
      <w:r>
        <w:rPr>
          <w:rFonts w:ascii="Times New Roman" w:hAnsi="Times New Roman" w:cs="Times New Roman" w:eastAsia="Times New Roman" w:hint="default"/>
        </w:rPr>
        <w:t>2020</w:t>
      </w:r>
      <w:r>
        <w:rPr/>
        <w:t>年度，公司将持续推进未来之星人才工程，落地与高校的人才联合培养，为优化公司</w:t>
      </w:r>
      <w:r>
        <w:rPr>
          <w:rFonts w:ascii="Times New Roman" w:hAnsi="Times New Roman" w:cs="Times New Roman" w:eastAsia="Times New Roman" w:hint="default"/>
        </w:rPr>
        <w:t>DNA</w:t>
      </w:r>
      <w:r>
        <w:rPr/>
        <w:t>夯实基础；强化企业大 学的运营，使其成为全员线上学习更有效的载体；推进员工生命周期下的岗位培训，回归学习效果评估，构建学习型组织； 以公司价值观为核心，多种形式结合，有效实行企业文化的系统化宣贯。</w:t>
      </w:r>
    </w:p>
    <w:p>
      <w:pPr>
        <w:pStyle w:val="BodyText"/>
        <w:spacing w:line="316" w:lineRule="auto" w:before="24"/>
        <w:ind w:right="1130" w:firstLine="360"/>
        <w:jc w:val="both"/>
      </w:pPr>
      <w:r>
        <w:rPr>
          <w:spacing w:val="-2"/>
        </w:rPr>
        <w:t>强化员工业绩提升方法和技能的培训，帮助员工提升工作效率；加大高潜管理者的识别、多途径培养发展力度，加速管</w:t>
      </w:r>
      <w:r>
        <w:rPr/>
        <w:t> </w:t>
      </w:r>
      <w:r>
        <w:rPr>
          <w:spacing w:val="-2"/>
        </w:rPr>
        <w:t>理者后备人才梯队成长速度；持续深化管理者的领导力素质提升，围绕领导力模型持续落地改进；强化管理者围绕带领团队</w:t>
      </w:r>
      <w:r>
        <w:rPr>
          <w:spacing w:val="-63"/>
        </w:rPr>
        <w:t> </w:t>
      </w:r>
      <w:r>
        <w:rPr>
          <w:spacing w:val="-63"/>
        </w:rPr>
      </w:r>
      <w:r>
        <w:rPr/>
        <w:t>提升生产力和生产效率、持续创造价值的责任意识与能力。</w:t>
      </w:r>
    </w:p>
    <w:p>
      <w:pPr>
        <w:spacing w:line="240" w:lineRule="auto" w:before="8"/>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219"/>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公司严格按照《公司法》、《证券法》及《公司章程》的有关规定，不断完善公司治理结构，建立健全内部管理和控制</w:t>
      </w:r>
      <w:r>
        <w:rPr/>
        <w:t> </w:t>
      </w:r>
      <w:r>
        <w:rPr>
          <w:spacing w:val="-2"/>
        </w:rPr>
        <w:t>制度，提高公司规范运作水平。公司设立了股东大会、董事会和监事会。股东大会为公司最高权力机构，通过董事会对公司</w:t>
      </w:r>
      <w:r>
        <w:rPr>
          <w:spacing w:val="-67"/>
        </w:rPr>
        <w:t> </w:t>
      </w:r>
      <w:r>
        <w:rPr>
          <w:spacing w:val="-67"/>
        </w:rPr>
      </w:r>
      <w:r>
        <w:rPr>
          <w:spacing w:val="-2"/>
        </w:rPr>
        <w:t>进行管理和监督。董事会为公司常设决策机构，向股东大会负责，对公司经营活动中的重大决策问题进行审议或提交股东大</w:t>
      </w:r>
      <w:r>
        <w:rPr>
          <w:spacing w:val="-63"/>
        </w:rPr>
        <w:t> </w:t>
      </w:r>
      <w:r>
        <w:rPr>
          <w:spacing w:val="-63"/>
        </w:rPr>
      </w:r>
      <w:r>
        <w:rPr>
          <w:spacing w:val="-2"/>
        </w:rPr>
        <w:t>会审议；公司董事会下设战略发展委员会、薪酬与考核委员会、提名委员会、审计委员会四个专门委员会。监事会为公司监</w:t>
      </w:r>
      <w:r>
        <w:rPr>
          <w:spacing w:val="-67"/>
        </w:rPr>
        <w:t> </w:t>
      </w:r>
      <w:r>
        <w:rPr>
          <w:spacing w:val="-67"/>
        </w:rPr>
      </w:r>
      <w:r>
        <w:rPr>
          <w:spacing w:val="-2"/>
        </w:rPr>
        <w:t>督机构，向股东大会负责，对公司财务以及公司董事和高级管理人员履行职责的合法性进行监督，维护公司及股东的合法权</w:t>
      </w:r>
      <w:r>
        <w:rPr>
          <w:spacing w:val="-66"/>
        </w:rPr>
        <w:t> </w:t>
      </w:r>
      <w:r>
        <w:rPr>
          <w:spacing w:val="-66"/>
        </w:rPr>
      </w:r>
      <w:r>
        <w:rPr/>
        <w:t>益。</w:t>
      </w:r>
    </w:p>
    <w:p>
      <w:pPr>
        <w:pStyle w:val="BodyText"/>
        <w:spacing w:line="240" w:lineRule="auto" w:before="60"/>
        <w:ind w:right="0"/>
        <w:jc w:val="both"/>
      </w:pPr>
      <w:r>
        <w:rPr/>
        <w:t>公司治理的实际状况与中国证监会发布的有关上市公司治理的规范性文件是否存在重大差异</w:t>
      </w:r>
    </w:p>
    <w:p>
      <w:pPr>
        <w:pStyle w:val="BodyText"/>
        <w:spacing w:line="340" w:lineRule="auto" w:before="115"/>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982"/>
        <w:jc w:val="left"/>
      </w:pPr>
      <w:r>
        <w:rPr>
          <w:rFonts w:ascii="Times New Roman" w:hAnsi="Times New Roman" w:cs="Times New Roman" w:eastAsia="Times New Roman" w:hint="default"/>
        </w:rPr>
        <w:t>1</w:t>
      </w:r>
      <w:r>
        <w:rPr/>
        <w:t>、业务独立 </w:t>
      </w:r>
      <w:r>
        <w:rPr>
          <w:spacing w:val="-2"/>
        </w:rPr>
        <w:t>公司作为业界最早的云计算和大数据服务厂商，主要从事以软件为载体的产品开发和服务，直接面向电信运营商、智慧</w:t>
      </w:r>
    </w:p>
    <w:p>
      <w:pPr>
        <w:pStyle w:val="BodyText"/>
        <w:spacing w:line="319" w:lineRule="auto" w:before="2"/>
        <w:ind w:right="1131"/>
        <w:jc w:val="both"/>
      </w:pPr>
      <w:r>
        <w:rPr>
          <w:spacing w:val="-2"/>
        </w:rPr>
        <w:t>城市、虚拟运营商、中小企业客户的运营和支撑等服务。公司核心市场是电信运营商，为客户提供核心业务系统全面解决方</w:t>
      </w:r>
      <w:r>
        <w:rPr>
          <w:spacing w:val="-64"/>
        </w:rPr>
        <w:t> </w:t>
      </w:r>
      <w:r>
        <w:rPr>
          <w:spacing w:val="-64"/>
        </w:rPr>
      </w:r>
      <w:r>
        <w:rPr>
          <w:spacing w:val="-2"/>
        </w:rPr>
        <w:t>案，同时，公司凭借自身的云和大数据技术开发能力，积极开拓非电信运营商市场。公司拥有独立开展业务和面向市场自主</w:t>
      </w:r>
      <w:r>
        <w:rPr>
          <w:spacing w:val="-64"/>
        </w:rPr>
        <w:t> </w:t>
      </w:r>
      <w:r>
        <w:rPr>
          <w:spacing w:val="-64"/>
        </w:rPr>
      </w:r>
      <w:r>
        <w:rPr>
          <w:spacing w:val="-2"/>
        </w:rPr>
        <w:t>经营的能力，业务均独立于控股股东、实际控制人及其控制的除子公司外的其他关联企业，公司与控股股东、实际控制人及</w:t>
      </w:r>
      <w:r>
        <w:rPr>
          <w:spacing w:val="-64"/>
        </w:rPr>
        <w:t> </w:t>
      </w:r>
      <w:r>
        <w:rPr>
          <w:spacing w:val="-64"/>
        </w:rPr>
      </w:r>
      <w:r>
        <w:rPr/>
        <w:t>其控制的除子公司外的其他关联企业之间不存在竞争关系或业务依赖的情况。</w:t>
      </w:r>
    </w:p>
    <w:p>
      <w:pPr>
        <w:pStyle w:val="BodyText"/>
        <w:spacing w:line="340" w:lineRule="auto" w:before="58"/>
        <w:ind w:left="513" w:right="982"/>
        <w:jc w:val="left"/>
      </w:pPr>
      <w:r>
        <w:rPr>
          <w:rFonts w:ascii="Times New Roman" w:hAnsi="Times New Roman" w:cs="Times New Roman" w:eastAsia="Times New Roman" w:hint="default"/>
        </w:rPr>
        <w:t>2</w:t>
      </w:r>
      <w:r>
        <w:rPr/>
        <w:t>、人员独立 </w:t>
      </w:r>
      <w:r>
        <w:rPr>
          <w:spacing w:val="-2"/>
        </w:rPr>
        <w:t>公司设立了人力资源专业体系，建立了独立的劳动人事及工资管理制度，员工的收入由公司独立核算发放，不存在受控</w:t>
      </w:r>
    </w:p>
    <w:p>
      <w:pPr>
        <w:pStyle w:val="BodyText"/>
        <w:spacing w:line="316" w:lineRule="auto" w:before="1"/>
        <w:ind w:right="1051"/>
        <w:jc w:val="both"/>
      </w:pPr>
      <w:r>
        <w:rPr>
          <w:spacing w:val="-2"/>
        </w:rPr>
        <w:t>股股东干预的情形。公司董事、监事均严格按照《公司法》和《公司章程》的规定履行相关审议程序选举产生，高级管理人</w:t>
      </w:r>
      <w:r>
        <w:rPr>
          <w:spacing w:val="-73"/>
        </w:rPr>
        <w:t> </w:t>
      </w:r>
      <w:r>
        <w:rPr>
          <w:spacing w:val="-73"/>
        </w:rPr>
      </w:r>
      <w:r>
        <w:rPr>
          <w:spacing w:val="-2"/>
        </w:rPr>
        <w:t>员均由董事会依职权聘任，不存在控股股东或其他关联方干涉公司人事任免的情况。公司总经理、副总经理、财务负责人和</w:t>
      </w:r>
      <w:r>
        <w:rPr>
          <w:spacing w:val="-64"/>
        </w:rPr>
        <w:t> </w:t>
      </w:r>
      <w:r>
        <w:rPr>
          <w:spacing w:val="-64"/>
        </w:rPr>
      </w:r>
      <w:r>
        <w:rPr>
          <w:spacing w:val="-2"/>
        </w:rPr>
        <w:t>董事会秘书等高级管理人员没有在控股股东、实际控制人及其控制的其他企业中担任除董事、监事以外的其他职务，没有在</w:t>
      </w:r>
      <w:r>
        <w:rPr>
          <w:spacing w:val="-66"/>
        </w:rPr>
        <w:t> </w:t>
      </w:r>
      <w:r>
        <w:rPr>
          <w:spacing w:val="-66"/>
        </w:rPr>
      </w:r>
      <w:r>
        <w:rPr/>
        <w:t>控股股东、实际控制人及其控制的其他企业领薪，公司财务人员没有在控股股东、实际控制人及其控制的其他企业中兼职。</w:t>
      </w:r>
    </w:p>
    <w:p>
      <w:pPr>
        <w:pStyle w:val="BodyText"/>
        <w:spacing w:line="340" w:lineRule="auto" w:before="57"/>
        <w:ind w:left="513" w:right="982"/>
        <w:jc w:val="left"/>
      </w:pPr>
      <w:r>
        <w:rPr>
          <w:rFonts w:ascii="Times New Roman" w:hAnsi="Times New Roman" w:cs="Times New Roman" w:eastAsia="Times New Roman" w:hint="default"/>
        </w:rPr>
        <w:t>3</w:t>
      </w:r>
      <w:r>
        <w:rPr/>
        <w:t>、资产完整 </w:t>
      </w:r>
      <w:r>
        <w:rPr>
          <w:spacing w:val="-2"/>
        </w:rPr>
        <w:t>公司资产完整、产权明晰，资金、资产及其他资源由公司独立控制并支配，不存在控股股东及其他关联方无偿占用、挪</w:t>
      </w:r>
    </w:p>
    <w:p>
      <w:pPr>
        <w:pStyle w:val="BodyText"/>
        <w:spacing w:line="240" w:lineRule="auto" w:before="1"/>
        <w:ind w:right="0"/>
        <w:jc w:val="both"/>
      </w:pPr>
      <w:r>
        <w:rPr/>
        <w:t>用公司资产损害公司利益的情况。</w:t>
      </w:r>
    </w:p>
    <w:p>
      <w:pPr>
        <w:pStyle w:val="BodyText"/>
        <w:spacing w:line="338" w:lineRule="auto" w:before="118"/>
        <w:ind w:left="513" w:right="982"/>
        <w:jc w:val="left"/>
      </w:pPr>
      <w:r>
        <w:rPr>
          <w:rFonts w:ascii="Times New Roman" w:hAnsi="Times New Roman" w:cs="Times New Roman" w:eastAsia="Times New Roman" w:hint="default"/>
        </w:rPr>
        <w:t>4</w:t>
      </w:r>
      <w:r>
        <w:rPr/>
        <w:t>、机构独立 </w:t>
      </w:r>
      <w:r>
        <w:rPr>
          <w:spacing w:val="-2"/>
        </w:rPr>
        <w:t>公司具有较为健全的法人治理结构，设立了股东大会、董事会、监事会，聘任了高级管理人员，并根据生产经营需要设</w:t>
      </w:r>
    </w:p>
    <w:p>
      <w:pPr>
        <w:pStyle w:val="BodyText"/>
        <w:spacing w:line="316" w:lineRule="auto" w:before="2"/>
        <w:ind w:right="1033"/>
        <w:jc w:val="left"/>
      </w:pPr>
      <w:r>
        <w:rPr/>
        <w:t>置了各业务、职能部门，建立完善了部门规章制度。公司业务经营场所和办公机构与股东单位相互独立，不存在混合经营、 </w:t>
      </w:r>
      <w:r>
        <w:rPr>
          <w:spacing w:val="-2"/>
        </w:rPr>
        <w:t>合署办公的情形，公司的组织机构独立于股东单位，各职能部门与股东单位及其职能部门之间没有上下级关系，不存在股东</w:t>
      </w:r>
      <w:r>
        <w:rPr>
          <w:spacing w:val="-63"/>
        </w:rPr>
        <w:t> </w:t>
      </w:r>
      <w:r>
        <w:rPr>
          <w:spacing w:val="-63"/>
        </w:rPr>
      </w:r>
      <w:r>
        <w:rPr/>
        <w:t>单位干预股份公司正常生产经营活动的现象。</w:t>
      </w:r>
    </w:p>
    <w:p>
      <w:pPr>
        <w:pStyle w:val="BodyText"/>
        <w:spacing w:line="340" w:lineRule="auto" w:before="59"/>
        <w:ind w:left="513" w:right="982"/>
        <w:jc w:val="left"/>
      </w:pPr>
      <w:r>
        <w:rPr>
          <w:rFonts w:ascii="Times New Roman" w:hAnsi="Times New Roman" w:cs="Times New Roman" w:eastAsia="Times New Roman" w:hint="default"/>
        </w:rPr>
        <w:t>5</w:t>
      </w:r>
      <w:r>
        <w:rPr/>
        <w:t>、财务独立 </w:t>
      </w:r>
      <w:r>
        <w:rPr>
          <w:spacing w:val="-2"/>
        </w:rPr>
        <w:t>公司按照《企业会计准则》等规定制定了规范的财务会计制度和对分、子公司的财务管理制度，建立了独立的财务会计</w:t>
      </w:r>
    </w:p>
    <w:p>
      <w:pPr>
        <w:pStyle w:val="BodyText"/>
        <w:spacing w:line="316" w:lineRule="auto" w:before="1"/>
        <w:ind w:right="1130"/>
        <w:jc w:val="both"/>
      </w:pPr>
      <w:r>
        <w:rPr>
          <w:spacing w:val="-2"/>
        </w:rPr>
        <w:t>核算体系，设立了独立的财务部门，配备了独立的财务会计人员。公司开设了独立的银行账户，不存在与股东或其他第三方</w:t>
      </w:r>
      <w:r>
        <w:rPr>
          <w:spacing w:val="-65"/>
        </w:rPr>
        <w:t> </w:t>
      </w:r>
      <w:r>
        <w:rPr>
          <w:spacing w:val="-65"/>
        </w:rPr>
      </w:r>
      <w:r>
        <w:rPr>
          <w:spacing w:val="-2"/>
        </w:rPr>
        <w:t>共用银行账户的情况；公司作为独立的纳税人，依法独立进行纳税申报和履行纳税义务，与股东单位无混合纳税现象。公司</w:t>
      </w:r>
      <w:r>
        <w:rPr>
          <w:spacing w:val="-65"/>
        </w:rPr>
        <w:t> </w:t>
      </w:r>
      <w:r>
        <w:rPr>
          <w:spacing w:val="-65"/>
        </w:rPr>
      </w:r>
      <w:r>
        <w:rPr/>
        <w:t>不存在货币资金或其他资产被股东单位或其他关联方占用的情形，也不存在为股东或其他关联方提供担保的情形。</w:t>
      </w:r>
    </w:p>
    <w:p>
      <w:pPr>
        <w:spacing w:after="0" w:line="316"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3" w:firstLine="360"/>
        <w:jc w:val="left"/>
      </w:pPr>
      <w:r>
        <w:rPr/>
        <w:t>综上所述，报告期内，公司在业务、人员、资产、机构、财务等方面具备独立性，与实际控制人和股东单位相互独立， 具有完整的业务体系和独立经营的能力。</w:t>
      </w:r>
    </w:p>
    <w:p>
      <w:pPr>
        <w:spacing w:line="240" w:lineRule="auto" w:before="9"/>
        <w:rPr>
          <w:rFonts w:ascii="宋体" w:hAnsi="宋体" w:cs="宋体" w:eastAsia="宋体" w:hint="default"/>
          <w:sz w:val="20"/>
          <w:szCs w:val="20"/>
        </w:rPr>
      </w:pPr>
    </w:p>
    <w:p>
      <w:pPr>
        <w:pStyle w:val="Heading2"/>
        <w:spacing w:line="240" w:lineRule="auto"/>
        <w:ind w:right="982"/>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会决议公告</w:t>
            </w:r>
            <w:r>
              <w:rPr>
                <w:rFonts w:ascii="宋体" w:hAnsi="宋体" w:cs="宋体" w:eastAsia="宋体" w:hint="default"/>
                <w:spacing w:val="-92"/>
                <w:sz w:val="18"/>
                <w:szCs w:val="18"/>
              </w:rPr>
              <w:t>》</w:t>
            </w:r>
            <w:r>
              <w:rPr>
                <w:rFonts w:ascii="宋体" w:hAnsi="宋体" w:cs="宋体" w:eastAsia="宋体" w:hint="default"/>
                <w:sz w:val="18"/>
                <w:szCs w:val="18"/>
              </w:rPr>
              <w:t>（公告</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40.23%</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19"/>
              <w:jc w:val="left"/>
              <w:rPr>
                <w:rFonts w:ascii="宋体" w:hAnsi="宋体" w:cs="宋体" w:eastAsia="宋体" w:hint="default"/>
                <w:sz w:val="18"/>
                <w:szCs w:val="18"/>
              </w:rPr>
            </w:pPr>
            <w:r>
              <w:rPr>
                <w:rFonts w:ascii="宋体" w:hAnsi="宋体" w:cs="宋体" w:eastAsia="宋体" w:hint="default"/>
                <w:spacing w:val="-7"/>
                <w:sz w:val="18"/>
                <w:szCs w:val="18"/>
              </w:rPr>
              <w:t>编号：</w:t>
            </w:r>
            <w:r>
              <w:rPr>
                <w:rFonts w:ascii="Times New Roman" w:hAnsi="Times New Roman" w:cs="Times New Roman" w:eastAsia="Times New Roman" w:hint="default"/>
                <w:spacing w:val="-7"/>
                <w:sz w:val="18"/>
                <w:szCs w:val="18"/>
              </w:rPr>
              <w:t>2019-057</w:t>
            </w:r>
            <w:r>
              <w:rPr>
                <w:rFonts w:ascii="宋体" w:hAnsi="宋体" w:cs="宋体" w:eastAsia="宋体" w:hint="default"/>
                <w:spacing w:val="-7"/>
                <w:sz w:val="18"/>
                <w:szCs w:val="18"/>
              </w:rPr>
              <w:t>）披</w:t>
            </w:r>
            <w:r>
              <w:rPr>
                <w:rFonts w:ascii="宋体" w:hAnsi="宋体" w:cs="宋体" w:eastAsia="宋体" w:hint="default"/>
                <w:spacing w:val="-79"/>
                <w:sz w:val="18"/>
                <w:szCs w:val="18"/>
              </w:rPr>
              <w:t> </w:t>
            </w:r>
            <w:r>
              <w:rPr>
                <w:rFonts w:ascii="宋体" w:hAnsi="宋体" w:cs="宋体" w:eastAsia="宋体" w:hint="default"/>
                <w:spacing w:val="-10"/>
                <w:sz w:val="18"/>
                <w:szCs w:val="18"/>
              </w:rPr>
              <w:t>露网址：巨潮资讯网</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353"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361"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w:t>
            </w:r>
          </w:p>
        </w:tc>
      </w:tr>
      <w:tr>
        <w:trPr>
          <w:trHeight w:val="30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时股东大会决议公</w:t>
            </w:r>
          </w:p>
        </w:tc>
      </w:tr>
      <w:tr>
        <w:trPr>
          <w:trHeight w:val="936"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36.40%</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147"/>
              <w:jc w:val="left"/>
              <w:rPr>
                <w:rFonts w:ascii="宋体" w:hAnsi="宋体" w:cs="宋体" w:eastAsia="宋体" w:hint="default"/>
                <w:sz w:val="18"/>
                <w:szCs w:val="18"/>
              </w:rPr>
            </w:pP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2019-089</w:t>
            </w:r>
            <w:r>
              <w:rPr>
                <w:rFonts w:ascii="宋体" w:hAnsi="宋体" w:cs="宋体" w:eastAsia="宋体" w:hint="default"/>
                <w:sz w:val="18"/>
                <w:szCs w:val="18"/>
              </w:rPr>
              <w:t>）披露网 址：巨潮资讯网</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353"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时股东大会决议公</w:t>
            </w:r>
          </w:p>
        </w:tc>
      </w:tr>
      <w:tr>
        <w:trPr>
          <w:trHeight w:val="936"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32.83%</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147"/>
              <w:jc w:val="left"/>
              <w:rPr>
                <w:rFonts w:ascii="宋体" w:hAnsi="宋体" w:cs="宋体" w:eastAsia="宋体" w:hint="default"/>
                <w:sz w:val="18"/>
                <w:szCs w:val="18"/>
              </w:rPr>
            </w:pP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2019-098</w:t>
            </w:r>
            <w:r>
              <w:rPr>
                <w:rFonts w:ascii="宋体" w:hAnsi="宋体" w:cs="宋体" w:eastAsia="宋体" w:hint="default"/>
                <w:sz w:val="18"/>
                <w:szCs w:val="18"/>
              </w:rPr>
              <w:t>）披露网 址：巨潮资讯网</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353"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5"/>
        <w:gridCol w:w="1164"/>
        <w:gridCol w:w="1162"/>
        <w:gridCol w:w="1164"/>
        <w:gridCol w:w="1162"/>
        <w:gridCol w:w="1164"/>
        <w:gridCol w:w="1164"/>
      </w:tblGrid>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 w:right="0"/>
              <w:jc w:val="left"/>
              <w:rPr>
                <w:rFonts w:ascii="宋体" w:hAnsi="宋体" w:cs="宋体" w:eastAsia="宋体" w:hint="default"/>
                <w:sz w:val="18"/>
                <w:szCs w:val="18"/>
              </w:rPr>
            </w:pPr>
            <w:r>
              <w:rPr>
                <w:rFonts w:ascii="宋体" w:hAnsi="宋体" w:cs="宋体" w:eastAsia="宋体" w:hint="default"/>
                <w:sz w:val="18"/>
                <w:szCs w:val="18"/>
              </w:rPr>
              <w:t>本报告期应参</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 w:right="0"/>
              <w:jc w:val="left"/>
              <w:rPr>
                <w:rFonts w:ascii="宋体" w:hAnsi="宋体" w:cs="宋体" w:eastAsia="宋体" w:hint="default"/>
                <w:sz w:val="18"/>
                <w:szCs w:val="18"/>
              </w:rPr>
            </w:pPr>
            <w:r>
              <w:rPr>
                <w:rFonts w:ascii="宋体" w:hAnsi="宋体" w:cs="宋体" w:eastAsia="宋体" w:hint="default"/>
                <w:sz w:val="18"/>
                <w:szCs w:val="18"/>
              </w:rPr>
              <w:t>现场出席董事</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以通讯方式参</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委托出席董事</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缺席董事会次</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是否连续两次</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6" w:right="0"/>
              <w:jc w:val="left"/>
              <w:rPr>
                <w:rFonts w:ascii="宋体" w:hAnsi="宋体" w:cs="宋体" w:eastAsia="宋体" w:hint="default"/>
                <w:sz w:val="18"/>
                <w:szCs w:val="18"/>
              </w:rPr>
            </w:pPr>
            <w:r>
              <w:rPr>
                <w:rFonts w:ascii="宋体" w:hAnsi="宋体" w:cs="宋体" w:eastAsia="宋体" w:hint="default"/>
                <w:sz w:val="18"/>
                <w:szCs w:val="18"/>
              </w:rPr>
              <w:t>出席股东大会</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67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4"/>
              <w:jc w:val="right"/>
              <w:rPr>
                <w:rFonts w:ascii="宋体" w:hAnsi="宋体" w:cs="宋体" w:eastAsia="宋体" w:hint="default"/>
                <w:sz w:val="18"/>
                <w:szCs w:val="18"/>
              </w:rPr>
            </w:pPr>
            <w:r>
              <w:rPr>
                <w:rFonts w:ascii="宋体" w:hAnsi="宋体" w:cs="宋体" w:eastAsia="宋体" w:hint="default"/>
                <w:sz w:val="18"/>
                <w:szCs w:val="18"/>
              </w:rPr>
              <w:t>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4"/>
              <w:jc w:val="right"/>
              <w:rPr>
                <w:rFonts w:ascii="宋体" w:hAnsi="宋体" w:cs="宋体" w:eastAsia="宋体" w:hint="default"/>
                <w:sz w:val="18"/>
                <w:szCs w:val="18"/>
              </w:rPr>
            </w:pPr>
            <w:r>
              <w:rPr>
                <w:rFonts w:ascii="宋体" w:hAnsi="宋体" w:cs="宋体" w:eastAsia="宋体" w:hint="default"/>
                <w:sz w:val="18"/>
                <w:szCs w:val="18"/>
              </w:rPr>
              <w:t>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15" w:right="36" w:hanging="180"/>
              <w:jc w:val="left"/>
              <w:rPr>
                <w:rFonts w:ascii="宋体" w:hAnsi="宋体" w:cs="宋体" w:eastAsia="宋体" w:hint="default"/>
                <w:sz w:val="18"/>
                <w:szCs w:val="18"/>
              </w:rPr>
            </w:pPr>
            <w:r>
              <w:rPr>
                <w:rFonts w:ascii="宋体" w:hAnsi="宋体" w:cs="宋体" w:eastAsia="宋体" w:hint="default"/>
                <w:sz w:val="18"/>
                <w:szCs w:val="18"/>
              </w:rPr>
              <w:t>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张权利</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常征</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唐国琼</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胡征</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57" w:lineRule="auto" w:before="51"/>
        <w:ind w:right="8053"/>
        <w:jc w:val="left"/>
      </w:pPr>
      <w:r>
        <w:rPr/>
        <w:t>连续两次未亲自出席董事会的说明 不适用</w:t>
      </w:r>
    </w:p>
    <w:p>
      <w:pPr>
        <w:spacing w:line="240" w:lineRule="auto" w:before="3"/>
        <w:rPr>
          <w:rFonts w:ascii="宋体" w:hAnsi="宋体" w:cs="宋体" w:eastAsia="宋体" w:hint="default"/>
          <w:sz w:val="20"/>
          <w:szCs w:val="20"/>
        </w:rPr>
      </w:pPr>
    </w:p>
    <w:p>
      <w:pPr>
        <w:pStyle w:val="Heading4"/>
        <w:spacing w:line="240" w:lineRule="auto"/>
        <w:ind w:right="982"/>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4"/>
        <w:spacing w:line="240" w:lineRule="auto"/>
        <w:ind w:right="98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独立董事对公司有关建议是否被采纳</w:t>
      </w:r>
    </w:p>
    <w:p>
      <w:pPr>
        <w:pStyle w:val="BodyText"/>
        <w:spacing w:line="340" w:lineRule="auto" w:before="115"/>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6" w:lineRule="auto" w:before="41"/>
        <w:ind w:right="982" w:firstLine="360"/>
        <w:jc w:val="left"/>
      </w:pPr>
      <w:r>
        <w:rPr>
          <w:spacing w:val="-2"/>
        </w:rPr>
        <w:t>报告期内，公司独立董事根据《公司法》、《深圳证券交易所创业板股票上市规则》、《深圳证券交易所创业板上市公</w:t>
      </w:r>
      <w:r>
        <w:rPr/>
        <w:t> </w:t>
      </w:r>
      <w:r>
        <w:rPr>
          <w:spacing w:val="-2"/>
        </w:rPr>
        <w:t>司规范运作指引》等规定，勤勉尽责，积极参加董事会和股东大会，主动对公司生产经营状况、管理和内部控制等制度的建</w:t>
      </w:r>
      <w:r>
        <w:rPr>
          <w:spacing w:val="-67"/>
        </w:rPr>
        <w:t> </w:t>
      </w:r>
      <w:r>
        <w:rPr>
          <w:spacing w:val="-67"/>
        </w:rPr>
      </w:r>
      <w:r>
        <w:rPr>
          <w:spacing w:val="-2"/>
        </w:rPr>
        <w:t>设及执行情况、董事会决议执行情况等进行现场调查，了解掌握公司的生产经营和运作情况，认真履行职责。独立董事对报</w:t>
      </w:r>
      <w:r>
        <w:rPr>
          <w:spacing w:val="-64"/>
        </w:rPr>
        <w:t> </w:t>
      </w:r>
      <w:r>
        <w:rPr>
          <w:spacing w:val="-64"/>
        </w:rPr>
      </w:r>
      <w:r>
        <w:rPr>
          <w:spacing w:val="-4"/>
        </w:rPr>
        <w:t>告期内公司发生的利润分配、募集资金使用情况、对外担保及资金占用情况、董事履职及薪酬情况、聘任会计师事务所情况、</w:t>
      </w:r>
      <w:r>
        <w:rPr>
          <w:spacing w:val="-46"/>
        </w:rPr>
        <w:t> </w:t>
      </w:r>
      <w:r>
        <w:rPr>
          <w:spacing w:val="-46"/>
        </w:rPr>
      </w:r>
      <w:r>
        <w:rPr>
          <w:spacing w:val="-2"/>
        </w:rPr>
        <w:t>公司及股东承诺履行情况、内部控制的执行情况、会计政策变更、购买办公用楼、公开发行可转债情况、董事会以及下设专</w:t>
      </w:r>
      <w:r>
        <w:rPr>
          <w:spacing w:val="-67"/>
        </w:rPr>
        <w:t> </w:t>
      </w:r>
      <w:r>
        <w:rPr>
          <w:spacing w:val="-67"/>
        </w:rPr>
      </w:r>
      <w:r>
        <w:rPr>
          <w:spacing w:val="-2"/>
        </w:rPr>
        <w:t>门委员会的运作情况等事项发表了独立、公正的意见，为完善公司监督机制，维护公司和全体股东的合法权益发挥了重要作</w:t>
      </w:r>
      <w:r>
        <w:rPr>
          <w:spacing w:val="-66"/>
        </w:rPr>
        <w:t> </w:t>
      </w:r>
      <w:r>
        <w:rPr>
          <w:spacing w:val="-66"/>
        </w:rPr>
      </w:r>
      <w:r>
        <w:rPr/>
        <w:t>用。</w:t>
      </w:r>
    </w:p>
    <w:p>
      <w:pPr>
        <w:spacing w:line="240" w:lineRule="auto" w:before="9"/>
        <w:rPr>
          <w:rFonts w:ascii="宋体" w:hAnsi="宋体" w:cs="宋体" w:eastAsia="宋体" w:hint="default"/>
          <w:sz w:val="20"/>
          <w:szCs w:val="20"/>
        </w:rPr>
      </w:pPr>
    </w:p>
    <w:p>
      <w:pPr>
        <w:pStyle w:val="Heading2"/>
        <w:spacing w:line="240" w:lineRule="auto"/>
        <w:ind w:right="982"/>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982"/>
        <w:jc w:val="left"/>
      </w:pPr>
      <w:r>
        <w:rPr/>
        <w:t>（一）</w:t>
      </w:r>
      <w:r>
        <w:rPr>
          <w:rFonts w:ascii="Times New Roman" w:hAnsi="Times New Roman" w:cs="Times New Roman" w:eastAsia="Times New Roman" w:hint="default"/>
        </w:rPr>
        <w:t>2019</w:t>
      </w:r>
      <w:r>
        <w:rPr/>
        <w:t>年度，董事会战略发展委员会召开了两次会议，具体情况如下：</w:t>
      </w:r>
    </w:p>
    <w:p>
      <w:pPr>
        <w:pStyle w:val="BodyText"/>
        <w:spacing w:line="300" w:lineRule="auto" w:before="103"/>
        <w:ind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日，召开第二届董事会战略发展委员会第十三次会议。会议应到委员</w:t>
      </w:r>
      <w:r>
        <w:rPr>
          <w:rFonts w:ascii="Times New Roman" w:hAnsi="Times New Roman" w:cs="Times New Roman" w:eastAsia="Times New Roman" w:hint="default"/>
          <w:spacing w:val="-2"/>
        </w:rPr>
        <w:t>3</w:t>
      </w:r>
      <w:r>
        <w:rPr>
          <w:spacing w:val="-2"/>
        </w:rPr>
        <w:t>名，实到委员</w:t>
      </w:r>
      <w:r>
        <w:rPr>
          <w:rFonts w:ascii="Times New Roman" w:hAnsi="Times New Roman" w:cs="Times New Roman" w:eastAsia="Times New Roman" w:hint="default"/>
          <w:spacing w:val="-2"/>
        </w:rPr>
        <w:t>3</w:t>
      </w:r>
      <w:r>
        <w:rPr>
          <w:spacing w:val="-2"/>
        </w:rPr>
        <w:t>名，公司董事会秘</w:t>
      </w:r>
      <w:r>
        <w:rPr/>
        <w:t> </w:t>
      </w:r>
      <w:r>
        <w:rPr>
          <w:spacing w:val="-2"/>
        </w:rPr>
        <w:t>书咸海丰列席了会议，会议由战略发展委员会召集人吴飞舟主持。会议审议并通过了《关于公司发展战略及</w:t>
      </w:r>
      <w:r>
        <w:rPr>
          <w:rFonts w:ascii="Times New Roman" w:hAnsi="Times New Roman" w:cs="Times New Roman" w:eastAsia="Times New Roman" w:hint="default"/>
          <w:spacing w:val="-2"/>
        </w:rPr>
        <w:t>2019</w:t>
      </w:r>
      <w:r>
        <w:rPr>
          <w:spacing w:val="-2"/>
        </w:rPr>
        <w:t>年度经营计</w:t>
      </w:r>
      <w:r>
        <w:rPr>
          <w:spacing w:val="-63"/>
        </w:rPr>
        <w:t> </w:t>
      </w:r>
      <w:r>
        <w:rPr>
          <w:spacing w:val="-63"/>
        </w:rPr>
      </w:r>
      <w:r>
        <w:rPr/>
        <w:t>划的议案》。</w:t>
      </w:r>
    </w:p>
    <w:p>
      <w:pPr>
        <w:pStyle w:val="BodyText"/>
        <w:spacing w:line="314" w:lineRule="auto" w:before="72"/>
        <w:ind w:right="1130"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日，召开第三届董事会战略发展委员会第一次会议。会议应到委员</w:t>
      </w:r>
      <w:r>
        <w:rPr>
          <w:rFonts w:ascii="Times New Roman" w:hAnsi="Times New Roman" w:cs="Times New Roman" w:eastAsia="Times New Roman" w:hint="default"/>
        </w:rPr>
        <w:t>3</w:t>
      </w:r>
      <w:r>
        <w:rPr/>
        <w:t>名，实到委员</w:t>
      </w:r>
      <w:r>
        <w:rPr>
          <w:rFonts w:ascii="Times New Roman" w:hAnsi="Times New Roman" w:cs="Times New Roman" w:eastAsia="Times New Roman" w:hint="default"/>
        </w:rPr>
        <w:t>3</w:t>
      </w:r>
      <w:r>
        <w:rPr/>
        <w:t>名，公司董事会秘书 </w:t>
      </w:r>
      <w:r>
        <w:rPr>
          <w:spacing w:val="-2"/>
        </w:rPr>
        <w:t>咸海丰列席了会议，会议由战略发展委员会召集人吴飞舟主持。会议审议并通过了《关于公司符合公开发行可转换公司债券</w:t>
      </w:r>
      <w:r>
        <w:rPr>
          <w:spacing w:val="-66"/>
        </w:rPr>
        <w:t> </w:t>
      </w:r>
      <w:r>
        <w:rPr>
          <w:spacing w:val="-66"/>
        </w:rPr>
      </w:r>
      <w:r>
        <w:rPr>
          <w:spacing w:val="-5"/>
        </w:rPr>
        <w:t>条件的议案》、《关于公司公开发行可转换公司债券方案的议案》、《关于公司公开发行可转换公司债券预案的议案》、《关</w:t>
      </w:r>
      <w:r>
        <w:rPr>
          <w:spacing w:val="-76"/>
        </w:rPr>
        <w:t> </w:t>
      </w:r>
      <w:r>
        <w:rPr>
          <w:spacing w:val="-76"/>
        </w:rPr>
      </w:r>
      <w:r>
        <w:rPr>
          <w:spacing w:val="-2"/>
        </w:rPr>
        <w:t>于公司公开发行可转换公司债券的论证分析报告的议案》、《关于公司公开发行可转换公司债券募集资金使用的可行性分析</w:t>
      </w:r>
      <w:r>
        <w:rPr>
          <w:spacing w:val="-65"/>
        </w:rPr>
        <w:t> </w:t>
      </w:r>
      <w:r>
        <w:rPr>
          <w:spacing w:val="-65"/>
        </w:rPr>
      </w:r>
      <w:r>
        <w:rPr>
          <w:spacing w:val="-2"/>
        </w:rPr>
        <w:t>报告的议案》、《关于公司前次募集资金使用情况报告的议案》、《关于公开发行可转换公司债券摊薄即期回报及填补回报</w:t>
      </w:r>
      <w:r>
        <w:rPr>
          <w:spacing w:val="-66"/>
        </w:rPr>
        <w:t> </w:t>
      </w:r>
      <w:r>
        <w:rPr>
          <w:spacing w:val="-66"/>
        </w:rPr>
      </w:r>
      <w:r>
        <w:rPr>
          <w:spacing w:val="-2"/>
        </w:rPr>
        <w:t>措施的议案》、《公司控股股东、实际控制人、董事、高级管理人员关于公开发行可转换公司债券摊薄即期回报采取填补措</w:t>
      </w:r>
      <w:r>
        <w:rPr>
          <w:spacing w:val="-67"/>
        </w:rPr>
        <w:t> </w:t>
      </w:r>
      <w:r>
        <w:rPr>
          <w:spacing w:val="-67"/>
        </w:rPr>
      </w:r>
      <w:r>
        <w:rPr>
          <w:spacing w:val="-2"/>
        </w:rPr>
        <w:t>施的承诺的议案》、《关于创业板公开发行可转换公司债券之债券持有人会议规则的议案》、《关于提请股东大会授权董事</w:t>
      </w:r>
      <w:r>
        <w:rPr>
          <w:spacing w:val="-66"/>
        </w:rPr>
        <w:t> </w:t>
      </w:r>
      <w:r>
        <w:rPr>
          <w:spacing w:val="-66"/>
        </w:rPr>
      </w:r>
      <w:r>
        <w:rPr/>
        <w:t>会办理本次公开发行可转换公司债券相关事宜的议案》。</w:t>
      </w:r>
    </w:p>
    <w:p>
      <w:pPr>
        <w:spacing w:after="0" w:line="314"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982"/>
        <w:jc w:val="left"/>
      </w:pPr>
      <w:r>
        <w:rPr/>
        <w:t>（二）</w:t>
      </w:r>
      <w:r>
        <w:rPr>
          <w:rFonts w:ascii="Times New Roman" w:hAnsi="Times New Roman" w:cs="Times New Roman" w:eastAsia="Times New Roman" w:hint="default"/>
        </w:rPr>
        <w:t>2019</w:t>
      </w:r>
      <w:r>
        <w:rPr/>
        <w:t>年度，董事会薪酬与考核委员会召开了一次会议，具体情况如下：</w:t>
      </w:r>
    </w:p>
    <w:p>
      <w:pPr>
        <w:pStyle w:val="BodyText"/>
        <w:spacing w:line="300" w:lineRule="auto" w:before="104"/>
        <w:ind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日，召开第二届董事会薪酬与考核委员会第六次会议。会议应到委员</w:t>
      </w:r>
      <w:r>
        <w:rPr>
          <w:rFonts w:ascii="Times New Roman" w:hAnsi="Times New Roman" w:cs="Times New Roman" w:eastAsia="Times New Roman" w:hint="default"/>
          <w:spacing w:val="-2"/>
        </w:rPr>
        <w:t>2</w:t>
      </w:r>
      <w:r>
        <w:rPr>
          <w:spacing w:val="-2"/>
        </w:rPr>
        <w:t>名，实到委员</w:t>
      </w:r>
      <w:r>
        <w:rPr>
          <w:rFonts w:ascii="Times New Roman" w:hAnsi="Times New Roman" w:cs="Times New Roman" w:eastAsia="Times New Roman" w:hint="default"/>
          <w:spacing w:val="-2"/>
        </w:rPr>
        <w:t>2</w:t>
      </w:r>
      <w:r>
        <w:rPr>
          <w:spacing w:val="-2"/>
        </w:rPr>
        <w:t>名，公司董事会秘</w:t>
      </w:r>
      <w:r>
        <w:rPr/>
        <w:t> </w:t>
      </w:r>
      <w:r>
        <w:rPr>
          <w:spacing w:val="-2"/>
        </w:rPr>
        <w:t>书咸海丰列席了会议，会议由薪酬与考核委员会召集人常征主持。会议审议并通过了《关于继续施行</w:t>
      </w:r>
      <w:r>
        <w:rPr>
          <w:rFonts w:ascii="Times New Roman" w:hAnsi="Times New Roman" w:cs="Times New Roman" w:eastAsia="Times New Roman" w:hint="default"/>
          <w:spacing w:val="-2"/>
        </w:rPr>
        <w:t>VES</w:t>
      </w:r>
      <w:r>
        <w:rPr>
          <w:spacing w:val="-2"/>
        </w:rPr>
        <w:t>价值评估体系的议</w:t>
      </w:r>
      <w:r>
        <w:rPr>
          <w:spacing w:val="-44"/>
        </w:rPr>
        <w:t> </w:t>
      </w:r>
      <w:r>
        <w:rPr/>
        <w:t>案》。</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513" w:right="982"/>
        <w:jc w:val="left"/>
      </w:pPr>
      <w:r>
        <w:rPr/>
        <w:t>（三）</w:t>
      </w:r>
      <w:r>
        <w:rPr>
          <w:rFonts w:ascii="Times New Roman" w:hAnsi="Times New Roman" w:cs="Times New Roman" w:eastAsia="Times New Roman" w:hint="default"/>
        </w:rPr>
        <w:t>2019</w:t>
      </w:r>
      <w:r>
        <w:rPr/>
        <w:t>年度，董事会提名委员会召开了一次会议，具体情况如下：</w:t>
      </w:r>
    </w:p>
    <w:p>
      <w:pPr>
        <w:pStyle w:val="BodyText"/>
        <w:spacing w:line="309" w:lineRule="auto" w:before="103"/>
        <w:ind w:right="1130"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日，召开第二届董事会提名委员会第四次会议。会议应到委员</w:t>
      </w:r>
      <w:r>
        <w:rPr>
          <w:rFonts w:ascii="Times New Roman" w:hAnsi="Times New Roman" w:cs="Times New Roman" w:eastAsia="Times New Roman" w:hint="default"/>
          <w:spacing w:val="-2"/>
        </w:rPr>
        <w:t>2</w:t>
      </w:r>
      <w:r>
        <w:rPr>
          <w:spacing w:val="-2"/>
        </w:rPr>
        <w:t>名，实到委员</w:t>
      </w:r>
      <w:r>
        <w:rPr>
          <w:rFonts w:ascii="Times New Roman" w:hAnsi="Times New Roman" w:cs="Times New Roman" w:eastAsia="Times New Roman" w:hint="default"/>
          <w:spacing w:val="-2"/>
        </w:rPr>
        <w:t>2</w:t>
      </w:r>
      <w:r>
        <w:rPr>
          <w:spacing w:val="-2"/>
        </w:rPr>
        <w:t>名，公司董事会秘书咸海</w:t>
      </w:r>
      <w:r>
        <w:rPr/>
        <w:t> </w:t>
      </w:r>
      <w:r>
        <w:rPr>
          <w:spacing w:val="-2"/>
        </w:rPr>
        <w:t>丰列席了会议，会议由提名委员会召集人张权利主持。会议审议并通过了《关于董事会换届选举暨提名第三届董事会非独立</w:t>
      </w:r>
      <w:r>
        <w:rPr>
          <w:spacing w:val="-63"/>
        </w:rPr>
        <w:t> </w:t>
      </w:r>
      <w:r>
        <w:rPr>
          <w:spacing w:val="-63"/>
        </w:rPr>
      </w:r>
      <w:r>
        <w:rPr/>
        <w:t>董事候选人的议案》、《关于董事会换届选举暨提名第三届董事会独立董事候选人的议案》。</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513" w:right="982"/>
        <w:jc w:val="left"/>
      </w:pPr>
      <w:r>
        <w:rPr/>
        <w:t>（四）</w:t>
      </w:r>
      <w:r>
        <w:rPr>
          <w:rFonts w:ascii="Times New Roman" w:hAnsi="Times New Roman" w:cs="Times New Roman" w:eastAsia="Times New Roman" w:hint="default"/>
        </w:rPr>
        <w:t>2019</w:t>
      </w:r>
      <w:r>
        <w:rPr/>
        <w:t>年度，董事会审计委员会召开了五次会议，具体情况如下：</w:t>
      </w:r>
    </w:p>
    <w:p>
      <w:pPr>
        <w:pStyle w:val="BodyText"/>
        <w:spacing w:line="300" w:lineRule="auto" w:before="104"/>
        <w:ind w:right="1128"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日，召开第二届董事会审计委员会第十三次会议。会议应到委员</w:t>
      </w:r>
      <w:r>
        <w:rPr>
          <w:rFonts w:ascii="Times New Roman" w:hAnsi="Times New Roman" w:cs="Times New Roman" w:eastAsia="Times New Roman" w:hint="default"/>
          <w:spacing w:val="-2"/>
        </w:rPr>
        <w:t>2</w:t>
      </w:r>
      <w:r>
        <w:rPr>
          <w:spacing w:val="-2"/>
        </w:rPr>
        <w:t>名，实到委员</w:t>
      </w:r>
      <w:r>
        <w:rPr>
          <w:rFonts w:ascii="Times New Roman" w:hAnsi="Times New Roman" w:cs="Times New Roman" w:eastAsia="Times New Roman" w:hint="default"/>
          <w:spacing w:val="-2"/>
        </w:rPr>
        <w:t>2</w:t>
      </w:r>
      <w:r>
        <w:rPr>
          <w:spacing w:val="-2"/>
        </w:rPr>
        <w:t>名，公司董事会秘书咸</w:t>
      </w:r>
      <w:r>
        <w:rPr/>
        <w:t> </w:t>
      </w:r>
      <w:r>
        <w:rPr>
          <w:spacing w:val="-2"/>
        </w:rPr>
        <w:t>海丰列席了会议，会议由审计委员会二分之一以上委员联名提议的委员宋俊德主持。会议审议并通过了《关于公司</w:t>
      </w:r>
      <w:r>
        <w:rPr>
          <w:rFonts w:ascii="Times New Roman" w:hAnsi="Times New Roman" w:cs="Times New Roman" w:eastAsia="Times New Roman" w:hint="default"/>
          <w:spacing w:val="-2"/>
        </w:rPr>
        <w:t>2018</w:t>
      </w:r>
      <w:r>
        <w:rPr>
          <w:spacing w:val="-2"/>
        </w:rPr>
        <w:t>年度</w:t>
      </w:r>
      <w:r>
        <w:rPr>
          <w:spacing w:val="-59"/>
        </w:rPr>
        <w:t> </w:t>
      </w:r>
      <w:r>
        <w:rPr>
          <w:spacing w:val="-2"/>
        </w:rPr>
        <w:t>财务决算报告的议案》、《关于公司</w:t>
      </w:r>
      <w:r>
        <w:rPr>
          <w:rFonts w:ascii="Times New Roman" w:hAnsi="Times New Roman" w:cs="Times New Roman" w:eastAsia="Times New Roman" w:hint="default"/>
          <w:spacing w:val="-2"/>
        </w:rPr>
        <w:t>2019</w:t>
      </w:r>
      <w:r>
        <w:rPr>
          <w:spacing w:val="-2"/>
        </w:rPr>
        <w:t>年度财务预算报告的议案》、《关于公司</w:t>
      </w:r>
      <w:r>
        <w:rPr>
          <w:rFonts w:ascii="Times New Roman" w:hAnsi="Times New Roman" w:cs="Times New Roman" w:eastAsia="Times New Roman" w:hint="default"/>
          <w:spacing w:val="-2"/>
        </w:rPr>
        <w:t>2018</w:t>
      </w:r>
      <w:r>
        <w:rPr>
          <w:spacing w:val="-2"/>
        </w:rPr>
        <w:t>年度报告及其摘要的议案》、《关于</w:t>
      </w:r>
      <w:r>
        <w:rPr>
          <w:spacing w:val="-61"/>
        </w:rPr>
        <w:t> </w:t>
      </w:r>
      <w:r>
        <w:rPr>
          <w:spacing w:val="-61"/>
        </w:rPr>
      </w:r>
      <w:r>
        <w:rPr>
          <w:spacing w:val="-2"/>
        </w:rPr>
        <w:t>公司</w:t>
      </w:r>
      <w:r>
        <w:rPr>
          <w:rFonts w:ascii="Times New Roman" w:hAnsi="Times New Roman" w:cs="Times New Roman" w:eastAsia="Times New Roman" w:hint="default"/>
          <w:spacing w:val="-2"/>
        </w:rPr>
        <w:t>2018</w:t>
      </w:r>
      <w:r>
        <w:rPr>
          <w:spacing w:val="-2"/>
        </w:rPr>
        <w:t>年度利润分配的议案》、《关于公司</w:t>
      </w:r>
      <w:r>
        <w:rPr>
          <w:rFonts w:ascii="Times New Roman" w:hAnsi="Times New Roman" w:cs="Times New Roman" w:eastAsia="Times New Roman" w:hint="default"/>
          <w:spacing w:val="-2"/>
        </w:rPr>
        <w:t>2018</w:t>
      </w:r>
      <w:r>
        <w:rPr>
          <w:spacing w:val="-2"/>
        </w:rPr>
        <w:t>年度内部控制自我评价报告的议案》、《关于续聘瑞华会计师（特殊普通</w:t>
      </w:r>
      <w:r>
        <w:rPr>
          <w:spacing w:val="-65"/>
        </w:rPr>
        <w:t> </w:t>
      </w:r>
      <w:r>
        <w:rPr>
          <w:spacing w:val="-65"/>
        </w:rPr>
      </w:r>
      <w:r>
        <w:rPr/>
        <w:t>合伙）为公司</w:t>
      </w:r>
      <w:r>
        <w:rPr>
          <w:rFonts w:ascii="Times New Roman" w:hAnsi="Times New Roman" w:cs="Times New Roman" w:eastAsia="Times New Roman" w:hint="default"/>
        </w:rPr>
        <w:t>2019</w:t>
      </w:r>
      <w:r>
        <w:rPr/>
        <w:t>年度审计机构的议案》、《关于会计政策变更的议案》。</w:t>
      </w:r>
    </w:p>
    <w:p>
      <w:pPr>
        <w:pStyle w:val="BodyText"/>
        <w:spacing w:line="300" w:lineRule="auto" w:before="51"/>
        <w:ind w:right="1128"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日，召开第二届董事会审计委员会第十四次会议。会议应到委员</w:t>
      </w:r>
      <w:r>
        <w:rPr>
          <w:rFonts w:ascii="Times New Roman" w:hAnsi="Times New Roman" w:cs="Times New Roman" w:eastAsia="Times New Roman" w:hint="default"/>
          <w:spacing w:val="-2"/>
        </w:rPr>
        <w:t>2</w:t>
      </w:r>
      <w:r>
        <w:rPr>
          <w:spacing w:val="-2"/>
        </w:rPr>
        <w:t>名，实到委员</w:t>
      </w:r>
      <w:r>
        <w:rPr>
          <w:rFonts w:ascii="Times New Roman" w:hAnsi="Times New Roman" w:cs="Times New Roman" w:eastAsia="Times New Roman" w:hint="default"/>
          <w:spacing w:val="-2"/>
        </w:rPr>
        <w:t>2</w:t>
      </w:r>
      <w:r>
        <w:rPr>
          <w:spacing w:val="-2"/>
        </w:rPr>
        <w:t>名，公司董事会秘书咸</w:t>
      </w:r>
      <w:r>
        <w:rPr/>
        <w:t> </w:t>
      </w:r>
      <w:r>
        <w:rPr>
          <w:spacing w:val="-2"/>
        </w:rPr>
        <w:t>海丰列席了会议，会议由审计委员会二分之一以上委员联名提议的委员宋俊德主持。会议审议并通过了《关于公司</w:t>
      </w:r>
      <w:r>
        <w:rPr>
          <w:rFonts w:ascii="Times New Roman" w:hAnsi="Times New Roman" w:cs="Times New Roman" w:eastAsia="Times New Roman" w:hint="default"/>
          <w:spacing w:val="-2"/>
        </w:rPr>
        <w:t>2019</w:t>
      </w:r>
      <w:r>
        <w:rPr>
          <w:spacing w:val="-2"/>
        </w:rPr>
        <w:t>年第</w:t>
      </w:r>
      <w:r>
        <w:rPr>
          <w:spacing w:val="-58"/>
        </w:rPr>
        <w:t> </w:t>
      </w:r>
      <w:r>
        <w:rPr/>
        <w:t>一季度报告的议案》。</w:t>
      </w:r>
    </w:p>
    <w:p>
      <w:pPr>
        <w:pStyle w:val="BodyText"/>
        <w:spacing w:line="300" w:lineRule="auto" w:before="72"/>
        <w:ind w:right="1049"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日，召开第三届董事会审计委员会第一次会议。会议应到委员</w:t>
      </w:r>
      <w:r>
        <w:rPr>
          <w:rFonts w:ascii="Times New Roman" w:hAnsi="Times New Roman" w:cs="Times New Roman" w:eastAsia="Times New Roman" w:hint="default"/>
          <w:spacing w:val="-2"/>
        </w:rPr>
        <w:t>3</w:t>
      </w:r>
      <w:r>
        <w:rPr>
          <w:spacing w:val="-2"/>
        </w:rPr>
        <w:t>名，实到委员</w:t>
      </w:r>
      <w:r>
        <w:rPr>
          <w:rFonts w:ascii="Times New Roman" w:hAnsi="Times New Roman" w:cs="Times New Roman" w:eastAsia="Times New Roman" w:hint="default"/>
          <w:spacing w:val="-2"/>
        </w:rPr>
        <w:t>3</w:t>
      </w:r>
      <w:r>
        <w:rPr>
          <w:spacing w:val="-2"/>
        </w:rPr>
        <w:t>名，公司董事会秘书咸海</w:t>
      </w:r>
      <w:r>
        <w:rPr/>
        <w:t> 丰列席了会议，会议由审计委员会召集人唐国琼主持。会议审议并通过了《关于公司</w:t>
      </w:r>
      <w:r>
        <w:rPr>
          <w:rFonts w:ascii="Times New Roman" w:hAnsi="Times New Roman" w:cs="Times New Roman" w:eastAsia="Times New Roman" w:hint="default"/>
        </w:rPr>
        <w:t>2019</w:t>
      </w:r>
      <w:r>
        <w:rPr/>
        <w:t>年半年度报告及其摘要的议案》、</w:t>
      </w:r>
    </w:p>
    <w:p>
      <w:pPr>
        <w:pStyle w:val="BodyText"/>
        <w:spacing w:line="240" w:lineRule="auto" w:before="13"/>
        <w:ind w:right="982"/>
        <w:jc w:val="left"/>
      </w:pPr>
      <w:r>
        <w:rPr/>
        <w:t>《关于会计政策变更的议案》。</w:t>
      </w:r>
    </w:p>
    <w:p>
      <w:pPr>
        <w:pStyle w:val="BodyText"/>
        <w:spacing w:line="309" w:lineRule="auto" w:before="117"/>
        <w:ind w:right="982" w:firstLine="360"/>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w:t>
      </w:r>
      <w:r>
        <w:rPr>
          <w:spacing w:val="-2"/>
        </w:rPr>
        <w:t>日，召开第三届董事会审计委员会第二次会议。会议应到委员</w:t>
      </w:r>
      <w:r>
        <w:rPr>
          <w:rFonts w:ascii="Times New Roman" w:hAnsi="Times New Roman" w:cs="Times New Roman" w:eastAsia="Times New Roman" w:hint="default"/>
          <w:spacing w:val="-2"/>
        </w:rPr>
        <w:t>3</w:t>
      </w:r>
      <w:r>
        <w:rPr>
          <w:spacing w:val="-2"/>
        </w:rPr>
        <w:t>名，实到委员</w:t>
      </w:r>
      <w:r>
        <w:rPr>
          <w:rFonts w:ascii="Times New Roman" w:hAnsi="Times New Roman" w:cs="Times New Roman" w:eastAsia="Times New Roman" w:hint="default"/>
          <w:spacing w:val="-2"/>
        </w:rPr>
        <w:t>3</w:t>
      </w:r>
      <w:r>
        <w:rPr>
          <w:spacing w:val="-2"/>
        </w:rPr>
        <w:t>名，公司董事会秘书咸海</w:t>
      </w:r>
      <w:r>
        <w:rPr/>
        <w:t> </w:t>
      </w:r>
      <w:r>
        <w:rPr>
          <w:spacing w:val="-4"/>
        </w:rPr>
        <w:t>丰列席了会议，会议由审计委员会召集人唐国琼主持。会议审议并通过了《关于聘请中勤万信会计师事务所（特殊普通合伙）</w:t>
      </w:r>
      <w:r>
        <w:rPr>
          <w:spacing w:val="-46"/>
        </w:rPr>
        <w:t> </w:t>
      </w:r>
      <w:r>
        <w:rPr>
          <w:spacing w:val="-46"/>
        </w:rPr>
      </w:r>
      <w:r>
        <w:rPr/>
        <w:t>担任公司公开发行可转换为公司债券专项审计机构的议案》。</w:t>
      </w:r>
    </w:p>
    <w:p>
      <w:pPr>
        <w:pStyle w:val="BodyText"/>
        <w:spacing w:line="300" w:lineRule="auto" w:before="62"/>
        <w:ind w:right="1133"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日，召开第三届董事会审计委员会第三次会议。会议应到委员</w:t>
      </w:r>
      <w:r>
        <w:rPr>
          <w:rFonts w:ascii="Times New Roman" w:hAnsi="Times New Roman" w:cs="Times New Roman" w:eastAsia="Times New Roman" w:hint="default"/>
        </w:rPr>
        <w:t>3</w:t>
      </w:r>
      <w:r>
        <w:rPr/>
        <w:t>名，实到委员</w:t>
      </w:r>
      <w:r>
        <w:rPr>
          <w:rFonts w:ascii="Times New Roman" w:hAnsi="Times New Roman" w:cs="Times New Roman" w:eastAsia="Times New Roman" w:hint="default"/>
        </w:rPr>
        <w:t>3</w:t>
      </w:r>
      <w:r>
        <w:rPr/>
        <w:t>名，公司董事会秘书咸 海丰列席了会议，会议由审计委员会召集人唐国琼主持。会议审议并通过了《关于公司</w:t>
      </w:r>
      <w:r>
        <w:rPr>
          <w:rFonts w:ascii="Times New Roman" w:hAnsi="Times New Roman" w:cs="Times New Roman" w:eastAsia="Times New Roman" w:hint="default"/>
        </w:rPr>
        <w:t>2019</w:t>
      </w:r>
      <w:r>
        <w:rPr/>
        <w:t>年第三季度报告的议案》。</w:t>
      </w:r>
    </w:p>
    <w:p>
      <w:pPr>
        <w:spacing w:line="240" w:lineRule="auto" w:before="5"/>
        <w:rPr>
          <w:rFonts w:ascii="宋体" w:hAnsi="宋体" w:cs="宋体" w:eastAsia="宋体" w:hint="default"/>
          <w:sz w:val="20"/>
          <w:szCs w:val="20"/>
        </w:rPr>
      </w:pPr>
    </w:p>
    <w:p>
      <w:pPr>
        <w:pStyle w:val="Heading2"/>
        <w:spacing w:line="240" w:lineRule="auto"/>
        <w:ind w:right="982"/>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监事会在报告期内的监督活动中发现公司是否存在风险</w:t>
      </w:r>
    </w:p>
    <w:p>
      <w:pPr>
        <w:pStyle w:val="BodyText"/>
        <w:spacing w:line="338" w:lineRule="auto" w:before="117"/>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9"/>
        <w:rPr>
          <w:rFonts w:ascii="宋体" w:hAnsi="宋体" w:cs="宋体" w:eastAsia="宋体" w:hint="default"/>
          <w:sz w:val="19"/>
          <w:szCs w:val="19"/>
        </w:rPr>
      </w:pPr>
    </w:p>
    <w:p>
      <w:pPr>
        <w:pStyle w:val="Heading2"/>
        <w:spacing w:line="240" w:lineRule="auto"/>
        <w:ind w:right="982"/>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982"/>
        <w:jc w:val="left"/>
      </w:pPr>
      <w:r>
        <w:rPr>
          <w:rFonts w:ascii="Times New Roman" w:hAnsi="Times New Roman" w:cs="Times New Roman" w:eastAsia="Times New Roman" w:hint="default"/>
        </w:rPr>
        <w:t>1</w:t>
      </w:r>
      <w:r>
        <w:rPr/>
        <w:t>、绩效依据及考评</w:t>
      </w:r>
    </w:p>
    <w:p>
      <w:pPr>
        <w:pStyle w:val="BodyText"/>
        <w:spacing w:line="340" w:lineRule="auto" w:before="101"/>
        <w:ind w:left="513" w:right="2473"/>
        <w:jc w:val="left"/>
      </w:pPr>
      <w:r>
        <w:rPr/>
        <w:t>（</w:t>
      </w:r>
      <w:r>
        <w:rPr>
          <w:rFonts w:ascii="Times New Roman" w:hAnsi="Times New Roman" w:cs="Times New Roman" w:eastAsia="Times New Roman" w:hint="default"/>
        </w:rPr>
        <w:t>1</w:t>
      </w:r>
      <w:r>
        <w:rPr/>
        <w:t>）目标确定 年初根据公司战略目标、年度经营计划、重点工作目标，分解和签订高级管理人员年度目标责任书；</w:t>
      </w:r>
    </w:p>
    <w:p>
      <w:pPr>
        <w:pStyle w:val="BodyText"/>
        <w:spacing w:line="338" w:lineRule="auto" w:before="41"/>
        <w:ind w:left="513" w:right="3733"/>
        <w:jc w:val="left"/>
      </w:pPr>
      <w:r>
        <w:rPr/>
        <w:t>（</w:t>
      </w:r>
      <w:r>
        <w:rPr>
          <w:rFonts w:ascii="Times New Roman" w:hAnsi="Times New Roman" w:cs="Times New Roman" w:eastAsia="Times New Roman" w:hint="default"/>
        </w:rPr>
        <w:t>2</w:t>
      </w:r>
      <w:r>
        <w:rPr/>
        <w:t>）绩效执行 依据价值评估体系考评各阶段目标达成，并在执行过程中推动改进，提升价值创造。</w:t>
      </w:r>
    </w:p>
    <w:p>
      <w:pPr>
        <w:pStyle w:val="BodyText"/>
        <w:spacing w:line="240" w:lineRule="auto" w:before="43"/>
        <w:ind w:left="513" w:right="982"/>
        <w:jc w:val="left"/>
      </w:pPr>
      <w:r>
        <w:rPr>
          <w:rFonts w:ascii="Times New Roman" w:hAnsi="Times New Roman" w:cs="Times New Roman" w:eastAsia="Times New Roman" w:hint="default"/>
        </w:rPr>
        <w:t>2</w:t>
      </w:r>
      <w:r>
        <w:rPr/>
        <w:t>、绩效结果应用：根据年末业绩达成结果，确定高级管理人员的年度绩效奖金，超额激励、任命，管理改进等。</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253" w:right="0"/>
        <w:jc w:val="left"/>
        <w:rPr>
          <w:b w:val="0"/>
          <w:bCs w:val="0"/>
        </w:rPr>
      </w:pPr>
      <w:r>
        <w:rPr/>
        <w:t>九、内部控制评价报告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53"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left="253"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3190"/>
        <w:gridCol w:w="3616"/>
        <w:gridCol w:w="312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7"/>
                <w:sz w:val="18"/>
                <w:szCs w:val="18"/>
              </w:rPr>
              <w:t> </w:t>
            </w:r>
            <w:hyperlink r:id="rId11">
              <w:r>
                <w:rPr>
                  <w:rFonts w:ascii="Times New Roman" w:hAnsi="Times New Roman" w:cs="Times New Roman" w:eastAsia="Times New Roman" w:hint="default"/>
                  <w:sz w:val="18"/>
                  <w:szCs w:val="18"/>
                </w:rPr>
                <w:t>www.cninfo.com.cn</w:t>
              </w:r>
            </w:hyperlink>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73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73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9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7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616" w:type="dxa"/>
            <w:vMerge w:val="restart"/>
            <w:tcBorders>
              <w:top w:val="single" w:sz="4" w:space="0" w:color="000000"/>
              <w:left w:val="single" w:sz="4" w:space="0" w:color="000000"/>
              <w:right w:val="single" w:sz="4" w:space="0" w:color="000000"/>
            </w:tcBorders>
          </w:tcPr>
          <w:p>
            <w:pPr>
              <w:pStyle w:val="TableParagraph"/>
              <w:spacing w:line="316" w:lineRule="auto" w:before="51"/>
              <w:ind w:left="29" w:right="-24"/>
              <w:jc w:val="both"/>
              <w:rPr>
                <w:rFonts w:ascii="宋体" w:hAnsi="宋体" w:cs="宋体" w:eastAsia="宋体" w:hint="default"/>
                <w:sz w:val="18"/>
                <w:szCs w:val="18"/>
              </w:rPr>
            </w:pPr>
            <w:r>
              <w:rPr>
                <w:rFonts w:ascii="宋体" w:hAnsi="宋体" w:cs="宋体" w:eastAsia="宋体" w:hint="default"/>
                <w:spacing w:val="-3"/>
                <w:sz w:val="18"/>
                <w:szCs w:val="18"/>
              </w:rPr>
              <w:t>具有以下特征的缺陷，认定为重大缺陷：①公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司董事、监事和高级管理人员舞弊，造成重大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损失和不利影响；②公司在财务会计、资产管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理、资本运营、信息披露、产品质量、环境保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护等方面发生重大违法违规事件和责任事故， </w:t>
            </w:r>
            <w:r>
              <w:rPr>
                <w:rFonts w:ascii="宋体" w:hAnsi="宋体" w:cs="宋体" w:eastAsia="宋体" w:hint="default"/>
                <w:spacing w:val="-3"/>
                <w:sz w:val="18"/>
                <w:szCs w:val="18"/>
              </w:rPr>
              <w:t>给公司造成重大损失和不利影响，或者遭受重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大行政监管处罚；③企业审计委员会和内部审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计机构未能发挥有效监督职能，造成公司重大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损失；④企业财务报表已经或者很可能被注册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会计师出具否定意见或者无法表示意见。上述</w:t>
            </w:r>
          </w:p>
          <w:p>
            <w:pPr>
              <w:pStyle w:val="TableParagraph"/>
              <w:spacing w:line="316" w:lineRule="auto" w:before="19"/>
              <w:ind w:left="29" w:right="-24"/>
              <w:jc w:val="both"/>
              <w:rPr>
                <w:rFonts w:ascii="宋体" w:hAnsi="宋体" w:cs="宋体" w:eastAsia="宋体" w:hint="default"/>
                <w:sz w:val="18"/>
                <w:szCs w:val="18"/>
              </w:rPr>
            </w:pPr>
            <w:r>
              <w:rPr>
                <w:rFonts w:ascii="宋体" w:hAnsi="宋体" w:cs="宋体" w:eastAsia="宋体" w:hint="default"/>
                <w:spacing w:val="-3"/>
                <w:sz w:val="18"/>
                <w:szCs w:val="18"/>
              </w:rPr>
              <w:t>①②③造成结果不重大但重要，认定为重要缺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陷。上述①②③造成结果既不重大也不重要， 认定为一般缺陷。</w:t>
            </w:r>
          </w:p>
        </w:tc>
        <w:tc>
          <w:tcPr>
            <w:tcW w:w="31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6" w:right="17"/>
              <w:jc w:val="both"/>
              <w:rPr>
                <w:rFonts w:ascii="宋体" w:hAnsi="宋体" w:cs="宋体" w:eastAsia="宋体" w:hint="default"/>
                <w:sz w:val="18"/>
                <w:szCs w:val="18"/>
              </w:rPr>
            </w:pPr>
            <w:r>
              <w:rPr>
                <w:rFonts w:ascii="宋体" w:hAnsi="宋体" w:cs="宋体" w:eastAsia="宋体" w:hint="default"/>
                <w:sz w:val="18"/>
                <w:szCs w:val="18"/>
              </w:rPr>
              <w:t>具有以下特征的缺陷，影响重大的认定 为重大缺陷：①违犯国家法律、行政法 规和规范性文件；</w:t>
            </w:r>
            <w:r>
              <w:rPr>
                <w:rFonts w:ascii="宋体" w:hAnsi="宋体" w:cs="宋体" w:eastAsia="宋体" w:hint="default"/>
                <w:spacing w:val="-54"/>
                <w:sz w:val="18"/>
                <w:szCs w:val="18"/>
              </w:rPr>
              <w:t> </w:t>
            </w:r>
            <w:r>
              <w:rPr>
                <w:rFonts w:ascii="宋体" w:hAnsi="宋体" w:cs="宋体" w:eastAsia="宋体" w:hint="default"/>
                <w:sz w:val="18"/>
                <w:szCs w:val="18"/>
              </w:rPr>
              <w:t>②</w:t>
            </w:r>
            <w:r>
              <w:rPr>
                <w:rFonts w:ascii="Times New Roman" w:hAnsi="Times New Roman" w:cs="Times New Roman" w:eastAsia="Times New Roman" w:hint="default"/>
                <w:sz w:val="18"/>
                <w:szCs w:val="18"/>
              </w:rPr>
              <w:t>"</w:t>
            </w:r>
            <w:r>
              <w:rPr>
                <w:rFonts w:ascii="宋体" w:hAnsi="宋体" w:cs="宋体" w:eastAsia="宋体" w:hint="default"/>
                <w:sz w:val="18"/>
                <w:szCs w:val="18"/>
              </w:rPr>
              <w:t>三重一大</w:t>
            </w:r>
            <w:r>
              <w:rPr>
                <w:rFonts w:ascii="Times New Roman" w:hAnsi="Times New Roman" w:cs="Times New Roman" w:eastAsia="Times New Roman" w:hint="default"/>
                <w:sz w:val="18"/>
                <w:szCs w:val="18"/>
              </w:rPr>
              <w:t>"</w:t>
            </w:r>
            <w:r>
              <w:rPr>
                <w:rFonts w:ascii="宋体" w:hAnsi="宋体" w:cs="宋体" w:eastAsia="宋体" w:hint="default"/>
                <w:sz w:val="18"/>
                <w:szCs w:val="18"/>
              </w:rPr>
              <w:t>事项未 经过集体决策程序；③关键岗位管理人 员和技术人员流失；④涉及公司生产经 营的重要业务缺乏制度控制或制度系统 失效；</w:t>
            </w:r>
            <w:r>
              <w:rPr>
                <w:rFonts w:ascii="宋体" w:hAnsi="宋体" w:cs="宋体" w:eastAsia="宋体" w:hint="default"/>
                <w:spacing w:val="-36"/>
                <w:sz w:val="18"/>
                <w:szCs w:val="18"/>
              </w:rPr>
              <w:t> </w:t>
            </w:r>
            <w:r>
              <w:rPr>
                <w:rFonts w:ascii="宋体" w:hAnsi="宋体" w:cs="宋体" w:eastAsia="宋体" w:hint="default"/>
                <w:spacing w:val="-4"/>
                <w:sz w:val="18"/>
                <w:szCs w:val="18"/>
              </w:rPr>
              <w:t>⑤信息披露内部控制失效，导致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公司被监管部门公开谴责；⑥内部控制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评价的结果特别是重大缺陷或重要缺陷 未得到整改。上述缺陷影响不重大但重 要，认定为重要缺陷。上述缺陷影响既 不重大也不重要，认定为一般缺陷。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616" w:type="dxa"/>
            <w:vMerge/>
            <w:tcBorders>
              <w:left w:val="single" w:sz="4" w:space="0" w:color="000000"/>
              <w:right w:val="single" w:sz="4" w:space="0" w:color="000000"/>
            </w:tcBorders>
          </w:tcPr>
          <w:p>
            <w:pPr/>
          </w:p>
        </w:tc>
        <w:tc>
          <w:tcPr>
            <w:tcW w:w="3120" w:type="dxa"/>
            <w:vMerge/>
            <w:tcBorders>
              <w:left w:val="single" w:sz="4" w:space="0" w:color="000000"/>
              <w:right w:val="single" w:sz="4" w:space="0" w:color="000000"/>
            </w:tcBorders>
          </w:tcPr>
          <w:p>
            <w:pPr/>
          </w:p>
        </w:tc>
      </w:tr>
      <w:tr>
        <w:trPr>
          <w:trHeight w:val="187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616" w:type="dxa"/>
            <w:vMerge/>
            <w:tcBorders>
              <w:left w:val="single" w:sz="4" w:space="0" w:color="000000"/>
              <w:bottom w:val="single" w:sz="4" w:space="0" w:color="000000"/>
              <w:right w:val="single" w:sz="4" w:space="0" w:color="000000"/>
            </w:tcBorders>
          </w:tcPr>
          <w:p>
            <w:pPr/>
          </w:p>
        </w:tc>
        <w:tc>
          <w:tcPr>
            <w:tcW w:w="3120" w:type="dxa"/>
            <w:vMerge/>
            <w:tcBorders>
              <w:left w:val="single" w:sz="4" w:space="0" w:color="000000"/>
              <w:bottom w:val="single" w:sz="4" w:space="0" w:color="000000"/>
              <w:right w:val="single" w:sz="4" w:space="0" w:color="000000"/>
            </w:tcBorders>
          </w:tcPr>
          <w:p>
            <w:pPr/>
          </w:p>
        </w:tc>
      </w:tr>
      <w:tr>
        <w:trPr>
          <w:trHeight w:val="172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7" w:lineRule="auto"/>
              <w:ind w:left="29" w:right="15"/>
              <w:jc w:val="both"/>
              <w:rPr>
                <w:rFonts w:ascii="宋体" w:hAnsi="宋体" w:cs="宋体" w:eastAsia="宋体" w:hint="default"/>
                <w:sz w:val="18"/>
                <w:szCs w:val="18"/>
              </w:rPr>
            </w:pPr>
            <w:r>
              <w:rPr>
                <w:rFonts w:ascii="宋体" w:hAnsi="宋体" w:cs="宋体" w:eastAsia="宋体" w:hint="default"/>
                <w:spacing w:val="-3"/>
                <w:sz w:val="18"/>
                <w:szCs w:val="18"/>
              </w:rPr>
              <w:t>①重大缺陷：考虑补偿性控制措施和实际偏差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率后， 缺陷</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。②重要缺陷：考 虑补偿性控制措施和实际偏差率后，</w:t>
            </w:r>
            <w:r>
              <w:rPr>
                <w:rFonts w:ascii="宋体" w:hAnsi="宋体" w:cs="宋体" w:eastAsia="宋体" w:hint="default"/>
                <w:spacing w:val="1"/>
                <w:sz w:val="18"/>
                <w:szCs w:val="18"/>
              </w:rPr>
              <w:t> </w:t>
            </w:r>
            <w:r>
              <w:rPr>
                <w:rFonts w:ascii="宋体" w:hAnsi="宋体" w:cs="宋体" w:eastAsia="宋体" w:hint="default"/>
                <w:sz w:val="18"/>
                <w:szCs w:val="18"/>
              </w:rPr>
              <w:t>营业收</w:t>
            </w:r>
            <w:r>
              <w:rPr>
                <w:rFonts w:ascii="宋体" w:hAnsi="宋体" w:cs="宋体" w:eastAsia="宋体" w:hint="default"/>
                <w:sz w:val="18"/>
                <w:szCs w:val="18"/>
              </w:rPr>
              <w:t> 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%&gt;</w:t>
            </w:r>
            <w:r>
              <w:rPr>
                <w:rFonts w:ascii="宋体" w:hAnsi="宋体" w:cs="宋体" w:eastAsia="宋体" w:hint="default"/>
                <w:sz w:val="18"/>
                <w:szCs w:val="18"/>
              </w:rPr>
              <w:t>缺陷</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。③一般缺陷： 考虑补偿性控制措施和实际偏差率后，</w:t>
            </w:r>
            <w:r>
              <w:rPr>
                <w:rFonts w:ascii="宋体" w:hAnsi="宋体" w:cs="宋体" w:eastAsia="宋体" w:hint="default"/>
                <w:spacing w:val="-56"/>
                <w:sz w:val="18"/>
                <w:szCs w:val="18"/>
              </w:rPr>
              <w:t> </w:t>
            </w:r>
            <w:r>
              <w:rPr>
                <w:rFonts w:ascii="宋体" w:hAnsi="宋体" w:cs="宋体" w:eastAsia="宋体" w:hint="default"/>
                <w:sz w:val="18"/>
                <w:szCs w:val="18"/>
              </w:rPr>
              <w:t>缺陷</w:t>
            </w:r>
            <w:r>
              <w:rPr>
                <w:rFonts w:ascii="Times New Roman" w:hAnsi="Times New Roman" w:cs="Times New Roman" w:eastAsia="Times New Roman" w:hint="default"/>
                <w:sz w:val="18"/>
                <w:szCs w:val="18"/>
              </w:rPr>
              <w:t>&lt; </w:t>
            </w:r>
            <w:r>
              <w:rPr>
                <w:rFonts w:ascii="宋体" w:hAnsi="宋体" w:cs="宋体" w:eastAsia="宋体" w:hint="default"/>
                <w:sz w:val="18"/>
                <w:szCs w:val="18"/>
              </w:rPr>
              <w:t>营业收入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c>
          <w:tcPr>
            <w:tcW w:w="3120" w:type="dxa"/>
            <w:vMerge w:val="restart"/>
            <w:tcBorders>
              <w:top w:val="single" w:sz="4" w:space="0" w:color="000000"/>
              <w:left w:val="single" w:sz="4" w:space="0" w:color="000000"/>
              <w:right w:val="single" w:sz="4" w:space="0" w:color="000000"/>
            </w:tcBorders>
          </w:tcPr>
          <w:p>
            <w:pPr>
              <w:pStyle w:val="TableParagraph"/>
              <w:spacing w:line="309" w:lineRule="auto" w:before="51"/>
              <w:ind w:left="26" w:right="7"/>
              <w:jc w:val="both"/>
              <w:rPr>
                <w:rFonts w:ascii="宋体" w:hAnsi="宋体" w:cs="宋体" w:eastAsia="宋体" w:hint="default"/>
                <w:sz w:val="18"/>
                <w:szCs w:val="18"/>
              </w:rPr>
            </w:pPr>
            <w:r>
              <w:rPr>
                <w:rFonts w:ascii="宋体" w:hAnsi="宋体" w:cs="宋体" w:eastAsia="宋体" w:hint="default"/>
                <w:spacing w:val="-3"/>
                <w:sz w:val="18"/>
                <w:szCs w:val="18"/>
              </w:rPr>
              <w:t>重大缺陷：①直接财产损失达到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元（含）以上。②潜在负面影响：已经 对外正式披露并对公司定期报告披露造 成负面影响；企业关键岗位人员流失严 </w:t>
            </w:r>
            <w:r>
              <w:rPr>
                <w:rFonts w:ascii="宋体" w:hAnsi="宋体" w:cs="宋体" w:eastAsia="宋体" w:hint="default"/>
                <w:spacing w:val="-12"/>
                <w:sz w:val="18"/>
                <w:szCs w:val="18"/>
              </w:rPr>
              <w:t>重。重要缺陷：①直接财产损失达到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万（含）</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万元。②潜在负面影响： 受到国家政府部门处罚，但未对公司定 期报告披露造成负面影响。一般缺陷：</w:t>
            </w:r>
          </w:p>
          <w:p>
            <w:pPr>
              <w:pStyle w:val="TableParagraph"/>
              <w:spacing w:line="312" w:lineRule="auto" w:before="24"/>
              <w:ind w:left="26" w:right="23"/>
              <w:jc w:val="both"/>
              <w:rPr>
                <w:rFonts w:ascii="宋体" w:hAnsi="宋体" w:cs="宋体" w:eastAsia="宋体" w:hint="default"/>
                <w:sz w:val="18"/>
                <w:szCs w:val="18"/>
              </w:rPr>
            </w:pPr>
            <w:r>
              <w:rPr>
                <w:rFonts w:ascii="宋体" w:hAnsi="宋体" w:cs="宋体" w:eastAsia="宋体" w:hint="default"/>
                <w:sz w:val="18"/>
                <w:szCs w:val="18"/>
              </w:rPr>
              <w:t>①直接财产损失在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万元以下。②潜 在负面影响：受到省级（含省级）以下 政府部门处罚，但未对公司定期报告披 露造成负面影响。</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616" w:type="dxa"/>
            <w:vMerge/>
            <w:tcBorders>
              <w:left w:val="single" w:sz="4" w:space="0" w:color="000000"/>
              <w:right w:val="single" w:sz="4" w:space="0" w:color="000000"/>
            </w:tcBorders>
          </w:tcPr>
          <w:p>
            <w:pPr/>
          </w:p>
        </w:tc>
        <w:tc>
          <w:tcPr>
            <w:tcW w:w="3120" w:type="dxa"/>
            <w:vMerge/>
            <w:tcBorders>
              <w:left w:val="single" w:sz="4" w:space="0" w:color="000000"/>
              <w:right w:val="single" w:sz="4" w:space="0" w:color="000000"/>
            </w:tcBorders>
          </w:tcPr>
          <w:p>
            <w:pPr/>
          </w:p>
        </w:tc>
      </w:tr>
      <w:tr>
        <w:trPr>
          <w:trHeight w:val="172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616" w:type="dxa"/>
            <w:vMerge/>
            <w:tcBorders>
              <w:left w:val="single" w:sz="4" w:space="0" w:color="000000"/>
              <w:bottom w:val="single" w:sz="4" w:space="0" w:color="000000"/>
              <w:right w:val="single" w:sz="4" w:space="0" w:color="000000"/>
            </w:tcBorders>
          </w:tcPr>
          <w:p>
            <w:pPr/>
          </w:p>
        </w:tc>
        <w:tc>
          <w:tcPr>
            <w:tcW w:w="312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880" w:right="0"/>
        </w:sectPr>
      </w:pPr>
    </w:p>
    <w:p>
      <w:pPr>
        <w:spacing w:line="240" w:lineRule="auto" w:before="4"/>
        <w:rPr>
          <w:rFonts w:ascii="宋体" w:hAnsi="宋体" w:cs="宋体" w:eastAsia="宋体" w:hint="default"/>
          <w:b/>
          <w:bCs/>
          <w:sz w:val="28"/>
          <w:szCs w:val="28"/>
        </w:rPr>
      </w:pPr>
    </w:p>
    <w:tbl>
      <w:tblPr>
        <w:tblW w:w="0" w:type="auto"/>
        <w:jc w:val="left"/>
        <w:tblInd w:w="105" w:type="dxa"/>
        <w:tblLayout w:type="fixed"/>
        <w:tblCellMar>
          <w:top w:w="0" w:type="dxa"/>
          <w:left w:w="0" w:type="dxa"/>
          <w:bottom w:w="0" w:type="dxa"/>
          <w:right w:w="0" w:type="dxa"/>
        </w:tblCellMar>
        <w:tblLook w:val="01E0"/>
      </w:tblPr>
      <w:tblGrid>
        <w:gridCol w:w="3194"/>
        <w:gridCol w:w="6731"/>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8"/>
          <w:szCs w:val="18"/>
        </w:rPr>
      </w:pPr>
    </w:p>
    <w:p>
      <w:pPr>
        <w:pStyle w:val="Heading2"/>
        <w:spacing w:line="240" w:lineRule="auto" w:before="26"/>
        <w:ind w:left="253"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53" w:right="0"/>
        <w:jc w:val="left"/>
      </w:pPr>
      <w:r>
        <w:rPr/>
        <w:t>内部控制鉴证报告</w:t>
      </w:r>
    </w:p>
    <w:p>
      <w:pPr>
        <w:spacing w:line="240" w:lineRule="auto" w:before="2"/>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2661"/>
        <w:gridCol w:w="6909"/>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 面保持了与财务报表相关的有效的内部控制。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7"/>
                <w:sz w:val="18"/>
                <w:szCs w:val="18"/>
              </w:rPr>
              <w:t> </w:t>
            </w:r>
            <w:hyperlink r:id="rId11">
              <w:r>
                <w:rPr>
                  <w:rFonts w:ascii="Times New Roman" w:hAnsi="Times New Roman" w:cs="Times New Roman" w:eastAsia="Times New Roman" w:hint="default"/>
                  <w:sz w:val="18"/>
                  <w:szCs w:val="18"/>
                </w:rPr>
                <w:t>www.cninfo.com.cn</w:t>
              </w:r>
            </w:hyperlink>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253" w:right="0"/>
        <w:jc w:val="left"/>
      </w:pPr>
      <w:r>
        <w:rPr/>
        <w:t>会计师事务所是否出具非标准意见的内部控制鉴证报告</w:t>
      </w:r>
    </w:p>
    <w:p>
      <w:pPr>
        <w:pStyle w:val="BodyText"/>
        <w:spacing w:line="340" w:lineRule="auto" w:before="115"/>
        <w:ind w:left="253"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39"/>
        <w:ind w:left="2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8" w:footer="974" w:top="1060" w:bottom="1160" w:left="8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982"/>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716" w:right="1540"/>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313" w:right="641"/>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3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ZB10827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荣健、曾霞芬</w:t>
            </w:r>
          </w:p>
        </w:tc>
      </w:tr>
    </w:tbl>
    <w:p>
      <w:pPr>
        <w:spacing w:line="357" w:lineRule="auto" w:before="51"/>
        <w:ind w:left="4592" w:right="5411" w:firstLine="0"/>
        <w:jc w:val="center"/>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审 计 报</w:t>
      </w:r>
      <w:r>
        <w:rPr>
          <w:rFonts w:ascii="宋体" w:hAnsi="宋体" w:cs="宋体" w:eastAsia="宋体" w:hint="default"/>
          <w:b/>
          <w:bCs/>
          <w:spacing w:val="-43"/>
          <w:sz w:val="18"/>
          <w:szCs w:val="18"/>
        </w:rPr>
        <w:t> </w:t>
      </w:r>
      <w:r>
        <w:rPr>
          <w:rFonts w:ascii="宋体" w:hAnsi="宋体" w:cs="宋体" w:eastAsia="宋体" w:hint="default"/>
          <w:b/>
          <w:bCs/>
          <w:sz w:val="18"/>
          <w:szCs w:val="18"/>
        </w:rPr>
        <w:t>告</w:t>
      </w:r>
      <w:r>
        <w:rPr>
          <w:rFonts w:ascii="宋体" w:hAnsi="宋体" w:cs="宋体" w:eastAsia="宋体" w:hint="default"/>
          <w:sz w:val="18"/>
          <w:szCs w:val="18"/>
        </w:rPr>
      </w:r>
    </w:p>
    <w:p>
      <w:pPr>
        <w:spacing w:line="240" w:lineRule="auto" w:before="7"/>
        <w:rPr>
          <w:rFonts w:ascii="宋体" w:hAnsi="宋体" w:cs="宋体" w:eastAsia="宋体" w:hint="default"/>
          <w:b/>
          <w:bCs/>
          <w:sz w:val="19"/>
          <w:szCs w:val="19"/>
        </w:rPr>
      </w:pPr>
    </w:p>
    <w:p>
      <w:pPr>
        <w:pStyle w:val="BodyText"/>
        <w:spacing w:line="240" w:lineRule="auto" w:before="44"/>
        <w:ind w:left="0" w:right="1205"/>
        <w:jc w:val="right"/>
      </w:pPr>
      <w:r>
        <w:rPr/>
        <w:t>信会师报字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ZB10827</w:t>
      </w:r>
      <w:r>
        <w:rPr/>
        <w:t>号</w:t>
      </w:r>
    </w:p>
    <w:p>
      <w:pPr>
        <w:spacing w:line="240" w:lineRule="auto" w:before="3"/>
        <w:rPr>
          <w:rFonts w:ascii="宋体" w:hAnsi="宋体" w:cs="宋体" w:eastAsia="宋体" w:hint="default"/>
          <w:sz w:val="25"/>
          <w:szCs w:val="25"/>
        </w:rPr>
      </w:pPr>
    </w:p>
    <w:p>
      <w:pPr>
        <w:pStyle w:val="Heading5"/>
        <w:spacing w:line="240" w:lineRule="auto"/>
        <w:ind w:left="313" w:right="641"/>
        <w:jc w:val="left"/>
        <w:rPr>
          <w:b w:val="0"/>
          <w:bCs w:val="0"/>
        </w:rPr>
      </w:pPr>
      <w:r>
        <w:rPr/>
        <w:t>北京思特奇信息技术股份有限公司全体股东：</w:t>
      </w:r>
      <w:r>
        <w:rPr>
          <w:b w:val="0"/>
          <w:bCs w:val="0"/>
        </w:rPr>
      </w:r>
    </w:p>
    <w:p>
      <w:pPr>
        <w:spacing w:line="240" w:lineRule="auto" w:before="0"/>
        <w:rPr>
          <w:rFonts w:ascii="宋体" w:hAnsi="宋体" w:cs="宋体" w:eastAsia="宋体" w:hint="default"/>
          <w:b/>
          <w:bCs/>
          <w:sz w:val="18"/>
          <w:szCs w:val="18"/>
        </w:rPr>
      </w:pPr>
    </w:p>
    <w:p>
      <w:pPr>
        <w:pStyle w:val="Heading5"/>
        <w:spacing w:line="240" w:lineRule="auto" w:before="153"/>
        <w:ind w:left="313" w:right="641"/>
        <w:jc w:val="left"/>
        <w:rPr>
          <w:b w:val="0"/>
          <w:bCs w:val="0"/>
        </w:rPr>
      </w:pPr>
      <w:r>
        <w:rPr/>
        <w:t>一、对财务报表出具的审计报告</w:t>
      </w:r>
      <w:r>
        <w:rPr>
          <w:b w:val="0"/>
          <w:bCs w:val="0"/>
        </w:rPr>
      </w:r>
    </w:p>
    <w:p>
      <w:pPr>
        <w:pStyle w:val="BodyText"/>
        <w:spacing w:line="316" w:lineRule="auto" w:before="76"/>
        <w:ind w:left="673" w:right="641"/>
        <w:jc w:val="left"/>
      </w:pPr>
      <w:r>
        <w:rPr>
          <w:rFonts w:ascii="宋体" w:hAnsi="宋体" w:cs="宋体" w:eastAsia="宋体" w:hint="default"/>
          <w:b/>
          <w:bCs/>
        </w:rPr>
        <w:t>（一）审计意见</w:t>
      </w:r>
      <w:r>
        <w:rPr>
          <w:rFonts w:ascii="宋体" w:hAnsi="宋体" w:cs="宋体" w:eastAsia="宋体" w:hint="default"/>
          <w:b/>
          <w:bCs/>
          <w:w w:val="99"/>
        </w:rPr>
        <w:t> </w:t>
      </w:r>
      <w:r>
        <w:rPr>
          <w:spacing w:val="-2"/>
        </w:rPr>
        <w:t>我们审计了北京思特奇信息技术股份有限公司（以下简称</w:t>
      </w:r>
      <w:r>
        <w:rPr>
          <w:rFonts w:ascii="Times New Roman" w:hAnsi="Times New Roman" w:cs="Times New Roman" w:eastAsia="Times New Roman" w:hint="default"/>
          <w:spacing w:val="-2"/>
        </w:rPr>
        <w:t>“</w:t>
      </w:r>
      <w:r>
        <w:rPr>
          <w:spacing w:val="-2"/>
        </w:rPr>
        <w:t>思特奇公司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w:t>
      </w:r>
    </w:p>
    <w:p>
      <w:pPr>
        <w:pStyle w:val="BodyText"/>
        <w:spacing w:line="300" w:lineRule="auto"/>
        <w:ind w:left="313" w:right="641"/>
        <w:jc w:val="left"/>
      </w:pPr>
      <w:r>
        <w:rPr>
          <w:spacing w:val="-2"/>
        </w:rPr>
        <w:t>司资产负债表，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年度的合并及母公司利润表、合并及母公司现金流量表、合并及母公司所有者权益变动表以及相关财务</w:t>
      </w:r>
      <w:r>
        <w:rPr>
          <w:spacing w:val="-60"/>
        </w:rPr>
        <w:t> </w:t>
      </w:r>
      <w:r>
        <w:rPr>
          <w:spacing w:val="-60"/>
        </w:rPr>
      </w:r>
      <w:r>
        <w:rPr/>
        <w:t>报表附注。</w:t>
      </w:r>
    </w:p>
    <w:p>
      <w:pPr>
        <w:pStyle w:val="BodyText"/>
        <w:spacing w:line="300" w:lineRule="auto" w:before="31"/>
        <w:ind w:left="313" w:right="641" w:firstLine="360"/>
        <w:jc w:val="left"/>
      </w:pPr>
      <w:r>
        <w:rPr>
          <w:spacing w:val="-2"/>
        </w:rPr>
        <w:t>我们认为，后附的财务报表在所有重大方面按照企业会计准则的规定编制，公允反映了思特奇公司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t> 并及母公司财务状况以及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316" w:lineRule="auto" w:before="13"/>
        <w:ind w:left="673" w:right="641"/>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left="313" w:right="641"/>
        <w:jc w:val="left"/>
      </w:pPr>
      <w:r>
        <w:rPr>
          <w:spacing w:val="-2"/>
        </w:rPr>
        <w:t>阐述了我们在这些准则下的责任。按照中国注册会计师职业道德守则，我们独立于思特奇公司，并履行了职业道德方面的其</w:t>
      </w:r>
      <w:r>
        <w:rPr>
          <w:spacing w:val="-63"/>
        </w:rPr>
        <w:t> </w:t>
      </w:r>
      <w:r>
        <w:rPr>
          <w:spacing w:val="-63"/>
        </w:rPr>
      </w:r>
      <w:r>
        <w:rPr/>
        <w:t>他责任。我们相信，我们获取的审计证据是充分、适当的，为发表审计意见提供了基础。</w:t>
      </w:r>
    </w:p>
    <w:p>
      <w:pPr>
        <w:pStyle w:val="BodyText"/>
        <w:spacing w:line="316" w:lineRule="auto" w:before="19"/>
        <w:ind w:left="879" w:right="641" w:hanging="207"/>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关键审计事项是我们根据职业判断，认为对本期财务报表审计最为重要的事项。这些事项的应对以对财务报表整体</w:t>
      </w:r>
    </w:p>
    <w:p>
      <w:pPr>
        <w:pStyle w:val="BodyText"/>
        <w:spacing w:line="319" w:lineRule="auto" w:before="19"/>
        <w:ind w:left="313" w:right="641"/>
        <w:jc w:val="left"/>
      </w:pPr>
      <w:r>
        <w:rPr>
          <w:spacing w:val="-2"/>
        </w:rPr>
        <w:t>进行审计并形成审计意见为背景，我们不对这些事项单独发表意见。我们确定下列事项是需要在审计报告中沟通的关键审计</w:t>
      </w:r>
      <w:r>
        <w:rPr>
          <w:spacing w:val="-64"/>
        </w:rPr>
        <w:t> </w:t>
      </w:r>
      <w:r>
        <w:rPr>
          <w:spacing w:val="-64"/>
        </w:rPr>
      </w:r>
      <w:r>
        <w:rPr/>
        <w:t>事项。</w:t>
      </w:r>
    </w:p>
    <w:tbl>
      <w:tblPr>
        <w:tblW w:w="0" w:type="auto"/>
        <w:jc w:val="left"/>
        <w:tblInd w:w="116" w:type="dxa"/>
        <w:tblLayout w:type="fixed"/>
        <w:tblCellMar>
          <w:top w:w="0" w:type="dxa"/>
          <w:left w:w="0" w:type="dxa"/>
          <w:bottom w:w="0" w:type="dxa"/>
          <w:right w:w="0" w:type="dxa"/>
        </w:tblCellMar>
        <w:tblLook w:val="01E0"/>
      </w:tblPr>
      <w:tblGrid>
        <w:gridCol w:w="3546"/>
        <w:gridCol w:w="6474"/>
      </w:tblGrid>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6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57"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6" w:hRule="exact"/>
        </w:trPr>
        <w:tc>
          <w:tcPr>
            <w:tcW w:w="100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（一）收入确认</w:t>
            </w:r>
            <w:r>
              <w:rPr>
                <w:rFonts w:ascii="宋体" w:hAnsi="宋体" w:cs="宋体" w:eastAsia="宋体" w:hint="default"/>
                <w:sz w:val="18"/>
                <w:szCs w:val="18"/>
              </w:rPr>
            </w:r>
          </w:p>
        </w:tc>
      </w:tr>
      <w:tr>
        <w:trPr>
          <w:trHeight w:val="336" w:hRule="exact"/>
        </w:trPr>
        <w:tc>
          <w:tcPr>
            <w:tcW w:w="35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收入确认的会计政策详情及分析请参阅合并</w:t>
            </w:r>
          </w:p>
        </w:tc>
        <w:tc>
          <w:tcPr>
            <w:tcW w:w="64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、了解、评估了管理层对销售流程中的内部控制的设计，并测试关键控制的执行</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财务报表附注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三、重要会计政策及会计估计</w:t>
            </w:r>
            <w:r>
              <w:rPr>
                <w:rFonts w:ascii="Times New Roman" w:hAnsi="Times New Roman" w:cs="Times New Roman" w:eastAsia="Times New Roman" w:hint="default"/>
                <w:spacing w:val="-3"/>
                <w:sz w:val="18"/>
                <w:szCs w:val="18"/>
              </w:rPr>
              <w:t>”</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注释（二十四）所述的会计政策及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五、合并</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、对收入实施分析程序，与历史同期对比，与同行业企业毛利率对比，复核收入</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财务报表项目附注</w:t>
            </w:r>
            <w:r>
              <w:rPr>
                <w:rFonts w:ascii="Times New Roman" w:hAnsi="Times New Roman" w:cs="Times New Roman" w:eastAsia="Times New Roman" w:hint="default"/>
                <w:sz w:val="18"/>
                <w:szCs w:val="18"/>
              </w:rPr>
              <w:t>”</w:t>
            </w:r>
            <w:r>
              <w:rPr>
                <w:rFonts w:ascii="宋体" w:hAnsi="宋体" w:cs="宋体" w:eastAsia="宋体" w:hint="default"/>
                <w:sz w:val="18"/>
                <w:szCs w:val="18"/>
              </w:rPr>
              <w:t>注释（三十二）。</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的合理性；</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20"/>
              <w:jc w:val="left"/>
              <w:rPr>
                <w:rFonts w:ascii="宋体" w:hAnsi="宋体" w:cs="宋体" w:eastAsia="宋体" w:hint="default"/>
                <w:sz w:val="18"/>
                <w:szCs w:val="18"/>
              </w:rPr>
            </w:pPr>
            <w:r>
              <w:rPr>
                <w:rFonts w:ascii="宋体" w:hAnsi="宋体" w:cs="宋体" w:eastAsia="宋体" w:hint="default"/>
                <w:spacing w:val="-3"/>
                <w:sz w:val="18"/>
                <w:szCs w:val="18"/>
              </w:rPr>
              <w:t>思特奇公司主要从事软件开发以及技术服务，</w:t>
            </w:r>
            <w:r>
              <w:rPr>
                <w:rFonts w:ascii="宋体" w:hAnsi="宋体" w:cs="宋体" w:eastAsia="宋体" w:hint="default"/>
                <w:sz w:val="18"/>
                <w:szCs w:val="18"/>
              </w:rPr>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、通过审阅销售合同及与管理层访谈，了解收入确认政策，评价收入确认时点是</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年度营业收入总</w:t>
            </w:r>
            <w:r>
              <w:rPr>
                <w:rFonts w:ascii="宋体" w:hAnsi="宋体" w:cs="宋体" w:eastAsia="宋体" w:hint="default"/>
                <w:spacing w:val="-1"/>
                <w:sz w:val="18"/>
                <w:szCs w:val="18"/>
              </w:rPr>
              <w:t>额</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2"/>
                <w:sz w:val="18"/>
                <w:szCs w:val="18"/>
              </w:rPr>
              <w:t>9</w:t>
            </w:r>
            <w:r>
              <w:rPr>
                <w:rFonts w:ascii="宋体" w:hAnsi="宋体" w:cs="宋体" w:eastAsia="宋体" w:hint="default"/>
                <w:sz w:val="18"/>
                <w:szCs w:val="18"/>
              </w:rPr>
              <w:t>万元</w:t>
            </w:r>
            <w:r>
              <w:rPr>
                <w:rFonts w:ascii="宋体" w:hAnsi="宋体" w:cs="宋体" w:eastAsia="宋体" w:hint="default"/>
                <w:spacing w:val="-75"/>
                <w:sz w:val="18"/>
                <w:szCs w:val="18"/>
              </w:rPr>
              <w:t>。</w:t>
            </w:r>
            <w:r>
              <w:rPr>
                <w:rFonts w:ascii="宋体" w:hAnsi="宋体" w:cs="宋体" w:eastAsia="宋体" w:hint="default"/>
                <w:sz w:val="18"/>
                <w:szCs w:val="18"/>
              </w:rPr>
              <w:t>由于营</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否符合企业会计准则的要求；</w:t>
            </w:r>
          </w:p>
        </w:tc>
      </w:tr>
      <w:tr>
        <w:trPr>
          <w:trHeight w:val="324" w:hRule="exact"/>
        </w:trPr>
        <w:tc>
          <w:tcPr>
            <w:tcW w:w="35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业收入是思特奇公司关键业绩指标之一</w:t>
            </w:r>
            <w:r>
              <w:rPr>
                <w:rFonts w:ascii="宋体" w:hAnsi="宋体" w:cs="宋体" w:eastAsia="宋体" w:hint="default"/>
                <w:spacing w:val="-75"/>
                <w:sz w:val="18"/>
                <w:szCs w:val="18"/>
              </w:rPr>
              <w:t>，</w:t>
            </w:r>
            <w:r>
              <w:rPr>
                <w:rFonts w:ascii="宋体" w:hAnsi="宋体" w:cs="宋体" w:eastAsia="宋体" w:hint="default"/>
                <w:sz w:val="18"/>
                <w:szCs w:val="18"/>
              </w:rPr>
              <w:t>收入</w:t>
            </w:r>
          </w:p>
        </w:tc>
        <w:tc>
          <w:tcPr>
            <w:tcW w:w="64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、抽查主要的销售业务合同或框架协议，结合协议约定的主要条款（合同金额、</w:t>
            </w:r>
          </w:p>
        </w:tc>
      </w:tr>
    </w:tbl>
    <w:p>
      <w:pPr>
        <w:spacing w:after="0" w:line="240" w:lineRule="auto"/>
        <w:jc w:val="left"/>
        <w:rPr>
          <w:rFonts w:ascii="宋体" w:hAnsi="宋体" w:cs="宋体" w:eastAsia="宋体" w:hint="default"/>
          <w:sz w:val="18"/>
          <w:szCs w:val="18"/>
        </w:rPr>
        <w:sectPr>
          <w:pgSz w:w="11910" w:h="16840"/>
          <w:pgMar w:header="748" w:footer="974" w:top="1060" w:bottom="1160" w:left="820" w:right="0"/>
        </w:sectPr>
      </w:pPr>
    </w:p>
    <w:p>
      <w:pPr>
        <w:spacing w:line="240" w:lineRule="auto" w:before="4"/>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3546"/>
        <w:gridCol w:w="6474"/>
      </w:tblGrid>
      <w:tr>
        <w:trPr>
          <w:trHeight w:val="329" w:hRule="exact"/>
        </w:trPr>
        <w:tc>
          <w:tcPr>
            <w:tcW w:w="35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确认存在为达到预期而被操纵从而产生潜在</w:t>
            </w:r>
          </w:p>
        </w:tc>
        <w:tc>
          <w:tcPr>
            <w:tcW w:w="64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验收条款、付款条件）等，检查收入确认是否与公司收入确认政策一致；</w:t>
            </w:r>
          </w:p>
        </w:tc>
      </w:tr>
      <w:tr>
        <w:trPr>
          <w:trHeight w:val="317"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错报的风险</w:t>
            </w:r>
            <w:r>
              <w:rPr>
                <w:rFonts w:ascii="宋体" w:hAnsi="宋体" w:cs="宋体" w:eastAsia="宋体" w:hint="default"/>
                <w:spacing w:val="-75"/>
                <w:sz w:val="18"/>
                <w:szCs w:val="18"/>
              </w:rPr>
              <w:t>，</w:t>
            </w:r>
            <w:r>
              <w:rPr>
                <w:rFonts w:ascii="宋体" w:hAnsi="宋体" w:cs="宋体" w:eastAsia="宋体" w:hint="default"/>
                <w:sz w:val="18"/>
                <w:szCs w:val="18"/>
              </w:rPr>
              <w:t>故我们将收入确认识别为关键审</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、核对经客户确认的主要项目的验收报告以及结算单，并函证项目的合同金额、</w:t>
            </w:r>
          </w:p>
        </w:tc>
      </w:tr>
      <w:tr>
        <w:trPr>
          <w:trHeight w:val="307"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计事项。</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回款金额以及项目验收进度等信息；</w:t>
            </w:r>
          </w:p>
        </w:tc>
      </w:tr>
      <w:tr>
        <w:trPr>
          <w:trHeight w:val="317" w:hRule="exact"/>
        </w:trPr>
        <w:tc>
          <w:tcPr>
            <w:tcW w:w="3546" w:type="dxa"/>
            <w:tcBorders>
              <w:top w:val="nil" w:sz="6" w:space="0" w:color="auto"/>
              <w:left w:val="single" w:sz="6" w:space="0" w:color="000000"/>
              <w:bottom w:val="nil" w:sz="6" w:space="0" w:color="auto"/>
              <w:right w:val="single" w:sz="6" w:space="0" w:color="000000"/>
            </w:tcBorders>
          </w:tcPr>
          <w:p>
            <w:pP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、针对资产负债表日前后记录的交易执行截止性测试，检查收入是否记录在恰当</w:t>
            </w:r>
          </w:p>
        </w:tc>
      </w:tr>
      <w:tr>
        <w:trPr>
          <w:trHeight w:val="326" w:hRule="exact"/>
        </w:trPr>
        <w:tc>
          <w:tcPr>
            <w:tcW w:w="3546" w:type="dxa"/>
            <w:tcBorders>
              <w:top w:val="nil" w:sz="6" w:space="0" w:color="auto"/>
              <w:left w:val="single" w:sz="6" w:space="0" w:color="000000"/>
              <w:bottom w:val="single" w:sz="6" w:space="0" w:color="000000"/>
              <w:right w:val="single" w:sz="6" w:space="0" w:color="000000"/>
            </w:tcBorders>
          </w:tcPr>
          <w:p>
            <w:pPr/>
          </w:p>
        </w:tc>
        <w:tc>
          <w:tcPr>
            <w:tcW w:w="64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的会计期间。</w:t>
            </w:r>
          </w:p>
        </w:tc>
      </w:tr>
      <w:tr>
        <w:trPr>
          <w:trHeight w:val="346" w:hRule="exact"/>
        </w:trPr>
        <w:tc>
          <w:tcPr>
            <w:tcW w:w="100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（二）应收账款坏账准备</w:t>
            </w:r>
            <w:r>
              <w:rPr>
                <w:rFonts w:ascii="宋体" w:hAnsi="宋体" w:cs="宋体" w:eastAsia="宋体" w:hint="default"/>
                <w:sz w:val="18"/>
                <w:szCs w:val="18"/>
              </w:rPr>
            </w:r>
          </w:p>
        </w:tc>
      </w:tr>
      <w:tr>
        <w:trPr>
          <w:trHeight w:val="331" w:hRule="exact"/>
        </w:trPr>
        <w:tc>
          <w:tcPr>
            <w:tcW w:w="35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应收账款的会计政策详情及分析请参阅合并</w:t>
            </w:r>
          </w:p>
        </w:tc>
        <w:tc>
          <w:tcPr>
            <w:tcW w:w="6474"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财务报表附注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三、重要会计政策及会计估计</w:t>
            </w:r>
            <w:r>
              <w:rPr>
                <w:rFonts w:ascii="Times New Roman" w:hAnsi="Times New Roman" w:cs="Times New Roman" w:eastAsia="Times New Roman" w:hint="default"/>
                <w:spacing w:val="-3"/>
                <w:sz w:val="18"/>
                <w:szCs w:val="18"/>
              </w:rPr>
              <w:t>”</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、评价、测试思特奇公司信用政策及应收账款管理相关内部控制的设计和执行；</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注释（十）所述的会计政策及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五、合并财务</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、分析思特奇公司应收账款坏账准备会计估计的合理性，包括确定应收账款组合</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报表项目附注</w:t>
            </w:r>
            <w:r>
              <w:rPr>
                <w:rFonts w:ascii="Times New Roman" w:hAnsi="Times New Roman" w:cs="Times New Roman" w:eastAsia="Times New Roman" w:hint="default"/>
                <w:sz w:val="18"/>
                <w:szCs w:val="18"/>
              </w:rPr>
              <w:t>”</w:t>
            </w:r>
            <w:r>
              <w:rPr>
                <w:rFonts w:ascii="宋体" w:hAnsi="宋体" w:cs="宋体" w:eastAsia="宋体" w:hint="default"/>
                <w:sz w:val="18"/>
                <w:szCs w:val="18"/>
              </w:rPr>
              <w:t>注释（三）。</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的依据、金额重大的判断、单独计提坏账准备的判断等；</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思特奇公司截止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日应收账款余</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、分析计算思特奇公司资产负债表日坏账准备金额与应收账款余额之间的比率，</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48,124.16</w:t>
            </w:r>
            <w:r>
              <w:rPr>
                <w:rFonts w:ascii="宋体" w:hAnsi="宋体" w:cs="宋体" w:eastAsia="宋体" w:hint="default"/>
                <w:sz w:val="18"/>
                <w:szCs w:val="18"/>
              </w:rPr>
              <w:t>万元，计提坏账准备金额</w:t>
            </w:r>
            <w:r>
              <w:rPr>
                <w:rFonts w:ascii="Times New Roman" w:hAnsi="Times New Roman" w:cs="Times New Roman" w:eastAsia="Times New Roman" w:hint="default"/>
                <w:sz w:val="18"/>
                <w:szCs w:val="18"/>
              </w:rPr>
              <w:t>4,067.94</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比较前期坏账准备计提数和实际发生数，分析应收账款坏账准备计提是否充分；</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万元，期末账面价值较高，占资产总额的</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、通过分析思特奇公司应收账款的账龄和客户信誉情况，选取样本执行应收账款</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27.35%</w:t>
            </w:r>
            <w:r>
              <w:rPr>
                <w:rFonts w:ascii="宋体" w:hAnsi="宋体" w:cs="宋体" w:eastAsia="宋体" w:hint="default"/>
                <w:spacing w:val="-4"/>
                <w:sz w:val="18"/>
                <w:szCs w:val="18"/>
              </w:rPr>
              <w:t>，由于应收账款账面价值较高，且涉及</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函证程序及检查期后回款情况，评价应收账款坏账准备计提的合理性；</w:t>
            </w:r>
          </w:p>
        </w:tc>
      </w:tr>
      <w:tr>
        <w:trPr>
          <w:trHeight w:val="312"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管理层运用重大会计估计和判断</w:t>
            </w:r>
            <w:r>
              <w:rPr>
                <w:rFonts w:ascii="宋体" w:hAnsi="宋体" w:cs="宋体" w:eastAsia="宋体" w:hint="default"/>
                <w:spacing w:val="-75"/>
                <w:sz w:val="18"/>
                <w:szCs w:val="18"/>
              </w:rPr>
              <w:t>，</w:t>
            </w:r>
            <w:r>
              <w:rPr>
                <w:rFonts w:ascii="宋体" w:hAnsi="宋体" w:cs="宋体" w:eastAsia="宋体" w:hint="default"/>
                <w:sz w:val="18"/>
                <w:szCs w:val="18"/>
              </w:rPr>
              <w:t>应收账款的</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、获取思特奇公司坏账准备计提表，检查坏账准备是否按照坏账准备计提政策一</w:t>
            </w:r>
          </w:p>
        </w:tc>
      </w:tr>
      <w:tr>
        <w:trPr>
          <w:trHeight w:val="307" w:hRule="exact"/>
        </w:trPr>
        <w:tc>
          <w:tcPr>
            <w:tcW w:w="35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可收回性对于财务报表具有重要性</w:t>
            </w:r>
            <w:r>
              <w:rPr>
                <w:rFonts w:ascii="宋体" w:hAnsi="宋体" w:cs="宋体" w:eastAsia="宋体" w:hint="default"/>
                <w:spacing w:val="-75"/>
                <w:sz w:val="18"/>
                <w:szCs w:val="18"/>
              </w:rPr>
              <w:t>，</w:t>
            </w:r>
            <w:r>
              <w:rPr>
                <w:rFonts w:ascii="宋体" w:hAnsi="宋体" w:cs="宋体" w:eastAsia="宋体" w:hint="default"/>
                <w:sz w:val="18"/>
                <w:szCs w:val="18"/>
              </w:rPr>
              <w:t>因此我们</w:t>
            </w:r>
          </w:p>
        </w:tc>
        <w:tc>
          <w:tcPr>
            <w:tcW w:w="647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贯执行；重新计算坏账准备计提金额是否准确。</w:t>
            </w:r>
          </w:p>
        </w:tc>
      </w:tr>
      <w:tr>
        <w:trPr>
          <w:trHeight w:val="329" w:hRule="exact"/>
        </w:trPr>
        <w:tc>
          <w:tcPr>
            <w:tcW w:w="35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将应收账款坏账准备作为关键审计事项。</w:t>
            </w:r>
          </w:p>
        </w:tc>
        <w:tc>
          <w:tcPr>
            <w:tcW w:w="6474" w:type="dxa"/>
            <w:tcBorders>
              <w:top w:val="nil" w:sz="6" w:space="0" w:color="auto"/>
              <w:left w:val="single" w:sz="6" w:space="0" w:color="000000"/>
              <w:bottom w:val="single" w:sz="6" w:space="0" w:color="000000"/>
              <w:right w:val="single" w:sz="6" w:space="0" w:color="000000"/>
            </w:tcBorders>
          </w:tcPr>
          <w:p>
            <w:pPr/>
          </w:p>
        </w:tc>
      </w:tr>
    </w:tbl>
    <w:p>
      <w:pPr>
        <w:pStyle w:val="BodyText"/>
        <w:spacing w:line="316" w:lineRule="auto" w:before="10"/>
        <w:ind w:left="879" w:right="641" w:hanging="207"/>
        <w:jc w:val="left"/>
      </w:pPr>
      <w:r>
        <w:rPr>
          <w:rFonts w:ascii="宋体" w:hAnsi="宋体" w:cs="宋体" w:eastAsia="宋体" w:hint="default"/>
          <w:b/>
          <w:bCs/>
        </w:rPr>
        <w:t>（四）其他信息</w:t>
      </w:r>
      <w:r>
        <w:rPr>
          <w:rFonts w:ascii="宋体" w:hAnsi="宋体" w:cs="宋体" w:eastAsia="宋体" w:hint="default"/>
          <w:b/>
          <w:bCs/>
          <w:w w:val="99"/>
        </w:rPr>
        <w:t> </w:t>
      </w:r>
      <w:r>
        <w:rPr/>
        <w:t>思特奇公司管理层（以下简称管理层）对其他信息负责。其他信息包括思特奇公司</w:t>
      </w:r>
      <w:r>
        <w:rPr>
          <w:rFonts w:ascii="Times New Roman" w:hAnsi="Times New Roman" w:cs="Times New Roman" w:eastAsia="Times New Roman" w:hint="default"/>
        </w:rPr>
        <w:t>2019</w:t>
      </w:r>
      <w:r>
        <w:rPr/>
        <w:t>年年度报告中涵盖的信息，</w:t>
      </w:r>
    </w:p>
    <w:p>
      <w:pPr>
        <w:pStyle w:val="BodyText"/>
        <w:spacing w:line="316" w:lineRule="auto"/>
        <w:ind w:left="879" w:right="641" w:hanging="567"/>
        <w:jc w:val="left"/>
      </w:pPr>
      <w:r>
        <w:rPr/>
        <w:t>但不包括财务报表和我们的审计报告。 我们对财务报表发表的审计意见不涵盖其他信息，我们也不对其他信息发表任何形式的鉴证结论。 结合我们对财务报表的审计，我们的责任是阅读其他信息，在此过程中，考虑其他信息是否与财务报表或我们在审</w:t>
      </w:r>
    </w:p>
    <w:p>
      <w:pPr>
        <w:pStyle w:val="BodyText"/>
        <w:spacing w:line="319" w:lineRule="auto" w:before="19"/>
        <w:ind w:left="879" w:right="641" w:hanging="567"/>
        <w:jc w:val="left"/>
      </w:pPr>
      <w:r>
        <w:rPr/>
        <w:t>计过程中了解到的情况存在重大不一致或者似乎存在重大错报。 基于我们已执行的工作，如果我们确定其他信息存在重大错报，我们应当报告该事实。在这方面，我们无任何事项</w:t>
      </w:r>
    </w:p>
    <w:p>
      <w:pPr>
        <w:pStyle w:val="BodyText"/>
        <w:spacing w:line="240" w:lineRule="auto" w:before="17"/>
        <w:ind w:left="313" w:right="641"/>
        <w:jc w:val="left"/>
      </w:pPr>
      <w:r>
        <w:rPr/>
        <w:t>需要报告。</w:t>
      </w:r>
    </w:p>
    <w:p>
      <w:pPr>
        <w:spacing w:line="316" w:lineRule="auto" w:before="76"/>
        <w:ind w:left="879" w:right="641" w:hanging="207"/>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管理层负责按照企业会计准则的规定编制财务报表，使其实现公允反映，并设计、执行和维护必要的内部控制，以</w:t>
      </w:r>
    </w:p>
    <w:p>
      <w:pPr>
        <w:pStyle w:val="BodyText"/>
        <w:spacing w:line="316" w:lineRule="auto" w:before="19"/>
        <w:ind w:left="879" w:right="641" w:hanging="567"/>
        <w:jc w:val="left"/>
      </w:pPr>
      <w:r>
        <w:rPr/>
        <w:t>使财务报表不存在由于舞弊或错误导致的重大错报。 在编制财务报表时，管理层负责评估思特奇公司的持续经营能力，披露与持续经营相关的事项（如适用），并运用</w:t>
      </w:r>
    </w:p>
    <w:p>
      <w:pPr>
        <w:pStyle w:val="BodyText"/>
        <w:spacing w:line="316" w:lineRule="auto" w:before="19"/>
        <w:ind w:left="879" w:right="5174" w:hanging="567"/>
        <w:jc w:val="left"/>
      </w:pPr>
      <w:r>
        <w:rPr/>
        <w:t>持续经营假设，除非计划进行清算、终止运营或别无其他现实的选择。 治理层负责监督思特奇公司的财务报告过程。</w:t>
      </w:r>
    </w:p>
    <w:p>
      <w:pPr>
        <w:spacing w:line="316" w:lineRule="auto" w:before="19"/>
        <w:ind w:left="879" w:right="641" w:hanging="207"/>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z w:val="18"/>
          <w:szCs w:val="18"/>
        </w:rPr>
        <w:t>我们的目标是对财务报表整体是否不存在由于舞弊或错误导致的重大错报获取合理保证，并出具包含审计意见的审</w:t>
      </w:r>
    </w:p>
    <w:p>
      <w:pPr>
        <w:pStyle w:val="BodyText"/>
        <w:spacing w:line="319" w:lineRule="auto" w:before="19"/>
        <w:ind w:left="313" w:right="1130"/>
        <w:jc w:val="both"/>
      </w:pPr>
      <w:r>
        <w:rPr>
          <w:spacing w:val="-2"/>
        </w:rPr>
        <w:t>计报告。合理保证是高水平的保证，但并不能保证按照审计准则执行的审计在某一重大错报存在时总能发现。错报可能由于</w:t>
      </w:r>
      <w:r>
        <w:rPr>
          <w:spacing w:val="-63"/>
        </w:rPr>
        <w:t> </w:t>
      </w:r>
      <w:r>
        <w:rPr>
          <w:spacing w:val="-63"/>
        </w:rPr>
      </w:r>
      <w:r>
        <w:rPr>
          <w:spacing w:val="-2"/>
        </w:rPr>
        <w:t>舞弊或错误导致，如果合理预期错报单独或汇总起来可能影响财务报表使用者依据财务报表作出的经济决策，则通常认为错</w:t>
      </w:r>
      <w:r>
        <w:rPr>
          <w:spacing w:val="-64"/>
        </w:rPr>
        <w:t> </w:t>
      </w:r>
      <w:r>
        <w:rPr>
          <w:spacing w:val="-64"/>
        </w:rPr>
      </w:r>
      <w:r>
        <w:rPr/>
        <w:t>报是重大的。</w:t>
      </w:r>
    </w:p>
    <w:p>
      <w:pPr>
        <w:pStyle w:val="BodyText"/>
        <w:spacing w:line="240" w:lineRule="auto" w:before="17"/>
        <w:ind w:left="879" w:right="641"/>
        <w:jc w:val="left"/>
      </w:pPr>
      <w:r>
        <w:rPr/>
        <w:t>在按照审计准则执行审计工作的过程中，我们运用职业判断，并保持职业怀疑。同时，我们也执行以下工作：</w:t>
      </w:r>
    </w:p>
    <w:p>
      <w:pPr>
        <w:pStyle w:val="BodyText"/>
        <w:spacing w:line="309" w:lineRule="auto" w:before="76"/>
        <w:ind w:left="313" w:right="1043" w:firstLine="566"/>
        <w:jc w:val="both"/>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879" w:right="641"/>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879" w:right="641"/>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00" w:lineRule="auto" w:before="62"/>
        <w:ind w:left="313" w:right="1132" w:firstLine="566"/>
        <w:jc w:val="both"/>
      </w:pPr>
      <w:r>
        <w:rPr>
          <w:spacing w:val="-1"/>
        </w:rPr>
        <w:t>（</w:t>
      </w:r>
      <w:r>
        <w:rPr>
          <w:rFonts w:ascii="Times New Roman" w:hAnsi="Times New Roman" w:cs="Times New Roman" w:eastAsia="Times New Roman" w:hint="default"/>
          <w:spacing w:val="-1"/>
        </w:rPr>
        <w:t>4</w:t>
      </w:r>
      <w:r>
        <w:rPr>
          <w:spacing w:val="-1"/>
        </w:rPr>
        <w:t>）对管理层使用持续经营假设的恰当性得出结论。同时，根据获取的审计证据，就可能导致对思特奇公司持续经</w:t>
      </w:r>
      <w:r>
        <w:rPr/>
        <w:t> </w:t>
      </w:r>
      <w:r>
        <w:rPr>
          <w:spacing w:val="-2"/>
        </w:rPr>
        <w:t>营能力产生重大疑虑的事项或情况是否存在重大不确定性得出结论。如果我们得出结论认为存在重大不确定性，审计准则要</w:t>
      </w:r>
    </w:p>
    <w:p>
      <w:pPr>
        <w:spacing w:after="0" w:line="300" w:lineRule="auto"/>
        <w:jc w:val="both"/>
        <w:sectPr>
          <w:pgSz w:w="11910" w:h="16840"/>
          <w:pgMar w:header="748" w:footer="974" w:top="1060" w:bottom="1160" w:left="820" w:right="0"/>
        </w:sectPr>
      </w:pPr>
    </w:p>
    <w:p>
      <w:pPr>
        <w:spacing w:line="240" w:lineRule="auto" w:before="9"/>
        <w:rPr>
          <w:rFonts w:ascii="宋体" w:hAnsi="宋体" w:cs="宋体" w:eastAsia="宋体" w:hint="default"/>
          <w:sz w:val="25"/>
          <w:szCs w:val="25"/>
        </w:rPr>
      </w:pPr>
    </w:p>
    <w:p>
      <w:pPr>
        <w:pStyle w:val="BodyText"/>
        <w:spacing w:line="319" w:lineRule="auto" w:before="44"/>
        <w:ind w:right="982"/>
        <w:jc w:val="left"/>
      </w:pP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论基于截至审计报告日可获得的信息。然而，未来的事项或情况可能导致思特奇公司不能持续经营。</w:t>
      </w:r>
    </w:p>
    <w:p>
      <w:pPr>
        <w:pStyle w:val="BodyText"/>
        <w:spacing w:line="240" w:lineRule="auto" w:before="17"/>
        <w:ind w:left="719" w:right="982"/>
        <w:jc w:val="left"/>
      </w:pPr>
      <w:r>
        <w:rPr/>
        <w:t>（</w:t>
      </w:r>
      <w:r>
        <w:rPr>
          <w:rFonts w:ascii="Times New Roman" w:hAnsi="Times New Roman" w:cs="Times New Roman" w:eastAsia="Times New Roman" w:hint="default"/>
        </w:rPr>
        <w:t>5</w:t>
      </w:r>
      <w:r>
        <w:rPr/>
        <w:t>）评价财务报表的总体列报（包括披露）、结构和内容，并评价财务报表是否公允反映相关交易和事项。</w:t>
      </w:r>
    </w:p>
    <w:p>
      <w:pPr>
        <w:pStyle w:val="BodyText"/>
        <w:spacing w:line="300" w:lineRule="auto" w:before="63"/>
        <w:ind w:right="1132" w:firstLine="566"/>
        <w:jc w:val="both"/>
      </w:pPr>
      <w:r>
        <w:rPr>
          <w:spacing w:val="-1"/>
        </w:rPr>
        <w:t>（</w:t>
      </w:r>
      <w:r>
        <w:rPr>
          <w:rFonts w:ascii="Times New Roman" w:hAnsi="Times New Roman" w:cs="Times New Roman" w:eastAsia="Times New Roman" w:hint="default"/>
          <w:spacing w:val="-1"/>
        </w:rPr>
        <w:t>6</w:t>
      </w:r>
      <w:r>
        <w:rPr>
          <w:spacing w:val="-1"/>
        </w:rPr>
        <w:t>）就思特奇公司中实体或业务活动的财务信息获取充分、适当的审计证据，以对财务报表发表审计意见。我们负</w:t>
      </w:r>
      <w:r>
        <w:rPr/>
        <w:t> 责指导、监督和执行集团审计，并对审计意见承担全部责任。</w:t>
      </w:r>
    </w:p>
    <w:p>
      <w:pPr>
        <w:pStyle w:val="BodyText"/>
        <w:spacing w:line="316" w:lineRule="auto" w:before="31"/>
        <w:ind w:right="1137" w:firstLine="566"/>
        <w:jc w:val="both"/>
      </w:pPr>
      <w:r>
        <w:rPr/>
        <w:t>我们与治理层就计划的审计范围、时间安排和重大审计发现等事项进行沟通，包括沟通我们在审计中识别出的值得 关注的内部控制缺陷。</w:t>
      </w:r>
    </w:p>
    <w:p>
      <w:pPr>
        <w:pStyle w:val="BodyText"/>
        <w:spacing w:line="316" w:lineRule="auto" w:before="19"/>
        <w:ind w:right="1137" w:firstLine="566"/>
        <w:jc w:val="both"/>
      </w:pPr>
      <w:r>
        <w:rPr/>
        <w:t>我们还就已遵守与独立性相关的职业道德要求向治理层提供声明，并与治理层沟通可能被合理认为影响我们独立性 的所有关系和其他事项，以及相关的防范措施（如适用）。</w:t>
      </w:r>
    </w:p>
    <w:p>
      <w:pPr>
        <w:pStyle w:val="BodyText"/>
        <w:spacing w:line="316" w:lineRule="auto" w:before="19"/>
        <w:ind w:right="1132" w:firstLine="566"/>
        <w:jc w:val="both"/>
      </w:pPr>
      <w:r>
        <w:rPr/>
        <w:t>从与治理层沟通过的事项中，我们确定哪些事项对本期财务报表审计最为重要，因而构成关键审计事项。我们在审 </w:t>
      </w:r>
      <w:r>
        <w:rPr>
          <w:spacing w:val="-2"/>
        </w:rPr>
        <w:t>计报告中描述这些事项，除非法律法规禁止公开披露这些事项，或在极少数情形下，如果合理预期在审计报告中沟通某事项</w:t>
      </w:r>
      <w:r>
        <w:rPr>
          <w:spacing w:val="-66"/>
        </w:rPr>
        <w:t> </w:t>
      </w:r>
      <w:r>
        <w:rPr>
          <w:spacing w:val="-66"/>
        </w:rPr>
      </w:r>
      <w:r>
        <w:rPr/>
        <w:t>造成的负面后果超过在公众利益方面产生的益处，我们确定不应在审计报告中沟通该事项。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Heading5"/>
        <w:tabs>
          <w:tab w:pos="5246" w:val="left" w:leader="none"/>
        </w:tabs>
        <w:spacing w:line="240" w:lineRule="auto" w:before="0"/>
        <w:ind w:left="429" w:right="982"/>
        <w:jc w:val="left"/>
        <w:rPr>
          <w:b w:val="0"/>
          <w:bCs w:val="0"/>
        </w:rPr>
      </w:pPr>
      <w:r>
        <w:rPr>
          <w:w w:val="95"/>
        </w:rPr>
        <w:t>立信会计师事务所（特殊普通合伙）</w:t>
        <w:tab/>
      </w:r>
      <w:r>
        <w:rPr/>
        <w:t>中国注册会计师：荣健（项目合伙人）</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3"/>
          <w:szCs w:val="23"/>
        </w:rPr>
      </w:pPr>
    </w:p>
    <w:p>
      <w:pPr>
        <w:pStyle w:val="Heading5"/>
        <w:spacing w:line="240" w:lineRule="auto" w:before="0"/>
        <w:ind w:left="6228" w:right="982"/>
        <w:jc w:val="left"/>
        <w:rPr>
          <w:b w:val="0"/>
          <w:bCs w:val="0"/>
        </w:rPr>
      </w:pPr>
      <w:r>
        <w:rPr/>
        <w:t>中国注册会计师：曾霞芬</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5"/>
        <w:tabs>
          <w:tab w:pos="7088" w:val="left" w:leader="none"/>
        </w:tabs>
        <w:spacing w:line="240" w:lineRule="auto" w:before="0"/>
        <w:ind w:left="1238" w:right="982"/>
        <w:jc w:val="left"/>
        <w:rPr>
          <w:b w:val="0"/>
          <w:bCs w:val="0"/>
        </w:rP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w:t>
      </w:r>
      <w:r>
        <w:rPr>
          <w:b w:val="0"/>
          <w:bCs w:val="0"/>
        </w:rPr>
      </w:r>
    </w:p>
    <w:p>
      <w:pPr>
        <w:spacing w:line="240" w:lineRule="auto" w:before="3"/>
        <w:rPr>
          <w:rFonts w:ascii="宋体" w:hAnsi="宋体" w:cs="宋体" w:eastAsia="宋体" w:hint="default"/>
          <w:b/>
          <w:bCs/>
          <w:sz w:val="24"/>
          <w:szCs w:val="24"/>
        </w:rPr>
      </w:pPr>
    </w:p>
    <w:p>
      <w:pPr>
        <w:pStyle w:val="Heading2"/>
        <w:spacing w:line="240" w:lineRule="auto"/>
        <w:ind w:right="982"/>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财务附注中报表的单位为：元</w:t>
      </w:r>
    </w:p>
    <w:p>
      <w:pPr>
        <w:spacing w:line="240" w:lineRule="auto" w:before="11"/>
        <w:rPr>
          <w:rFonts w:ascii="宋体" w:hAnsi="宋体" w:cs="宋体" w:eastAsia="宋体" w:hint="default"/>
          <w:sz w:val="26"/>
          <w:szCs w:val="26"/>
        </w:rPr>
      </w:pPr>
    </w:p>
    <w:p>
      <w:pPr>
        <w:pStyle w:val="Heading4"/>
        <w:spacing w:line="240" w:lineRule="auto"/>
        <w:ind w:right="98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t>编制单位：北京思特奇信息技术股份有限公司</w:t>
      </w:r>
    </w:p>
    <w:p>
      <w:pPr>
        <w:pStyle w:val="BodyText"/>
        <w:spacing w:line="240" w:lineRule="auto" w:before="117"/>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672"/>
        <w:gridCol w:w="1985"/>
        <w:gridCol w:w="1913"/>
      </w:tblGrid>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货币资金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28" w:right="0"/>
              <w:jc w:val="left"/>
              <w:rPr>
                <w:rFonts w:ascii="Times New Roman" w:hAnsi="Times New Roman" w:cs="Times New Roman" w:eastAsia="Times New Roman" w:hint="default"/>
                <w:sz w:val="18"/>
                <w:szCs w:val="18"/>
              </w:rPr>
            </w:pPr>
            <w:r>
              <w:rPr>
                <w:rFonts w:ascii="Times New Roman"/>
                <w:sz w:val="18"/>
              </w:rPr>
              <w:t>393,345,662.55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5" w:right="0"/>
              <w:jc w:val="left"/>
              <w:rPr>
                <w:rFonts w:ascii="Times New Roman" w:hAnsi="Times New Roman" w:cs="Times New Roman" w:eastAsia="Times New Roman" w:hint="default"/>
                <w:sz w:val="18"/>
                <w:szCs w:val="18"/>
              </w:rPr>
            </w:pPr>
            <w:r>
              <w:rPr>
                <w:rFonts w:ascii="Times New Roman"/>
                <w:sz w:val="18"/>
              </w:rPr>
              <w:t>385,365,435.45</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672"/>
        <w:gridCol w:w="1985"/>
        <w:gridCol w:w="1913"/>
      </w:tblGrid>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5,070,314.65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4,958,568.80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440,562,289.07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419,936,216.50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12,463,255.39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10,400,520.73</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200,954,056.75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191,735,222.94</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6,301,429.31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24,445,770.31</w:t>
            </w:r>
          </w:p>
        </w:tc>
      </w:tr>
      <w:tr>
        <w:trPr>
          <w:trHeight w:val="408"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1,058,697,007.72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1,036,841,734.73</w:t>
            </w:r>
          </w:p>
        </w:tc>
      </w:tr>
      <w:tr>
        <w:trPr>
          <w:trHeight w:val="391"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13,605,138.67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11,884,611.92</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158,061,924.05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66,960,502.19</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35,465,709.54</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17,417,335.20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8,666,529.52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672"/>
        <w:gridCol w:w="1985"/>
        <w:gridCol w:w="1913"/>
      </w:tblGrid>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14,590,781.79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4,745,292.00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9,415,309.67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11,560,469.12</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2,610,593.57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3,351,172.78</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5,295,946.37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5,214,094.02</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310,843,793.48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6,308,906.42</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551,840,822.80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159,157,287.51</w:t>
            </w:r>
          </w:p>
        </w:tc>
      </w:tr>
      <w:tr>
        <w:trPr>
          <w:trHeight w:val="408"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1,610,537,830.52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1,195,999,022.24</w:t>
            </w:r>
          </w:p>
        </w:tc>
      </w:tr>
      <w:tr>
        <w:trPr>
          <w:trHeight w:val="391"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476,000,000.00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247,000,000.00</w:t>
            </w: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30,835,525.73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21,273,836.81</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42,400,387.61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41,145,844.70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90,712,878.12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95,981,789.96</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22,500,265.34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28,911,953.47</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16,459,596.72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41,092,601.16</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862,322.50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373,302.50</w:t>
            </w: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678,908,653.52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475,406,026.10</w:t>
            </w:r>
          </w:p>
        </w:tc>
      </w:tr>
      <w:tr>
        <w:trPr>
          <w:trHeight w:val="396"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672"/>
        <w:gridCol w:w="1985"/>
        <w:gridCol w:w="1913"/>
      </w:tblGrid>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1,216,238.10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340,635.68</w:t>
            </w: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1,309,551.84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1,733,865.98</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152,525,789.94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2,074,501.66</w:t>
            </w:r>
          </w:p>
        </w:tc>
      </w:tr>
      <w:tr>
        <w:trPr>
          <w:trHeight w:val="407"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831,434,443.46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477,480,527.76</w:t>
            </w:r>
          </w:p>
        </w:tc>
      </w:tr>
      <w:tr>
        <w:trPr>
          <w:trHeight w:val="397"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157,651,712.00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106,117,800.00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231,327,024.59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300,506,980.55</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3,997,624.96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21,208,500.00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37,408.71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32,916.45</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54,780,567.66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44,768,531.88</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338,246,538.01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284,525,881.96</w:t>
            </w: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778,045,626.01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714,743,610.84</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1,057,761.05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3,774,883.64</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779,103,387.06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718,518,494.48</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1,610,537,830.52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1,195,999,022.24</w:t>
            </w:r>
          </w:p>
        </w:tc>
      </w:tr>
    </w:tbl>
    <w:p>
      <w:pPr>
        <w:spacing w:line="240" w:lineRule="auto" w:before="2"/>
        <w:rPr>
          <w:rFonts w:ascii="Times New Roman" w:hAnsi="Times New Roman" w:cs="Times New Roman" w:eastAsia="Times New Roman" w:hint="default"/>
          <w:sz w:val="23"/>
          <w:szCs w:val="23"/>
        </w:rPr>
      </w:pPr>
    </w:p>
    <w:p>
      <w:pPr>
        <w:pStyle w:val="BodyText"/>
        <w:tabs>
          <w:tab w:pos="3514" w:val="left" w:leader="none"/>
          <w:tab w:pos="7746" w:val="left" w:leader="none"/>
        </w:tabs>
        <w:spacing w:line="240" w:lineRule="auto" w:before="44"/>
        <w:ind w:left="0" w:right="1224"/>
        <w:jc w:val="right"/>
      </w:pPr>
      <w:r>
        <w:rPr/>
        <w:t>法定代表人：吴飞舟</w:t>
        <w:tab/>
      </w:r>
      <w:r>
        <w:rPr>
          <w:spacing w:val="-1"/>
        </w:rPr>
        <w:t>主管会计工作负责人：咸海丰</w:t>
        <w:tab/>
      </w:r>
      <w:r>
        <w:rPr/>
        <w:t>会计机构负责人：杜微</w:t>
      </w:r>
    </w:p>
    <w:p>
      <w:pPr>
        <w:spacing w:line="240" w:lineRule="auto" w:before="0"/>
        <w:rPr>
          <w:rFonts w:ascii="宋体" w:hAnsi="宋体" w:cs="宋体" w:eastAsia="宋体" w:hint="default"/>
          <w:sz w:val="18"/>
          <w:szCs w:val="18"/>
        </w:rPr>
      </w:pPr>
    </w:p>
    <w:p>
      <w:pPr>
        <w:pStyle w:val="Heading4"/>
        <w:spacing w:line="240" w:lineRule="auto" w:before="118"/>
        <w:ind w:right="98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0"/>
        <w:jc w:val="right"/>
      </w:pPr>
      <w:r>
        <w:rPr/>
        <w:t>单位：元</w:t>
      </w:r>
    </w:p>
    <w:p>
      <w:pPr>
        <w:spacing w:after="0" w:line="240" w:lineRule="auto"/>
        <w:jc w:val="right"/>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672"/>
        <w:gridCol w:w="1985"/>
        <w:gridCol w:w="1913"/>
      </w:tblGrid>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7"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358,936,178.06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350,836,242.32</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5,070,314.65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4,958,568.80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439,480,371.09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414,169,277.40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27,647,670.42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12,839,661.39</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35,105,748.72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60,053,292.62</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196,046,538.37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182,654,218.24</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522,296.84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19,106,563.26</w:t>
            </w:r>
          </w:p>
        </w:tc>
      </w:tr>
      <w:tr>
        <w:trPr>
          <w:trHeight w:val="408"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1,062,809,118.15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1,044,617,824.03</w:t>
            </w:r>
          </w:p>
        </w:tc>
      </w:tr>
      <w:tr>
        <w:trPr>
          <w:trHeight w:val="391"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133,414,903.16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86,813,609.91</w:t>
            </w: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23,165,184.12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19,125,588.75</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672"/>
        <w:gridCol w:w="1985"/>
        <w:gridCol w:w="1913"/>
      </w:tblGrid>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13,493,268.88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2,058,202.85</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14,749,163.72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4,745,292.00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843,660.26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1,430,835.40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4,867,288.77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4,953,278.97</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310,843,793.48</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521,377,262.39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124,126,807.88</w:t>
            </w:r>
          </w:p>
        </w:tc>
      </w:tr>
      <w:tr>
        <w:trPr>
          <w:trHeight w:val="407"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1,584,186,380.54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1,168,744,631.91</w:t>
            </w:r>
          </w:p>
        </w:tc>
      </w:tr>
      <w:tr>
        <w:trPr>
          <w:trHeight w:val="397"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468,000,000.00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247,000,000.00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25,949,024.20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25,277,823.08</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30,063,392.63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26,308,947.32</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68,158,533.14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75,827,256.82</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18,494,064.21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24,995,019.94</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11,638,868.83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30,726,092.29</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849,562.50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373,302.50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622,303,883.01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430,135,139.45</w:t>
            </w:r>
          </w:p>
        </w:tc>
      </w:tr>
      <w:tr>
        <w:trPr>
          <w:trHeight w:val="398"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672"/>
        <w:gridCol w:w="1985"/>
        <w:gridCol w:w="1913"/>
      </w:tblGrid>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1,216,238.10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340,635.68</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151,216,238.10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340,635.68</w:t>
            </w:r>
          </w:p>
        </w:tc>
      </w:tr>
      <w:tr>
        <w:trPr>
          <w:trHeight w:val="407"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773,520,121.11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430,475,775.13</w:t>
            </w:r>
          </w:p>
        </w:tc>
      </w:tr>
      <w:tr>
        <w:trPr>
          <w:trHeight w:val="397"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157,651,712.00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106,117,800.00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221,327,024.59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290,506,980.55</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3,997,624.96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21,208,500.00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54,780,567.66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44,768,531.88</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380,904,580.14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318,084,044.35</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810,666,259.43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738,268,856.78</w:t>
            </w:r>
          </w:p>
        </w:tc>
      </w:tr>
      <w:tr>
        <w:trPr>
          <w:trHeight w:val="404"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1,584,186,380.54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1,168,744,631.91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672"/>
        <w:gridCol w:w="1985"/>
        <w:gridCol w:w="1911"/>
      </w:tblGrid>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859,779,941.79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787,696,203.48</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859,779,941.79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787,696,203.48</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已赚保费</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手续费及佣金收入</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775,509,587.33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698,483,458.49</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427,662,829.95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388,853,873.47</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利息支出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手续费及佣金支出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退保金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赔付支出净额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672"/>
        <w:gridCol w:w="1985"/>
        <w:gridCol w:w="1911"/>
      </w:tblGrid>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提取保险责任合同准备金净额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保单红利支出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分保费用</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税金及附加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5,350,583.59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6,223,182.94</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103,426,427.75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96,899,823.05</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管理费用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53,111,421.01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50,428,000.79</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研发费用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167,526,109.28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148,006,109.77</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财务费用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18,432,215.75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8,072,468.47</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其中：利息费用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18,401,354.12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9,899,805.00</w:t>
            </w: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1,579,470.62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1,436,995.24</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10,611,878.54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8,928,759.39</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-435,040.71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1,766,360.54</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其中：对联营企业和合营企业的投资收益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-876,493.60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-115,388.08</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以摊余成本计量的金融资产终止确认收益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-458,291.03</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-6,391,058.73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-6,685,689.33</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-338.40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493.60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87,597,504.13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93,222,669.19</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3,259,007.15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3,737,190.99</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880,075.69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1,581,383.70</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89,976,435.59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95,378,476.48</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1,673,080.11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9,063,063.01</w:t>
            </w:r>
          </w:p>
        </w:tc>
      </w:tr>
      <w:tr>
        <w:trPr>
          <w:trHeight w:val="407"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88,303,355.48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86,315,413.47</w:t>
            </w:r>
          </w:p>
        </w:tc>
      </w:tr>
      <w:tr>
        <w:trPr>
          <w:trHeight w:val="398"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88,303,355.48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86,315,413.47</w:t>
            </w:r>
          </w:p>
        </w:tc>
      </w:tr>
      <w:tr>
        <w:trPr>
          <w:trHeight w:val="408"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91,020,478.07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85,315,661.84</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-2,717,122.59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999,751.63</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4,492.26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19,314.66</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归属母公司所有者的其他综合收益的税后净额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4,492.26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19,314.66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71"/>
        <w:gridCol w:w="1985"/>
        <w:gridCol w:w="1911"/>
      </w:tblGrid>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4,492.26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19,314.66</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4,492.26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19,314.66</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归属于少数股东的其他综合收益的税后净额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88,307,847.74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86,334,728.13</w:t>
            </w: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91,024,970.33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85,334,976.50</w:t>
            </w:r>
          </w:p>
        </w:tc>
      </w:tr>
      <w:tr>
        <w:trPr>
          <w:trHeight w:val="407"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-2,717,122.59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999,751.63</w:t>
            </w:r>
          </w:p>
        </w:tc>
      </w:tr>
      <w:tr>
        <w:trPr>
          <w:trHeight w:val="397"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0.54</w:t>
            </w:r>
          </w:p>
        </w:tc>
      </w:tr>
      <w:tr>
        <w:trPr>
          <w:trHeight w:val="403"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0.54</w:t>
            </w:r>
          </w:p>
        </w:tc>
      </w:tr>
    </w:tbl>
    <w:p>
      <w:pPr>
        <w:pStyle w:val="BodyText"/>
        <w:tabs>
          <w:tab w:pos="3667" w:val="left" w:leader="none"/>
          <w:tab w:pos="7899" w:val="left" w:leader="none"/>
        </w:tabs>
        <w:spacing w:line="592" w:lineRule="auto" w:before="51"/>
        <w:ind w:right="1224"/>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 </w:t>
      </w:r>
      <w:r>
        <w:rPr/>
        <w:t>法定代表人：吴飞舟</w:t>
        <w:tab/>
      </w:r>
      <w:r>
        <w:rPr>
          <w:spacing w:val="-1"/>
        </w:rPr>
        <w:t>主管会计工作负责人：咸海丰</w:t>
        <w:tab/>
      </w:r>
      <w:r>
        <w:rPr/>
        <w:t>会计机构负责人：杜微</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5"/>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5813"/>
        <w:gridCol w:w="1985"/>
        <w:gridCol w:w="1913"/>
      </w:tblGrid>
      <w:tr>
        <w:trPr>
          <w:trHeight w:val="396"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8"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837,078,737.24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777,764,539.22</w:t>
            </w:r>
          </w:p>
        </w:tc>
      </w:tr>
      <w:tr>
        <w:trPr>
          <w:trHeight w:val="401"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441,424,976.40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410,409,833.41</w:t>
            </w:r>
          </w:p>
        </w:tc>
      </w:tr>
      <w:tr>
        <w:trPr>
          <w:trHeight w:val="403"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3,025,355.84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4,112,602.02</w:t>
            </w:r>
          </w:p>
        </w:tc>
      </w:tr>
      <w:tr>
        <w:trPr>
          <w:trHeight w:val="401"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78,216,323.67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77,762,876.81</w:t>
            </w:r>
          </w:p>
        </w:tc>
      </w:tr>
      <w:tr>
        <w:trPr>
          <w:trHeight w:val="403"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38,318,545.68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42,684,946.44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5813"/>
        <w:gridCol w:w="1985"/>
        <w:gridCol w:w="1913"/>
      </w:tblGrid>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163,049,728.17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146,837,978.98</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18,232,968.68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8,089,599.35</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其中：利息费用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18,183,274.12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9,899,805.00</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1,459,002.47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1,350,337.74</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10,440,542.11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8,928,759.39</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-237,253.86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1,781,792.87</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其中：对联营企业和合营企业的投资收益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-678,706.75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-115,388.08</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以摊余成本计量的金融资产终止确认收益（损失以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-501,678.23</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-4,245,899.28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-6,598,841.25</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-338.40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100,266,211.14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91,978,413.22</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2,977,568.55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3,379,919.09</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131,482.58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1,533,476.68</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103,112,297.11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93,824,855.63</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2,991,939.30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7,347,094.58</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100,120,357.81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86,477,761.05</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100,120,357.81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86,477,761.05</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74" w:header="748"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5814"/>
        <w:gridCol w:w="1985"/>
        <w:gridCol w:w="1913"/>
      </w:tblGrid>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8" w:right="0"/>
              <w:jc w:val="left"/>
              <w:rPr>
                <w:rFonts w:ascii="Times New Roman" w:hAnsi="Times New Roman" w:cs="Times New Roman" w:eastAsia="Times New Roman" w:hint="default"/>
                <w:sz w:val="18"/>
                <w:szCs w:val="18"/>
              </w:rPr>
            </w:pPr>
            <w:r>
              <w:rPr>
                <w:rFonts w:ascii="Times New Roman"/>
                <w:sz w:val="18"/>
              </w:rPr>
              <w:t>100,120,357.81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86,477,761.05</w:t>
            </w:r>
          </w:p>
        </w:tc>
      </w:tr>
      <w:tr>
        <w:trPr>
          <w:trHeight w:val="391"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814"/>
        <w:gridCol w:w="1985"/>
        <w:gridCol w:w="1772"/>
      </w:tblGrid>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883,663,177.42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821,035,282.31</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8,566,764.43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8,928,759.39</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11,131,162.08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17,540,608.67</w:t>
            </w:r>
          </w:p>
        </w:tc>
      </w:tr>
      <w:tr>
        <w:trPr>
          <w:trHeight w:val="403"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903,361,103.93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847,504,650.37</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96,918,412.93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126,835,075.20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4" w:header="748"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814"/>
        <w:gridCol w:w="1985"/>
        <w:gridCol w:w="1772"/>
      </w:tblGrid>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562,087,415.64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492,249,944.18</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45,482,586.86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50,595,563.32</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112,726,358.87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89,408,229.59</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817,214,774.30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759,088,812.29</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86,146,329.63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88,415,838.08</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57,913,778.80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441,452.89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1,847,597.20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707.96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14,940.01</w:t>
            </w:r>
          </w:p>
        </w:tc>
      </w:tr>
      <w:tr>
        <w:trPr>
          <w:trHeight w:val="403"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479,369.86</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58,355,939.65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127,341,907.07</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383,771,524.62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75,067,656.78</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57,410,000.00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87,000,000.00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7,543,144.41</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441,181,524.62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169,610,801.19</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-382,825,584.97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-42,268,894.12</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247,000,000.00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247,000,000.00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337,000,000.00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3"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45,200,120.36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34,221,928.33</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其中：子公司支付给少数股东的股利、利润</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27,126,753.50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409,326,873.86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149,221,928.33</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306,673,126.14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97,778,071.67</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4,730.75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18,960.69</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9,998,601.55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143,943,976.32</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379,438,145.36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235,494,169.04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813"/>
        <w:gridCol w:w="1985"/>
        <w:gridCol w:w="1772"/>
      </w:tblGrid>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8" w:right="0"/>
              <w:jc w:val="left"/>
              <w:rPr>
                <w:rFonts w:ascii="Times New Roman" w:hAnsi="Times New Roman" w:cs="Times New Roman" w:eastAsia="Times New Roman" w:hint="default"/>
                <w:sz w:val="18"/>
                <w:szCs w:val="18"/>
              </w:rPr>
            </w:pPr>
            <w:r>
              <w:rPr>
                <w:rFonts w:ascii="Times New Roman"/>
                <w:sz w:val="18"/>
              </w:rPr>
              <w:t>389,436,746.91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4" w:right="0"/>
              <w:jc w:val="left"/>
              <w:rPr>
                <w:rFonts w:ascii="Times New Roman" w:hAnsi="Times New Roman" w:cs="Times New Roman" w:eastAsia="Times New Roman" w:hint="default"/>
                <w:sz w:val="18"/>
                <w:szCs w:val="18"/>
              </w:rPr>
            </w:pPr>
            <w:r>
              <w:rPr>
                <w:rFonts w:ascii="Times New Roman"/>
                <w:sz w:val="18"/>
              </w:rPr>
              <w:t>379,438,145.36</w:t>
            </w: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36"/>
        <w:ind w:right="98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814"/>
        <w:gridCol w:w="1985"/>
        <w:gridCol w:w="1772"/>
      </w:tblGrid>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859,580,964.81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815,788,462.49</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8,566,764.43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8,928,759.39</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35,105,581.39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10,283,365.24</w:t>
            </w:r>
          </w:p>
        </w:tc>
      </w:tr>
      <w:tr>
        <w:trPr>
          <w:trHeight w:val="403"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903,253,310.63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835,000,587.12</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293,979,542.95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263,916,884.09</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350,643,791.64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350,814,543.57</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32,517,269.23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40,256,675.27</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133,641,340.33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159,017,408.34</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810,781,944.15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814,005,511.27</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92,471,366.48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20,995,075.85</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57,913,778.80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126,050,000.00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441,452.89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1,847,597.20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707.96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14,940.01</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58,355,939.65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127,912,537.21</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337,306,677.95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8,145,879.56</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102,280,000.00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108,000,000.00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439,586,677.95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116,145,879.56</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-381,230,738.30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11,766,657.65</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708,000,000.00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247,000,000.00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708,000,000.00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247,000,000.00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409" w:type="dxa"/>
        <w:tblLayout w:type="fixed"/>
        <w:tblCellMar>
          <w:top w:w="0" w:type="dxa"/>
          <w:left w:w="0" w:type="dxa"/>
          <w:bottom w:w="0" w:type="dxa"/>
          <w:right w:w="0" w:type="dxa"/>
        </w:tblCellMar>
        <w:tblLook w:val="01E0"/>
      </w:tblPr>
      <w:tblGrid>
        <w:gridCol w:w="5813"/>
        <w:gridCol w:w="1985"/>
        <w:gridCol w:w="1772"/>
      </w:tblGrid>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44,994,800.36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34,221,928.33</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27,126,753.50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409,121,553.86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149,221,928.33</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298,878,446.14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97,778,071.67</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10,119,074.32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130,539,805.17</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344,939,633.86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214,399,828.69</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355,058,708.18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344,939,633.86</w:t>
            </w:r>
          </w:p>
        </w:tc>
      </w:tr>
    </w:tbl>
    <w:p>
      <w:pPr>
        <w:spacing w:line="240" w:lineRule="auto" w:before="4"/>
        <w:rPr>
          <w:rFonts w:ascii="宋体" w:hAnsi="宋体" w:cs="宋体" w:eastAsia="宋体" w:hint="default"/>
          <w:sz w:val="19"/>
          <w:szCs w:val="19"/>
        </w:rPr>
      </w:pPr>
    </w:p>
    <w:p>
      <w:pPr>
        <w:pStyle w:val="Heading4"/>
        <w:spacing w:line="240" w:lineRule="auto" w:before="36"/>
        <w:ind w:left="413"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413" w:right="0"/>
        <w:jc w:val="left"/>
      </w:pPr>
      <w:r>
        <w:rPr/>
        <w:t>本期金额</w:t>
      </w:r>
    </w:p>
    <w:p>
      <w:pPr>
        <w:pStyle w:val="BodyText"/>
        <w:spacing w:line="240" w:lineRule="auto" w:before="117"/>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419"/>
        <w:gridCol w:w="994"/>
        <w:gridCol w:w="425"/>
        <w:gridCol w:w="425"/>
        <w:gridCol w:w="312"/>
        <w:gridCol w:w="965"/>
        <w:gridCol w:w="708"/>
        <w:gridCol w:w="566"/>
        <w:gridCol w:w="425"/>
        <w:gridCol w:w="602"/>
        <w:gridCol w:w="425"/>
        <w:gridCol w:w="674"/>
        <w:gridCol w:w="425"/>
        <w:gridCol w:w="566"/>
        <w:gridCol w:w="603"/>
        <w:gridCol w:w="708"/>
      </w:tblGrid>
      <w:tr>
        <w:trPr>
          <w:trHeight w:val="401"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8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419" w:type="dxa"/>
            <w:vMerge/>
            <w:tcBorders>
              <w:left w:val="single" w:sz="4" w:space="0" w:color="000000"/>
              <w:right w:val="single" w:sz="4" w:space="0" w:color="000000"/>
            </w:tcBorders>
            <w:shd w:val="clear" w:color="auto" w:fill="D2D2D2"/>
          </w:tcPr>
          <w:p>
            <w:pPr/>
          </w:p>
        </w:tc>
        <w:tc>
          <w:tcPr>
            <w:tcW w:w="751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28" w:right="22"/>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79" w:right="77"/>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19" w:type="dxa"/>
            <w:vMerge/>
            <w:tcBorders>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59" w:right="19" w:hanging="236"/>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8" w:right="9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06" w:right="24"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8"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03"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r>
      <w:tr>
        <w:trPr>
          <w:trHeight w:val="715"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8"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7" w:right="2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59"/>
              <w:jc w:val="left"/>
              <w:rPr>
                <w:rFonts w:ascii="宋体" w:hAnsi="宋体" w:cs="宋体" w:eastAsia="宋体" w:hint="default"/>
                <w:sz w:val="18"/>
                <w:szCs w:val="18"/>
              </w:rPr>
            </w:pPr>
            <w:r>
              <w:rPr>
                <w:rFonts w:ascii="宋体" w:hAnsi="宋体" w:cs="宋体" w:eastAsia="宋体" w:hint="default"/>
                <w:sz w:val="18"/>
                <w:szCs w:val="18"/>
              </w:rPr>
              <w:t>其 他</w:t>
            </w:r>
          </w:p>
        </w:tc>
        <w:tc>
          <w:tcPr>
            <w:tcW w:w="965"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7"/>
                <w:sz w:val="18"/>
                <w:szCs w:val="18"/>
              </w:rPr>
              <w:t>、</w:t>
            </w:r>
            <w:r>
              <w:rPr>
                <w:rFonts w:ascii="宋体" w:hAnsi="宋体" w:cs="宋体" w:eastAsia="宋体" w:hint="default"/>
                <w:sz w:val="18"/>
                <w:szCs w:val="18"/>
              </w:rPr>
              <w:t>上年期末余额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106,117,800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300,506,980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21,208,5</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32,916</w:t>
            </w:r>
          </w:p>
          <w:p>
            <w:pPr>
              <w:pStyle w:val="TableParagraph"/>
              <w:spacing w:line="240" w:lineRule="auto" w:before="102"/>
              <w:ind w:left="309" w:right="0"/>
              <w:jc w:val="left"/>
              <w:rPr>
                <w:rFonts w:ascii="Times New Roman" w:hAnsi="Times New Roman" w:cs="Times New Roman" w:eastAsia="Times New Roman" w:hint="default"/>
                <w:sz w:val="18"/>
                <w:szCs w:val="18"/>
              </w:rPr>
            </w:pPr>
            <w:r>
              <w:rPr>
                <w:rFonts w:ascii="Times New Roman"/>
                <w:sz w:val="18"/>
              </w:rPr>
              <w:t>.45</w:t>
            </w: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44,768,</w:t>
            </w:r>
          </w:p>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531.88</w:t>
            </w: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284,525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,881.96</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714,74</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3,610.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84</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3,774,8</w:t>
            </w:r>
          </w:p>
          <w:p>
            <w:pPr>
              <w:pStyle w:val="TableParagraph"/>
              <w:spacing w:line="240" w:lineRule="auto" w:before="102"/>
              <w:ind w:left="145" w:right="0"/>
              <w:jc w:val="center"/>
              <w:rPr>
                <w:rFonts w:ascii="Times New Roman" w:hAnsi="Times New Roman" w:cs="Times New Roman" w:eastAsia="Times New Roman" w:hint="default"/>
                <w:sz w:val="18"/>
                <w:szCs w:val="18"/>
              </w:rPr>
            </w:pPr>
            <w:r>
              <w:rPr>
                <w:rFonts w:ascii="Times New Roman"/>
                <w:sz w:val="18"/>
              </w:rPr>
              <w:t>83.64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718,518,</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494.48</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3"/>
                <w:sz w:val="18"/>
                <w:szCs w:val="18"/>
              </w:rPr>
              <w:t>加：会计政策</w:t>
            </w:r>
            <w:r>
              <w:rPr>
                <w:rFonts w:ascii="宋体" w:hAnsi="宋体" w:cs="宋体" w:eastAsia="宋体" w:hint="default"/>
                <w:sz w:val="18"/>
                <w:szCs w:val="18"/>
              </w:rPr>
              <w:t> 变更</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7"/>
                <w:sz w:val="18"/>
                <w:szCs w:val="18"/>
              </w:rPr>
              <w:t>、</w:t>
            </w:r>
            <w:r>
              <w:rPr>
                <w:rFonts w:ascii="宋体" w:hAnsi="宋体" w:cs="宋体" w:eastAsia="宋体" w:hint="default"/>
                <w:sz w:val="18"/>
                <w:szCs w:val="18"/>
              </w:rPr>
              <w:t>本年期初余额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106,117,800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300,506,980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21,208,5</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32,916</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.45</w:t>
            </w: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44,768,</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531.88</w:t>
            </w: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284,525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,881.96</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714,74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3,610.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84</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3,774,8</w:t>
            </w:r>
          </w:p>
          <w:p>
            <w:pPr>
              <w:pStyle w:val="TableParagraph"/>
              <w:spacing w:line="240" w:lineRule="auto" w:before="105"/>
              <w:ind w:left="145" w:right="0"/>
              <w:jc w:val="center"/>
              <w:rPr>
                <w:rFonts w:ascii="Times New Roman" w:hAnsi="Times New Roman" w:cs="Times New Roman" w:eastAsia="Times New Roman" w:hint="default"/>
                <w:sz w:val="18"/>
                <w:szCs w:val="18"/>
              </w:rPr>
            </w:pPr>
            <w:r>
              <w:rPr>
                <w:rFonts w:ascii="Times New Roman"/>
                <w:sz w:val="18"/>
              </w:rPr>
              <w:t>83.64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718,518,</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494.48</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0"/>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金额（减少以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51,533,912.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-69,179,955</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-17,210,</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875.04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4,492.</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26</w:t>
            </w: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10,012,</w:t>
            </w:r>
          </w:p>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035.78</w:t>
            </w: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53,720,</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656.05</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63,302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,015.1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-2,717,</w:t>
            </w:r>
          </w:p>
          <w:p>
            <w:pPr>
              <w:pStyle w:val="TableParagraph"/>
              <w:spacing w:line="240" w:lineRule="auto" w:before="102"/>
              <w:ind w:left="76" w:right="0"/>
              <w:jc w:val="left"/>
              <w:rPr>
                <w:rFonts w:ascii="Times New Roman" w:hAnsi="Times New Roman" w:cs="Times New Roman" w:eastAsia="Times New Roman" w:hint="default"/>
                <w:sz w:val="18"/>
                <w:szCs w:val="18"/>
              </w:rPr>
            </w:pPr>
            <w:r>
              <w:rPr>
                <w:rFonts w:ascii="Times New Roman"/>
                <w:sz w:val="18"/>
              </w:rPr>
              <w:t>122.59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60,584,8</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92.58</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4,492.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26</w:t>
            </w: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91,020,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478.07</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91,024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-2,717,</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122.59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88,307,8</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47.74</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7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418"/>
        <w:gridCol w:w="994"/>
        <w:gridCol w:w="425"/>
        <w:gridCol w:w="425"/>
        <w:gridCol w:w="312"/>
        <w:gridCol w:w="965"/>
        <w:gridCol w:w="708"/>
        <w:gridCol w:w="566"/>
        <w:gridCol w:w="425"/>
        <w:gridCol w:w="602"/>
        <w:gridCol w:w="425"/>
        <w:gridCol w:w="674"/>
        <w:gridCol w:w="425"/>
        <w:gridCol w:w="566"/>
        <w:gridCol w:w="603"/>
        <w:gridCol w:w="708"/>
      </w:tblGrid>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和减少资本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-942,600.00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-16,703,443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500.00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3,562,</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456.04</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3,562,45</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6.04</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500.00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21,208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21,208,5</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00.00</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-942,600.00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-16,703,443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-17,64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6,043.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96</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-17,646,</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043.96</w:t>
            </w: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10,012,</w:t>
            </w:r>
          </w:p>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035.78</w:t>
            </w: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-37,299,</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822.02</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left"/>
              <w:rPr>
                <w:rFonts w:ascii="Times New Roman" w:hAnsi="Times New Roman" w:cs="Times New Roman" w:eastAsia="Times New Roman" w:hint="default"/>
                <w:sz w:val="18"/>
                <w:szCs w:val="18"/>
              </w:rPr>
            </w:pPr>
            <w:r>
              <w:rPr>
                <w:rFonts w:ascii="Times New Roman"/>
                <w:sz w:val="18"/>
              </w:rPr>
              <w:t>-27,28</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7,786.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24</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-27,287,</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786.24</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10,012,</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035.78</w:t>
            </w: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-10,012,</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035.78</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-27,287,</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786.24</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-27,28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7,786.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24</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-27,287,</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786.24</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内部结转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52,476,512.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-52,476,512</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52,476,512.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-52,476,512</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 结转留存收益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7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418"/>
        <w:gridCol w:w="994"/>
        <w:gridCol w:w="425"/>
        <w:gridCol w:w="425"/>
        <w:gridCol w:w="312"/>
        <w:gridCol w:w="965"/>
        <w:gridCol w:w="708"/>
        <w:gridCol w:w="566"/>
        <w:gridCol w:w="425"/>
        <w:gridCol w:w="602"/>
        <w:gridCol w:w="425"/>
        <w:gridCol w:w="674"/>
        <w:gridCol w:w="425"/>
        <w:gridCol w:w="566"/>
        <w:gridCol w:w="603"/>
        <w:gridCol w:w="708"/>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3,997,62</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4.96</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-3,997,</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624.96</w:t>
            </w:r>
          </w:p>
        </w:tc>
        <w:tc>
          <w:tcPr>
            <w:tcW w:w="6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-3,997,6</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24.96</w:t>
            </w: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7"/>
                <w:sz w:val="18"/>
                <w:szCs w:val="18"/>
              </w:rPr>
              <w:t>、</w:t>
            </w:r>
            <w:r>
              <w:rPr>
                <w:rFonts w:ascii="宋体" w:hAnsi="宋体" w:cs="宋体" w:eastAsia="宋体" w:hint="default"/>
                <w:sz w:val="18"/>
                <w:szCs w:val="18"/>
              </w:rPr>
              <w:t>本期期末余额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157,651,712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231,327,024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3,997,62</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4.96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37,408</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.71</w:t>
            </w:r>
          </w:p>
        </w:tc>
        <w:tc>
          <w:tcPr>
            <w:tcW w:w="42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54,780,</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567.66</w:t>
            </w:r>
          </w:p>
        </w:tc>
        <w:tc>
          <w:tcPr>
            <w:tcW w:w="42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338,246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,538.01</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778,04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5,626.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01</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1,057,7</w:t>
            </w:r>
          </w:p>
          <w:p>
            <w:pPr>
              <w:pStyle w:val="TableParagraph"/>
              <w:spacing w:line="240" w:lineRule="auto" w:before="105"/>
              <w:ind w:left="145" w:right="0"/>
              <w:jc w:val="center"/>
              <w:rPr>
                <w:rFonts w:ascii="Times New Roman" w:hAnsi="Times New Roman" w:cs="Times New Roman" w:eastAsia="Times New Roman" w:hint="default"/>
                <w:sz w:val="18"/>
                <w:szCs w:val="18"/>
              </w:rPr>
            </w:pPr>
            <w:r>
              <w:rPr>
                <w:rFonts w:ascii="Times New Roman"/>
                <w:sz w:val="18"/>
              </w:rPr>
              <w:t>61.05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779,103,</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387.06</w:t>
            </w:r>
          </w:p>
        </w:tc>
      </w:tr>
    </w:tbl>
    <w:p>
      <w:pPr>
        <w:pStyle w:val="BodyText"/>
        <w:spacing w:line="240" w:lineRule="auto" w:before="51"/>
        <w:ind w:left="413" w:right="0"/>
        <w:jc w:val="left"/>
      </w:pPr>
      <w:r>
        <w:rPr/>
        <w:t>上期金额</w:t>
      </w:r>
    </w:p>
    <w:p>
      <w:pPr>
        <w:pStyle w:val="BodyText"/>
        <w:spacing w:line="240" w:lineRule="auto" w:before="115"/>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1496"/>
        <w:gridCol w:w="490"/>
        <w:gridCol w:w="449"/>
        <w:gridCol w:w="449"/>
        <w:gridCol w:w="492"/>
        <w:gridCol w:w="576"/>
        <w:gridCol w:w="728"/>
        <w:gridCol w:w="569"/>
        <w:gridCol w:w="434"/>
        <w:gridCol w:w="698"/>
        <w:gridCol w:w="567"/>
        <w:gridCol w:w="708"/>
        <w:gridCol w:w="569"/>
        <w:gridCol w:w="708"/>
        <w:gridCol w:w="567"/>
        <w:gridCol w:w="710"/>
      </w:tblGrid>
      <w:tr>
        <w:trPr>
          <w:trHeight w:val="401" w:hRule="exact"/>
        </w:trPr>
        <w:tc>
          <w:tcPr>
            <w:tcW w:w="14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71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496" w:type="dxa"/>
            <w:vMerge/>
            <w:tcBorders>
              <w:left w:val="single" w:sz="4" w:space="0" w:color="000000"/>
              <w:right w:val="single" w:sz="4" w:space="0" w:color="000000"/>
            </w:tcBorders>
            <w:shd w:val="clear" w:color="auto" w:fill="D2D2D2"/>
          </w:tcPr>
          <w:p>
            <w:pPr/>
          </w:p>
        </w:tc>
        <w:tc>
          <w:tcPr>
            <w:tcW w:w="743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79" w:right="79"/>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96"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8" w:right="9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33" w:right="2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54" w:right="7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8" w:right="9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67"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r>
      <w:tr>
        <w:trPr>
          <w:trHeight w:val="715" w:hRule="exact"/>
        </w:trPr>
        <w:tc>
          <w:tcPr>
            <w:tcW w:w="1496"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0"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43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88,43</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315,88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8,566.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21,208,5</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13,601</w:t>
            </w:r>
          </w:p>
          <w:p>
            <w:pPr>
              <w:pStyle w:val="TableParagraph"/>
              <w:spacing w:line="240" w:lineRule="auto" w:before="102"/>
              <w:ind w:left="309" w:right="0"/>
              <w:jc w:val="left"/>
              <w:rPr>
                <w:rFonts w:ascii="Times New Roman" w:hAnsi="Times New Roman" w:cs="Times New Roman" w:eastAsia="Times New Roman" w:hint="default"/>
                <w:sz w:val="18"/>
                <w:szCs w:val="18"/>
              </w:rPr>
            </w:pPr>
            <w:r>
              <w:rPr>
                <w:rFonts w:ascii="Times New Roman"/>
                <w:sz w:val="18"/>
              </w:rPr>
              <w:t>.79</w:t>
            </w: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36,120,7</w:t>
            </w:r>
          </w:p>
          <w:p>
            <w:pPr>
              <w:pStyle w:val="TableParagraph"/>
              <w:spacing w:line="240" w:lineRule="auto" w:before="102"/>
              <w:ind w:left="261" w:right="0"/>
              <w:jc w:val="left"/>
              <w:rPr>
                <w:rFonts w:ascii="Times New Roman" w:hAnsi="Times New Roman" w:cs="Times New Roman" w:eastAsia="Times New Roman" w:hint="default"/>
                <w:sz w:val="18"/>
                <w:szCs w:val="18"/>
              </w:rPr>
            </w:pPr>
            <w:r>
              <w:rPr>
                <w:rFonts w:ascii="Times New Roman"/>
                <w:sz w:val="18"/>
              </w:rPr>
              <w:t>55.77</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232,398,</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876.23</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651,644,</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800.53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653,644,</w:t>
            </w:r>
          </w:p>
          <w:p>
            <w:pPr>
              <w:pStyle w:val="TableParagraph"/>
              <w:spacing w:line="240" w:lineRule="auto" w:before="102"/>
              <w:ind w:left="159" w:right="0"/>
              <w:jc w:val="center"/>
              <w:rPr>
                <w:rFonts w:ascii="Times New Roman" w:hAnsi="Times New Roman" w:cs="Times New Roman" w:eastAsia="Times New Roman" w:hint="default"/>
                <w:sz w:val="18"/>
                <w:szCs w:val="18"/>
              </w:rPr>
            </w:pPr>
            <w:r>
              <w:rPr>
                <w:rFonts w:ascii="Times New Roman"/>
                <w:sz w:val="18"/>
              </w:rPr>
              <w:t>800.53</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 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前期差错 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同一控制 下企业合并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88,43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315,88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8,566.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21,208,5</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13,601</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.79</w:t>
            </w: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36,120,7</w:t>
            </w:r>
          </w:p>
          <w:p>
            <w:pPr>
              <w:pStyle w:val="TableParagraph"/>
              <w:spacing w:line="240" w:lineRule="auto" w:before="105"/>
              <w:ind w:left="261" w:right="0"/>
              <w:jc w:val="left"/>
              <w:rPr>
                <w:rFonts w:ascii="Times New Roman" w:hAnsi="Times New Roman" w:cs="Times New Roman" w:eastAsia="Times New Roman" w:hint="default"/>
                <w:sz w:val="18"/>
                <w:szCs w:val="18"/>
              </w:rPr>
            </w:pPr>
            <w:r>
              <w:rPr>
                <w:rFonts w:ascii="Times New Roman"/>
                <w:sz w:val="18"/>
              </w:rPr>
              <w:t>55.77</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232,398,</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876.23</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651,644,</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800.53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653,644,</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800.53</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17,68</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6,300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-15,38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1,586.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19</w:t>
            </w: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19,314</w:t>
            </w:r>
          </w:p>
          <w:p>
            <w:pPr>
              <w:pStyle w:val="TableParagraph"/>
              <w:spacing w:line="240" w:lineRule="auto" w:before="102"/>
              <w:ind w:left="309" w:right="0"/>
              <w:jc w:val="left"/>
              <w:rPr>
                <w:rFonts w:ascii="Times New Roman" w:hAnsi="Times New Roman" w:cs="Times New Roman" w:eastAsia="Times New Roman" w:hint="default"/>
                <w:sz w:val="18"/>
                <w:szCs w:val="18"/>
              </w:rPr>
            </w:pPr>
            <w:r>
              <w:rPr>
                <w:rFonts w:ascii="Times New Roman"/>
                <w:sz w:val="18"/>
              </w:rPr>
              <w:t>.66</w:t>
            </w: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8,647,77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6.11</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52,127,0</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05.73</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63,098,8</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10.31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1,774,</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883.64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64,873,6</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93.95</w:t>
            </w: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19,314</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.66</w:t>
            </w: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85,315,6</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61.84</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85,334,9</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76.50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999,75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1.63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86,334,7</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28.13</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2,304,</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713.81</w:t>
            </w: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2,304,71</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3.81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775,13</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2.01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3,079,84</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5.82</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．所有者投入的普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．其他权益工具持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有者投入资本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股份支付计入所</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3" w:right="0"/>
              <w:jc w:val="left"/>
              <w:rPr>
                <w:rFonts w:ascii="Times New Roman" w:hAnsi="Times New Roman" w:cs="Times New Roman" w:eastAsia="Times New Roman" w:hint="default"/>
                <w:sz w:val="18"/>
                <w:szCs w:val="18"/>
              </w:rPr>
            </w:pPr>
            <w:r>
              <w:rPr>
                <w:rFonts w:ascii="Times New Roman"/>
                <w:sz w:val="18"/>
              </w:rPr>
              <w:t>2,304,</w:t>
            </w: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5" w:right="0"/>
              <w:jc w:val="left"/>
              <w:rPr>
                <w:rFonts w:ascii="Times New Roman" w:hAnsi="Times New Roman" w:cs="Times New Roman" w:eastAsia="Times New Roman" w:hint="default"/>
                <w:sz w:val="18"/>
                <w:szCs w:val="18"/>
              </w:rPr>
            </w:pPr>
            <w:r>
              <w:rPr>
                <w:rFonts w:ascii="Times New Roman"/>
                <w:sz w:val="18"/>
              </w:rPr>
              <w:t>2,304,71</w:t>
            </w: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5" w:right="0"/>
              <w:jc w:val="left"/>
              <w:rPr>
                <w:rFonts w:ascii="Times New Roman" w:hAnsi="Times New Roman" w:cs="Times New Roman" w:eastAsia="Times New Roman" w:hint="default"/>
                <w:sz w:val="18"/>
                <w:szCs w:val="18"/>
              </w:rPr>
            </w:pPr>
            <w:r>
              <w:rPr>
                <w:rFonts w:ascii="Times New Roman"/>
                <w:sz w:val="18"/>
              </w:rPr>
              <w:t>2,304,71</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720" w:right="0"/>
        </w:sectPr>
      </w:pPr>
    </w:p>
    <w:p>
      <w:pPr>
        <w:spacing w:line="240" w:lineRule="auto" w:before="4"/>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496"/>
        <w:gridCol w:w="490"/>
        <w:gridCol w:w="449"/>
        <w:gridCol w:w="449"/>
        <w:gridCol w:w="492"/>
        <w:gridCol w:w="576"/>
        <w:gridCol w:w="728"/>
        <w:gridCol w:w="569"/>
        <w:gridCol w:w="434"/>
        <w:gridCol w:w="698"/>
        <w:gridCol w:w="567"/>
        <w:gridCol w:w="708"/>
        <w:gridCol w:w="569"/>
        <w:gridCol w:w="708"/>
        <w:gridCol w:w="567"/>
        <w:gridCol w:w="710"/>
      </w:tblGrid>
      <w:tr>
        <w:trPr>
          <w:trHeight w:val="36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left"/>
              <w:rPr>
                <w:rFonts w:ascii="Times New Roman" w:hAnsi="Times New Roman" w:cs="Times New Roman" w:eastAsia="Times New Roman" w:hint="default"/>
                <w:sz w:val="18"/>
                <w:szCs w:val="18"/>
              </w:rPr>
            </w:pPr>
            <w:r>
              <w:rPr>
                <w:rFonts w:ascii="Times New Roman"/>
                <w:sz w:val="18"/>
              </w:rPr>
              <w:t>713.81</w:t>
            </w: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3.81</w:t>
            </w: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2" w:right="0"/>
              <w:jc w:val="left"/>
              <w:rPr>
                <w:rFonts w:ascii="Times New Roman" w:hAnsi="Times New Roman" w:cs="Times New Roman" w:eastAsia="Times New Roman" w:hint="default"/>
                <w:sz w:val="18"/>
                <w:szCs w:val="18"/>
              </w:rPr>
            </w:pPr>
            <w:r>
              <w:rPr>
                <w:rFonts w:ascii="Times New Roman"/>
                <w:sz w:val="18"/>
              </w:rPr>
              <w:t>3.81</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775,13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775,132.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8,647,77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6.11</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-33,188,</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656.11</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-24,540,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880.00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 w:right="0"/>
              <w:jc w:val="center"/>
              <w:rPr>
                <w:rFonts w:ascii="Times New Roman" w:hAnsi="Times New Roman" w:cs="Times New Roman" w:eastAsia="Times New Roman" w:hint="default"/>
                <w:sz w:val="18"/>
                <w:szCs w:val="18"/>
              </w:rPr>
            </w:pPr>
            <w:r>
              <w:rPr>
                <w:rFonts w:ascii="Times New Roman"/>
                <w:sz w:val="18"/>
              </w:rPr>
              <w:t>-24,540,</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880.00</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8,647,77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6.11</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-8,647,7</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76.11</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．提取一般风险准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．对所有者（或股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东）的分配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-24,540,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880.00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-24,540,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880.00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 w:right="0"/>
              <w:jc w:val="center"/>
              <w:rPr>
                <w:rFonts w:ascii="Times New Roman" w:hAnsi="Times New Roman" w:cs="Times New Roman" w:eastAsia="Times New Roman" w:hint="default"/>
                <w:sz w:val="18"/>
                <w:szCs w:val="18"/>
              </w:rPr>
            </w:pPr>
            <w:r>
              <w:rPr>
                <w:rFonts w:ascii="Times New Roman"/>
                <w:sz w:val="18"/>
              </w:rPr>
              <w:t>-24,540,</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880.00</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17,68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6,300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-17,68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6,300.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2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．资本公积转增资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本（或股本）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17,68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6,300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-17,68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6,300.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．盈余公积转增资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本（或股本）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．盈余公积弥补亏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1"/>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．设定受益计划变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动额结转留存收益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．其他综合收益结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转留存收益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106,1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17,80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300,50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6,980.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21,208,5</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32,916</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.45</w:t>
            </w:r>
          </w:p>
        </w:tc>
        <w:tc>
          <w:tcPr>
            <w:tcW w:w="4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44,768,5</w:t>
            </w:r>
          </w:p>
          <w:p>
            <w:pPr>
              <w:pStyle w:val="TableParagraph"/>
              <w:spacing w:line="240" w:lineRule="auto" w:before="105"/>
              <w:ind w:left="261" w:right="0"/>
              <w:jc w:val="left"/>
              <w:rPr>
                <w:rFonts w:ascii="Times New Roman" w:hAnsi="Times New Roman" w:cs="Times New Roman" w:eastAsia="Times New Roman" w:hint="default"/>
                <w:sz w:val="18"/>
                <w:szCs w:val="18"/>
              </w:rPr>
            </w:pPr>
            <w:r>
              <w:rPr>
                <w:rFonts w:ascii="Times New Roman"/>
                <w:sz w:val="18"/>
              </w:rPr>
              <w:t>31.88</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284,525,</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881.96</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714,743,</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610.84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3,774,</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883.64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718,518,</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494.48</w:t>
            </w:r>
          </w:p>
        </w:tc>
      </w:tr>
    </w:tbl>
    <w:p>
      <w:pPr>
        <w:spacing w:line="240" w:lineRule="auto" w:before="3"/>
        <w:rPr>
          <w:rFonts w:ascii="宋体" w:hAnsi="宋体" w:cs="宋体" w:eastAsia="宋体" w:hint="default"/>
          <w:sz w:val="19"/>
          <w:szCs w:val="19"/>
        </w:rPr>
      </w:pPr>
    </w:p>
    <w:p>
      <w:pPr>
        <w:pStyle w:val="Heading4"/>
        <w:spacing w:line="240" w:lineRule="auto" w:before="36"/>
        <w:ind w:left="393" w:right="55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393" w:right="5533"/>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748" w:footer="974"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2"/>
        <w:gridCol w:w="605"/>
        <w:gridCol w:w="728"/>
        <w:gridCol w:w="727"/>
        <w:gridCol w:w="725"/>
        <w:gridCol w:w="728"/>
        <w:gridCol w:w="727"/>
        <w:gridCol w:w="614"/>
        <w:gridCol w:w="710"/>
        <w:gridCol w:w="862"/>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6" w:right="6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106,11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7,800.0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290,506,</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980.55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21,208,5</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44,768,5</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31.88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318,08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4,044.3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738,268,8</w:t>
            </w:r>
          </w:p>
          <w:p>
            <w:pPr>
              <w:pStyle w:val="TableParagraph"/>
              <w:spacing w:line="240" w:lineRule="auto" w:before="102"/>
              <w:ind w:left="425" w:right="0"/>
              <w:jc w:val="left"/>
              <w:rPr>
                <w:rFonts w:ascii="Times New Roman" w:hAnsi="Times New Roman" w:cs="Times New Roman" w:eastAsia="Times New Roman" w:hint="default"/>
                <w:sz w:val="18"/>
                <w:szCs w:val="18"/>
              </w:rPr>
            </w:pPr>
            <w:r>
              <w:rPr>
                <w:rFonts w:ascii="Times New Roman"/>
                <w:sz w:val="18"/>
              </w:rPr>
              <w:t>56.78</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106,11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7,800.0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290,506,</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980.55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21,208,5</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44,768,5</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31.88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318,08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4,044.3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738,268,8</w:t>
            </w:r>
          </w:p>
          <w:p>
            <w:pPr>
              <w:pStyle w:val="TableParagraph"/>
              <w:spacing w:line="240" w:lineRule="auto" w:before="102"/>
              <w:ind w:left="425" w:right="0"/>
              <w:jc w:val="left"/>
              <w:rPr>
                <w:rFonts w:ascii="Times New Roman" w:hAnsi="Times New Roman" w:cs="Times New Roman" w:eastAsia="Times New Roman" w:hint="default"/>
                <w:sz w:val="18"/>
                <w:szCs w:val="18"/>
              </w:rPr>
            </w:pPr>
            <w:r>
              <w:rPr>
                <w:rFonts w:ascii="Times New Roman"/>
                <w:sz w:val="18"/>
              </w:rPr>
              <w:t>56.78</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51,533,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912.00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-69,179,</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955.96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-17,210,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875.04</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10,012,0</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35.78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62,820,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535.79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72,397,40</w:t>
            </w:r>
          </w:p>
          <w:p>
            <w:pPr>
              <w:pStyle w:val="TableParagraph"/>
              <w:spacing w:line="240" w:lineRule="auto" w:before="105"/>
              <w:ind w:left="516" w:right="0"/>
              <w:jc w:val="left"/>
              <w:rPr>
                <w:rFonts w:ascii="Times New Roman" w:hAnsi="Times New Roman" w:cs="Times New Roman" w:eastAsia="Times New Roman" w:hint="default"/>
                <w:sz w:val="18"/>
                <w:szCs w:val="18"/>
              </w:rPr>
            </w:pPr>
            <w:r>
              <w:rPr>
                <w:rFonts w:ascii="Times New Roman"/>
                <w:sz w:val="18"/>
              </w:rPr>
              <w:t>2.65</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100,12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0,357.8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100,120,3</w:t>
            </w:r>
          </w:p>
          <w:p>
            <w:pPr>
              <w:pStyle w:val="TableParagraph"/>
              <w:spacing w:line="240" w:lineRule="auto" w:before="102"/>
              <w:ind w:left="425" w:right="0"/>
              <w:jc w:val="left"/>
              <w:rPr>
                <w:rFonts w:ascii="Times New Roman" w:hAnsi="Times New Roman" w:cs="Times New Roman" w:eastAsia="Times New Roman" w:hint="default"/>
                <w:sz w:val="18"/>
                <w:szCs w:val="18"/>
              </w:rPr>
            </w:pPr>
            <w:r>
              <w:rPr>
                <w:rFonts w:ascii="Times New Roman"/>
                <w:sz w:val="18"/>
              </w:rPr>
              <w:t>57.81</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-942,60</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0" w:right="0"/>
              <w:jc w:val="center"/>
              <w:rPr>
                <w:rFonts w:ascii="Times New Roman" w:hAnsi="Times New Roman" w:cs="Times New Roman" w:eastAsia="Times New Roman" w:hint="default"/>
                <w:sz w:val="18"/>
                <w:szCs w:val="18"/>
              </w:rPr>
            </w:pPr>
            <w:r>
              <w:rPr>
                <w:rFonts w:ascii="Times New Roman"/>
                <w:sz w:val="18"/>
              </w:rPr>
              <w:t>-16,703,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443.96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 w:right="0"/>
              <w:jc w:val="center"/>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500.00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3,562,456.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-21,208,</w:t>
            </w:r>
          </w:p>
          <w:p>
            <w:pPr>
              <w:pStyle w:val="TableParagraph"/>
              <w:spacing w:line="240" w:lineRule="auto" w:before="102"/>
              <w:ind w:left="180" w:right="0"/>
              <w:jc w:val="center"/>
              <w:rPr>
                <w:rFonts w:ascii="Times New Roman" w:hAnsi="Times New Roman" w:cs="Times New Roman" w:eastAsia="Times New Roman" w:hint="default"/>
                <w:sz w:val="18"/>
                <w:szCs w:val="18"/>
              </w:rPr>
            </w:pPr>
            <w:r>
              <w:rPr>
                <w:rFonts w:ascii="Times New Roman"/>
                <w:sz w:val="18"/>
              </w:rPr>
              <w:t>500.00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21,208,50</w:t>
            </w:r>
          </w:p>
          <w:p>
            <w:pPr>
              <w:pStyle w:val="TableParagraph"/>
              <w:spacing w:line="240" w:lineRule="auto" w:before="102"/>
              <w:ind w:left="516"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-942,60</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0" w:right="0"/>
              <w:jc w:val="center"/>
              <w:rPr>
                <w:rFonts w:ascii="Times New Roman" w:hAnsi="Times New Roman" w:cs="Times New Roman" w:eastAsia="Times New Roman" w:hint="default"/>
                <w:sz w:val="18"/>
                <w:szCs w:val="18"/>
              </w:rPr>
            </w:pPr>
            <w:r>
              <w:rPr>
                <w:rFonts w:ascii="Times New Roman"/>
                <w:sz w:val="18"/>
              </w:rPr>
              <w:t>-16,703,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443.96</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 w:right="0"/>
              <w:jc w:val="left"/>
              <w:rPr>
                <w:rFonts w:ascii="Times New Roman" w:hAnsi="Times New Roman" w:cs="Times New Roman" w:eastAsia="Times New Roman" w:hint="default"/>
                <w:sz w:val="18"/>
                <w:szCs w:val="18"/>
              </w:rPr>
            </w:pPr>
            <w:r>
              <w:rPr>
                <w:rFonts w:ascii="Times New Roman"/>
                <w:sz w:val="18"/>
              </w:rPr>
              <w:t>-17,646,04</w:t>
            </w:r>
          </w:p>
          <w:p>
            <w:pPr>
              <w:pStyle w:val="TableParagraph"/>
              <w:spacing w:line="240" w:lineRule="auto" w:before="105"/>
              <w:ind w:left="516" w:right="0"/>
              <w:jc w:val="left"/>
              <w:rPr>
                <w:rFonts w:ascii="Times New Roman" w:hAnsi="Times New Roman" w:cs="Times New Roman" w:eastAsia="Times New Roman" w:hint="default"/>
                <w:sz w:val="18"/>
                <w:szCs w:val="18"/>
              </w:rPr>
            </w:pPr>
            <w:r>
              <w:rPr>
                <w:rFonts w:ascii="Times New Roman"/>
                <w:sz w:val="18"/>
              </w:rPr>
              <w:t>3.96</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10,012,0</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35.78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-37,299</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,822.02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-27,287,78</w:t>
            </w:r>
          </w:p>
          <w:p>
            <w:pPr>
              <w:pStyle w:val="TableParagraph"/>
              <w:spacing w:line="240" w:lineRule="auto" w:before="102"/>
              <w:ind w:left="516" w:right="0"/>
              <w:jc w:val="left"/>
              <w:rPr>
                <w:rFonts w:ascii="Times New Roman" w:hAnsi="Times New Roman" w:cs="Times New Roman" w:eastAsia="Times New Roman" w:hint="default"/>
                <w:sz w:val="18"/>
                <w:szCs w:val="18"/>
              </w:rPr>
            </w:pPr>
            <w:r>
              <w:rPr>
                <w:rFonts w:ascii="Times New Roman"/>
                <w:sz w:val="18"/>
              </w:rPr>
              <w:t>6.24</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10,012,0</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35.78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-10,012</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,035.78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-27,287</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,786.24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-27,287,78</w:t>
            </w:r>
          </w:p>
          <w:p>
            <w:pPr>
              <w:pStyle w:val="TableParagraph"/>
              <w:spacing w:line="240" w:lineRule="auto" w:before="102"/>
              <w:ind w:left="516" w:right="0"/>
              <w:jc w:val="left"/>
              <w:rPr>
                <w:rFonts w:ascii="Times New Roman" w:hAnsi="Times New Roman" w:cs="Times New Roman" w:eastAsia="Times New Roman" w:hint="default"/>
                <w:sz w:val="18"/>
                <w:szCs w:val="18"/>
              </w:rPr>
            </w:pPr>
            <w:r>
              <w:rPr>
                <w:rFonts w:ascii="Times New Roman"/>
                <w:sz w:val="18"/>
              </w:rPr>
              <w:t>6.24</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8"/>
        <w:gridCol w:w="727"/>
        <w:gridCol w:w="725"/>
        <w:gridCol w:w="728"/>
        <w:gridCol w:w="727"/>
        <w:gridCol w:w="614"/>
        <w:gridCol w:w="710"/>
        <w:gridCol w:w="862"/>
      </w:tblGrid>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52,476,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512.00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-52,476,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512.00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52,476,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512.00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-52,476,</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512.00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30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629"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307" w:hRule="exact"/>
        </w:trPr>
        <w:tc>
          <w:tcPr>
            <w:tcW w:w="13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629"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355" w:hRule="exact"/>
        </w:trPr>
        <w:tc>
          <w:tcPr>
            <w:tcW w:w="130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29"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30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629"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307" w:hRule="exact"/>
        </w:trPr>
        <w:tc>
          <w:tcPr>
            <w:tcW w:w="13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629"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355" w:hRule="exact"/>
        </w:trPr>
        <w:tc>
          <w:tcPr>
            <w:tcW w:w="130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629"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364" w:hRule="exact"/>
        </w:trPr>
        <w:tc>
          <w:tcPr>
            <w:tcW w:w="130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629"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r>
      <w:tr>
        <w:trPr>
          <w:trHeight w:val="306" w:hRule="exact"/>
        </w:trPr>
        <w:tc>
          <w:tcPr>
            <w:tcW w:w="13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益结转留存收</w:t>
            </w:r>
          </w:p>
        </w:tc>
        <w:tc>
          <w:tcPr>
            <w:tcW w:w="629"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357" w:hRule="exact"/>
        </w:trPr>
        <w:tc>
          <w:tcPr>
            <w:tcW w:w="130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629"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4" w:right="0"/>
              <w:jc w:val="left"/>
              <w:rPr>
                <w:rFonts w:ascii="Times New Roman" w:hAnsi="Times New Roman" w:cs="Times New Roman" w:eastAsia="Times New Roman" w:hint="default"/>
                <w:sz w:val="18"/>
                <w:szCs w:val="18"/>
              </w:rPr>
            </w:pPr>
            <w:r>
              <w:rPr>
                <w:rFonts w:ascii="Times New Roman"/>
                <w:sz w:val="18"/>
              </w:rPr>
              <w:t>3,997,62</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4.96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-3,997,624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157,65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1,712.0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221,327,</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024.59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3,997,62</w:t>
            </w:r>
          </w:p>
          <w:p>
            <w:pPr>
              <w:pStyle w:val="TableParagraph"/>
              <w:spacing w:line="240" w:lineRule="auto" w:before="102"/>
              <w:ind w:left="381" w:right="0"/>
              <w:jc w:val="left"/>
              <w:rPr>
                <w:rFonts w:ascii="Times New Roman" w:hAnsi="Times New Roman" w:cs="Times New Roman" w:eastAsia="Times New Roman" w:hint="default"/>
                <w:sz w:val="18"/>
                <w:szCs w:val="18"/>
              </w:rPr>
            </w:pPr>
            <w:r>
              <w:rPr>
                <w:rFonts w:ascii="Times New Roman"/>
                <w:sz w:val="18"/>
              </w:rPr>
              <w:t>4.96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54,780,5</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67.66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380,90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4,580.1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810,666,2</w:t>
            </w:r>
          </w:p>
          <w:p>
            <w:pPr>
              <w:pStyle w:val="TableParagraph"/>
              <w:spacing w:line="240" w:lineRule="auto" w:before="102"/>
              <w:ind w:left="425" w:right="0"/>
              <w:jc w:val="left"/>
              <w:rPr>
                <w:rFonts w:ascii="Times New Roman" w:hAnsi="Times New Roman" w:cs="Times New Roman" w:eastAsia="Times New Roman" w:hint="default"/>
                <w:sz w:val="18"/>
                <w:szCs w:val="18"/>
              </w:rPr>
            </w:pPr>
            <w:r>
              <w:rPr>
                <w:rFonts w:ascii="Times New Roman"/>
                <w:sz w:val="18"/>
              </w:rPr>
              <w:t>59.43</w:t>
            </w:r>
          </w:p>
        </w:tc>
      </w:tr>
    </w:tbl>
    <w:p>
      <w:pPr>
        <w:pStyle w:val="BodyText"/>
        <w:spacing w:line="240" w:lineRule="auto" w:before="51"/>
        <w:ind w:right="982"/>
        <w:jc w:val="left"/>
      </w:pPr>
      <w:r>
        <w:rPr/>
        <w:t>上期金额</w:t>
      </w:r>
    </w:p>
    <w:p>
      <w:pPr>
        <w:pStyle w:val="BodyText"/>
        <w:spacing w:line="240" w:lineRule="auto" w:before="115"/>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1"/>
        <w:gridCol w:w="593"/>
        <w:gridCol w:w="574"/>
        <w:gridCol w:w="571"/>
        <w:gridCol w:w="571"/>
        <w:gridCol w:w="686"/>
        <w:gridCol w:w="687"/>
        <w:gridCol w:w="684"/>
        <w:gridCol w:w="782"/>
        <w:gridCol w:w="665"/>
        <w:gridCol w:w="797"/>
        <w:gridCol w:w="797"/>
        <w:gridCol w:w="932"/>
      </w:tblGrid>
      <w:tr>
        <w:trPr>
          <w:trHeight w:val="403" w:hRule="exact"/>
        </w:trPr>
        <w:tc>
          <w:tcPr>
            <w:tcW w:w="1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31"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8" w:right="56"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4" w:right="31"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9" w:right="9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6" w:hRule="exact"/>
        </w:trPr>
        <w:tc>
          <w:tcPr>
            <w:tcW w:w="1231"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4" w:right="9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1"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88,431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305,888</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,566.74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21,208,5</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36,120,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755.77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264,794,9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39.41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674,027,26</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1.92</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1"/>
        <w:gridCol w:w="571"/>
        <w:gridCol w:w="686"/>
        <w:gridCol w:w="687"/>
        <w:gridCol w:w="684"/>
        <w:gridCol w:w="782"/>
        <w:gridCol w:w="665"/>
        <w:gridCol w:w="797"/>
        <w:gridCol w:w="797"/>
        <w:gridCol w:w="932"/>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88,431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305,888</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,566.74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21,208,5</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36,120,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755.77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264,794,9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39.41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674,027,26</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1.92</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17,686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-15,381,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586.19</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8,647,7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76.11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53,289,10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64,241,594.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86,477,76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1.05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86,477,761.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05</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 w:right="0"/>
              <w:jc w:val="center"/>
              <w:rPr>
                <w:rFonts w:ascii="Times New Roman" w:hAnsi="Times New Roman" w:cs="Times New Roman" w:eastAsia="Times New Roman" w:hint="default"/>
                <w:sz w:val="18"/>
                <w:szCs w:val="18"/>
              </w:rPr>
            </w:pPr>
            <w:r>
              <w:rPr>
                <w:rFonts w:ascii="Times New Roman"/>
                <w:sz w:val="18"/>
              </w:rPr>
              <w:t>2,304,7</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13.81</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2,304,713.8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2,304,7</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13.81</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2,304,713.8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8,647,7</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76.11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-33,188,6</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56.11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-24,540,880</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center"/>
              <w:rPr>
                <w:rFonts w:ascii="Times New Roman" w:hAnsi="Times New Roman" w:cs="Times New Roman" w:eastAsia="Times New Roman" w:hint="default"/>
                <w:sz w:val="18"/>
                <w:szCs w:val="18"/>
              </w:rPr>
            </w:pPr>
            <w:r>
              <w:rPr>
                <w:rFonts w:ascii="Times New Roman"/>
                <w:sz w:val="18"/>
              </w:rPr>
              <w:t>8,647,7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76.11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-8,647,77</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6.11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-24,540,8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-24,540,880</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17,686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-17,686,</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300.00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17,686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-17,686,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4" w:header="748"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1"/>
        <w:gridCol w:w="571"/>
        <w:gridCol w:w="686"/>
        <w:gridCol w:w="687"/>
        <w:gridCol w:w="684"/>
        <w:gridCol w:w="782"/>
        <w:gridCol w:w="665"/>
        <w:gridCol w:w="797"/>
        <w:gridCol w:w="797"/>
        <w:gridCol w:w="932"/>
      </w:tblGrid>
      <w:tr>
        <w:trPr>
          <w:trHeight w:val="67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15"/>
              <w:jc w:val="left"/>
              <w:rPr>
                <w:rFonts w:ascii="宋体" w:hAnsi="宋体" w:cs="宋体" w:eastAsia="宋体" w:hint="default"/>
                <w:sz w:val="18"/>
                <w:szCs w:val="18"/>
              </w:rPr>
            </w:pPr>
            <w:r>
              <w:rPr>
                <w:rFonts w:ascii="宋体" w:hAnsi="宋体" w:cs="宋体" w:eastAsia="宋体" w:hint="default"/>
                <w:sz w:val="18"/>
                <w:szCs w:val="18"/>
              </w:rPr>
              <w:t>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4" w:right="0"/>
              <w:jc w:val="left"/>
              <w:rPr>
                <w:rFonts w:ascii="Times New Roman" w:hAnsi="Times New Roman" w:cs="Times New Roman" w:eastAsia="Times New Roman" w:hint="default"/>
                <w:sz w:val="18"/>
                <w:szCs w:val="18"/>
              </w:rPr>
            </w:pPr>
            <w:r>
              <w:rPr>
                <w:rFonts w:ascii="Times New Roman"/>
                <w:sz w:val="18"/>
              </w:rPr>
              <w:t>106,11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7,800.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290,506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,980.55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21,208,5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44,768,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531.88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318,084,0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44.35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738,268,85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6.78</w:t>
            </w: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982"/>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8" w:firstLine="360"/>
        <w:jc w:val="both"/>
      </w:pPr>
      <w:r>
        <w:rPr>
          <w:spacing w:val="-2"/>
        </w:rPr>
        <w:t>北京思特奇信息技术股份有限公司前身系北京思特奇计算机系统工程有限责任公司（以下简称</w:t>
      </w:r>
      <w:r>
        <w:rPr>
          <w:rFonts w:ascii="Times New Roman" w:hAnsi="Times New Roman" w:cs="Times New Roman" w:eastAsia="Times New Roman" w:hint="default"/>
          <w:spacing w:val="-2"/>
        </w:rPr>
        <w:t>“</w:t>
      </w:r>
      <w:r>
        <w:rPr>
          <w:spacing w:val="-2"/>
        </w:rPr>
        <w:t>思特奇有限</w:t>
      </w:r>
      <w:r>
        <w:rPr>
          <w:rFonts w:ascii="Times New Roman" w:hAnsi="Times New Roman" w:cs="Times New Roman" w:eastAsia="Times New Roman" w:hint="default"/>
          <w:spacing w:val="-2"/>
        </w:rPr>
        <w:t>”</w:t>
      </w:r>
      <w:r>
        <w:rPr>
          <w:spacing w:val="-2"/>
        </w:rPr>
        <w:t>），由叶近</w:t>
      </w:r>
      <w:r>
        <w:rPr/>
        <w:t> </w:t>
      </w:r>
      <w:r>
        <w:rPr>
          <w:spacing w:val="-1"/>
        </w:rPr>
        <w:t>云、段伟群、赖奕杞、吴飞舟和田纪文等五人以现金</w:t>
      </w:r>
      <w:r>
        <w:rPr>
          <w:rFonts w:ascii="Times New Roman" w:hAnsi="Times New Roman" w:cs="Times New Roman" w:eastAsia="Times New Roman" w:hint="default"/>
          <w:spacing w:val="-1"/>
        </w:rPr>
        <w:t>5.00</w:t>
      </w:r>
      <w:r>
        <w:rPr>
          <w:spacing w:val="-1"/>
        </w:rPr>
        <w:t>万元、实物资产</w:t>
      </w:r>
      <w:r>
        <w:rPr>
          <w:rFonts w:ascii="Times New Roman" w:hAnsi="Times New Roman" w:cs="Times New Roman" w:eastAsia="Times New Roman" w:hint="default"/>
          <w:spacing w:val="-1"/>
        </w:rPr>
        <w:t>95.00</w:t>
      </w:r>
      <w:r>
        <w:rPr>
          <w:spacing w:val="-1"/>
        </w:rPr>
        <w:t>万元（合计</w:t>
      </w:r>
      <w:r>
        <w:rPr>
          <w:rFonts w:ascii="Times New Roman" w:hAnsi="Times New Roman" w:cs="Times New Roman" w:eastAsia="Times New Roman" w:hint="default"/>
          <w:spacing w:val="-1"/>
        </w:rPr>
        <w:t>100.00</w:t>
      </w:r>
      <w:r>
        <w:rPr>
          <w:spacing w:val="-1"/>
        </w:rPr>
        <w:t>万元）于</w:t>
      </w:r>
      <w:r>
        <w:rPr>
          <w:rFonts w:ascii="Times New Roman" w:hAnsi="Times New Roman" w:cs="Times New Roman" w:eastAsia="Times New Roman" w:hint="default"/>
          <w:spacing w:val="-1"/>
        </w:rPr>
        <w:t>1995</w:t>
      </w:r>
      <w:r>
        <w:rPr>
          <w:spacing w:val="-1"/>
        </w:rPr>
        <w:t>年共同出资设</w:t>
      </w:r>
      <w:r>
        <w:rPr>
          <w:spacing w:val="-77"/>
        </w:rPr>
        <w:t> </w:t>
      </w:r>
      <w:r>
        <w:rPr>
          <w:spacing w:val="-77"/>
        </w:rPr>
      </w:r>
      <w:r>
        <w:rPr/>
        <w:t>立，设立时注册资本</w:t>
      </w:r>
      <w:r>
        <w:rPr>
          <w:rFonts w:ascii="Times New Roman" w:hAnsi="Times New Roman" w:cs="Times New Roman" w:eastAsia="Times New Roman" w:hint="default"/>
        </w:rPr>
        <w:t>100.00</w:t>
      </w:r>
      <w:r>
        <w:rPr/>
        <w:t>万元。</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日，北京文奇审计师事务所对上述股东用于出资的实物资产进行了评估，并</w:t>
      </w:r>
      <w:r>
        <w:rPr>
          <w:spacing w:val="-48"/>
        </w:rPr>
        <w:t> </w:t>
      </w:r>
      <w:r>
        <w:rPr>
          <w:spacing w:val="-48"/>
        </w:rPr>
      </w:r>
      <w:r>
        <w:rPr>
          <w:spacing w:val="-3"/>
        </w:rPr>
        <w:t>出具了</w:t>
      </w:r>
      <w:r>
        <w:rPr>
          <w:rFonts w:ascii="Times New Roman" w:hAnsi="Times New Roman" w:cs="Times New Roman" w:eastAsia="Times New Roman" w:hint="default"/>
          <w:spacing w:val="-3"/>
        </w:rPr>
        <w:t>“</w:t>
      </w:r>
      <w:r>
        <w:rPr>
          <w:spacing w:val="-3"/>
        </w:rPr>
        <w:t>文审事</w:t>
      </w:r>
      <w:r>
        <w:rPr>
          <w:rFonts w:ascii="Times New Roman" w:hAnsi="Times New Roman" w:cs="Times New Roman" w:eastAsia="Times New Roman" w:hint="default"/>
          <w:spacing w:val="-3"/>
        </w:rPr>
        <w:t>[95]</w:t>
      </w:r>
      <w:r>
        <w:rPr>
          <w:spacing w:val="-3"/>
        </w:rPr>
        <w:t>字评</w:t>
      </w:r>
      <w:r>
        <w:rPr>
          <w:rFonts w:ascii="Times New Roman" w:hAnsi="Times New Roman" w:cs="Times New Roman" w:eastAsia="Times New Roman" w:hint="default"/>
          <w:spacing w:val="-3"/>
        </w:rPr>
        <w:t>55</w:t>
      </w:r>
      <w:r>
        <w:rPr>
          <w:spacing w:val="-3"/>
        </w:rPr>
        <w:t>号</w:t>
      </w:r>
      <w:r>
        <w:rPr>
          <w:rFonts w:ascii="Times New Roman" w:hAnsi="Times New Roman" w:cs="Times New Roman" w:eastAsia="Times New Roman" w:hint="default"/>
          <w:spacing w:val="-3"/>
        </w:rPr>
        <w:t>”</w:t>
      </w:r>
      <w:r>
        <w:rPr>
          <w:spacing w:val="-3"/>
        </w:rPr>
        <w:t>《资产评估报告》。</w:t>
      </w:r>
      <w:r>
        <w:rPr>
          <w:rFonts w:ascii="Times New Roman" w:hAnsi="Times New Roman" w:cs="Times New Roman" w:eastAsia="Times New Roman" w:hint="default"/>
          <w:spacing w:val="-3"/>
        </w:rPr>
        <w:t>1995</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日，北京文奇审计师事务所对股东出资进了审验，并出具 </w:t>
      </w:r>
      <w:r>
        <w:rPr>
          <w:rFonts w:ascii="Times New Roman" w:hAnsi="Times New Roman" w:cs="Times New Roman" w:eastAsia="Times New Roman" w:hint="default"/>
        </w:rPr>
        <w:t>“</w:t>
      </w:r>
      <w:r>
        <w:rPr/>
        <w:t>文</w:t>
      </w:r>
      <w:r>
        <w:rPr>
          <w:spacing w:val="-83"/>
        </w:rPr>
        <w:t> </w:t>
      </w:r>
      <w:r>
        <w:rPr/>
        <w:t>验字第</w:t>
      </w:r>
      <w:r>
        <w:rPr>
          <w:rFonts w:ascii="Times New Roman" w:hAnsi="Times New Roman" w:cs="Times New Roman" w:eastAsia="Times New Roman" w:hint="default"/>
        </w:rPr>
        <w:t>74</w:t>
      </w:r>
      <w:r>
        <w:rPr/>
        <w:t>号</w:t>
      </w:r>
      <w:r>
        <w:rPr>
          <w:rFonts w:ascii="Times New Roman" w:hAnsi="Times New Roman" w:cs="Times New Roman" w:eastAsia="Times New Roman" w:hint="default"/>
        </w:rPr>
        <w:t>”</w:t>
      </w:r>
      <w:r>
        <w:rPr/>
        <w:t>《开业登记验资报告书》确认出资到位。北京市工商行政管理局核准并颁发了注册号为</w:t>
      </w:r>
      <w:r>
        <w:rPr>
          <w:rFonts w:ascii="Times New Roman" w:hAnsi="Times New Roman" w:cs="Times New Roman" w:eastAsia="Times New Roman" w:hint="default"/>
        </w:rPr>
        <w:t>08463342</w:t>
      </w:r>
      <w:r>
        <w:rPr/>
        <w:t>号的《企业法</w:t>
      </w:r>
      <w:r>
        <w:rPr>
          <w:spacing w:val="-77"/>
        </w:rPr>
        <w:t> </w:t>
      </w:r>
      <w:r>
        <w:rPr/>
        <w:t>人营业执照》。</w:t>
      </w:r>
    </w:p>
    <w:p>
      <w:pPr>
        <w:pStyle w:val="BodyText"/>
        <w:spacing w:line="309" w:lineRule="auto" w:before="31"/>
        <w:ind w:right="1135" w:firstLine="360"/>
        <w:jc w:val="both"/>
      </w:pP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日，思特奇有限召开公司第二届股东会，全体股东一致同意原股东叶近云、段伟群、赖奕杞将持有的公司 </w:t>
      </w:r>
      <w:r>
        <w:rPr>
          <w:spacing w:val="-2"/>
        </w:rPr>
        <w:t>股权对外转让后退出公司；自然人李宏伟、吴文胜、朱益林、王文华、漆孟冬、钟贵华受让相关股权后成为公司新股东。同</w:t>
      </w:r>
      <w:r>
        <w:rPr>
          <w:spacing w:val="-73"/>
        </w:rPr>
        <w:t> </w:t>
      </w:r>
      <w:r>
        <w:rPr>
          <w:spacing w:val="-73"/>
        </w:rPr>
      </w:r>
      <w:r>
        <w:rPr/>
        <w:t>日，转让双方签订出资转让协议书，并就本次变更事宜办理了工商变更登记手续。</w:t>
      </w:r>
    </w:p>
    <w:p>
      <w:pPr>
        <w:pStyle w:val="BodyText"/>
        <w:spacing w:line="300" w:lineRule="auto" w:before="24"/>
        <w:ind w:right="1128" w:firstLine="360"/>
        <w:jc w:val="both"/>
      </w:pP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日，思特奇有限召开第三届股东会，全体股东一致通过公司注册资本由</w:t>
      </w:r>
      <w:r>
        <w:rPr>
          <w:rFonts w:ascii="Times New Roman" w:hAnsi="Times New Roman" w:cs="Times New Roman" w:eastAsia="Times New Roman" w:hint="default"/>
          <w:spacing w:val="-1"/>
        </w:rPr>
        <w:t>100.00</w:t>
      </w:r>
      <w:r>
        <w:rPr>
          <w:spacing w:val="-1"/>
        </w:rPr>
        <w:t>万元增加到</w:t>
      </w:r>
      <w:r>
        <w:rPr>
          <w:rFonts w:ascii="Times New Roman" w:hAnsi="Times New Roman" w:cs="Times New Roman" w:eastAsia="Times New Roman" w:hint="default"/>
          <w:spacing w:val="-1"/>
        </w:rPr>
        <w:t>1,000.00</w:t>
      </w:r>
      <w:r>
        <w:rPr>
          <w:spacing w:val="-1"/>
        </w:rPr>
        <w:t>万元的决</w:t>
      </w:r>
      <w:r>
        <w:rPr/>
        <w:t> </w:t>
      </w:r>
      <w:r>
        <w:rPr>
          <w:spacing w:val="-3"/>
        </w:rPr>
        <w:t>议。</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日，北京启正会计师事务所对股东本次出资的实物资产进行了评估，并出具</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1998</w:t>
      </w:r>
      <w:r>
        <w:rPr>
          <w:spacing w:val="-3"/>
        </w:rPr>
        <w:t>）启会字第</w:t>
      </w:r>
      <w:r>
        <w:rPr>
          <w:rFonts w:ascii="Times New Roman" w:hAnsi="Times New Roman" w:cs="Times New Roman" w:eastAsia="Times New Roman" w:hint="default"/>
          <w:spacing w:val="-3"/>
        </w:rPr>
        <w:t>0409</w:t>
      </w:r>
      <w:r>
        <w:rPr>
          <w:spacing w:val="-3"/>
        </w:rPr>
        <w:t>号</w:t>
      </w:r>
      <w:r>
        <w:rPr>
          <w:rFonts w:ascii="Times New Roman" w:hAnsi="Times New Roman" w:cs="Times New Roman" w:eastAsia="Times New Roman" w:hint="default"/>
          <w:spacing w:val="-3"/>
        </w:rPr>
        <w:t>”</w:t>
      </w:r>
      <w:r>
        <w:rPr>
          <w:spacing w:val="-3"/>
        </w:rPr>
        <w:t>《资</w:t>
      </w:r>
      <w:r>
        <w:rPr>
          <w:spacing w:val="-63"/>
        </w:rPr>
        <w:t> </w:t>
      </w:r>
      <w:r>
        <w:rPr/>
        <w:t>产评估报告》。</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日，北京启正会计师事务所出具就本次增资进行了审验并出具</w:t>
      </w:r>
      <w:r>
        <w:rPr>
          <w:rFonts w:ascii="Times New Roman" w:hAnsi="Times New Roman" w:cs="Times New Roman" w:eastAsia="Times New Roman" w:hint="default"/>
        </w:rPr>
        <w:t>“1998</w:t>
      </w:r>
      <w:r>
        <w:rPr/>
        <w:t>启验字第</w:t>
      </w:r>
      <w:r>
        <w:rPr>
          <w:rFonts w:ascii="Times New Roman" w:hAnsi="Times New Roman" w:cs="Times New Roman" w:eastAsia="Times New Roman" w:hint="default"/>
        </w:rPr>
        <w:t>0509</w:t>
      </w:r>
      <w:r>
        <w:rPr/>
        <w:t>号</w:t>
      </w:r>
      <w:r>
        <w:rPr>
          <w:rFonts w:ascii="Times New Roman" w:hAnsi="Times New Roman" w:cs="Times New Roman" w:eastAsia="Times New Roman" w:hint="default"/>
        </w:rPr>
        <w:t>”</w:t>
      </w:r>
      <w:r>
        <w:rPr/>
        <w:t>《变更登</w:t>
      </w:r>
      <w:r>
        <w:rPr>
          <w:spacing w:val="-71"/>
        </w:rPr>
        <w:t> </w:t>
      </w:r>
      <w:r>
        <w:rPr/>
        <w:t>记验资报告书》。</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月，公司完成了工商变更登记手续并领取了新的企业法人营业执照。</w:t>
      </w:r>
    </w:p>
    <w:p>
      <w:pPr>
        <w:pStyle w:val="BodyText"/>
        <w:spacing w:line="300" w:lineRule="auto" w:before="13"/>
        <w:ind w:right="1126" w:firstLine="360"/>
        <w:jc w:val="both"/>
      </w:pP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9</w:t>
      </w:r>
      <w:r>
        <w:rPr>
          <w:spacing w:val="-1"/>
        </w:rPr>
        <w:t>日，思特奇有限召开第五届第七次股东会，同意股东朱益林将其拥有的思特奇有限全部股权（</w:t>
      </w:r>
      <w:r>
        <w:rPr>
          <w:rFonts w:ascii="Times New Roman" w:hAnsi="Times New Roman" w:cs="Times New Roman" w:eastAsia="Times New Roman" w:hint="default"/>
          <w:spacing w:val="-1"/>
        </w:rPr>
        <w:t>150.00</w:t>
      </w:r>
      <w:r>
        <w:rPr>
          <w:spacing w:val="-1"/>
        </w:rPr>
        <w:t>万元出</w:t>
      </w:r>
      <w:r>
        <w:rPr/>
        <w:t> </w:t>
      </w:r>
      <w:r>
        <w:rPr>
          <w:spacing w:val="-5"/>
        </w:rPr>
        <w:t>资额）转让给吴飞舟并退出公司；同意股东王文华、钟贵华、漆孟冬分别将其拥有的部分思特奇有限股权转让给吴飞舟。</w:t>
      </w:r>
      <w:r>
        <w:rPr>
          <w:rFonts w:ascii="Times New Roman" w:hAnsi="Times New Roman" w:cs="Times New Roman" w:eastAsia="Times New Roman" w:hint="default"/>
          <w:spacing w:val="-5"/>
        </w:rPr>
        <w:t>1999</w:t>
      </w:r>
      <w:r>
        <w:rPr>
          <w:rFonts w:ascii="Times New Roman" w:hAnsi="Times New Roman" w:cs="Times New Roman" w:eastAsia="Times New Roman" w:hint="default"/>
          <w:spacing w:val="-18"/>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日，北京中京华会计师事务所就该次股东变更事宜进行了审验，并出具</w:t>
      </w:r>
      <w:r>
        <w:rPr>
          <w:rFonts w:ascii="Times New Roman" w:hAnsi="Times New Roman" w:cs="Times New Roman" w:eastAsia="Times New Roman" w:hint="default"/>
        </w:rPr>
        <w:t>“</w:t>
      </w:r>
      <w:r>
        <w:rPr/>
        <w:t>（</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ZJH</w:t>
      </w:r>
      <w:r>
        <w:rPr/>
        <w:t>验字第</w:t>
      </w:r>
      <w:r>
        <w:rPr>
          <w:rFonts w:ascii="Times New Roman" w:hAnsi="Times New Roman" w:cs="Times New Roman" w:eastAsia="Times New Roman" w:hint="default"/>
        </w:rPr>
        <w:t>0916</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《变更登记验 资报告书》，公司就本次股东变更已办理了工商变更登记手续。</w:t>
      </w:r>
    </w:p>
    <w:p>
      <w:pPr>
        <w:pStyle w:val="BodyText"/>
        <w:spacing w:line="300" w:lineRule="auto" w:before="31"/>
        <w:ind w:right="982" w:firstLine="360"/>
        <w:jc w:val="left"/>
      </w:pP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19</w:t>
      </w:r>
      <w:r>
        <w:rPr>
          <w:spacing w:val="-4"/>
        </w:rPr>
        <w:t>日，思特奇有限召开第六届第四次股东会，同意股东吴飞舟、田纪文、漆孟冬、钟贵华、吴文胜、李宏伟、</w:t>
      </w:r>
      <w:r>
        <w:rPr/>
        <w:t> 王文华分别向自然人涂艳转让对思特奇有限的</w:t>
      </w:r>
      <w:r>
        <w:rPr>
          <w:rFonts w:ascii="Times New Roman" w:hAnsi="Times New Roman" w:cs="Times New Roman" w:eastAsia="Times New Roman" w:hint="default"/>
        </w:rPr>
        <w:t>42.20</w:t>
      </w:r>
      <w:r>
        <w:rPr/>
        <w:t>万元、</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5.20</w:t>
      </w:r>
      <w:r>
        <w:rPr/>
        <w:t>万元、</w:t>
      </w:r>
      <w:r>
        <w:rPr>
          <w:rFonts w:ascii="Times New Roman" w:hAnsi="Times New Roman" w:cs="Times New Roman" w:eastAsia="Times New Roman" w:hint="default"/>
        </w:rPr>
        <w:t>4.70</w:t>
      </w:r>
      <w:r>
        <w:rPr/>
        <w:t>万元、</w:t>
      </w:r>
      <w:r>
        <w:rPr>
          <w:rFonts w:ascii="Times New Roman" w:hAnsi="Times New Roman" w:cs="Times New Roman" w:eastAsia="Times New Roman" w:hint="default"/>
        </w:rPr>
        <w:t>15.00</w:t>
      </w:r>
      <w:r>
        <w:rPr/>
        <w:t>万元、</w:t>
      </w:r>
      <w:r>
        <w:rPr>
          <w:rFonts w:ascii="Times New Roman" w:hAnsi="Times New Roman" w:cs="Times New Roman" w:eastAsia="Times New Roman" w:hint="default"/>
        </w:rPr>
        <w:t>17.00</w:t>
      </w:r>
      <w:r>
        <w:rPr/>
        <w:t>万元、</w:t>
      </w:r>
      <w:r>
        <w:rPr>
          <w:rFonts w:ascii="Times New Roman" w:hAnsi="Times New Roman" w:cs="Times New Roman" w:eastAsia="Times New Roman" w:hint="default"/>
        </w:rPr>
        <w:t>5.90</w:t>
      </w:r>
      <w:r>
        <w:rPr/>
        <w:t>万</w:t>
      </w:r>
      <w:r>
        <w:rPr>
          <w:spacing w:val="-47"/>
        </w:rPr>
        <w:t> </w:t>
      </w:r>
      <w:r>
        <w:rPr/>
        <w:t>元出资；同意吴飞舟、田纪文、漆孟冬、钟贵华、吴文胜、李宏伟、王文华分别向自然人王渝转让对思特奇有限的</w:t>
      </w:r>
      <w:r>
        <w:rPr>
          <w:rFonts w:ascii="Times New Roman" w:hAnsi="Times New Roman" w:cs="Times New Roman" w:eastAsia="Times New Roman" w:hint="default"/>
        </w:rPr>
        <w:t>42.20</w:t>
      </w:r>
      <w:r>
        <w:rPr/>
        <w:t>万</w:t>
      </w:r>
      <w:r>
        <w:rPr>
          <w:spacing w:val="-38"/>
        </w:rPr>
        <w:t> </w:t>
      </w:r>
      <w:r>
        <w:rPr>
          <w:spacing w:val="-2"/>
        </w:rPr>
        <w:t>元、</w:t>
      </w:r>
      <w:r>
        <w:rPr>
          <w:rFonts w:ascii="Times New Roman" w:hAnsi="Times New Roman" w:cs="Times New Roman" w:eastAsia="Times New Roman" w:hint="default"/>
          <w:spacing w:val="-2"/>
        </w:rPr>
        <w:t>10.00</w:t>
      </w:r>
      <w:r>
        <w:rPr>
          <w:spacing w:val="-2"/>
        </w:rPr>
        <w:t>万元、</w:t>
      </w:r>
      <w:r>
        <w:rPr>
          <w:rFonts w:ascii="Times New Roman" w:hAnsi="Times New Roman" w:cs="Times New Roman" w:eastAsia="Times New Roman" w:hint="default"/>
          <w:spacing w:val="-2"/>
        </w:rPr>
        <w:t>5.20</w:t>
      </w:r>
      <w:r>
        <w:rPr>
          <w:spacing w:val="-2"/>
        </w:rPr>
        <w:t>万元、</w:t>
      </w:r>
      <w:r>
        <w:rPr>
          <w:rFonts w:ascii="Times New Roman" w:hAnsi="Times New Roman" w:cs="Times New Roman" w:eastAsia="Times New Roman" w:hint="default"/>
          <w:spacing w:val="-2"/>
        </w:rPr>
        <w:t>4.70</w:t>
      </w:r>
      <w:r>
        <w:rPr>
          <w:spacing w:val="-2"/>
        </w:rPr>
        <w:t>万元、</w:t>
      </w:r>
      <w:r>
        <w:rPr>
          <w:rFonts w:ascii="Times New Roman" w:hAnsi="Times New Roman" w:cs="Times New Roman" w:eastAsia="Times New Roman" w:hint="default"/>
          <w:spacing w:val="-2"/>
        </w:rPr>
        <w:t>15.00</w:t>
      </w:r>
      <w:r>
        <w:rPr>
          <w:spacing w:val="-2"/>
        </w:rPr>
        <w:t>万元、</w:t>
      </w:r>
      <w:r>
        <w:rPr>
          <w:rFonts w:ascii="Times New Roman" w:hAnsi="Times New Roman" w:cs="Times New Roman" w:eastAsia="Times New Roman" w:hint="default"/>
          <w:spacing w:val="-2"/>
        </w:rPr>
        <w:t>17.00</w:t>
      </w:r>
      <w:r>
        <w:rPr>
          <w:spacing w:val="-2"/>
        </w:rPr>
        <w:t>万元、</w:t>
      </w:r>
      <w:r>
        <w:rPr>
          <w:rFonts w:ascii="Times New Roman" w:hAnsi="Times New Roman" w:cs="Times New Roman" w:eastAsia="Times New Roman" w:hint="default"/>
          <w:spacing w:val="-2"/>
        </w:rPr>
        <w:t>5.90</w:t>
      </w:r>
      <w:r>
        <w:rPr>
          <w:spacing w:val="-2"/>
        </w:rPr>
        <w:t>万元出资。同日，上述各方分别签署了《股东出资转让协</w:t>
      </w:r>
      <w:r>
        <w:rPr>
          <w:spacing w:val="-45"/>
        </w:rPr>
        <w:t> </w:t>
      </w:r>
      <w:r>
        <w:rPr>
          <w:spacing w:val="-45"/>
        </w:rPr>
      </w:r>
      <w:r>
        <w:rPr/>
        <w:t>议书》，并就该次股东变更办理了工商变更登记手续。</w:t>
      </w:r>
    </w:p>
    <w:p>
      <w:pPr>
        <w:pStyle w:val="BodyText"/>
        <w:spacing w:line="300" w:lineRule="auto" w:before="31"/>
        <w:ind w:right="1040" w:firstLine="360"/>
        <w:jc w:val="both"/>
      </w:pP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9</w:t>
      </w:r>
      <w:r>
        <w:rPr>
          <w:spacing w:val="-1"/>
        </w:rPr>
        <w:t>日，思特奇有限召开第七届第二次股东会，同意股东王文华将其对公司的全部出资</w:t>
      </w:r>
      <w:r>
        <w:rPr>
          <w:rFonts w:ascii="Times New Roman" w:hAnsi="Times New Roman" w:cs="Times New Roman" w:eastAsia="Times New Roman" w:hint="default"/>
          <w:spacing w:val="-1"/>
        </w:rPr>
        <w:t>47.20</w:t>
      </w:r>
      <w:r>
        <w:rPr>
          <w:spacing w:val="-1"/>
        </w:rPr>
        <w:t>万元转让给李宏伟，</w:t>
      </w:r>
      <w:r>
        <w:rPr/>
        <w:t> 双方就股权转让签署了《股东出资转让协议书》，并办理了工商变更登记。</w:t>
      </w:r>
    </w:p>
    <w:p>
      <w:pPr>
        <w:pStyle w:val="BodyText"/>
        <w:spacing w:line="300" w:lineRule="auto" w:before="31"/>
        <w:ind w:right="1131" w:firstLine="360"/>
        <w:jc w:val="both"/>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w:t>
      </w:r>
      <w:r>
        <w:rPr>
          <w:spacing w:val="-2"/>
        </w:rPr>
        <w:t>日，思特奇有限全体股东召开</w:t>
      </w:r>
      <w:r>
        <w:rPr>
          <w:rFonts w:ascii="Times New Roman" w:hAnsi="Times New Roman" w:cs="Times New Roman" w:eastAsia="Times New Roman" w:hint="default"/>
          <w:spacing w:val="-2"/>
        </w:rPr>
        <w:t>2001</w:t>
      </w:r>
      <w:r>
        <w:rPr>
          <w:spacing w:val="-2"/>
        </w:rPr>
        <w:t>年第一次临时股东会，决定将思特奇有限整体变更设立为北京思特奇信息</w:t>
      </w:r>
      <w:r>
        <w:rPr/>
        <w:t> 技术股份有限公司，同日，全体发起人共同签订《发起人协议书》。</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日，北京市人民政府经济体制改革办公室</w:t>
      </w:r>
    </w:p>
    <w:p>
      <w:pPr>
        <w:spacing w:after="0" w:line="300"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4" w:lineRule="auto" w:before="44"/>
        <w:ind w:right="1129"/>
        <w:jc w:val="both"/>
      </w:pPr>
      <w:r>
        <w:rPr>
          <w:spacing w:val="-2"/>
        </w:rPr>
        <w:t>下发《关于同意北京思特奇计算机系统工程有限责任公司变更为北京思特奇信息技术股份有限公司的通知》（京政体改股函</w:t>
      </w:r>
      <w:r>
        <w:rPr>
          <w:spacing w:val="-65"/>
        </w:rPr>
        <w:t> </w:t>
      </w:r>
      <w:r>
        <w:rPr>
          <w:spacing w:val="-65"/>
        </w:rPr>
      </w:r>
      <w:r>
        <w:rPr>
          <w:rFonts w:ascii="Times New Roman" w:hAnsi="Times New Roman" w:cs="Times New Roman" w:eastAsia="Times New Roman" w:hint="default"/>
        </w:rPr>
        <w:t>[2001]22</w:t>
      </w:r>
      <w:r>
        <w:rPr/>
        <w:t>号），同意思特奇有限整体变更为北京思特奇信息技术股份有限公司（以下简称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），思特奇有限净资产为 </w:t>
      </w:r>
      <w:r>
        <w:rPr>
          <w:rFonts w:ascii="Times New Roman" w:hAnsi="Times New Roman" w:cs="Times New Roman" w:eastAsia="Times New Roman" w:hint="default"/>
          <w:spacing w:val="-4"/>
        </w:rPr>
        <w:t>2,841.50</w:t>
      </w:r>
      <w:r>
        <w:rPr>
          <w:spacing w:val="-4"/>
        </w:rPr>
        <w:t>万元，全部折为思特奇股份公司的股本，变更后本公司的股份总数为</w:t>
      </w:r>
      <w:r>
        <w:rPr>
          <w:rFonts w:ascii="Times New Roman" w:hAnsi="Times New Roman" w:cs="Times New Roman" w:eastAsia="Times New Roman" w:hint="default"/>
          <w:spacing w:val="-4"/>
        </w:rPr>
        <w:t>2,841.50</w:t>
      </w:r>
      <w:r>
        <w:rPr>
          <w:spacing w:val="-4"/>
        </w:rPr>
        <w:t>万股，每股面值</w:t>
      </w:r>
      <w:r>
        <w:rPr>
          <w:rFonts w:ascii="Times New Roman" w:hAnsi="Times New Roman" w:cs="Times New Roman" w:eastAsia="Times New Roman" w:hint="default"/>
          <w:spacing w:val="-4"/>
        </w:rPr>
        <w:t>1</w:t>
      </w:r>
      <w:r>
        <w:rPr>
          <w:spacing w:val="-4"/>
        </w:rPr>
        <w:t>元，股本总额为</w:t>
      </w:r>
      <w:r>
        <w:rPr>
          <w:rFonts w:ascii="Times New Roman" w:hAnsi="Times New Roman" w:cs="Times New Roman" w:eastAsia="Times New Roman" w:hint="default"/>
          <w:spacing w:val="-4"/>
        </w:rPr>
        <w:t>2,841.50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7"/>
        </w:rPr>
        <w:t>万元。</w:t>
      </w:r>
      <w:r>
        <w:rPr>
          <w:rFonts w:ascii="Times New Roman" w:hAnsi="Times New Roman" w:cs="Times New Roman" w:eastAsia="Times New Roman" w:hint="default"/>
          <w:spacing w:val="-7"/>
        </w:rPr>
        <w:t>2001</w:t>
      </w:r>
      <w:r>
        <w:rPr>
          <w:spacing w:val="-7"/>
        </w:rPr>
        <w:t>年</w:t>
      </w:r>
      <w:r>
        <w:rPr>
          <w:rFonts w:ascii="Times New Roman" w:hAnsi="Times New Roman" w:cs="Times New Roman" w:eastAsia="Times New Roman" w:hint="default"/>
          <w:spacing w:val="-7"/>
        </w:rPr>
        <w:t>3</w:t>
      </w:r>
      <w:r>
        <w:rPr>
          <w:spacing w:val="-7"/>
        </w:rPr>
        <w:t>月</w:t>
      </w:r>
      <w:r>
        <w:rPr>
          <w:rFonts w:ascii="Times New Roman" w:hAnsi="Times New Roman" w:cs="Times New Roman" w:eastAsia="Times New Roman" w:hint="default"/>
          <w:spacing w:val="-7"/>
        </w:rPr>
        <w:t>26</w:t>
      </w:r>
      <w:r>
        <w:rPr>
          <w:spacing w:val="-7"/>
        </w:rPr>
        <w:t>日，信永中和会计师事务所就本次整体变更进行了审验并出具《验资报告》，确认思特奇有限净资产</w:t>
      </w:r>
      <w:r>
        <w:rPr>
          <w:rFonts w:ascii="Times New Roman" w:hAnsi="Times New Roman" w:cs="Times New Roman" w:eastAsia="Times New Roman" w:hint="default"/>
          <w:spacing w:val="-7"/>
        </w:rPr>
        <w:t>2,841.50</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万元按</w:t>
      </w:r>
      <w:r>
        <w:rPr>
          <w:rFonts w:ascii="Times New Roman" w:hAnsi="Times New Roman" w:cs="Times New Roman" w:eastAsia="Times New Roman" w:hint="default"/>
        </w:rPr>
        <w:t>1:1</w:t>
      </w:r>
      <w:r>
        <w:rPr/>
        <w:t>比例折合股本为人民币</w:t>
      </w:r>
      <w:r>
        <w:rPr>
          <w:rFonts w:ascii="Times New Roman" w:hAnsi="Times New Roman" w:cs="Times New Roman" w:eastAsia="Times New Roman" w:hint="default"/>
        </w:rPr>
        <w:t>2,841.50</w:t>
      </w:r>
      <w:r>
        <w:rPr/>
        <w:t>万元。公司依法办理了工商变更登记，并领取了注册号为</w:t>
      </w:r>
      <w:r>
        <w:rPr>
          <w:rFonts w:ascii="Times New Roman" w:hAnsi="Times New Roman" w:cs="Times New Roman" w:eastAsia="Times New Roman" w:hint="default"/>
        </w:rPr>
        <w:t>1100002463342</w:t>
      </w:r>
      <w:r>
        <w:rPr/>
        <w:t>的企业法</w:t>
      </w:r>
      <w:r>
        <w:rPr>
          <w:spacing w:val="-52"/>
        </w:rPr>
        <w:t> </w:t>
      </w:r>
      <w:r>
        <w:rPr/>
        <w:t>人营业执照。</w:t>
      </w:r>
    </w:p>
    <w:p>
      <w:pPr>
        <w:pStyle w:val="BodyText"/>
        <w:spacing w:line="300" w:lineRule="auto" w:before="28"/>
        <w:ind w:right="1128" w:firstLine="360"/>
        <w:jc w:val="both"/>
      </w:pP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日，吴飞舟与李宏伟签订《出资转让协议书》，将所持</w:t>
      </w:r>
      <w:r>
        <w:rPr>
          <w:rFonts w:ascii="Times New Roman" w:hAnsi="Times New Roman" w:cs="Times New Roman" w:eastAsia="Times New Roman" w:hint="default"/>
          <w:spacing w:val="-2"/>
        </w:rPr>
        <w:t>1,363,900</w:t>
      </w:r>
      <w:r>
        <w:rPr>
          <w:spacing w:val="-2"/>
        </w:rPr>
        <w:t>股公司股份转让给李宏伟，</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月，公</w:t>
      </w:r>
      <w:r>
        <w:rPr/>
        <w:t> 司完成了工商变更登记手续。</w:t>
      </w:r>
    </w:p>
    <w:p>
      <w:pPr>
        <w:pStyle w:val="BodyText"/>
        <w:spacing w:line="300" w:lineRule="auto" w:before="31"/>
        <w:ind w:right="1135" w:firstLine="360"/>
        <w:jc w:val="both"/>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日，李宏伟、吴文胜、王渝、涂艳与北京联投科技发展有限公司签署股权转让协议，约定将自身所持本公 司的全部股权转让给北京联投科技发展有限公司。同年</w:t>
      </w:r>
      <w:r>
        <w:rPr>
          <w:rFonts w:ascii="Times New Roman" w:hAnsi="Times New Roman" w:cs="Times New Roman" w:eastAsia="Times New Roman" w:hint="default"/>
        </w:rPr>
        <w:t>7</w:t>
      </w:r>
      <w:r>
        <w:rPr/>
        <w:t>月，公司完成了工商变更登记。</w:t>
      </w:r>
    </w:p>
    <w:p>
      <w:pPr>
        <w:pStyle w:val="BodyText"/>
        <w:spacing w:line="309" w:lineRule="auto" w:before="13"/>
        <w:ind w:right="1033" w:firstLine="360"/>
        <w:jc w:val="left"/>
      </w:pPr>
      <w:r>
        <w:rPr>
          <w:rFonts w:ascii="Times New Roman" w:hAnsi="Times New Roman" w:cs="Times New Roman" w:eastAsia="Times New Roman" w:hint="default"/>
        </w:rPr>
        <w:t>2005</w:t>
      </w:r>
      <w:r>
        <w:rPr/>
        <w:t>年</w:t>
      </w:r>
      <w:r>
        <w:rPr>
          <w:spacing w:val="-11"/>
        </w:rPr>
        <w:t> </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日，本公司召开第二届第二次股东大会，同意股东北京联投科技发展有限公司、田纪文、漆孟冬、钟贵 华对外转让所持公司股份并退出公司；神州数码软件有限公司、宣晶、贺经鹏、任军受让相关股份成为公司新股东。同日， 各方签署股权转让协议书并办理了工商变更登记手续。</w:t>
      </w:r>
    </w:p>
    <w:p>
      <w:pPr>
        <w:pStyle w:val="BodyText"/>
        <w:spacing w:line="300" w:lineRule="auto" w:before="24"/>
        <w:ind w:right="1090"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日，本公司召开第三届第二次股东大会，同意公司注册资本增加</w:t>
      </w:r>
      <w:r>
        <w:rPr>
          <w:rFonts w:ascii="Times New Roman" w:hAnsi="Times New Roman" w:cs="Times New Roman" w:eastAsia="Times New Roman" w:hint="default"/>
        </w:rPr>
        <w:t>1,530.00</w:t>
      </w:r>
      <w:r>
        <w:rPr/>
        <w:t>万元，增加至</w:t>
      </w:r>
      <w:r>
        <w:rPr>
          <w:rFonts w:ascii="Times New Roman" w:hAnsi="Times New Roman" w:cs="Times New Roman" w:eastAsia="Times New Roman" w:hint="default"/>
        </w:rPr>
        <w:t>4,371.50</w:t>
      </w:r>
      <w:r>
        <w:rPr/>
        <w:t>万元，增加 的注册资本由神州数码软件有限公司以现金</w:t>
      </w:r>
      <w:r>
        <w:rPr>
          <w:rFonts w:ascii="Times New Roman" w:hAnsi="Times New Roman" w:cs="Times New Roman" w:eastAsia="Times New Roman" w:hint="default"/>
        </w:rPr>
        <w:t>4,253.85</w:t>
      </w:r>
      <w:r>
        <w:rPr/>
        <w:t>万元认购；同时将公司名称变更为北京神州数码思特奇信息技术股份有</w:t>
      </w:r>
      <w:r>
        <w:rPr>
          <w:spacing w:val="-86"/>
        </w:rPr>
        <w:t> </w:t>
      </w:r>
      <w:r>
        <w:rPr>
          <w:spacing w:val="-86"/>
        </w:rPr>
      </w:r>
      <w:r>
        <w:rPr/>
        <w:t>限公司（以下简称</w:t>
      </w:r>
      <w:r>
        <w:rPr>
          <w:rFonts w:ascii="Times New Roman" w:hAnsi="Times New Roman" w:cs="Times New Roman" w:eastAsia="Times New Roman" w:hint="default"/>
        </w:rPr>
        <w:t>“</w:t>
      </w:r>
      <w:r>
        <w:rPr/>
        <w:t>神码思特奇</w:t>
      </w:r>
      <w:r>
        <w:rPr>
          <w:rFonts w:ascii="Times New Roman" w:hAnsi="Times New Roman" w:cs="Times New Roman" w:eastAsia="Times New Roman" w:hint="default"/>
        </w:rPr>
        <w:t>”</w:t>
      </w:r>
      <w:r>
        <w:rPr/>
        <w:t>）。</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日，北京东湖会计师事务所出具</w:t>
      </w:r>
      <w:r>
        <w:rPr>
          <w:rFonts w:ascii="Times New Roman" w:hAnsi="Times New Roman" w:cs="Times New Roman" w:eastAsia="Times New Roman" w:hint="default"/>
        </w:rPr>
        <w:t>“</w:t>
      </w:r>
      <w:r>
        <w:rPr/>
        <w:t>东湖验字（</w:t>
      </w:r>
      <w:r>
        <w:rPr>
          <w:rFonts w:ascii="Times New Roman" w:hAnsi="Times New Roman" w:cs="Times New Roman" w:eastAsia="Times New Roman" w:hint="default"/>
        </w:rPr>
        <w:t>2006</w:t>
      </w:r>
      <w:r>
        <w:rPr/>
        <w:t>）第</w:t>
      </w:r>
      <w:r>
        <w:rPr>
          <w:rFonts w:ascii="Times New Roman" w:hAnsi="Times New Roman" w:cs="Times New Roman" w:eastAsia="Times New Roman" w:hint="default"/>
        </w:rPr>
        <w:t>009</w:t>
      </w:r>
      <w:r>
        <w:rPr/>
        <w:t>号</w:t>
      </w:r>
      <w:r>
        <w:rPr>
          <w:rFonts w:ascii="Times New Roman" w:hAnsi="Times New Roman" w:cs="Times New Roman" w:eastAsia="Times New Roman" w:hint="default"/>
        </w:rPr>
        <w:t>”«</w:t>
      </w:r>
      <w:r>
        <w:rPr/>
        <w:t>验资报告</w:t>
      </w:r>
      <w:r>
        <w:rPr>
          <w:rFonts w:ascii="Times New Roman" w:hAnsi="Times New Roman" w:cs="Times New Roman" w:eastAsia="Times New Roman" w:hint="default"/>
        </w:rPr>
        <w:t>»</w:t>
      </w:r>
      <w:r>
        <w:rPr/>
        <w:t>， 对本次增资情况进行了验证。</w:t>
      </w:r>
    </w:p>
    <w:p>
      <w:pPr>
        <w:pStyle w:val="BodyText"/>
        <w:spacing w:line="300" w:lineRule="auto" w:before="31"/>
        <w:ind w:right="1130" w:firstLine="36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日，神州数码软件有限公司、宣晶、贺经鹏和任军与神州数码系签订股份转让协议，约定神州数码软件有限</w:t>
      </w:r>
      <w:r>
        <w:rPr/>
        <w:t> 公司、宣晶、贺经鹏和任军分别将其持有的神码思特奇股份全部转让给神州数码系统集成服务有限公司。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月，公司</w:t>
      </w:r>
      <w:r>
        <w:rPr>
          <w:spacing w:val="-83"/>
        </w:rPr>
        <w:t> </w:t>
      </w:r>
      <w:r>
        <w:rPr>
          <w:spacing w:val="-83"/>
        </w:rPr>
      </w:r>
      <w:r>
        <w:rPr/>
        <w:t>完成了相关工商变更登记。</w:t>
      </w:r>
    </w:p>
    <w:p>
      <w:pPr>
        <w:pStyle w:val="BodyText"/>
        <w:spacing w:line="300" w:lineRule="auto" w:before="31"/>
        <w:ind w:right="1131" w:firstLine="36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日，神州数码系统集成服务有限公司与吴飞舟签订股权转让协议。双方约定，神州数码系统集成服务有限公</w:t>
      </w:r>
      <w:r>
        <w:rPr/>
        <w:t> </w:t>
      </w:r>
      <w:r>
        <w:rPr>
          <w:spacing w:val="-2"/>
        </w:rPr>
        <w:t>司将其持有的</w:t>
      </w:r>
      <w:r>
        <w:rPr>
          <w:rFonts w:ascii="Times New Roman" w:hAnsi="Times New Roman" w:cs="Times New Roman" w:eastAsia="Times New Roman" w:hint="default"/>
          <w:spacing w:val="-2"/>
        </w:rPr>
        <w:t>12,327,630</w:t>
      </w:r>
      <w:r>
        <w:rPr>
          <w:spacing w:val="-2"/>
        </w:rPr>
        <w:t>股神码思特奇股份转让给吴飞舟。</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日，神州数码系统集成服务有限公司与吴飞舟签订股</w:t>
      </w:r>
      <w:r>
        <w:rPr>
          <w:spacing w:val="-53"/>
        </w:rPr>
        <w:t> </w:t>
      </w:r>
      <w:r>
        <w:rPr>
          <w:spacing w:val="-53"/>
        </w:rPr>
      </w:r>
      <w:r>
        <w:rPr/>
        <w:t>权转让协议。双方约定，神州数码系统集成服务有限公司将其持有的</w:t>
      </w:r>
      <w:r>
        <w:rPr>
          <w:rFonts w:ascii="Times New Roman" w:hAnsi="Times New Roman" w:cs="Times New Roman" w:eastAsia="Times New Roman" w:hint="default"/>
        </w:rPr>
        <w:t>14,644,525</w:t>
      </w:r>
      <w:r>
        <w:rPr/>
        <w:t>股神码思特奇股份转让给吴飞舟。本次转让</w:t>
      </w:r>
      <w:r>
        <w:rPr>
          <w:spacing w:val="-86"/>
        </w:rPr>
        <w:t> </w:t>
      </w:r>
      <w:r>
        <w:rPr>
          <w:spacing w:val="-86"/>
        </w:rPr>
      </w:r>
      <w:r>
        <w:rPr>
          <w:spacing w:val="-2"/>
        </w:rPr>
        <w:t>完成后，公司股本结构为：神州数码系统集成服务有限公司持股</w:t>
      </w:r>
      <w:r>
        <w:rPr>
          <w:rFonts w:ascii="Times New Roman" w:hAnsi="Times New Roman" w:cs="Times New Roman" w:eastAsia="Times New Roman" w:hint="default"/>
          <w:spacing w:val="-2"/>
        </w:rPr>
        <w:t>8,513,841.00</w:t>
      </w:r>
      <w:r>
        <w:rPr>
          <w:spacing w:val="-2"/>
        </w:rPr>
        <w:t>元，持股比例</w:t>
      </w:r>
      <w:r>
        <w:rPr>
          <w:rFonts w:ascii="Times New Roman" w:hAnsi="Times New Roman" w:cs="Times New Roman" w:eastAsia="Times New Roman" w:hint="default"/>
          <w:spacing w:val="-2"/>
        </w:rPr>
        <w:t>19.48%</w:t>
      </w:r>
      <w:r>
        <w:rPr>
          <w:spacing w:val="-2"/>
        </w:rPr>
        <w:t>；吴飞舟持股</w:t>
      </w:r>
      <w:r>
        <w:rPr>
          <w:rFonts w:ascii="Times New Roman" w:hAnsi="Times New Roman" w:cs="Times New Roman" w:eastAsia="Times New Roman" w:hint="default"/>
          <w:spacing w:val="-2"/>
        </w:rPr>
        <w:t>35,201,159.00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元，持股比例</w:t>
      </w:r>
      <w:r>
        <w:rPr>
          <w:rFonts w:ascii="Times New Roman" w:hAnsi="Times New Roman" w:cs="Times New Roman" w:eastAsia="Times New Roman" w:hint="default"/>
        </w:rPr>
        <w:t>80.52%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日，公司完成了相关工商变更登记，并更名</w:t>
      </w:r>
      <w:r>
        <w:rPr>
          <w:rFonts w:ascii="Times New Roman" w:hAnsi="Times New Roman" w:cs="Times New Roman" w:eastAsia="Times New Roman" w:hint="default"/>
        </w:rPr>
        <w:t>“</w:t>
      </w:r>
      <w:r>
        <w:rPr/>
        <w:t>北京思特奇信息技术股份有限公司</w:t>
      </w:r>
      <w:r>
        <w:rPr>
          <w:rFonts w:ascii="Times New Roman" w:hAnsi="Times New Roman" w:cs="Times New Roman" w:eastAsia="Times New Roman" w:hint="default"/>
        </w:rPr>
        <w:t>”</w:t>
      </w:r>
      <w:r>
        <w:rPr/>
        <w:t>（以下</w:t>
      </w:r>
      <w:r>
        <w:rPr>
          <w:spacing w:val="-85"/>
        </w:rPr>
        <w:t> </w:t>
      </w:r>
      <w:r>
        <w:rPr/>
        <w:t>简称</w:t>
      </w:r>
      <w:r>
        <w:rPr>
          <w:rFonts w:ascii="Times New Roman" w:hAnsi="Times New Roman" w:cs="Times New Roman" w:eastAsia="Times New Roman" w:hint="default"/>
        </w:rPr>
        <w:t>“</w:t>
      </w:r>
      <w:r>
        <w:rPr/>
        <w:t>思特奇股份</w:t>
      </w:r>
      <w:r>
        <w:rPr>
          <w:rFonts w:ascii="Times New Roman" w:hAnsi="Times New Roman" w:cs="Times New Roman" w:eastAsia="Times New Roman" w:hint="default"/>
        </w:rPr>
        <w:t>”</w:t>
      </w:r>
      <w:r>
        <w:rPr/>
        <w:t>）。</w:t>
      </w:r>
    </w:p>
    <w:p>
      <w:pPr>
        <w:pStyle w:val="BodyText"/>
        <w:spacing w:line="240" w:lineRule="auto" w:before="13"/>
        <w:ind w:left="513" w:right="982"/>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spacing w:val="-1"/>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1</w:t>
      </w:r>
      <w:r>
        <w:rPr/>
        <w:t>月</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t>日</w:t>
      </w:r>
      <w:r>
        <w:rPr>
          <w:spacing w:val="-87"/>
        </w:rPr>
        <w:t>，</w:t>
      </w:r>
      <w:r>
        <w:rPr/>
        <w:t>吴飞舟与王</w:t>
      </w:r>
      <w:r>
        <w:rPr>
          <w:spacing w:val="-3"/>
        </w:rPr>
        <w:t>维</w:t>
      </w:r>
      <w:r>
        <w:rPr/>
        <w:t>签订了股权转让协议</w:t>
      </w:r>
      <w:r>
        <w:rPr>
          <w:spacing w:val="-87"/>
        </w:rPr>
        <w:t>，</w:t>
      </w:r>
      <w:r>
        <w:rPr/>
        <w:t>双方约定吴飞舟将持有的</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02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2"/>
        </w:rPr>
        <w:t>4</w:t>
      </w:r>
      <w:r>
        <w:rPr/>
        <w:t>股</w:t>
      </w:r>
      <w:r>
        <w:rPr>
          <w:spacing w:val="-3"/>
        </w:rPr>
        <w:t>思</w:t>
      </w:r>
      <w:r>
        <w:rPr/>
        <w:t>特奇股份股份转让给王维。</w:t>
      </w:r>
    </w:p>
    <w:p>
      <w:pPr>
        <w:pStyle w:val="BodyText"/>
        <w:spacing w:line="300" w:lineRule="auto" w:before="63"/>
        <w:ind w:right="113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日，神州数码系统集成服务有限公司与吴飞舟签订股权转让协议。双方约定，神州数码系统集成服务有限公司</w:t>
      </w:r>
      <w:r>
        <w:rPr>
          <w:spacing w:val="-60"/>
        </w:rPr>
        <w:t> </w:t>
      </w:r>
      <w:r>
        <w:rPr>
          <w:spacing w:val="-60"/>
        </w:rPr>
      </w:r>
      <w:r>
        <w:rPr>
          <w:spacing w:val="-2"/>
        </w:rPr>
        <w:t>将其持有的</w:t>
      </w:r>
      <w:r>
        <w:rPr>
          <w:rFonts w:ascii="Times New Roman" w:hAnsi="Times New Roman" w:cs="Times New Roman" w:eastAsia="Times New Roman" w:hint="default"/>
          <w:spacing w:val="-2"/>
        </w:rPr>
        <w:t>8,513,841</w:t>
      </w:r>
      <w:r>
        <w:rPr>
          <w:spacing w:val="-2"/>
        </w:rPr>
        <w:t>股思特奇股份股份转让给吴飞舟。转让完成后，神州数码系统集成服务有限公司不再持有思特奇股份的</w:t>
      </w:r>
      <w:r>
        <w:rPr>
          <w:spacing w:val="-58"/>
        </w:rPr>
        <w:t> </w:t>
      </w:r>
      <w:r>
        <w:rPr>
          <w:spacing w:val="-58"/>
        </w:rPr>
      </w:r>
      <w:r>
        <w:rPr/>
        <w:t>股份。</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月，公司进行了相关工商变更登记。</w:t>
      </w:r>
    </w:p>
    <w:p>
      <w:pPr>
        <w:pStyle w:val="BodyText"/>
        <w:spacing w:line="300" w:lineRule="auto" w:before="13"/>
        <w:ind w:right="1128"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日，思特奇股份召开第七届第二次股东大会，决议将公司变更为有限责任公司</w:t>
      </w:r>
      <w:r>
        <w:rPr>
          <w:rFonts w:ascii="Times New Roman" w:hAnsi="Times New Roman" w:cs="Times New Roman" w:eastAsia="Times New Roman" w:hint="default"/>
        </w:rPr>
        <w:t>,</w:t>
      </w:r>
      <w:r>
        <w:rPr/>
        <w:t>变更后公司更名为北京思 特奇信息技术有限公司；并同意吴飞舟将其持有的公司股权对外转让给新进股东，具体转让情况为：</w:t>
      </w:r>
      <w:r>
        <w:rPr>
          <w:rFonts w:ascii="Times New Roman" w:hAnsi="Times New Roman" w:cs="Times New Roman" w:eastAsia="Times New Roman" w:hint="default"/>
        </w:rPr>
        <w:t>4,808,650.00</w:t>
      </w:r>
      <w:r>
        <w:rPr/>
        <w:t>元出资转</w:t>
      </w:r>
      <w:r>
        <w:rPr>
          <w:spacing w:val="-42"/>
        </w:rPr>
        <w:t> </w:t>
      </w:r>
      <w:r>
        <w:rPr>
          <w:spacing w:val="-1"/>
        </w:rPr>
        <w:t>给自然人马庆选、</w:t>
      </w:r>
      <w:r>
        <w:rPr>
          <w:rFonts w:ascii="Times New Roman" w:hAnsi="Times New Roman" w:cs="Times New Roman" w:eastAsia="Times New Roman" w:hint="default"/>
          <w:spacing w:val="-1"/>
        </w:rPr>
        <w:t>4,371,500.00</w:t>
      </w:r>
      <w:r>
        <w:rPr>
          <w:spacing w:val="-1"/>
        </w:rPr>
        <w:t>元出资转给自然人史振生、</w:t>
      </w:r>
      <w:r>
        <w:rPr>
          <w:rFonts w:ascii="Times New Roman" w:hAnsi="Times New Roman" w:cs="Times New Roman" w:eastAsia="Times New Roman" w:hint="default"/>
          <w:spacing w:val="-1"/>
        </w:rPr>
        <w:t>4,371,500.00</w:t>
      </w:r>
      <w:r>
        <w:rPr>
          <w:spacing w:val="-1"/>
        </w:rPr>
        <w:t>元出资转给自然人姚国宁、</w:t>
      </w:r>
      <w:r>
        <w:rPr>
          <w:rFonts w:ascii="Times New Roman" w:hAnsi="Times New Roman" w:cs="Times New Roman" w:eastAsia="Times New Roman" w:hint="default"/>
          <w:spacing w:val="-1"/>
        </w:rPr>
        <w:t>2,931,465.00</w:t>
      </w:r>
      <w:r>
        <w:rPr>
          <w:spacing w:val="-1"/>
        </w:rPr>
        <w:t>元出资转给中</w:t>
      </w:r>
      <w:r>
        <w:rPr>
          <w:spacing w:val="-64"/>
        </w:rPr>
        <w:t> </w:t>
      </w:r>
      <w:r>
        <w:rPr>
          <w:spacing w:val="-64"/>
        </w:rPr>
      </w:r>
      <w:r>
        <w:rPr>
          <w:spacing w:val="3"/>
        </w:rPr>
        <w:t>投财富辛卯（天津）创业投资合伙企业、</w:t>
      </w:r>
      <w:r>
        <w:rPr>
          <w:rFonts w:ascii="Times New Roman" w:hAnsi="Times New Roman" w:cs="Times New Roman" w:eastAsia="Times New Roman" w:hint="default"/>
          <w:spacing w:val="3"/>
        </w:rPr>
        <w:t>1,748,600.00</w:t>
      </w:r>
      <w:r>
        <w:rPr>
          <w:spacing w:val="3"/>
        </w:rPr>
        <w:t>元出资转给山东五岳创业投资有限公司；同时同意王维将其持有的</w:t>
      </w:r>
      <w:r>
        <w:rPr>
          <w:spacing w:val="-76"/>
        </w:rPr>
        <w:t> </w:t>
      </w:r>
      <w:r>
        <w:rPr>
          <w:spacing w:val="-76"/>
        </w:rPr>
      </w:r>
      <w:r>
        <w:rPr>
          <w:rFonts w:ascii="Times New Roman" w:hAnsi="Times New Roman" w:cs="Times New Roman" w:eastAsia="Times New Roman" w:hint="default"/>
        </w:rPr>
        <w:t>205,704.00</w:t>
      </w:r>
      <w:r>
        <w:rPr/>
        <w:t>元出资转让给吴飞舟。同日，各方分别签订股份转让协议书，并办理了工商变更登记。</w:t>
      </w:r>
    </w:p>
    <w:p>
      <w:pPr>
        <w:pStyle w:val="BodyText"/>
        <w:spacing w:line="300" w:lineRule="auto" w:before="13"/>
        <w:ind w:right="1130"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日，北京思特奇信息技术有限公司召开公司临时股东会，决议公司由有限责任公司整体变更为股份有限公 司，中文名称拟为</w:t>
      </w:r>
      <w:r>
        <w:rPr>
          <w:rFonts w:ascii="Times New Roman" w:hAnsi="Times New Roman" w:cs="Times New Roman" w:eastAsia="Times New Roman" w:hint="default"/>
        </w:rPr>
        <w:t>“</w:t>
      </w:r>
      <w:r>
        <w:rPr/>
        <w:t>北京思特奇信息技术股份有限公司。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日，思特奇有限的全体</w:t>
      </w:r>
      <w:r>
        <w:rPr>
          <w:rFonts w:ascii="Times New Roman" w:hAnsi="Times New Roman" w:cs="Times New Roman" w:eastAsia="Times New Roman" w:hint="default"/>
        </w:rPr>
        <w:t>7</w:t>
      </w:r>
      <w:r>
        <w:rPr/>
        <w:t>位发起人股东共同签订《北京</w:t>
      </w:r>
      <w:r>
        <w:rPr>
          <w:spacing w:val="-77"/>
        </w:rPr>
        <w:t> </w:t>
      </w:r>
      <w:r>
        <w:rPr/>
        <w:t>思特奇信息技术股份有限公司发起人协议》。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日，中瑞岳华会计师事务所（特殊普通合伙人）对本次整体变更</w:t>
      </w:r>
      <w:r>
        <w:rPr>
          <w:spacing w:val="-86"/>
        </w:rPr>
        <w:t> </w:t>
      </w:r>
      <w:r>
        <w:rPr>
          <w:spacing w:val="-86"/>
        </w:rPr>
      </w:r>
      <w:r>
        <w:rPr/>
        <w:t>事宜进行了验证，并出具</w:t>
      </w:r>
      <w:r>
        <w:rPr>
          <w:rFonts w:ascii="Times New Roman" w:hAnsi="Times New Roman" w:cs="Times New Roman" w:eastAsia="Times New Roman" w:hint="default"/>
        </w:rPr>
        <w:t>“</w:t>
      </w:r>
      <w:r>
        <w:rPr/>
        <w:t>中瑞岳华验字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0205</w:t>
      </w:r>
      <w:r>
        <w:rPr/>
        <w:t>号</w:t>
      </w:r>
      <w:r>
        <w:rPr>
          <w:rFonts w:ascii="Times New Roman" w:hAnsi="Times New Roman" w:cs="Times New Roman" w:eastAsia="Times New Roman" w:hint="default"/>
        </w:rPr>
        <w:t>”</w:t>
      </w:r>
      <w:r>
        <w:rPr/>
        <w:t>《验资报告》，确认截至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日止，公司之全体发起人已</w:t>
      </w:r>
      <w:r>
        <w:rPr>
          <w:spacing w:val="-17"/>
        </w:rPr>
        <w:t> </w:t>
      </w:r>
      <w:r>
        <w:rPr>
          <w:spacing w:val="-17"/>
        </w:rPr>
      </w:r>
      <w:r>
        <w:rPr/>
        <w:t>按股东会决议、公司（筹）章程的规定，以有限公司变更基准日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日不高于审计值且不高于评估值的净资产作价</w:t>
      </w:r>
      <w:r>
        <w:rPr>
          <w:spacing w:val="-85"/>
        </w:rPr>
        <w:t> </w:t>
      </w:r>
      <w:r>
        <w:rPr>
          <w:spacing w:val="-85"/>
        </w:rPr>
      </w:r>
      <w:r>
        <w:rPr/>
        <w:t>折股，缴纳注册资本合计人民币</w:t>
      </w:r>
      <w:r>
        <w:rPr>
          <w:rFonts w:ascii="Times New Roman" w:hAnsi="Times New Roman" w:cs="Times New Roman" w:eastAsia="Times New Roman" w:hint="default"/>
        </w:rPr>
        <w:t>43,715,000.00</w:t>
      </w:r>
      <w:r>
        <w:rPr/>
        <w:t>元。</w:t>
      </w:r>
    </w:p>
    <w:p>
      <w:pPr>
        <w:pStyle w:val="BodyText"/>
        <w:spacing w:line="300" w:lineRule="auto" w:before="13"/>
        <w:ind w:right="1128"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日，北京市工商行政管理局海淀分局核发了股份公司《企业法人营业执照》。整体变更完成后，股份公司总</w:t>
      </w:r>
      <w:r>
        <w:rPr/>
        <w:t> </w:t>
      </w:r>
      <w:r>
        <w:rPr>
          <w:spacing w:val="-1"/>
        </w:rPr>
        <w:t>股本</w:t>
      </w:r>
      <w:r>
        <w:rPr>
          <w:rFonts w:ascii="Times New Roman" w:hAnsi="Times New Roman" w:cs="Times New Roman" w:eastAsia="Times New Roman" w:hint="default"/>
          <w:spacing w:val="-1"/>
        </w:rPr>
        <w:t>43,715,000</w:t>
      </w:r>
      <w:r>
        <w:rPr>
          <w:spacing w:val="-1"/>
        </w:rPr>
        <w:t>股，股本结构情况为：吴飞舟持股</w:t>
      </w:r>
      <w:r>
        <w:rPr>
          <w:rFonts w:ascii="Times New Roman" w:hAnsi="Times New Roman" w:cs="Times New Roman" w:eastAsia="Times New Roman" w:hint="default"/>
          <w:spacing w:val="-1"/>
        </w:rPr>
        <w:t>21,986,085.00</w:t>
      </w:r>
      <w:r>
        <w:rPr>
          <w:spacing w:val="-1"/>
        </w:rPr>
        <w:t>元，持股比例</w:t>
      </w:r>
      <w:r>
        <w:rPr>
          <w:rFonts w:ascii="Times New Roman" w:hAnsi="Times New Roman" w:cs="Times New Roman" w:eastAsia="Times New Roman" w:hint="default"/>
          <w:spacing w:val="-1"/>
        </w:rPr>
        <w:t>50.29%</w:t>
      </w:r>
      <w:r>
        <w:rPr>
          <w:spacing w:val="-1"/>
        </w:rPr>
        <w:t>；马庆选持股</w:t>
      </w:r>
      <w:r>
        <w:rPr>
          <w:rFonts w:ascii="Times New Roman" w:hAnsi="Times New Roman" w:cs="Times New Roman" w:eastAsia="Times New Roman" w:hint="default"/>
          <w:spacing w:val="-1"/>
        </w:rPr>
        <w:t>4,808,650.00</w:t>
      </w:r>
      <w:r>
        <w:rPr>
          <w:spacing w:val="-1"/>
        </w:rPr>
        <w:t>元，持股比例</w:t>
      </w:r>
      <w:r>
        <w:rPr>
          <w:spacing w:val="-35"/>
        </w:rPr>
        <w:t> </w:t>
      </w:r>
      <w:r>
        <w:rPr>
          <w:spacing w:val="-35"/>
        </w:rPr>
      </w:r>
      <w:r>
        <w:rPr>
          <w:rFonts w:ascii="Times New Roman" w:hAnsi="Times New Roman" w:cs="Times New Roman" w:eastAsia="Times New Roman" w:hint="default"/>
          <w:spacing w:val="-2"/>
        </w:rPr>
        <w:t>11.00%</w:t>
      </w:r>
      <w:r>
        <w:rPr>
          <w:spacing w:val="-2"/>
        </w:rPr>
        <w:t>；史振生持股</w:t>
      </w:r>
      <w:r>
        <w:rPr>
          <w:rFonts w:ascii="Times New Roman" w:hAnsi="Times New Roman" w:cs="Times New Roman" w:eastAsia="Times New Roman" w:hint="default"/>
          <w:spacing w:val="-2"/>
        </w:rPr>
        <w:t>4,371,500.00</w:t>
      </w:r>
      <w:r>
        <w:rPr>
          <w:spacing w:val="-2"/>
        </w:rPr>
        <w:t>元，持股比例</w:t>
      </w:r>
      <w:r>
        <w:rPr>
          <w:rFonts w:ascii="Times New Roman" w:hAnsi="Times New Roman" w:cs="Times New Roman" w:eastAsia="Times New Roman" w:hint="default"/>
          <w:spacing w:val="-2"/>
        </w:rPr>
        <w:t>10.00%</w:t>
      </w:r>
      <w:r>
        <w:rPr>
          <w:spacing w:val="-2"/>
        </w:rPr>
        <w:t>；姚国宁持股</w:t>
      </w:r>
      <w:r>
        <w:rPr>
          <w:rFonts w:ascii="Times New Roman" w:hAnsi="Times New Roman" w:cs="Times New Roman" w:eastAsia="Times New Roman" w:hint="default"/>
          <w:spacing w:val="-2"/>
        </w:rPr>
        <w:t>4,371,500.00</w:t>
      </w:r>
      <w:r>
        <w:rPr>
          <w:spacing w:val="-2"/>
        </w:rPr>
        <w:t>元，持股比例</w:t>
      </w:r>
      <w:r>
        <w:rPr>
          <w:rFonts w:ascii="Times New Roman" w:hAnsi="Times New Roman" w:cs="Times New Roman" w:eastAsia="Times New Roman" w:hint="default"/>
          <w:spacing w:val="-2"/>
        </w:rPr>
        <w:t>10.00%</w:t>
      </w:r>
      <w:r>
        <w:rPr>
          <w:spacing w:val="-2"/>
        </w:rPr>
        <w:t>；王维持股</w:t>
      </w:r>
      <w:r>
        <w:rPr>
          <w:rFonts w:ascii="Times New Roman" w:hAnsi="Times New Roman" w:cs="Times New Roman" w:eastAsia="Times New Roman" w:hint="default"/>
          <w:spacing w:val="-2"/>
        </w:rPr>
        <w:t>3,497,200.00</w:t>
      </w:r>
    </w:p>
    <w:p>
      <w:pPr>
        <w:spacing w:after="0" w:line="300" w:lineRule="auto"/>
        <w:jc w:val="both"/>
        <w:rPr>
          <w:rFonts w:ascii="Times New Roman" w:hAnsi="Times New Roman" w:cs="Times New Roman" w:eastAsia="Times New Roman" w:hint="default"/>
        </w:rPr>
        <w:sectPr>
          <w:pgSz w:w="11910" w:h="16840"/>
          <w:pgMar w:header="748" w:footer="974"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982"/>
        <w:jc w:val="left"/>
      </w:pPr>
      <w:r>
        <w:rPr/>
        <w:t>元，持股比例</w:t>
      </w:r>
      <w:r>
        <w:rPr>
          <w:rFonts w:ascii="Times New Roman" w:hAnsi="Times New Roman" w:cs="Times New Roman" w:eastAsia="Times New Roman" w:hint="default"/>
        </w:rPr>
        <w:t>8.00%</w:t>
      </w:r>
      <w:r>
        <w:rPr/>
        <w:t>；中投财富辛卯（天津）创业投资合伙企业持股</w:t>
      </w:r>
      <w:r>
        <w:rPr>
          <w:rFonts w:ascii="Times New Roman" w:hAnsi="Times New Roman" w:cs="Times New Roman" w:eastAsia="Times New Roman" w:hint="default"/>
        </w:rPr>
        <w:t>2,931,465.00</w:t>
      </w:r>
      <w:r>
        <w:rPr/>
        <w:t>元，持股比例</w:t>
      </w:r>
      <w:r>
        <w:rPr>
          <w:rFonts w:ascii="Times New Roman" w:hAnsi="Times New Roman" w:cs="Times New Roman" w:eastAsia="Times New Roman" w:hint="default"/>
        </w:rPr>
        <w:t>6.71%</w:t>
      </w:r>
      <w:r>
        <w:rPr/>
        <w:t>；山东五岳创业投资有</w:t>
      </w:r>
      <w:r>
        <w:rPr>
          <w:spacing w:val="-79"/>
        </w:rPr>
        <w:t> </w:t>
      </w:r>
      <w:r>
        <w:rPr/>
        <w:t>限公司持股</w:t>
      </w:r>
      <w:r>
        <w:rPr>
          <w:rFonts w:ascii="Times New Roman" w:hAnsi="Times New Roman" w:cs="Times New Roman" w:eastAsia="Times New Roman" w:hint="default"/>
        </w:rPr>
        <w:t>1,748,600.00</w:t>
      </w:r>
      <w:r>
        <w:rPr/>
        <w:t>元，持股比例</w:t>
      </w:r>
      <w:r>
        <w:rPr>
          <w:rFonts w:ascii="Times New Roman" w:hAnsi="Times New Roman" w:cs="Times New Roman" w:eastAsia="Times New Roman" w:hint="default"/>
        </w:rPr>
        <w:t>4.00%</w:t>
      </w:r>
      <w:r>
        <w:rPr/>
        <w:t>。</w:t>
      </w:r>
    </w:p>
    <w:p>
      <w:pPr>
        <w:pStyle w:val="BodyText"/>
        <w:spacing w:line="300" w:lineRule="auto" w:before="13"/>
        <w:ind w:right="1131"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日，思特奇召开公司</w:t>
      </w:r>
      <w:r>
        <w:rPr>
          <w:rFonts w:ascii="Times New Roman" w:hAnsi="Times New Roman" w:cs="Times New Roman" w:eastAsia="Times New Roman" w:hint="default"/>
        </w:rPr>
        <w:t>2013</w:t>
      </w:r>
      <w:r>
        <w:rPr/>
        <w:t>年第二次临时股东大会，审议通过了公司注册资本由</w:t>
      </w:r>
      <w:r>
        <w:rPr>
          <w:rFonts w:ascii="Times New Roman" w:hAnsi="Times New Roman" w:cs="Times New Roman" w:eastAsia="Times New Roman" w:hint="default"/>
        </w:rPr>
        <w:t>4,371.50</w:t>
      </w:r>
      <w:r>
        <w:rPr/>
        <w:t>万元增至</w:t>
      </w:r>
      <w:r>
        <w:rPr>
          <w:rFonts w:ascii="Times New Roman" w:hAnsi="Times New Roman" w:cs="Times New Roman" w:eastAsia="Times New Roman" w:hint="default"/>
        </w:rPr>
        <w:t>4,856.50 </w:t>
      </w:r>
      <w:r>
        <w:rPr>
          <w:spacing w:val="-2"/>
        </w:rPr>
        <w:t>万元的议案，同意四家员工持股企业以现金方式认购思特奇本次增资。</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日，本次增资所涉各方共同签署了《增</w:t>
      </w:r>
      <w:r>
        <w:rPr>
          <w:spacing w:val="-59"/>
        </w:rPr>
        <w:t> </w:t>
      </w:r>
      <w:r>
        <w:rPr>
          <w:spacing w:val="-59"/>
        </w:rPr>
      </w:r>
      <w:r>
        <w:rPr/>
        <w:t>资协议》。</w:t>
      </w:r>
    </w:p>
    <w:p>
      <w:pPr>
        <w:pStyle w:val="BodyText"/>
        <w:spacing w:line="300" w:lineRule="auto" w:before="31"/>
        <w:ind w:right="1130" w:firstLine="360"/>
        <w:jc w:val="both"/>
      </w:pP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2</w:t>
      </w:r>
      <w:r>
        <w:rPr>
          <w:spacing w:val="-6"/>
        </w:rPr>
        <w:t>月</w:t>
      </w:r>
      <w:r>
        <w:rPr>
          <w:rFonts w:ascii="Times New Roman" w:hAnsi="Times New Roman" w:cs="Times New Roman" w:eastAsia="Times New Roman" w:hint="default"/>
          <w:spacing w:val="-6"/>
        </w:rPr>
        <w:t>25</w:t>
      </w:r>
      <w:r>
        <w:rPr>
          <w:spacing w:val="-6"/>
        </w:rPr>
        <w:t>日，瑞华会计师事务所（特殊普通合伙人）对本次增资事宜进行了验证，并出具</w:t>
      </w:r>
      <w:r>
        <w:rPr>
          <w:rFonts w:ascii="Times New Roman" w:hAnsi="Times New Roman" w:cs="Times New Roman" w:eastAsia="Times New Roman" w:hint="default"/>
          <w:spacing w:val="-6"/>
        </w:rPr>
        <w:t>“</w:t>
      </w:r>
      <w:r>
        <w:rPr>
          <w:spacing w:val="-6"/>
        </w:rPr>
        <w:t>瑞华验字</w:t>
      </w:r>
      <w:r>
        <w:rPr>
          <w:rFonts w:ascii="Times New Roman" w:hAnsi="Times New Roman" w:cs="Times New Roman" w:eastAsia="Times New Roman" w:hint="default"/>
          <w:spacing w:val="-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rFonts w:ascii="Times New Roman" w:hAnsi="Times New Roman" w:cs="Times New Roman" w:eastAsia="Times New Roman" w:hint="default"/>
        </w:rPr>
        <w:t>]</w:t>
      </w:r>
      <w:r>
        <w:rPr/>
        <w:t>第</w:t>
      </w:r>
      <w:r>
        <w:rPr>
          <w:rFonts w:ascii="Times New Roman" w:hAnsi="Times New Roman" w:cs="Times New Roman" w:eastAsia="Times New Roman" w:hint="default"/>
        </w:rPr>
        <w:t>01670007 </w:t>
      </w:r>
      <w:r>
        <w:rPr>
          <w:spacing w:val="-2"/>
        </w:rPr>
        <w:t>号</w:t>
      </w:r>
      <w:r>
        <w:rPr>
          <w:rFonts w:ascii="Times New Roman" w:hAnsi="Times New Roman" w:cs="Times New Roman" w:eastAsia="Times New Roman" w:hint="default"/>
          <w:spacing w:val="-2"/>
        </w:rPr>
        <w:t>”</w:t>
      </w:r>
      <w:r>
        <w:rPr>
          <w:spacing w:val="-2"/>
        </w:rPr>
        <w:t>《验资报告》，确认相关股东的现金出资全部到位。</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月，公司办理了相关工商变更登记并领取了新的企业法人营</w:t>
      </w:r>
      <w:r>
        <w:rPr>
          <w:spacing w:val="-51"/>
        </w:rPr>
        <w:t> </w:t>
      </w:r>
      <w:r>
        <w:rPr>
          <w:spacing w:val="-51"/>
        </w:rPr>
      </w:r>
      <w:r>
        <w:rPr/>
        <w:t>业执照。</w:t>
      </w:r>
    </w:p>
    <w:p>
      <w:pPr>
        <w:pStyle w:val="BodyText"/>
        <w:spacing w:line="304" w:lineRule="auto" w:before="31"/>
        <w:ind w:right="1130" w:firstLine="360"/>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14</w:t>
      </w:r>
      <w:r>
        <w:rPr>
          <w:spacing w:val="-3"/>
        </w:rPr>
        <w:t>日，思特奇股份召开公司</w:t>
      </w:r>
      <w:r>
        <w:rPr>
          <w:rFonts w:ascii="Times New Roman" w:hAnsi="Times New Roman" w:cs="Times New Roman" w:eastAsia="Times New Roman" w:hint="default"/>
          <w:spacing w:val="-3"/>
        </w:rPr>
        <w:t>2014</w:t>
      </w:r>
      <w:r>
        <w:rPr>
          <w:spacing w:val="-3"/>
        </w:rPr>
        <w:t>年第二次临时股东大会，审议通过了公司注册资本由</w:t>
      </w:r>
      <w:r>
        <w:rPr>
          <w:rFonts w:ascii="Times New Roman" w:hAnsi="Times New Roman" w:cs="Times New Roman" w:eastAsia="Times New Roman" w:hint="default"/>
          <w:spacing w:val="-3"/>
        </w:rPr>
        <w:t>4,856.50</w:t>
      </w:r>
      <w:r>
        <w:rPr>
          <w:spacing w:val="-3"/>
        </w:rPr>
        <w:t>万元增至</w:t>
      </w:r>
      <w:r>
        <w:rPr>
          <w:rFonts w:ascii="Times New Roman" w:hAnsi="Times New Roman" w:cs="Times New Roman" w:eastAsia="Times New Roman" w:hint="default"/>
          <w:spacing w:val="-3"/>
        </w:rPr>
        <w:t>5,056.50</w:t>
      </w:r>
      <w:r>
        <w:rPr>
          <w:rFonts w:ascii="Times New Roman" w:hAnsi="Times New Roman" w:cs="Times New Roman" w:eastAsia="Times New Roman" w:hint="default"/>
        </w:rPr>
        <w:t> </w:t>
      </w:r>
      <w:r>
        <w:rPr>
          <w:spacing w:val="-2"/>
        </w:rPr>
        <w:t>万元的议案，同意中投财富辛卯（天津）创业投资合伙企业（有限合伙）及山东五岳创业投资有限公司以现金方式认购公司</w:t>
      </w:r>
      <w:r>
        <w:rPr>
          <w:spacing w:val="-67"/>
        </w:rPr>
        <w:t> </w:t>
      </w:r>
      <w:r>
        <w:rPr>
          <w:spacing w:val="-67"/>
        </w:rPr>
      </w:r>
      <w:r>
        <w:rPr>
          <w:spacing w:val="-8"/>
        </w:rPr>
        <w:t>本次新增的股份。</w:t>
      </w:r>
      <w:r>
        <w:rPr>
          <w:rFonts w:ascii="Times New Roman" w:hAnsi="Times New Roman" w:cs="Times New Roman" w:eastAsia="Times New Roman" w:hint="default"/>
          <w:spacing w:val="-8"/>
        </w:rPr>
        <w:t>2014</w:t>
      </w:r>
      <w:r>
        <w:rPr>
          <w:spacing w:val="-8"/>
        </w:rPr>
        <w:t>年</w:t>
      </w:r>
      <w:r>
        <w:rPr>
          <w:rFonts w:ascii="Times New Roman" w:hAnsi="Times New Roman" w:cs="Times New Roman" w:eastAsia="Times New Roman" w:hint="default"/>
          <w:spacing w:val="-8"/>
        </w:rPr>
        <w:t>5</w:t>
      </w:r>
      <w:r>
        <w:rPr>
          <w:spacing w:val="-8"/>
        </w:rPr>
        <w:t>月</w:t>
      </w:r>
      <w:r>
        <w:rPr>
          <w:rFonts w:ascii="Times New Roman" w:hAnsi="Times New Roman" w:cs="Times New Roman" w:eastAsia="Times New Roman" w:hint="default"/>
          <w:spacing w:val="-8"/>
        </w:rPr>
        <w:t>29</w:t>
      </w:r>
      <w:r>
        <w:rPr>
          <w:spacing w:val="-8"/>
        </w:rPr>
        <w:t>日，瑞华会计师事务所（特殊普通合伙人）对本次增资事宜进行了验证，并出具</w:t>
      </w:r>
      <w:r>
        <w:rPr>
          <w:rFonts w:ascii="Times New Roman" w:hAnsi="Times New Roman" w:cs="Times New Roman" w:eastAsia="Times New Roman" w:hint="default"/>
          <w:spacing w:val="-8"/>
        </w:rPr>
        <w:t>“</w:t>
      </w:r>
      <w:r>
        <w:rPr>
          <w:spacing w:val="-8"/>
        </w:rPr>
        <w:t>瑞华验字</w:t>
      </w:r>
      <w:r>
        <w:rPr>
          <w:rFonts w:ascii="Times New Roman" w:hAnsi="Times New Roman" w:cs="Times New Roman" w:eastAsia="Times New Roman" w:hint="default"/>
          <w:spacing w:val="-8"/>
        </w:rPr>
        <w:t>[</w:t>
      </w:r>
      <w:r>
        <w:rPr>
          <w:rFonts w:ascii="Times New Roman" w:hAnsi="Times New Roman" w:cs="Times New Roman" w:eastAsia="Times New Roman" w:hint="default"/>
          <w:spacing w:val="-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2"/>
        </w:rPr>
        <w:t>第</w:t>
      </w:r>
      <w:r>
        <w:rPr>
          <w:rFonts w:ascii="Times New Roman" w:hAnsi="Times New Roman" w:cs="Times New Roman" w:eastAsia="Times New Roman" w:hint="default"/>
          <w:spacing w:val="-2"/>
        </w:rPr>
        <w:t>01670012</w:t>
      </w:r>
      <w:r>
        <w:rPr>
          <w:spacing w:val="-2"/>
        </w:rPr>
        <w:t>号</w:t>
      </w:r>
      <w:r>
        <w:rPr>
          <w:rFonts w:ascii="Times New Roman" w:hAnsi="Times New Roman" w:cs="Times New Roman" w:eastAsia="Times New Roman" w:hint="default"/>
          <w:spacing w:val="-2"/>
        </w:rPr>
        <w:t>”</w:t>
      </w:r>
      <w:r>
        <w:rPr>
          <w:spacing w:val="-2"/>
        </w:rPr>
        <w:t>《验资报告》，确认相关股东的现金出资全部到位。</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月，公司已依法就增资办理了工商变更登记手续</w:t>
      </w:r>
      <w:r>
        <w:rPr>
          <w:spacing w:val="-47"/>
        </w:rPr>
        <w:t> </w:t>
      </w:r>
      <w:r>
        <w:rPr>
          <w:spacing w:val="-47"/>
        </w:rPr>
      </w:r>
      <w:r>
        <w:rPr/>
        <w:t>并领取了新的企业法人营业执照。</w:t>
      </w:r>
    </w:p>
    <w:p>
      <w:pPr>
        <w:pStyle w:val="BodyText"/>
        <w:spacing w:line="309" w:lineRule="auto" w:before="28"/>
        <w:ind w:right="1133"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w:t>
      </w:r>
      <w:r>
        <w:rPr/>
        <w:t>山东五岳创业投资有限公司、中投财富辛卯（天津）创业投资合伙企业（有限合伙）分别与吴飞舟签订 </w:t>
      </w:r>
      <w:r>
        <w:rPr>
          <w:spacing w:val="-2"/>
        </w:rPr>
        <w:t>股份转让协议，由山东五岳创业投资有限公司、中投财富辛卯（天津）创业投资合伙企业（有限合伙）向吴飞舟受让本公司</w:t>
      </w:r>
      <w:r>
        <w:rPr>
          <w:spacing w:val="-68"/>
        </w:rPr>
        <w:t> </w:t>
      </w:r>
      <w:r>
        <w:rPr>
          <w:spacing w:val="-68"/>
        </w:rPr>
      </w:r>
      <w:r>
        <w:rPr/>
        <w:t>的股份。</w:t>
      </w:r>
    </w:p>
    <w:p>
      <w:pPr>
        <w:pStyle w:val="BodyText"/>
        <w:spacing w:line="300" w:lineRule="auto" w:before="24"/>
        <w:ind w:right="1042"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月，经中国证券监督管理委员会《关于核准北京思特奇信息技术股份有限公司首次公开发行股票的批复》（证 监许可【</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122</w:t>
      </w:r>
      <w:r>
        <w:rPr/>
        <w:t>号）核准，北京思特奇信息技术股份有限公司公开发行新股</w:t>
      </w:r>
      <w:r>
        <w:rPr>
          <w:rFonts w:ascii="Times New Roman" w:hAnsi="Times New Roman" w:cs="Times New Roman" w:eastAsia="Times New Roman" w:hint="default"/>
        </w:rPr>
        <w:t>1,685.50</w:t>
      </w:r>
      <w:r>
        <w:rPr/>
        <w:t>万股，增加注册资本</w:t>
      </w:r>
      <w:r>
        <w:rPr>
          <w:rFonts w:ascii="Times New Roman" w:hAnsi="Times New Roman" w:cs="Times New Roman" w:eastAsia="Times New Roman" w:hint="default"/>
        </w:rPr>
        <w:t>1,685.50</w:t>
      </w:r>
      <w:r>
        <w:rPr/>
        <w:t>万元， </w:t>
      </w:r>
      <w:r>
        <w:rPr>
          <w:spacing w:val="-2"/>
        </w:rPr>
        <w:t>变更后的注册资本为</w:t>
      </w:r>
      <w:r>
        <w:rPr>
          <w:rFonts w:ascii="Times New Roman" w:hAnsi="Times New Roman" w:cs="Times New Roman" w:eastAsia="Times New Roman" w:hint="default"/>
          <w:spacing w:val="-2"/>
        </w:rPr>
        <w:t>6,742.00</w:t>
      </w:r>
      <w:r>
        <w:rPr>
          <w:spacing w:val="-2"/>
        </w:rPr>
        <w:t>万元，瑞华会计师事务所（特殊普通合伙）验证并出具瑞华验字【</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01660002</w:t>
      </w:r>
      <w:r>
        <w:rPr>
          <w:spacing w:val="-2"/>
        </w:rPr>
        <w:t>号验资报告。</w:t>
      </w:r>
    </w:p>
    <w:p>
      <w:pPr>
        <w:pStyle w:val="BodyText"/>
        <w:spacing w:line="300" w:lineRule="auto" w:before="13"/>
        <w:ind w:right="1047"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月，公司召开</w:t>
      </w:r>
      <w:r>
        <w:rPr>
          <w:rFonts w:ascii="Times New Roman" w:hAnsi="Times New Roman" w:cs="Times New Roman" w:eastAsia="Times New Roman" w:hint="default"/>
        </w:rPr>
        <w:t>2016</w:t>
      </w:r>
      <w:r>
        <w:rPr/>
        <w:t>年年度股东大会，审议通过了</w:t>
      </w:r>
      <w:r>
        <w:rPr>
          <w:rFonts w:ascii="Times New Roman" w:hAnsi="Times New Roman" w:cs="Times New Roman" w:eastAsia="Times New Roman" w:hint="default"/>
        </w:rPr>
        <w:t>2016</w:t>
      </w:r>
      <w:r>
        <w:rPr/>
        <w:t>年利润分配方案，决定以公司总股本</w:t>
      </w:r>
      <w:r>
        <w:rPr>
          <w:rFonts w:ascii="Times New Roman" w:hAnsi="Times New Roman" w:cs="Times New Roman" w:eastAsia="Times New Roman" w:hint="default"/>
        </w:rPr>
        <w:t>6,742.00</w:t>
      </w:r>
      <w:r>
        <w:rPr/>
        <w:t>万股为基数，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股派</w:t>
      </w:r>
      <w:r>
        <w:rPr>
          <w:rFonts w:ascii="Times New Roman" w:hAnsi="Times New Roman" w:cs="Times New Roman" w:eastAsia="Times New Roman" w:hint="default"/>
        </w:rPr>
        <w:t>3</w:t>
      </w:r>
      <w:r>
        <w:rPr/>
        <w:t>元（含税），分配后总股本增至</w:t>
      </w:r>
      <w:r>
        <w:rPr>
          <w:rFonts w:ascii="Times New Roman" w:hAnsi="Times New Roman" w:cs="Times New Roman" w:eastAsia="Times New Roman" w:hint="default"/>
        </w:rPr>
        <w:t>8,764.60</w:t>
      </w:r>
      <w:r>
        <w:rPr/>
        <w:t>万股，本次股权变化已经进行工商变更。</w:t>
      </w:r>
    </w:p>
    <w:p>
      <w:pPr>
        <w:pStyle w:val="BodyText"/>
        <w:spacing w:line="300" w:lineRule="auto" w:before="13"/>
        <w:ind w:right="1126"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月，公司召开</w:t>
      </w:r>
      <w:r>
        <w:rPr>
          <w:spacing w:val="22"/>
        </w:rPr>
        <w:t> </w:t>
      </w:r>
      <w:r>
        <w:rPr>
          <w:rFonts w:ascii="Times New Roman" w:hAnsi="Times New Roman" w:cs="Times New Roman" w:eastAsia="Times New Roman" w:hint="default"/>
        </w:rPr>
        <w:t>2017</w:t>
      </w:r>
      <w:r>
        <w:rPr/>
        <w:t>年第二次临时股东大会</w:t>
      </w:r>
      <w:r>
        <w:rPr>
          <w:rFonts w:ascii="Times New Roman" w:hAnsi="Times New Roman" w:cs="Times New Roman" w:eastAsia="Times New Roman" w:hint="default"/>
        </w:rPr>
        <w:t>,</w:t>
      </w:r>
      <w:r>
        <w:rPr/>
        <w:t>审议通过了《关于</w:t>
      </w:r>
      <w:r>
        <w:rPr>
          <w:rFonts w:ascii="Times New Roman" w:hAnsi="Times New Roman" w:cs="Times New Roman" w:eastAsia="Times New Roman" w:hint="default"/>
        </w:rPr>
        <w:t>&lt;</w:t>
      </w:r>
      <w:r>
        <w:rPr/>
        <w:t>北京思特奇信息技术股份有限公司</w:t>
      </w:r>
      <w:r>
        <w:rPr>
          <w:rFonts w:ascii="Times New Roman" w:hAnsi="Times New Roman" w:cs="Times New Roman" w:eastAsia="Times New Roman" w:hint="default"/>
        </w:rPr>
        <w:t>2017</w:t>
      </w:r>
      <w:r>
        <w:rPr/>
        <w:t>年限制 性股票激励计划（草案）</w:t>
      </w:r>
      <w:r>
        <w:rPr>
          <w:rFonts w:ascii="Times New Roman" w:hAnsi="Times New Roman" w:cs="Times New Roman" w:eastAsia="Times New Roman" w:hint="default"/>
        </w:rPr>
        <w:t>&gt;</w:t>
      </w:r>
      <w:r>
        <w:rPr/>
        <w:t>及其摘要的议案》，最终共发行</w:t>
      </w:r>
      <w:r>
        <w:rPr>
          <w:rFonts w:ascii="Times New Roman" w:hAnsi="Times New Roman" w:cs="Times New Roman" w:eastAsia="Times New Roman" w:hint="default"/>
        </w:rPr>
        <w:t>785,500.00</w:t>
      </w:r>
      <w:r>
        <w:rPr/>
        <w:t>股，新增后的股本为</w:t>
      </w:r>
      <w:r>
        <w:rPr>
          <w:rFonts w:ascii="Times New Roman" w:hAnsi="Times New Roman" w:cs="Times New Roman" w:eastAsia="Times New Roman" w:hint="default"/>
        </w:rPr>
        <w:t>8,843.15</w:t>
      </w:r>
      <w:r>
        <w:rPr/>
        <w:t>万元。瑞华会计师事务所</w:t>
      </w:r>
    </w:p>
    <w:p>
      <w:pPr>
        <w:pStyle w:val="BodyText"/>
        <w:spacing w:line="240" w:lineRule="auto" w:before="13"/>
        <w:ind w:right="982"/>
        <w:jc w:val="left"/>
      </w:pPr>
      <w:r>
        <w:rPr/>
        <w:t>（特殊普通合伙）验证并出具瑞华验字【</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01660010</w:t>
      </w:r>
      <w:r>
        <w:rPr/>
        <w:t>号验资报告，本次股权变化已经进行工商变更。</w:t>
      </w:r>
    </w:p>
    <w:p>
      <w:pPr>
        <w:pStyle w:val="BodyText"/>
        <w:spacing w:line="300" w:lineRule="auto" w:before="63"/>
        <w:ind w:right="1044"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日，公司召开了</w:t>
      </w:r>
      <w:r>
        <w:rPr>
          <w:rFonts w:ascii="Times New Roman" w:hAnsi="Times New Roman" w:cs="Times New Roman" w:eastAsia="Times New Roman" w:hint="default"/>
        </w:rPr>
        <w:t>2017</w:t>
      </w:r>
      <w:r>
        <w:rPr/>
        <w:t>年年度股东大会，审议通过了《关于</w:t>
      </w:r>
      <w:r>
        <w:rPr>
          <w:rFonts w:ascii="Times New Roman" w:hAnsi="Times New Roman" w:cs="Times New Roman" w:eastAsia="Times New Roman" w:hint="default"/>
        </w:rPr>
        <w:t>2017</w:t>
      </w:r>
      <w:r>
        <w:rPr/>
        <w:t>年度利润分配方案的议案》，决定以公司总 </w:t>
      </w:r>
      <w:r>
        <w:rPr>
          <w:spacing w:val="-3"/>
        </w:rPr>
        <w:t>股本</w:t>
      </w:r>
      <w:r>
        <w:rPr>
          <w:rFonts w:ascii="Times New Roman" w:hAnsi="Times New Roman" w:cs="Times New Roman" w:eastAsia="Times New Roman" w:hint="default"/>
          <w:spacing w:val="-3"/>
        </w:rPr>
        <w:t>8,843.15</w:t>
      </w:r>
      <w:r>
        <w:rPr>
          <w:spacing w:val="-3"/>
        </w:rPr>
        <w:t>万股为基数，每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2</w:t>
      </w:r>
      <w:r>
        <w:rPr>
          <w:spacing w:val="-3"/>
        </w:rPr>
        <w:t>股派</w:t>
      </w:r>
      <w:r>
        <w:rPr>
          <w:rFonts w:ascii="Times New Roman" w:hAnsi="Times New Roman" w:cs="Times New Roman" w:eastAsia="Times New Roman" w:hint="default"/>
          <w:spacing w:val="-3"/>
        </w:rPr>
        <w:t>2.8</w:t>
      </w:r>
      <w:r>
        <w:rPr>
          <w:spacing w:val="-3"/>
        </w:rPr>
        <w:t>（含税），分配后总股本增至</w:t>
      </w:r>
      <w:r>
        <w:rPr>
          <w:rFonts w:ascii="Times New Roman" w:hAnsi="Times New Roman" w:cs="Times New Roman" w:eastAsia="Times New Roman" w:hint="default"/>
          <w:spacing w:val="-3"/>
        </w:rPr>
        <w:t>10611.78</w:t>
      </w:r>
      <w:r>
        <w:rPr>
          <w:spacing w:val="-3"/>
        </w:rPr>
        <w:t>万股，本次股权变化已经进行工商变更。</w:t>
      </w:r>
    </w:p>
    <w:p>
      <w:pPr>
        <w:pStyle w:val="BodyText"/>
        <w:spacing w:line="300" w:lineRule="auto" w:before="13"/>
        <w:ind w:right="1127"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日，公司召开了</w:t>
      </w:r>
      <w:r>
        <w:rPr>
          <w:rFonts w:ascii="Times New Roman" w:hAnsi="Times New Roman" w:cs="Times New Roman" w:eastAsia="Times New Roman" w:hint="default"/>
        </w:rPr>
        <w:t>2018 </w:t>
      </w:r>
      <w:r>
        <w:rPr/>
        <w:t>年第四次临时股东大会，审议通过了《关于终止实施</w:t>
      </w:r>
      <w:r>
        <w:rPr>
          <w:rFonts w:ascii="Times New Roman" w:hAnsi="Times New Roman" w:cs="Times New Roman" w:eastAsia="Times New Roman" w:hint="default"/>
        </w:rPr>
        <w:t>&lt;2017</w:t>
      </w:r>
      <w:r>
        <w:rPr>
          <w:rFonts w:ascii="Times New Roman" w:hAnsi="Times New Roman" w:cs="Times New Roman" w:eastAsia="Times New Roman" w:hint="default"/>
          <w:spacing w:val="-12"/>
        </w:rPr>
        <w:t> </w:t>
      </w:r>
      <w:r>
        <w:rPr/>
        <w:t>年限制性股票激励计划</w:t>
      </w:r>
      <w:r>
        <w:rPr>
          <w:rFonts w:ascii="Times New Roman" w:hAnsi="Times New Roman" w:cs="Times New Roman" w:eastAsia="Times New Roman" w:hint="default"/>
        </w:rPr>
        <w:t>&gt; </w:t>
      </w:r>
      <w:r>
        <w:rPr>
          <w:spacing w:val="-1"/>
        </w:rPr>
        <w:t>暨回购注销已授予尚未解除限售的全部限制性股票的议案》，回购数量为</w:t>
      </w:r>
      <w:r>
        <w:rPr>
          <w:rFonts w:ascii="Times New Roman" w:hAnsi="Times New Roman" w:cs="Times New Roman" w:eastAsia="Times New Roman" w:hint="default"/>
          <w:spacing w:val="-1"/>
        </w:rPr>
        <w:t>94.26</w:t>
      </w:r>
      <w:r>
        <w:rPr>
          <w:spacing w:val="-1"/>
        </w:rPr>
        <w:t>万股，回购价格为</w:t>
      </w:r>
      <w:r>
        <w:rPr>
          <w:rFonts w:ascii="Times New Roman" w:hAnsi="Times New Roman" w:cs="Times New Roman" w:eastAsia="Times New Roman" w:hint="default"/>
          <w:spacing w:val="-1"/>
        </w:rPr>
        <w:t>22.5</w:t>
      </w:r>
      <w:r>
        <w:rPr>
          <w:spacing w:val="-1"/>
        </w:rPr>
        <w:t>元</w:t>
      </w:r>
      <w:r>
        <w:rPr>
          <w:rFonts w:ascii="Times New Roman" w:hAnsi="Times New Roman" w:cs="Times New Roman" w:eastAsia="Times New Roman" w:hint="default"/>
          <w:spacing w:val="-1"/>
        </w:rPr>
        <w:t>/</w:t>
      </w:r>
      <w:r>
        <w:rPr>
          <w:spacing w:val="-1"/>
        </w:rPr>
        <w:t>股，截至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spacing w:val="-79"/>
        </w:rPr>
        <w:t> </w:t>
      </w:r>
      <w:r>
        <w:rPr>
          <w:rFonts w:ascii="Times New Roman" w:hAnsi="Times New Roman" w:cs="Times New Roman" w:eastAsia="Times New Roman" w:hint="default"/>
        </w:rPr>
        <w:t>1</w:t>
      </w:r>
      <w:r>
        <w:rPr/>
        <w:t>日，公司已归还</w:t>
      </w:r>
      <w:r>
        <w:rPr>
          <w:rFonts w:ascii="Times New Roman" w:hAnsi="Times New Roman" w:cs="Times New Roman" w:eastAsia="Times New Roman" w:hint="default"/>
        </w:rPr>
        <w:t>408</w:t>
      </w:r>
      <w:r>
        <w:rPr/>
        <w:t>名激励对象的出资，变更后的股本为</w:t>
      </w:r>
      <w:r>
        <w:rPr>
          <w:rFonts w:ascii="Times New Roman" w:hAnsi="Times New Roman" w:cs="Times New Roman" w:eastAsia="Times New Roman" w:hint="default"/>
        </w:rPr>
        <w:t>105,175,200.00</w:t>
      </w:r>
      <w:r>
        <w:rPr/>
        <w:t>元，本次限制性股票回购事项业经瑞华会计师事务</w:t>
      </w:r>
      <w:r>
        <w:rPr>
          <w:spacing w:val="-47"/>
        </w:rPr>
        <w:t> </w:t>
      </w:r>
      <w:r>
        <w:rPr>
          <w:spacing w:val="-47"/>
        </w:rPr>
      </w:r>
      <w:r>
        <w:rPr/>
        <w:t>所（特殊普通合伙）验证并出具瑞华验字【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02300001</w:t>
      </w:r>
      <w:r>
        <w:rPr/>
        <w:t>号验资报告。</w:t>
      </w:r>
    </w:p>
    <w:p>
      <w:pPr>
        <w:pStyle w:val="BodyText"/>
        <w:spacing w:line="300" w:lineRule="auto" w:before="13"/>
        <w:ind w:right="1132"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日，公司召开了</w:t>
      </w:r>
      <w:r>
        <w:rPr>
          <w:rFonts w:ascii="Times New Roman" w:hAnsi="Times New Roman" w:cs="Times New Roman" w:eastAsia="Times New Roman" w:hint="default"/>
        </w:rPr>
        <w:t>2018</w:t>
      </w:r>
      <w:r>
        <w:rPr/>
        <w:t>年年度股东大会，审议通过了《关于</w:t>
      </w:r>
      <w:r>
        <w:rPr>
          <w:rFonts w:ascii="Times New Roman" w:hAnsi="Times New Roman" w:cs="Times New Roman" w:eastAsia="Times New Roman" w:hint="default"/>
        </w:rPr>
        <w:t>2018</w:t>
      </w:r>
      <w:r>
        <w:rPr/>
        <w:t>年度利润分配方案的议案》，决定以公司总 股本</w:t>
      </w:r>
      <w:r>
        <w:rPr>
          <w:rFonts w:ascii="Times New Roman" w:hAnsi="Times New Roman" w:cs="Times New Roman" w:eastAsia="Times New Roman" w:hint="default"/>
        </w:rPr>
        <w:t>10,517.52</w:t>
      </w:r>
      <w:r>
        <w:rPr/>
        <w:t>万股扣除公司从二级市场回购的</w:t>
      </w:r>
      <w:r>
        <w:rPr>
          <w:rFonts w:ascii="Times New Roman" w:hAnsi="Times New Roman" w:cs="Times New Roman" w:eastAsia="Times New Roman" w:hint="default"/>
        </w:rPr>
        <w:t>222,176</w:t>
      </w:r>
      <w:r>
        <w:rPr/>
        <w:t>股后的股本</w:t>
      </w:r>
      <w:r>
        <w:rPr>
          <w:rFonts w:ascii="Times New Roman" w:hAnsi="Times New Roman" w:cs="Times New Roman" w:eastAsia="Times New Roman" w:hint="default"/>
        </w:rPr>
        <w:t>104,953,024</w:t>
      </w:r>
      <w:r>
        <w:rPr/>
        <w:t>股为基数</w:t>
      </w:r>
      <w:r>
        <w:rPr>
          <w:rFonts w:ascii="Times New Roman" w:hAnsi="Times New Roman" w:cs="Times New Roman" w:eastAsia="Times New Roman" w:hint="default"/>
        </w:rPr>
        <w:t>, </w:t>
      </w:r>
      <w:r>
        <w:rPr/>
        <w:t>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2.6</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r>
        <w:rPr>
          <w:rFonts w:ascii="Times New Roman" w:hAnsi="Times New Roman" w:cs="Times New Roman" w:eastAsia="Times New Roman" w:hint="default"/>
        </w:rPr>
        <w:t>, </w:t>
      </w:r>
      <w:r>
        <w:rPr/>
        <w:t>分配后总股本增至</w:t>
      </w:r>
      <w:r>
        <w:rPr>
          <w:rFonts w:ascii="Times New Roman" w:hAnsi="Times New Roman" w:cs="Times New Roman" w:eastAsia="Times New Roman" w:hint="default"/>
        </w:rPr>
        <w:t>157,651,712</w:t>
      </w:r>
      <w:r>
        <w:rPr/>
        <w:t>股。本次股权变化已经进行工商</w:t>
      </w:r>
      <w:r>
        <w:rPr>
          <w:spacing w:val="-52"/>
        </w:rPr>
        <w:t> </w:t>
      </w:r>
      <w:r>
        <w:rPr>
          <w:spacing w:val="-52"/>
        </w:rPr>
      </w:r>
      <w:r>
        <w:rPr/>
        <w:t>变更。</w:t>
      </w:r>
    </w:p>
    <w:p>
      <w:pPr>
        <w:pStyle w:val="BodyText"/>
        <w:spacing w:line="307" w:lineRule="auto" w:before="32"/>
        <w:ind w:right="1131" w:firstLine="360"/>
        <w:jc w:val="both"/>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157,651,712</w:t>
      </w:r>
      <w:r>
        <w:rPr>
          <w:spacing w:val="-2"/>
        </w:rPr>
        <w:t>股，注册资本为</w:t>
      </w:r>
      <w:r>
        <w:rPr>
          <w:rFonts w:ascii="Times New Roman" w:hAnsi="Times New Roman" w:cs="Times New Roman" w:eastAsia="Times New Roman" w:hint="default"/>
          <w:spacing w:val="-2"/>
        </w:rPr>
        <w:t>157,651,712</w:t>
      </w:r>
      <w:r>
        <w:rPr>
          <w:spacing w:val="-2"/>
        </w:rPr>
        <w:t>元，注册地：北京市海淀区中</w:t>
      </w:r>
      <w:r>
        <w:rPr/>
        <w:t> </w:t>
      </w:r>
      <w:r>
        <w:rPr>
          <w:spacing w:val="-2"/>
        </w:rPr>
        <w:t>关村南大街</w:t>
      </w:r>
      <w:r>
        <w:rPr>
          <w:rFonts w:ascii="Times New Roman" w:hAnsi="Times New Roman" w:cs="Times New Roman" w:eastAsia="Times New Roman" w:hint="default"/>
          <w:spacing w:val="-2"/>
        </w:rPr>
        <w:t>6</w:t>
      </w:r>
      <w:r>
        <w:rPr>
          <w:spacing w:val="-2"/>
        </w:rPr>
        <w:t>号</w:t>
      </w:r>
      <w:r>
        <w:rPr>
          <w:rFonts w:ascii="Times New Roman" w:hAnsi="Times New Roman" w:cs="Times New Roman" w:eastAsia="Times New Roman" w:hint="default"/>
          <w:spacing w:val="-2"/>
        </w:rPr>
        <w:t>14</w:t>
      </w:r>
      <w:r>
        <w:rPr>
          <w:spacing w:val="-2"/>
        </w:rPr>
        <w:t>层，总部地址：北京市海淀区中关村南大街</w:t>
      </w:r>
      <w:r>
        <w:rPr>
          <w:rFonts w:ascii="Times New Roman" w:hAnsi="Times New Roman" w:cs="Times New Roman" w:eastAsia="Times New Roman" w:hint="default"/>
          <w:spacing w:val="-2"/>
        </w:rPr>
        <w:t>6</w:t>
      </w:r>
      <w:r>
        <w:rPr>
          <w:spacing w:val="-2"/>
        </w:rPr>
        <w:t>号</w:t>
      </w:r>
      <w:r>
        <w:rPr>
          <w:rFonts w:ascii="Times New Roman" w:hAnsi="Times New Roman" w:cs="Times New Roman" w:eastAsia="Times New Roman" w:hint="default"/>
          <w:spacing w:val="-2"/>
        </w:rPr>
        <w:t>14</w:t>
      </w:r>
      <w:r>
        <w:rPr>
          <w:spacing w:val="-2"/>
        </w:rPr>
        <w:t>层。本公司主要经营活动为：技术开发、技术转让、技术</w:t>
      </w:r>
      <w:r>
        <w:rPr>
          <w:spacing w:val="-65"/>
        </w:rPr>
        <w:t> </w:t>
      </w:r>
      <w:r>
        <w:rPr>
          <w:spacing w:val="-65"/>
        </w:rPr>
      </w:r>
      <w:r>
        <w:rPr>
          <w:spacing w:val="-2"/>
        </w:rPr>
        <w:t>咨询、技术服务；计算机系统服务；计算机维修；销售电子产品、计算机、软件及辅助设备、仪器仪表；货物进出口、技术</w:t>
      </w:r>
      <w:r>
        <w:rPr>
          <w:spacing w:val="-70"/>
        </w:rPr>
        <w:t> </w:t>
      </w:r>
      <w:r>
        <w:rPr>
          <w:spacing w:val="-70"/>
        </w:rPr>
      </w:r>
      <w:r>
        <w:rPr/>
        <w:t>进出口、代理进出口。本公司的实际控制人为吴飞舟。</w:t>
      </w:r>
    </w:p>
    <w:p>
      <w:pPr>
        <w:pStyle w:val="BodyText"/>
        <w:spacing w:line="300" w:lineRule="auto" w:before="26"/>
        <w:ind w:left="513" w:right="982"/>
        <w:jc w:val="left"/>
      </w:pPr>
      <w:r>
        <w:rPr/>
        <w:t>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日批准报出。 </w:t>
      </w:r>
      <w:r>
        <w:rPr>
          <w:spacing w:val="-2"/>
        </w:rPr>
        <w:t>本公司</w:t>
      </w:r>
      <w:r>
        <w:rPr>
          <w:rFonts w:ascii="Times New Roman" w:hAnsi="Times New Roman" w:cs="Times New Roman" w:eastAsia="Times New Roman" w:hint="default"/>
          <w:spacing w:val="-2"/>
        </w:rPr>
        <w:t>2019</w:t>
      </w:r>
      <w:r>
        <w:rPr>
          <w:spacing w:val="-2"/>
        </w:rPr>
        <w:t>年度纳入合并范围的子公司共</w:t>
      </w:r>
      <w:r>
        <w:rPr>
          <w:rFonts w:ascii="Times New Roman" w:hAnsi="Times New Roman" w:cs="Times New Roman" w:eastAsia="Times New Roman" w:hint="default"/>
          <w:spacing w:val="-2"/>
        </w:rPr>
        <w:t>16</w:t>
      </w:r>
      <w:r>
        <w:rPr>
          <w:spacing w:val="-2"/>
        </w:rPr>
        <w:t>户，详见本附注九</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。本公司本年度合并范围比上年度</w:t>
      </w:r>
    </w:p>
    <w:p>
      <w:pPr>
        <w:pStyle w:val="BodyText"/>
        <w:spacing w:line="240" w:lineRule="auto" w:before="13"/>
        <w:ind w:right="982"/>
        <w:jc w:val="left"/>
      </w:pPr>
      <w:r>
        <w:rPr/>
        <w:t>增加</w:t>
      </w:r>
      <w:r>
        <w:rPr>
          <w:rFonts w:ascii="Times New Roman" w:hAnsi="Times New Roman" w:cs="Times New Roman" w:eastAsia="Times New Roman" w:hint="default"/>
        </w:rPr>
        <w:t>1</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6"/>
        </w:rPr>
        <w:t> </w:t>
      </w:r>
      <w:r>
        <w:rPr>
          <w:spacing w:val="-46"/>
        </w:rPr>
      </w:r>
      <w:r>
        <w:rPr/>
        <w:t>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2"/>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公司具有良好的经营业绩且不存在财务、经营以及其他方面的可能导致对持续经营假设产生重大疑虑的事项或情况，自</w:t>
      </w:r>
      <w:r>
        <w:rPr/>
        <w:t> 报告期末起</w:t>
      </w:r>
      <w:r>
        <w:rPr>
          <w:rFonts w:ascii="Times New Roman" w:hAnsi="Times New Roman" w:cs="Times New Roman" w:eastAsia="Times New Roman" w:hint="default"/>
        </w:rPr>
        <w:t>12</w:t>
      </w:r>
      <w:r>
        <w:rPr/>
        <w:t>个月内具备持续经营能力。</w:t>
      </w:r>
    </w:p>
    <w:p>
      <w:pPr>
        <w:spacing w:line="240" w:lineRule="auto" w:before="5"/>
        <w:rPr>
          <w:rFonts w:ascii="宋体" w:hAnsi="宋体" w:cs="宋体" w:eastAsia="宋体" w:hint="default"/>
          <w:sz w:val="19"/>
          <w:szCs w:val="19"/>
        </w:rPr>
      </w:pPr>
    </w:p>
    <w:p>
      <w:pPr>
        <w:pStyle w:val="Heading2"/>
        <w:spacing w:line="240" w:lineRule="auto"/>
        <w:ind w:right="982"/>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982" w:hanging="360"/>
        <w:jc w:val="left"/>
      </w:pPr>
      <w:r>
        <w:rPr/>
        <w:t>具体会计政策和会计估计提示： </w:t>
      </w:r>
      <w:r>
        <w:rPr>
          <w:spacing w:val="-2"/>
        </w:rPr>
        <w:t>本公司及子公司主要从事技术开发、技术转让、技术咨询、技术服务；计算机系统服务。本公司及各子公司根据实际生</w:t>
      </w:r>
    </w:p>
    <w:p>
      <w:pPr>
        <w:pStyle w:val="BodyText"/>
        <w:spacing w:line="222" w:lineRule="exact"/>
        <w:ind w:right="982"/>
        <w:jc w:val="left"/>
      </w:pPr>
      <w:r>
        <w:rPr/>
        <w:t>产经营特点，依据相关企业会计准则的规定，对收入确认、研究开发支出等交易和事项制定了若干项具体会计政策和会计估</w:t>
      </w:r>
    </w:p>
    <w:p>
      <w:pPr>
        <w:pStyle w:val="BodyText"/>
        <w:spacing w:line="240" w:lineRule="auto" w:before="76"/>
        <w:ind w:right="982"/>
        <w:jc w:val="left"/>
      </w:pPr>
      <w:r>
        <w:rPr>
          <w:spacing w:val="-5"/>
        </w:rPr>
        <w:t>计，详见本附注</w:t>
      </w:r>
      <w:r>
        <w:rPr>
          <w:rFonts w:ascii="Times New Roman" w:hAnsi="Times New Roman" w:cs="Times New Roman" w:eastAsia="Times New Roman" w:hint="default"/>
          <w:spacing w:val="-5"/>
        </w:rPr>
        <w:t>“</w:t>
      </w:r>
      <w:r>
        <w:rPr>
          <w:spacing w:val="-5"/>
        </w:rPr>
        <w:t>五、（二十四）收入</w:t>
      </w:r>
      <w:r>
        <w:rPr>
          <w:rFonts w:ascii="Times New Roman" w:hAnsi="Times New Roman" w:cs="Times New Roman" w:eastAsia="Times New Roman" w:hint="default"/>
          <w:spacing w:val="-5"/>
        </w:rPr>
        <w:t>”</w:t>
      </w:r>
      <w:r>
        <w:rPr>
          <w:spacing w:val="-5"/>
        </w:rPr>
        <w:t>。</w:t>
      </w:r>
      <w:r>
        <w:rPr>
          <w:spacing w:val="-17"/>
        </w:rPr>
        <w:t> </w:t>
      </w:r>
      <w:r>
        <w:rPr>
          <w:spacing w:val="-3"/>
        </w:rPr>
        <w:t>关于管理层所作出的重大会计判断和估计的说明，请参阅附注</w:t>
      </w:r>
      <w:r>
        <w:rPr>
          <w:rFonts w:ascii="Times New Roman" w:hAnsi="Times New Roman" w:cs="Times New Roman" w:eastAsia="Times New Roman" w:hint="default"/>
          <w:spacing w:val="-3"/>
        </w:rPr>
        <w:t>“</w:t>
      </w:r>
      <w:r>
        <w:rPr>
          <w:spacing w:val="-3"/>
        </w:rPr>
        <w:t>五、（三十）其他</w:t>
      </w:r>
      <w:r>
        <w:rPr>
          <w:rFonts w:ascii="Times New Roman" w:hAnsi="Times New Roman" w:cs="Times New Roman" w:eastAsia="Times New Roman" w:hint="default"/>
          <w:spacing w:val="-3"/>
        </w:rPr>
        <w:t>”</w:t>
      </w:r>
      <w:r>
        <w:rPr>
          <w:spacing w:val="-3"/>
        </w:rPr>
        <w:t>。</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8" w:firstLine="360"/>
        <w:jc w:val="both"/>
      </w:pPr>
      <w:r>
        <w:rPr>
          <w:spacing w:val="-2"/>
        </w:rPr>
        <w:t>本财务报表符合财政部颁布的企业会计准则的要求，真实、完整地反映了本公司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日的合并及母公司财务状</w:t>
      </w:r>
      <w:r>
        <w:rPr/>
        <w:t> 况以及</w:t>
      </w:r>
      <w:r>
        <w:rPr>
          <w:rFonts w:ascii="Times New Roman" w:hAnsi="Times New Roman" w:cs="Times New Roman" w:eastAsia="Times New Roman" w:hint="default"/>
        </w:rPr>
        <w:t>2019</w:t>
      </w:r>
      <w:r>
        <w:rPr/>
        <w:t>年度的合并及母公司经营成果和现金流量。</w:t>
      </w:r>
    </w:p>
    <w:p>
      <w:pPr>
        <w:spacing w:line="240" w:lineRule="auto" w:before="2"/>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982"/>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本公司营业周期为</w:t>
      </w:r>
      <w:r>
        <w:rPr>
          <w:rFonts w:ascii="Times New Roman" w:hAnsi="Times New Roman" w:cs="Times New Roman" w:eastAsia="Times New Roman" w:hint="default"/>
        </w:rPr>
        <w:t>12</w:t>
      </w:r>
      <w:r>
        <w:rPr/>
        <w:t>个月。</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之境外子公司根据其经营所处的主要经济环境中的货币确定港币为其记账本位币。本公司编制本财务报表时所采用的货币为</w:t>
      </w:r>
      <w:r>
        <w:rPr>
          <w:spacing w:val="-64"/>
        </w:rPr>
        <w:t> </w:t>
      </w:r>
      <w:r>
        <w:rPr>
          <w:spacing w:val="-64"/>
        </w:rPr>
      </w:r>
      <w:r>
        <w:rPr/>
        <w:t>人民币。</w:t>
      </w:r>
    </w:p>
    <w:p>
      <w:pPr>
        <w:spacing w:line="240" w:lineRule="auto" w:before="8"/>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1" w:firstLine="360"/>
        <w:jc w:val="both"/>
      </w:pPr>
      <w:r>
        <w:rPr>
          <w:spacing w:val="-2"/>
        </w:rPr>
        <w:t>同一控制下企业合并：合并方在企业合并中取得的资产和负债，按照合并日被合并方资产、负债（包括最终控制方收购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64"/>
        </w:rPr>
        <w:t> </w:t>
      </w:r>
      <w:r>
        <w:rPr>
          <w:spacing w:val="-64"/>
        </w:rPr>
      </w:r>
      <w:r>
        <w:rPr>
          <w:spacing w:val="-4"/>
        </w:rPr>
        <w:t>账面价值（或发行股份面值总额）的差额，调整资本公积中的股本溢价，资本公积中的股本溢价不足冲减的，调整留存收益。</w:t>
      </w:r>
    </w:p>
    <w:p>
      <w:pPr>
        <w:pStyle w:val="BodyText"/>
        <w:spacing w:line="240" w:lineRule="auto" w:before="19"/>
        <w:ind w:left="513" w:right="982"/>
        <w:jc w:val="left"/>
      </w:pPr>
      <w:r>
        <w:rPr/>
        <w:t>非同一控制下企业合并：购买方在购买日对作为企业合并对价付出的资产、发生或承担的负债按照公允价值计量，公允</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982"/>
        <w:jc w:val="left"/>
      </w:pPr>
      <w:r>
        <w:rPr>
          <w:spacing w:val="-2"/>
        </w:rPr>
        <w:t>价值与其账面价值的差额，计入当期损益。合并成本大于合并中取得的被购买方可辨认净资产公允价值份额的差额，确认为</w:t>
      </w:r>
      <w:r>
        <w:rPr>
          <w:spacing w:val="-63"/>
        </w:rPr>
        <w:t> </w:t>
      </w:r>
      <w:r>
        <w:rPr>
          <w:spacing w:val="-63"/>
        </w:rPr>
      </w:r>
      <w:r>
        <w:rPr/>
        <w:t>商誉；合并成本小于合并中取得的被购买方可辨认净资产公允价值份额的差额，计入当期损益。</w:t>
      </w:r>
    </w:p>
    <w:p>
      <w:pPr>
        <w:pStyle w:val="BodyText"/>
        <w:spacing w:line="316" w:lineRule="auto" w:before="58"/>
        <w:ind w:right="982"/>
        <w:jc w:val="left"/>
      </w:pPr>
      <w:r>
        <w:rPr>
          <w:spacing w:val="-2"/>
        </w:rPr>
        <w:t>为企业合并发生的直接相关费用于发生时计入当期损益；为企业合并而发行权益性证券或债务性证券的交易费用，计入权益</w:t>
      </w:r>
      <w:r>
        <w:rPr>
          <w:spacing w:val="-64"/>
        </w:rPr>
        <w:t> </w:t>
      </w:r>
      <w:r>
        <w:rPr>
          <w:spacing w:val="-64"/>
        </w:rPr>
      </w:r>
      <w:r>
        <w:rPr/>
        <w:t>性证券或债务性证券的初始确认金额。</w:t>
      </w:r>
    </w:p>
    <w:p>
      <w:pPr>
        <w:spacing w:line="240" w:lineRule="auto" w:before="6"/>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spacing w:line="309" w:lineRule="auto" w:before="0"/>
        <w:ind w:left="513" w:right="39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、合并范围</w:t>
      </w:r>
      <w:r>
        <w:rPr>
          <w:rFonts w:ascii="宋体" w:hAnsi="宋体" w:cs="宋体" w:eastAsia="宋体" w:hint="default"/>
          <w:b/>
          <w:bCs/>
          <w:w w:val="99"/>
          <w:sz w:val="18"/>
          <w:szCs w:val="18"/>
        </w:rPr>
        <w:t> </w:t>
      </w:r>
      <w:r>
        <w:rPr>
          <w:rFonts w:ascii="宋体" w:hAnsi="宋体" w:cs="宋体" w:eastAsia="宋体" w:hint="default"/>
          <w:sz w:val="18"/>
          <w:szCs w:val="18"/>
        </w:rPr>
        <w:t>合并财务报表的合并范围以控制为基础确定，合并范围包括本公司及全部子公司。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、合并程序</w:t>
      </w:r>
      <w:r>
        <w:rPr>
          <w:rFonts w:ascii="宋体" w:hAnsi="宋体" w:cs="宋体" w:eastAsia="宋体" w:hint="default"/>
          <w:sz w:val="18"/>
          <w:szCs w:val="18"/>
        </w:rPr>
      </w:r>
    </w:p>
    <w:p>
      <w:pPr>
        <w:pStyle w:val="BodyText"/>
        <w:spacing w:line="319" w:lineRule="auto" w:before="5"/>
        <w:ind w:right="1131" w:firstLine="360"/>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16" w:lineRule="auto" w:before="17"/>
        <w:ind w:right="982"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right="113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00" w:lineRule="auto" w:before="19"/>
        <w:ind w:left="513" w:right="982"/>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2"/>
        <w:ind w:right="982"/>
        <w:jc w:val="left"/>
      </w:pPr>
      <w:r>
        <w:rPr>
          <w:spacing w:val="-2"/>
        </w:rPr>
        <w:t>期期初至报告期末的收入、费用、利润纳入合并利润表；将子公司或业务合并当期期初至报告期末的现金流量纳入合并现金</w:t>
      </w:r>
      <w:r>
        <w:rPr>
          <w:spacing w:val="-67"/>
        </w:rPr>
        <w:t> </w:t>
      </w:r>
      <w:r>
        <w:rPr>
          <w:spacing w:val="-67"/>
        </w:rPr>
      </w:r>
      <w:r>
        <w:rPr/>
        <w:t>流量表，同时对比较报表的相关项目进行调整，视同合并后的报告主体自最终控制方开始控制时点起一直存在。</w:t>
      </w:r>
    </w:p>
    <w:p>
      <w:pPr>
        <w:pStyle w:val="BodyText"/>
        <w:spacing w:line="316" w:lineRule="auto" w:before="19"/>
        <w:ind w:right="113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13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9" w:lineRule="auto" w:before="19"/>
        <w:ind w:right="113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3"/>
        </w:rPr>
        <w:t> </w:t>
      </w:r>
      <w:r>
        <w:rPr>
          <w:spacing w:val="-63"/>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7"/>
        <w:ind w:left="513" w:right="982"/>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left="513" w:right="982"/>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9"/>
        <w:ind w:left="513" w:right="982"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982"/>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p>
    <w:p>
      <w:pPr>
        <w:spacing w:after="0" w:line="316"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3"/>
        <w:jc w:val="left"/>
      </w:pP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17"/>
        <w:ind w:left="513" w:right="982"/>
        <w:jc w:val="left"/>
      </w:pPr>
      <w:r>
        <w:rPr/>
        <w:t>因其他投资方对子公司增资而导致本公司持股比例下降从而丧失控制权的，按照上述原则进行会计处理。</w:t>
      </w:r>
    </w:p>
    <w:p>
      <w:pPr>
        <w:pStyle w:val="BodyText"/>
        <w:spacing w:line="316" w:lineRule="auto" w:before="76"/>
        <w:ind w:left="513" w:right="982"/>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04" w:lineRule="auto" w:before="19"/>
        <w:ind w:left="513" w:right="3553" w:hanging="360"/>
        <w:jc w:val="left"/>
      </w:pPr>
      <w:r>
        <w:rPr/>
        <w:t>影响符合以下一种或多种情况，通常表明应将多次交易事项作为一揽子交易进行会计处理： </w:t>
      </w:r>
      <w:r>
        <w:rPr>
          <w:rFonts w:ascii="Times New Roman" w:hAnsi="Times New Roman" w:cs="Times New Roman" w:eastAsia="Times New Roman" w:hint="default"/>
        </w:rPr>
        <w:t>ⅰ</w:t>
      </w:r>
      <w:r>
        <w:rPr/>
        <w:t>．这些交易是同时或者在考虑了彼此影响的情况下订立的； </w:t>
      </w:r>
      <w:r>
        <w:rPr>
          <w:rFonts w:ascii="Times New Roman" w:hAnsi="Times New Roman" w:cs="Times New Roman" w:eastAsia="Times New Roman" w:hint="default"/>
        </w:rPr>
        <w:t>ⅱ</w:t>
      </w:r>
      <w:r>
        <w:rPr/>
        <w:t>．这些交易整体才能达成一项完整的商业结果； </w:t>
      </w:r>
      <w:r>
        <w:rPr>
          <w:rFonts w:ascii="Times New Roman" w:hAnsi="Times New Roman" w:cs="Times New Roman" w:eastAsia="Times New Roman" w:hint="default"/>
        </w:rPr>
        <w:t>ⅲ</w:t>
      </w:r>
      <w:r>
        <w:rPr/>
        <w:t>．一项交易的发生取决于其他至少一项交易的发生； </w:t>
      </w:r>
      <w:r>
        <w:rPr>
          <w:rFonts w:ascii="Times New Roman" w:hAnsi="Times New Roman" w:cs="Times New Roman" w:eastAsia="Times New Roman" w:hint="default"/>
        </w:rPr>
        <w:t>ⅳ</w:t>
      </w:r>
      <w:r>
        <w:rPr/>
        <w:t>．一项交易单独看是不经济的，但是和其他交易一并考虑时是经济的。</w:t>
      </w:r>
    </w:p>
    <w:p>
      <w:pPr>
        <w:pStyle w:val="BodyText"/>
        <w:spacing w:line="319" w:lineRule="auto" w:before="9"/>
        <w:ind w:right="1129"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6" w:lineRule="auto" w:before="17"/>
        <w:ind w:right="982"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9"/>
        <w:ind w:left="513" w:right="982"/>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31"/>
        <w:ind w:right="982"/>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26" w:lineRule="auto" w:before="19"/>
        <w:ind w:right="982" w:firstLine="36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w:t>
      </w:r>
      <w:r>
        <w:rPr>
          <w:spacing w:val="-11"/>
        </w:rPr>
        <w:t> </w:t>
      </w:r>
      <w:r>
        <w:rPr>
          <w:spacing w:val="-11"/>
        </w:rPr>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12"/>
        <w:rPr>
          <w:rFonts w:ascii="宋体" w:hAnsi="宋体" w:cs="宋体" w:eastAsia="宋体" w:hint="default"/>
          <w:sz w:val="21"/>
          <w:szCs w:val="21"/>
        </w:rPr>
      </w:pPr>
    </w:p>
    <w:p>
      <w:pPr>
        <w:pStyle w:val="Heading4"/>
        <w:spacing w:line="240" w:lineRule="auto"/>
        <w:ind w:right="982"/>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247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513" w:right="982"/>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13" w:right="982"/>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13" w:right="982"/>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13" w:right="982"/>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513" w:right="4363"/>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五、（十三）长期股权投资</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8"/>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Heading5"/>
        <w:spacing w:line="240" w:lineRule="auto" w:before="0"/>
        <w:ind w:right="982"/>
        <w:jc w:val="left"/>
        <w:rPr>
          <w:b w:val="0"/>
          <w:bCs w:val="0"/>
        </w:rPr>
      </w:pPr>
      <w:r>
        <w:rPr>
          <w:rFonts w:ascii="Times New Roman" w:hAnsi="Times New Roman" w:cs="Times New Roman" w:eastAsia="Times New Roman" w:hint="default"/>
        </w:rPr>
        <w:t>1</w:t>
      </w:r>
      <w:r>
        <w:rPr/>
        <w:t>、外币业务</w:t>
      </w:r>
      <w:r>
        <w:rPr>
          <w:b w:val="0"/>
          <w:bCs w:val="0"/>
        </w:rPr>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b/>
          <w:bCs/>
          <w:sz w:val="25"/>
          <w:szCs w:val="25"/>
        </w:rPr>
      </w:pPr>
    </w:p>
    <w:p>
      <w:pPr>
        <w:pStyle w:val="BodyText"/>
        <w:spacing w:line="319" w:lineRule="auto" w:before="44"/>
        <w:ind w:left="513" w:right="982"/>
        <w:jc w:val="left"/>
      </w:pPr>
      <w:r>
        <w:rPr/>
        <w:t>外币业务采用交易发生日的即期汇率作为折算汇率将外币金额折合成人民币记账。 </w:t>
      </w:r>
      <w:r>
        <w:rPr>
          <w:spacing w:val="-2"/>
        </w:rPr>
        <w:t>资产负债表日外币货币性项目余额按资产负债表日即期汇率折算，由此产生的汇兑差额，除属于与购建符合资本化条件</w:t>
      </w:r>
    </w:p>
    <w:p>
      <w:pPr>
        <w:pStyle w:val="BodyText"/>
        <w:spacing w:line="240" w:lineRule="auto" w:before="17"/>
        <w:ind w:right="982"/>
        <w:jc w:val="left"/>
      </w:pPr>
      <w:r>
        <w:rPr/>
        <w:t>的资产相关的外币专门借款产生的汇兑差额按照借款费用资本化的原则处理外，均计入当期损益。</w:t>
      </w:r>
    </w:p>
    <w:p>
      <w:pPr>
        <w:pStyle w:val="BodyText"/>
        <w:spacing w:line="300" w:lineRule="auto" w:before="76"/>
        <w:ind w:left="513" w:right="982"/>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编制合并财务报表涉及境外经营的，如有实质上构成对境外经营净投资的外币货币性项目，因汇率变动而产生的汇兑差</w:t>
      </w:r>
    </w:p>
    <w:p>
      <w:pPr>
        <w:pStyle w:val="BodyText"/>
        <w:spacing w:line="300" w:lineRule="auto" w:before="31"/>
        <w:ind w:left="513" w:right="982"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right="1033"/>
        <w:jc w:val="left"/>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3"/>
        </w:rPr>
        <w:t> </w:t>
      </w:r>
      <w:r>
        <w:rPr>
          <w:spacing w:val="-43"/>
        </w:rPr>
      </w:r>
      <w:r>
        <w:rPr>
          <w:spacing w:val="-2"/>
        </w:rPr>
        <w:t>交易发生日的当期平均汇率折算。年初未分配利润为上一年折算后的期末未分配利润；期末未分配利润按折算后的利润分配</w:t>
      </w:r>
      <w:r>
        <w:rPr>
          <w:spacing w:val="-64"/>
        </w:rPr>
        <w:t> </w:t>
      </w:r>
      <w:r>
        <w:rPr>
          <w:spacing w:val="-64"/>
        </w:rPr>
      </w:r>
      <w:r>
        <w:rPr>
          <w:spacing w:val="-2"/>
        </w:rPr>
        <w:t>各项目计算列示；折算后资产类项目与负债类项目和股东权益类项目合计数的差额，作为外币报表折算差额，确认为其他综</w:t>
      </w:r>
      <w:r>
        <w:rPr>
          <w:spacing w:val="-63"/>
        </w:rPr>
        <w:t> </w:t>
      </w:r>
      <w:r>
        <w:rPr>
          <w:spacing w:val="-63"/>
        </w:rPr>
      </w:r>
      <w:r>
        <w:rPr/>
        <w:t>合收益。处置境外经营并丧失控制权时，将资产负债表中股东权益项目下列示的、与该境外经营相关的外币报表折算差额， 全部或按处置该境外经营的比例转入处置当期损益。</w:t>
      </w:r>
    </w:p>
    <w:p>
      <w:pPr>
        <w:pStyle w:val="BodyText"/>
        <w:spacing w:line="316" w:lineRule="auto" w:before="21"/>
        <w:ind w:right="1132" w:firstLine="360"/>
        <w:jc w:val="both"/>
      </w:pPr>
      <w:r>
        <w:rPr>
          <w:spacing w:val="-2"/>
        </w:rPr>
        <w:t>外币现金流量以及境外子公司的现金流量，采用现金流量发生日的当期平均汇率折算。汇率变动对现金的影响额作为调</w:t>
      </w:r>
      <w:r>
        <w:rPr/>
        <w:t> 节项目，在现金流量表中单独列报。</w:t>
      </w:r>
    </w:p>
    <w:p>
      <w:pPr>
        <w:pStyle w:val="BodyText"/>
        <w:spacing w:line="316" w:lineRule="auto" w:before="19"/>
        <w:ind w:left="513" w:right="1033"/>
        <w:jc w:val="left"/>
      </w:pPr>
      <w:r>
        <w:rPr/>
        <w:t>年初数和上年实际数按照上年财务报表折算后的数额列示。年初数和上年实际数按照上年财务报表折算后的数额列示。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9"/>
        <w:ind w:left="513" w:right="1027" w:hanging="360"/>
        <w:jc w:val="left"/>
      </w:pPr>
      <w:r>
        <w:rPr/>
        <w:t>表中所有者权益项目下列示的</w:t>
      </w:r>
      <w:r>
        <w:rPr>
          <w:spacing w:val="-87"/>
        </w:rPr>
        <w:t>、</w:t>
      </w:r>
      <w:r>
        <w:rPr/>
        <w:t>与该境外经营相关的归属于母公司所有者权益的外币报表折算差额</w:t>
      </w:r>
      <w:r>
        <w:rPr>
          <w:spacing w:val="-87"/>
        </w:rPr>
        <w:t>，</w:t>
      </w:r>
      <w:r>
        <w:rPr/>
        <w:t>全部转入处置当期损益。</w:t>
      </w:r>
      <w:r>
        <w:rPr/>
        <w:t> 在处置部分股权投资或其他原因导致持有境外经营权益比例降低但不丧失对境外经营控制权时</w:t>
      </w:r>
      <w:r>
        <w:rPr>
          <w:spacing w:val="-82"/>
        </w:rPr>
        <w:t>，</w:t>
      </w:r>
      <w:r>
        <w:rPr/>
        <w:t>与该境外经营处置部分</w:t>
      </w:r>
    </w:p>
    <w:p>
      <w:pPr>
        <w:pStyle w:val="BodyText"/>
        <w:spacing w:line="316" w:lineRule="auto" w:before="19"/>
        <w:ind w:right="1033"/>
        <w:jc w:val="left"/>
      </w:pPr>
      <w:r>
        <w:rPr/>
        <w:t>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BodyText"/>
        <w:spacing w:line="309" w:lineRule="auto" w:before="19"/>
        <w:ind w:right="1130" w:firstLine="360"/>
        <w:jc w:val="both"/>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r>
        <w:rPr/>
        <w:t> </w:t>
      </w:r>
      <w:r>
        <w:rPr>
          <w:spacing w:val="-2"/>
        </w:rPr>
        <w:t>目采用发生时的即期汇率折算。利润表中的收入和费用项目，采用交易发生日的即期汇率（或：采用按照系统合理的方法确</w:t>
      </w:r>
      <w:r>
        <w:rPr>
          <w:spacing w:val="-64"/>
        </w:rPr>
        <w:t> </w:t>
      </w:r>
      <w:r>
        <w:rPr>
          <w:spacing w:val="-64"/>
        </w:rPr>
      </w:r>
      <w:r>
        <w:rPr/>
        <w:t>定的、与交易发生日即期汇率近似的汇率。提示：若采用此种方法，应明示何种方法何种口径）折算。</w:t>
      </w:r>
    </w:p>
    <w:p>
      <w:pPr>
        <w:pStyle w:val="BodyText"/>
        <w:spacing w:line="240" w:lineRule="auto" w:before="65"/>
        <w:ind w:right="982"/>
        <w:jc w:val="left"/>
      </w:pPr>
      <w:r>
        <w:rPr/>
        <w:t>处置境外经营时，将与该境外经营相关的外币财务报表折算差额，自所有者权益项目转入处置当期损益。</w:t>
      </w:r>
    </w:p>
    <w:p>
      <w:pPr>
        <w:spacing w:line="240" w:lineRule="auto" w:before="11"/>
        <w:rPr>
          <w:rFonts w:ascii="宋体" w:hAnsi="宋体" w:cs="宋体" w:eastAsia="宋体" w:hint="default"/>
          <w:sz w:val="26"/>
          <w:szCs w:val="26"/>
        </w:rPr>
      </w:pPr>
    </w:p>
    <w:p>
      <w:pPr>
        <w:pStyle w:val="Heading4"/>
        <w:spacing w:line="240" w:lineRule="auto"/>
        <w:ind w:right="982"/>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spacing w:line="309" w:lineRule="auto" w:before="0"/>
        <w:ind w:left="573" w:right="6553" w:firstLine="0"/>
        <w:jc w:val="left"/>
        <w:rPr>
          <w:rFonts w:ascii="宋体" w:hAnsi="宋体" w:cs="宋体" w:eastAsia="宋体" w:hint="default"/>
          <w:sz w:val="18"/>
          <w:szCs w:val="18"/>
        </w:rPr>
      </w:pPr>
      <w:r>
        <w:rPr>
          <w:rFonts w:ascii="宋体" w:hAnsi="宋体" w:cs="宋体" w:eastAsia="宋体" w:hint="default"/>
          <w:sz w:val="18"/>
          <w:szCs w:val="18"/>
        </w:rPr>
        <w:t>金融工具包括金融资产、金融负债和权益工具。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、金融工具的分类</w:t>
      </w:r>
      <w:r>
        <w:rPr>
          <w:rFonts w:ascii="宋体" w:hAnsi="宋体" w:cs="宋体" w:eastAsia="宋体" w:hint="default"/>
          <w:b/>
          <w:bCs/>
          <w:w w:val="99"/>
          <w:sz w:val="18"/>
          <w:szCs w:val="18"/>
        </w:rPr>
        <w:t> </w:t>
      </w:r>
      <w:r>
        <w:rPr>
          <w:rFonts w:ascii="宋体" w:hAnsi="宋体" w:cs="宋体" w:eastAsia="宋体" w:hint="default"/>
          <w:b/>
          <w:bCs/>
          <w:sz w:val="18"/>
          <w:szCs w:val="18"/>
        </w:rPr>
        <w:t>自</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日起适用的会计政策</w:t>
      </w:r>
      <w:r>
        <w:rPr>
          <w:rFonts w:ascii="宋体" w:hAnsi="宋体" w:cs="宋体" w:eastAsia="宋体" w:hint="default"/>
          <w:sz w:val="18"/>
          <w:szCs w:val="18"/>
        </w:rPr>
      </w:r>
    </w:p>
    <w:p>
      <w:pPr>
        <w:pStyle w:val="BodyText"/>
        <w:spacing w:line="316" w:lineRule="auto" w:before="5"/>
        <w:ind w:right="1132" w:firstLine="360"/>
        <w:jc w:val="both"/>
      </w:pPr>
      <w:r>
        <w:rPr>
          <w:spacing w:val="-2"/>
        </w:rPr>
        <w:t>根据本公司管理金融资产的业务模式和金融资产的合同现金流量特征，金融资产于初始确认时分类为：以摊余成本计量</w:t>
      </w:r>
      <w:r>
        <w:rPr/>
        <w:t> </w:t>
      </w:r>
      <w:r>
        <w:rPr>
          <w:spacing w:val="-2"/>
        </w:rPr>
        <w:t>的金融资产、以公允价值计量且其变动计入其他综合收益的金融资产（债务工具）和以公允价值计量且其变动计入当期损益</w:t>
      </w:r>
      <w:r>
        <w:rPr>
          <w:spacing w:val="-66"/>
        </w:rPr>
        <w:t> </w:t>
      </w:r>
      <w:r>
        <w:rPr>
          <w:spacing w:val="-66"/>
        </w:rPr>
      </w:r>
      <w:r>
        <w:rPr/>
        <w:t>的金融资产。</w:t>
      </w:r>
    </w:p>
    <w:p>
      <w:pPr>
        <w:pStyle w:val="BodyText"/>
        <w:spacing w:line="319" w:lineRule="auto" w:before="19"/>
        <w:ind w:right="1132" w:firstLine="360"/>
        <w:jc w:val="both"/>
      </w:pPr>
      <w:r>
        <w:rPr>
          <w:spacing w:val="-2"/>
        </w:rPr>
        <w:t>业务模式是以收取合同现金流量为目标且合同现金流量仅为对本金和以未偿付本金金额为基础的利息的支付的，分类为</w:t>
      </w:r>
      <w:r>
        <w:rPr/>
        <w:t> </w:t>
      </w:r>
      <w:r>
        <w:rPr>
          <w:spacing w:val="-2"/>
        </w:rPr>
        <w:t>以摊余成本计量的金融资产；业务模式既以收取合同现金流量又以出售该金融资产为目标且合同现金流量仅为对本金和以未</w:t>
      </w:r>
      <w:r>
        <w:rPr>
          <w:spacing w:val="-64"/>
        </w:rPr>
        <w:t> </w:t>
      </w:r>
      <w:r>
        <w:rPr>
          <w:spacing w:val="-64"/>
        </w:rPr>
      </w:r>
      <w:r>
        <w:rPr>
          <w:spacing w:val="-2"/>
        </w:rPr>
        <w:t>偿付本金金额为基础的利息的支付的，分类为以公允价值计量且其变动计入其他综合收益的金融资产（债务工具）；除此之</w:t>
      </w:r>
      <w:r>
        <w:rPr>
          <w:spacing w:val="-66"/>
        </w:rPr>
        <w:t> </w:t>
      </w:r>
      <w:r>
        <w:rPr>
          <w:spacing w:val="-66"/>
        </w:rPr>
      </w:r>
      <w:r>
        <w:rPr/>
        <w:t>外的其他金融资产，分类为以公允价值计量且其变动计入当期损益的金融资产。</w:t>
      </w:r>
    </w:p>
    <w:p>
      <w:pPr>
        <w:pStyle w:val="BodyText"/>
        <w:spacing w:line="316" w:lineRule="auto" w:before="17"/>
        <w:ind w:right="1132" w:firstLine="360"/>
        <w:jc w:val="both"/>
      </w:pPr>
      <w:r>
        <w:rPr>
          <w:spacing w:val="-2"/>
        </w:rPr>
        <w:t>对于非交易性权益工具投资，本公司在初始确认时确定是否将其指定为以公允价值计量且其变动计入其他综合收益的金</w:t>
      </w:r>
      <w:r>
        <w:rPr/>
        <w:t> </w:t>
      </w:r>
      <w:r>
        <w:rPr>
          <w:spacing w:val="-2"/>
        </w:rPr>
        <w:t>融资产（权益工具）。在初始确认时，为了能够消除或显著减少会计错配，可以将金融资产指定为以公允价值计量且其变动</w:t>
      </w:r>
      <w:r>
        <w:rPr>
          <w:spacing w:val="-65"/>
        </w:rPr>
        <w:t> </w:t>
      </w:r>
      <w:r>
        <w:rPr>
          <w:spacing w:val="-65"/>
        </w:rPr>
      </w:r>
      <w:r>
        <w:rPr>
          <w:spacing w:val="-2"/>
        </w:rPr>
        <w:t>计入当期损益的金融资产，按照上述条件，本公司指定的这类金融资产将其指定为以公允价值计量且其变动计入其他综合收</w:t>
      </w:r>
      <w:r>
        <w:rPr>
          <w:spacing w:val="-64"/>
        </w:rPr>
        <w:t> </w:t>
      </w:r>
      <w:r>
        <w:rPr>
          <w:spacing w:val="-64"/>
        </w:rPr>
      </w:r>
      <w:r>
        <w:rPr>
          <w:spacing w:val="-2"/>
        </w:rPr>
        <w:t>益的金融资产（权益工具）。金融负债于初始确认时分类为：以公允价值计量且其变动计入当期损益的金融负债和以摊余成</w:t>
      </w:r>
      <w:r>
        <w:rPr>
          <w:spacing w:val="-67"/>
        </w:rPr>
        <w:t> </w:t>
      </w:r>
      <w:r>
        <w:rPr>
          <w:spacing w:val="-67"/>
        </w:rPr>
      </w:r>
      <w:r>
        <w:rPr>
          <w:spacing w:val="-2"/>
        </w:rPr>
        <w:t>本计量的金融负债。金融负债于初始确认时分类为：以公允价值计量且其变动计入当期损益的金融负债和以摊余成本计量的</w:t>
      </w:r>
      <w:r>
        <w:rPr>
          <w:spacing w:val="-64"/>
        </w:rPr>
        <w:t> </w:t>
      </w:r>
      <w:r>
        <w:rPr>
          <w:spacing w:val="-64"/>
        </w:rPr>
      </w:r>
      <w:r>
        <w:rPr/>
        <w:t>金融负债。</w:t>
      </w:r>
    </w:p>
    <w:p>
      <w:pPr>
        <w:pStyle w:val="Heading5"/>
        <w:spacing w:line="240" w:lineRule="auto" w:before="18"/>
        <w:ind w:left="575" w:right="982"/>
        <w:jc w:val="left"/>
        <w:rPr>
          <w:b w:val="0"/>
          <w:bCs w:val="0"/>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b w:val="0"/>
          <w:bCs w:val="0"/>
        </w:rPr>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b/>
          <w:bCs/>
          <w:sz w:val="25"/>
          <w:szCs w:val="25"/>
        </w:rPr>
      </w:pPr>
    </w:p>
    <w:p>
      <w:pPr>
        <w:pStyle w:val="BodyText"/>
        <w:spacing w:line="319" w:lineRule="auto" w:before="44"/>
        <w:ind w:right="1132" w:firstLine="360"/>
        <w:jc w:val="both"/>
      </w:pPr>
      <w:r>
        <w:rPr>
          <w:spacing w:val="-2"/>
        </w:rPr>
        <w:t>金融资产和金融负债于初始确认时分类为：以公允价值计量且其变动计入当期损益的金融资产或金融负债，包括交易性</w:t>
      </w:r>
      <w:r>
        <w:rPr/>
        <w:t> </w:t>
      </w: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Heading5"/>
        <w:spacing w:line="300" w:lineRule="auto" w:before="17"/>
        <w:ind w:left="575" w:right="7593" w:hanging="63"/>
        <w:jc w:val="left"/>
        <w:rPr>
          <w:b w:val="0"/>
          <w:bCs w:val="0"/>
        </w:rPr>
      </w:pPr>
      <w:r>
        <w:rPr>
          <w:rFonts w:ascii="Times New Roman" w:hAnsi="Times New Roman" w:cs="Times New Roman" w:eastAsia="Times New Roman" w:hint="default"/>
        </w:rPr>
        <w:t>2</w:t>
      </w:r>
      <w:r>
        <w:rPr/>
        <w:t>、金融工具的确认依据和计量方法</w:t>
      </w:r>
      <w:r>
        <w:rPr>
          <w:w w:val="99"/>
        </w:rPr>
        <w:t> </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BodyText"/>
        <w:spacing w:line="300" w:lineRule="auto" w:before="13"/>
        <w:ind w:left="513" w:right="982"/>
        <w:jc w:val="left"/>
      </w:pPr>
      <w:r>
        <w:rPr/>
        <w:t>（</w:t>
      </w:r>
      <w:r>
        <w:rPr>
          <w:rFonts w:ascii="Times New Roman" w:hAnsi="Times New Roman" w:cs="Times New Roman" w:eastAsia="Times New Roman" w:hint="default"/>
        </w:rPr>
        <w:t>1</w:t>
      </w:r>
      <w:r>
        <w:rPr/>
        <w:t>）以摊余成本计量的金融资产 </w:t>
      </w:r>
      <w:r>
        <w:rPr>
          <w:spacing w:val="-2"/>
        </w:rPr>
        <w:t>以摊余成本计量的金融资产包括应收票据、应收账款、其他应收款、长期应收款、债权投资等，按公允价值进行初始计</w:t>
      </w:r>
    </w:p>
    <w:p>
      <w:pPr>
        <w:pStyle w:val="BodyText"/>
        <w:spacing w:line="316" w:lineRule="auto" w:before="31"/>
        <w:ind w:right="982"/>
        <w:jc w:val="left"/>
      </w:pPr>
      <w:r>
        <w:rPr>
          <w:spacing w:val="-2"/>
        </w:rPr>
        <w:t>量，相关交易费用计入初始确认金额；不包含重大融资成分的应收账款以及本公司决定不考虑不超过一年的融资成分的应收</w:t>
      </w:r>
      <w:r>
        <w:rPr>
          <w:spacing w:val="-64"/>
        </w:rPr>
        <w:t> </w:t>
      </w:r>
      <w:r>
        <w:rPr>
          <w:spacing w:val="-64"/>
        </w:rPr>
      </w:r>
      <w:r>
        <w:rPr/>
        <w:t>账款，以合同交易价格进行初始计量。</w:t>
      </w:r>
    </w:p>
    <w:p>
      <w:pPr>
        <w:pStyle w:val="BodyText"/>
        <w:spacing w:line="316" w:lineRule="auto" w:before="19"/>
        <w:ind w:left="513" w:right="4093"/>
        <w:jc w:val="left"/>
      </w:pPr>
      <w:r>
        <w:rPr/>
        <w:t>持有期间采用实际利率法计算的利息计入当期损益。 收回或处置时，将取得的价款与该金融资产账面价值之间的差额计入当期损益。</w:t>
      </w:r>
    </w:p>
    <w:p>
      <w:pPr>
        <w:pStyle w:val="BodyText"/>
        <w:spacing w:line="300" w:lineRule="auto" w:before="19"/>
        <w:ind w:left="513" w:right="982"/>
        <w:jc w:val="left"/>
      </w:pPr>
      <w:r>
        <w:rPr/>
        <w:t>（</w:t>
      </w:r>
      <w:r>
        <w:rPr>
          <w:rFonts w:ascii="Times New Roman" w:hAnsi="Times New Roman" w:cs="Times New Roman" w:eastAsia="Times New Roman" w:hint="default"/>
        </w:rPr>
        <w:t>2</w:t>
      </w:r>
      <w:r>
        <w:rPr/>
        <w:t>）以公允价值计量且其变动计入其他综合收益的金融资产（债务工具） </w:t>
      </w:r>
      <w:r>
        <w:rPr>
          <w:spacing w:val="-2"/>
        </w:rPr>
        <w:t>以公允价值计量且其变动计入其他综合收益的金融资产（债务工具）包括应收款项融资、其他债权投资等，按公允价值</w:t>
      </w:r>
    </w:p>
    <w:p>
      <w:pPr>
        <w:pStyle w:val="BodyText"/>
        <w:spacing w:line="316" w:lineRule="auto" w:before="31"/>
        <w:ind w:right="982"/>
        <w:jc w:val="left"/>
      </w:pPr>
      <w:r>
        <w:rPr>
          <w:spacing w:val="-2"/>
        </w:rPr>
        <w:t>进行初始计量，相关交易费用计入初始确认金额。该金融资产按公允价值进行后续计量，公允价值变动除采用实际利率法计</w:t>
      </w:r>
      <w:r>
        <w:rPr>
          <w:spacing w:val="-63"/>
        </w:rPr>
        <w:t> </w:t>
      </w:r>
      <w:r>
        <w:rPr>
          <w:spacing w:val="-63"/>
        </w:rPr>
      </w:r>
      <w:r>
        <w:rPr/>
        <w:t>算的利息、减值损失或利得和汇兑损益之外，均计入其他综合收益。</w:t>
      </w:r>
    </w:p>
    <w:p>
      <w:pPr>
        <w:pStyle w:val="BodyText"/>
        <w:spacing w:line="240" w:lineRule="auto" w:before="19"/>
        <w:ind w:left="513" w:right="982"/>
        <w:jc w:val="left"/>
      </w:pPr>
      <w:r>
        <w:rPr/>
        <w:t>终止确认时，之前计入其他综合收益的累计利得或损失从其他综合收益中转出，计入当期损益。</w:t>
      </w:r>
    </w:p>
    <w:p>
      <w:pPr>
        <w:pStyle w:val="BodyText"/>
        <w:spacing w:line="300" w:lineRule="auto" w:before="76"/>
        <w:ind w:left="513" w:right="982"/>
        <w:jc w:val="left"/>
      </w:pPr>
      <w:r>
        <w:rPr/>
        <w:t>（</w:t>
      </w:r>
      <w:r>
        <w:rPr>
          <w:rFonts w:ascii="Times New Roman" w:hAnsi="Times New Roman" w:cs="Times New Roman" w:eastAsia="Times New Roman" w:hint="default"/>
        </w:rPr>
        <w:t>3</w:t>
      </w:r>
      <w:r>
        <w:rPr/>
        <w:t>）以公允价值计量且其变动计入其他综合收益的金融资产（权益工具） </w:t>
      </w:r>
      <w:r>
        <w:rPr>
          <w:spacing w:val="-2"/>
        </w:rPr>
        <w:t>以公允价值计量且其变动计入其他综合收益的金融资产（权益工具）包括其他权益工具投资等，按公允价值进行初始计</w:t>
      </w:r>
    </w:p>
    <w:p>
      <w:pPr>
        <w:pStyle w:val="BodyText"/>
        <w:spacing w:line="316" w:lineRule="auto" w:before="31"/>
        <w:ind w:right="982"/>
        <w:jc w:val="left"/>
      </w:pPr>
      <w:r>
        <w:rPr>
          <w:spacing w:val="-2"/>
        </w:rPr>
        <w:t>量，相关交易费用计入初始确认金额。该金融资产按公允价值进行后续计量，公允价值变动计入其他综合收益。取得的股利</w:t>
      </w:r>
      <w:r>
        <w:rPr>
          <w:spacing w:val="-65"/>
        </w:rPr>
        <w:t> </w:t>
      </w:r>
      <w:r>
        <w:rPr>
          <w:spacing w:val="-65"/>
        </w:rPr>
      </w:r>
      <w:r>
        <w:rPr/>
        <w:t>计入当期损益。</w:t>
      </w:r>
    </w:p>
    <w:p>
      <w:pPr>
        <w:pStyle w:val="BodyText"/>
        <w:spacing w:line="240" w:lineRule="auto" w:before="19"/>
        <w:ind w:left="513" w:right="982"/>
        <w:jc w:val="left"/>
      </w:pPr>
      <w:r>
        <w:rPr/>
        <w:t>终止确认时，之前计入其他综合收益的累计利得或损失从其他综合收益中转出，计入留存收益。</w:t>
      </w:r>
    </w:p>
    <w:p>
      <w:pPr>
        <w:pStyle w:val="BodyText"/>
        <w:spacing w:line="300" w:lineRule="auto" w:before="76"/>
        <w:ind w:left="513" w:right="982"/>
        <w:jc w:val="left"/>
      </w:pPr>
      <w:r>
        <w:rPr/>
        <w:t>（</w:t>
      </w:r>
      <w:r>
        <w:rPr>
          <w:rFonts w:ascii="Times New Roman" w:hAnsi="Times New Roman" w:cs="Times New Roman" w:eastAsia="Times New Roman" w:hint="default"/>
        </w:rPr>
        <w:t>4</w:t>
      </w:r>
      <w:r>
        <w:rPr/>
        <w:t>）以公允价值计量且其变动计入当期损益的金融资产 </w:t>
      </w:r>
      <w:r>
        <w:rPr>
          <w:spacing w:val="-2"/>
        </w:rPr>
        <w:t>以公允价值计量且其变动计入当期损益的金融资产包括交易性金融资产、衍生金融资产、其他非流动金融资产等，按公</w:t>
      </w:r>
    </w:p>
    <w:p>
      <w:pPr>
        <w:pStyle w:val="BodyText"/>
        <w:spacing w:line="240" w:lineRule="auto" w:before="32"/>
        <w:ind w:right="982"/>
        <w:jc w:val="left"/>
      </w:pPr>
      <w:r>
        <w:rPr/>
        <w:t>允价值进行初始计量，相关交易费用计入当期损益。该金融资产按公允价值进行后续计量，公允价值变动计入当期损益。</w:t>
      </w:r>
    </w:p>
    <w:p>
      <w:pPr>
        <w:pStyle w:val="BodyText"/>
        <w:spacing w:line="300" w:lineRule="auto" w:before="76"/>
        <w:ind w:left="513" w:right="1033"/>
        <w:jc w:val="left"/>
      </w:pPr>
      <w:r>
        <w:rPr/>
        <w:t>（</w:t>
      </w:r>
      <w:r>
        <w:rPr>
          <w:rFonts w:ascii="Times New Roman" w:hAnsi="Times New Roman" w:cs="Times New Roman" w:eastAsia="Times New Roman" w:hint="default"/>
        </w:rPr>
        <w:t>5</w:t>
      </w:r>
      <w:r>
        <w:rPr/>
        <w:t>）以公允价值计量且其变动计入当期损益的金融负债 以公允价值计量且其变动计入当期损益的金融负债包括交易性金融负债、衍生金融负债等，按公允价值进行初始计量，</w:t>
      </w:r>
    </w:p>
    <w:p>
      <w:pPr>
        <w:pStyle w:val="BodyText"/>
        <w:spacing w:line="316" w:lineRule="auto" w:before="31"/>
        <w:ind w:right="982"/>
        <w:jc w:val="left"/>
      </w:pPr>
      <w:r>
        <w:rPr>
          <w:spacing w:val="-2"/>
        </w:rPr>
        <w:t>相关交易费用计入当期损益。该金融负债按公允价值进行后续计量，公允价值变动计入当期损益。终止确认时，其账面价值</w:t>
      </w:r>
      <w:r>
        <w:rPr>
          <w:spacing w:val="-64"/>
        </w:rPr>
        <w:t> </w:t>
      </w:r>
      <w:r>
        <w:rPr>
          <w:spacing w:val="-64"/>
        </w:rPr>
      </w:r>
      <w:r>
        <w:rPr/>
        <w:t>与支付的对价之间的差额计入当期损益。</w:t>
      </w:r>
    </w:p>
    <w:p>
      <w:pPr>
        <w:pStyle w:val="BodyText"/>
        <w:spacing w:line="300" w:lineRule="auto" w:before="19"/>
        <w:ind w:left="513" w:right="982"/>
        <w:jc w:val="left"/>
      </w:pPr>
      <w:r>
        <w:rPr/>
        <w:t>（</w:t>
      </w:r>
      <w:r>
        <w:rPr>
          <w:rFonts w:ascii="Times New Roman" w:hAnsi="Times New Roman" w:cs="Times New Roman" w:eastAsia="Times New Roman" w:hint="default"/>
        </w:rPr>
        <w:t>6</w:t>
      </w:r>
      <w:r>
        <w:rPr/>
        <w:t>）以摊余成本计量的金融负债 </w:t>
      </w:r>
      <w:r>
        <w:rPr>
          <w:spacing w:val="-2"/>
        </w:rPr>
        <w:t>以摊余成本计量的金融负债包括短期借款、应付票据、应付账款、其他应付款、长期借款、应付债券、长期应付款，按</w:t>
      </w:r>
    </w:p>
    <w:p>
      <w:pPr>
        <w:pStyle w:val="BodyText"/>
        <w:spacing w:line="316" w:lineRule="auto" w:before="31"/>
        <w:ind w:left="513" w:right="4273" w:hanging="360"/>
        <w:jc w:val="left"/>
        <w:rPr>
          <w:rFonts w:ascii="宋体" w:hAnsi="宋体" w:cs="宋体" w:eastAsia="宋体" w:hint="default"/>
        </w:rPr>
      </w:pPr>
      <w:r>
        <w:rPr/>
        <w:t>公允价值进行初始计量，相关交易费用计入初始确认金额。 持有期间采用实际利率法计算的利息计入当期损益。 终止确认时，将支付的对价与该金融负债账面价值之间的差额计入当期损益。 </w:t>
      </w: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日前适用的会计政策</w:t>
      </w:r>
      <w:r>
        <w:rPr>
          <w:rFonts w:ascii="宋体" w:hAnsi="宋体" w:cs="宋体" w:eastAsia="宋体" w:hint="default"/>
        </w:rPr>
      </w:r>
    </w:p>
    <w:p>
      <w:pPr>
        <w:pStyle w:val="BodyText"/>
        <w:spacing w:line="300" w:lineRule="auto"/>
        <w:ind w:left="513" w:right="982"/>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6" w:lineRule="auto" w:before="31"/>
        <w:ind w:left="513" w:right="2833"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09" w:lineRule="auto" w:before="19"/>
        <w:ind w:left="513" w:right="982"/>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持有期间按照摊余成本和实际利率（如实际利率与票面利率差别较小的，按票面利率）计算确认利息收入，计入投资收</w:t>
      </w:r>
    </w:p>
    <w:p>
      <w:pPr>
        <w:pStyle w:val="BodyText"/>
        <w:spacing w:line="316" w:lineRule="auto" w:before="24"/>
        <w:ind w:right="982"/>
        <w:jc w:val="left"/>
      </w:pPr>
      <w:r>
        <w:rPr>
          <w:spacing w:val="-2"/>
        </w:rPr>
        <w:t>益。实际利率在取得时确定，在该预期存续期间或适用的更短期间内保持不变处置时，将所取得价款与该投资账面价值之间</w:t>
      </w:r>
      <w:r>
        <w:rPr>
          <w:spacing w:val="-65"/>
        </w:rPr>
        <w:t> </w:t>
      </w:r>
      <w:r>
        <w:rPr>
          <w:spacing w:val="-65"/>
        </w:rPr>
      </w:r>
      <w:r>
        <w:rPr/>
        <w:t>的差额计入投资收益。</w:t>
      </w:r>
    </w:p>
    <w:p>
      <w:pPr>
        <w:spacing w:after="0" w:line="316"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982"/>
        <w:jc w:val="left"/>
      </w:pPr>
      <w:r>
        <w:rPr/>
        <w:t>（</w:t>
      </w: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316" w:lineRule="auto" w:before="31"/>
        <w:ind w:right="1134"/>
        <w:jc w:val="both"/>
      </w:pPr>
      <w:r>
        <w:rPr>
          <w:spacing w:val="-2"/>
        </w:rPr>
        <w:t>权，包括应收账款、其他应收款等，以向购货方应收的合同或协议价款作为初始确认金额；具有融资性质的，按其现值进行</w:t>
      </w:r>
      <w:r>
        <w:rPr>
          <w:spacing w:val="-67"/>
        </w:rPr>
        <w:t> </w:t>
      </w:r>
      <w:r>
        <w:rPr>
          <w:spacing w:val="-67"/>
        </w:rPr>
      </w:r>
      <w:r>
        <w:rPr/>
        <w:t>初始确认。</w:t>
      </w:r>
    </w:p>
    <w:p>
      <w:pPr>
        <w:pStyle w:val="BodyText"/>
        <w:spacing w:line="240" w:lineRule="auto" w:before="19"/>
        <w:ind w:left="513" w:right="982"/>
        <w:jc w:val="left"/>
      </w:pPr>
      <w:r>
        <w:rPr/>
        <w:t>收回或处置时，将取得的价款与该应收款项账面价值之间的差额计入当期损益。</w:t>
      </w:r>
    </w:p>
    <w:p>
      <w:pPr>
        <w:pStyle w:val="BodyText"/>
        <w:spacing w:line="300" w:lineRule="auto" w:before="76"/>
        <w:ind w:left="513" w:right="982"/>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31"/>
        <w:ind w:right="1132"/>
        <w:jc w:val="both"/>
      </w:pPr>
      <w:r>
        <w:rPr>
          <w:spacing w:val="-2"/>
        </w:rPr>
        <w:t>初始确认金额。持有期间将取得的利息或现金股利确认为投资收益。期末以公允价值计量且将公允价值变动计入其他综合收</w:t>
      </w:r>
      <w:r>
        <w:rPr>
          <w:spacing w:val="-64"/>
        </w:rPr>
        <w:t> </w:t>
      </w:r>
      <w:r>
        <w:rPr>
          <w:spacing w:val="-64"/>
        </w:rPr>
      </w:r>
      <w:r>
        <w:rPr>
          <w:spacing w:val="-2"/>
        </w:rPr>
        <w:t>益。但是，在活跃市场中没有报价且其公允价值不能可靠计量的权益工具投资，以及与该权益工具挂钩并须通过交付该权益</w:t>
      </w:r>
      <w:r>
        <w:rPr>
          <w:spacing w:val="-66"/>
        </w:rPr>
        <w:t> </w:t>
      </w:r>
      <w:r>
        <w:rPr>
          <w:spacing w:val="-66"/>
        </w:rPr>
      </w:r>
      <w:r>
        <w:rPr/>
        <w:t>工具结算的衍生金融资产，按照成本计量。</w:t>
      </w:r>
    </w:p>
    <w:p>
      <w:pPr>
        <w:pStyle w:val="BodyText"/>
        <w:spacing w:line="316" w:lineRule="auto" w:before="19"/>
        <w:ind w:right="982"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spacing w:line="309" w:lineRule="auto" w:before="19"/>
        <w:ind w:left="513" w:right="37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16" w:lineRule="auto" w:before="5"/>
        <w:ind w:right="982"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9"/>
        <w:ind w:left="513" w:right="982"/>
        <w:jc w:val="left"/>
      </w:pPr>
      <w:r>
        <w:rPr/>
        <w:t>在判断金融资产转移是否满足上述金融资产终止确认条件时，采用实质重于形式的原则。 </w:t>
      </w:r>
      <w:r>
        <w:rPr>
          <w:spacing w:val="-2"/>
        </w:rPr>
        <w:t>公司将金融资产转移区分为金融资产整体转移和部分转移。金融资产整体转移满足终止确认条件的，将下列两项金额的</w:t>
      </w:r>
    </w:p>
    <w:p>
      <w:pPr>
        <w:pStyle w:val="BodyText"/>
        <w:spacing w:line="240" w:lineRule="auto" w:before="19"/>
        <w:ind w:right="0"/>
        <w:jc w:val="both"/>
      </w:pPr>
      <w:r>
        <w:rPr/>
        <w:t>差额计入当期损益：</w:t>
      </w:r>
    </w:p>
    <w:p>
      <w:pPr>
        <w:pStyle w:val="BodyText"/>
        <w:spacing w:line="240" w:lineRule="auto" w:before="76"/>
        <w:ind w:left="513" w:right="982"/>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1123"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）因转移而收到的对价，与原直接计入所有者权益的公允价值变动累计额（涉及转移的金融资产为以公允价值计量 且其变动计入其他综合收益的金融资产（债务工具）、可供出售金融资产的情形）之和。</w:t>
      </w:r>
    </w:p>
    <w:p>
      <w:pPr>
        <w:pStyle w:val="BodyText"/>
        <w:spacing w:line="316" w:lineRule="auto" w:before="32"/>
        <w:ind w:right="1033"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3" w:right="982"/>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right="1123"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金融资产为以公允价值计量且其变动计入其他综合收益的金融资产（债务工具）、可供出售金融资产的情形）之和。</w:t>
      </w:r>
    </w:p>
    <w:p>
      <w:pPr>
        <w:pStyle w:val="BodyText"/>
        <w:spacing w:line="309" w:lineRule="auto" w:before="31"/>
        <w:ind w:left="513" w:right="982"/>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w:t>
      </w:r>
    </w:p>
    <w:p>
      <w:pPr>
        <w:pStyle w:val="BodyText"/>
        <w:spacing w:line="316" w:lineRule="auto" w:before="24"/>
        <w:ind w:right="1130"/>
        <w:jc w:val="both"/>
      </w:pPr>
      <w:r>
        <w:rPr>
          <w:spacing w:val="-2"/>
        </w:rPr>
        <w:t>新金融负债方式替换现存金融负债，且新金融负债与现存金融负债的合同条款实质上不同的，则终止确认现存金融负债，并</w:t>
      </w:r>
      <w:r>
        <w:rPr>
          <w:spacing w:val="-64"/>
        </w:rPr>
        <w:t> </w:t>
      </w:r>
      <w:r>
        <w:rPr>
          <w:spacing w:val="-64"/>
        </w:rPr>
      </w:r>
      <w:r>
        <w:rPr/>
        <w:t>同时确认新金融负债。</w:t>
      </w:r>
    </w:p>
    <w:p>
      <w:pPr>
        <w:pStyle w:val="BodyText"/>
        <w:spacing w:line="319" w:lineRule="auto" w:before="19"/>
        <w:ind w:right="982"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7"/>
        <w:ind w:right="982"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1033"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300" w:lineRule="auto" w:before="19"/>
        <w:ind w:left="513" w:right="98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、金融资产和金融负债的公允价值的确定方法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存在活跃市场的金融工具，以活跃市场中的报价确定其公允价值。不存在活跃市场的金融工具，采用估值技术确定其公</w:t>
      </w:r>
    </w:p>
    <w:p>
      <w:pPr>
        <w:pStyle w:val="BodyText"/>
        <w:spacing w:line="316" w:lineRule="auto" w:before="31"/>
        <w:ind w:right="1132"/>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p>
    <w:p>
      <w:pPr>
        <w:spacing w:after="0" w:line="316"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spacing w:line="309" w:lineRule="auto" w:before="44"/>
        <w:ind w:left="753" w:right="5533" w:hanging="360"/>
        <w:jc w:val="left"/>
        <w:rPr>
          <w:rFonts w:ascii="宋体" w:hAnsi="宋体" w:cs="宋体" w:eastAsia="宋体" w:hint="default"/>
          <w:sz w:val="18"/>
          <w:szCs w:val="18"/>
        </w:rPr>
      </w:pPr>
      <w:r>
        <w:rPr>
          <w:rFonts w:ascii="宋体" w:hAnsi="宋体" w:cs="宋体" w:eastAsia="宋体" w:hint="default"/>
          <w:sz w:val="18"/>
          <w:szCs w:val="18"/>
        </w:rPr>
        <w:t>值无法取得或取得不切实可行的情况下，才使用不可观察输入值。 </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、金融资产减值的测试方法及会计处理方法</w:t>
      </w:r>
      <w:r>
        <w:rPr>
          <w:rFonts w:ascii="宋体" w:hAnsi="宋体" w:cs="宋体" w:eastAsia="宋体" w:hint="default"/>
          <w:b/>
          <w:bCs/>
          <w:w w:val="99"/>
          <w:sz w:val="18"/>
          <w:szCs w:val="18"/>
        </w:rPr>
        <w:t> </w:t>
      </w:r>
      <w:r>
        <w:rPr>
          <w:rFonts w:ascii="宋体" w:hAnsi="宋体" w:cs="宋体" w:eastAsia="宋体" w:hint="default"/>
          <w:b/>
          <w:bCs/>
          <w:sz w:val="18"/>
          <w:szCs w:val="18"/>
        </w:rPr>
        <w:t>自</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日起适用的会计政策</w:t>
      </w:r>
      <w:r>
        <w:rPr>
          <w:rFonts w:ascii="宋体" w:hAnsi="宋体" w:cs="宋体" w:eastAsia="宋体" w:hint="default"/>
          <w:sz w:val="18"/>
          <w:szCs w:val="18"/>
        </w:rPr>
      </w:r>
    </w:p>
    <w:p>
      <w:pPr>
        <w:pStyle w:val="BodyText"/>
        <w:spacing w:line="316" w:lineRule="auto" w:before="5"/>
        <w:ind w:left="393" w:right="1132" w:firstLine="360"/>
        <w:jc w:val="both"/>
      </w:pPr>
      <w:r>
        <w:rPr>
          <w:spacing w:val="-2"/>
        </w:rPr>
        <w:t>本公司考虑所有合理且有依据的信息，包括前瞻性信息，以单项或组合的方式对以摊余成本计量的金融资产和以公允价</w:t>
      </w:r>
      <w:r>
        <w:rPr/>
        <w:t> </w:t>
      </w:r>
      <w:r>
        <w:rPr>
          <w:spacing w:val="-2"/>
        </w:rPr>
        <w:t>值计量且其变动计入其他综合收益的金融资产（债务工具）的预期信用损失进行估计。预期信用损失的计量取决于金融资产</w:t>
      </w:r>
      <w:r>
        <w:rPr>
          <w:spacing w:val="-65"/>
        </w:rPr>
        <w:t> </w:t>
      </w:r>
      <w:r>
        <w:rPr>
          <w:spacing w:val="-65"/>
        </w:rPr>
      </w:r>
      <w:r>
        <w:rPr/>
        <w:t>自初始确认后是否发生信用风险显著增加。</w:t>
      </w:r>
    </w:p>
    <w:p>
      <w:pPr>
        <w:pStyle w:val="BodyText"/>
        <w:spacing w:line="309" w:lineRule="auto" w:before="19"/>
        <w:ind w:left="393" w:right="1131" w:firstLine="360"/>
        <w:jc w:val="both"/>
      </w:pPr>
      <w:r>
        <w:rPr>
          <w:spacing w:val="-2"/>
        </w:rPr>
        <w:t>如果该金融工具的信用风险自初始确认后已显著增加，本公司按照相当于该金融工具整个存续期内预期信用损失的金额</w:t>
      </w:r>
      <w:r>
        <w:rPr/>
        <w:t> </w:t>
      </w:r>
      <w:r>
        <w:rPr>
          <w:spacing w:val="-2"/>
        </w:rPr>
        <w:t>计量其损失准备；如果该金融工具的信用风险自初始确认后并未显著增加，本公司按照相当于该金融工具未来</w:t>
      </w:r>
      <w:r>
        <w:rPr>
          <w:rFonts w:ascii="Times New Roman" w:hAnsi="Times New Roman" w:cs="Times New Roman" w:eastAsia="Times New Roman" w:hint="default"/>
          <w:spacing w:val="-2"/>
        </w:rPr>
        <w:t>12</w:t>
      </w:r>
      <w:r>
        <w:rPr>
          <w:spacing w:val="-2"/>
        </w:rPr>
        <w:t>个月内预期</w:t>
      </w:r>
      <w:r>
        <w:rPr>
          <w:spacing w:val="-63"/>
        </w:rPr>
        <w:t> </w:t>
      </w:r>
      <w:r>
        <w:rPr>
          <w:spacing w:val="-63"/>
        </w:rPr>
      </w:r>
      <w:r>
        <w:rPr/>
        <w:t>信用损失的金额计量其损失准备。由此形成的损失准备的增加或转回金额，作为减值损失或利得计入当期损益。</w:t>
      </w:r>
    </w:p>
    <w:p>
      <w:pPr>
        <w:pStyle w:val="BodyText"/>
        <w:spacing w:line="300" w:lineRule="auto" w:before="24"/>
        <w:ind w:left="393" w:right="1132" w:firstLine="360"/>
        <w:jc w:val="both"/>
      </w:pPr>
      <w:r>
        <w:rPr>
          <w:spacing w:val="-2"/>
        </w:rPr>
        <w:t>通常逾期超过</w:t>
      </w:r>
      <w:r>
        <w:rPr>
          <w:rFonts w:ascii="Times New Roman" w:hAnsi="Times New Roman" w:cs="Times New Roman" w:eastAsia="Times New Roman" w:hint="default"/>
          <w:spacing w:val="-2"/>
        </w:rPr>
        <w:t>30</w:t>
      </w:r>
      <w:r>
        <w:rPr>
          <w:spacing w:val="-2"/>
        </w:rPr>
        <w:t>日，本公司即认为该金融工具的信用风险已显著增加，除非有确凿证据证明该金融工具的信用风险自初</w:t>
      </w:r>
      <w:r>
        <w:rPr/>
        <w:t> 始确认后并未显著增加。</w:t>
      </w:r>
    </w:p>
    <w:p>
      <w:pPr>
        <w:pStyle w:val="BodyText"/>
        <w:spacing w:line="319" w:lineRule="auto" w:before="31"/>
        <w:ind w:left="753" w:right="0"/>
        <w:jc w:val="left"/>
      </w:pPr>
      <w:r>
        <w:rPr/>
        <w:t>如果金融工具于资产负债表日的信用风险较低，本公司即认为该金融工具的信用风险自初始确认后并未显著增加。 如果有客观证据表明某项金融资产已经发生信用减值，则本公司在单项基础上对该金融资产计提减值准备。 </w:t>
      </w:r>
      <w:r>
        <w:rPr>
          <w:spacing w:val="-4"/>
        </w:rPr>
        <w:t>对于应收账款，无论是否包含重大融资成分，本公司始终按照相当于整个存续期内预期信用损失的金额计量其损失准备。</w:t>
      </w:r>
      <w:r>
        <w:rPr>
          <w:spacing w:val="-52"/>
        </w:rPr>
        <w:t> </w:t>
      </w:r>
      <w:r>
        <w:rPr>
          <w:spacing w:val="-52"/>
        </w:rPr>
      </w:r>
      <w:r>
        <w:rPr>
          <w:spacing w:val="-2"/>
        </w:rPr>
        <w:t>对于租赁应收款、公司通过销售商品或提供劳务形成的长期应收款，本公司选择始终按照相当于整个存续期内预期信用</w:t>
      </w:r>
    </w:p>
    <w:p>
      <w:pPr>
        <w:pStyle w:val="BodyText"/>
        <w:spacing w:line="316" w:lineRule="auto" w:before="17"/>
        <w:ind w:left="753" w:right="0" w:hanging="360"/>
        <w:jc w:val="left"/>
      </w:pPr>
      <w:r>
        <w:rPr/>
        <w:t>损失的金额计量其损失准备。 </w:t>
      </w:r>
      <w:r>
        <w:rPr>
          <w:spacing w:val="-4"/>
        </w:rPr>
        <w:t>对于应收账款，无论是否包含重大融资成分，本公司始终按照相当于整个存续期内预期信用损失的金额计量其损失准备，</w:t>
      </w:r>
    </w:p>
    <w:p>
      <w:pPr>
        <w:pStyle w:val="BodyText"/>
        <w:spacing w:line="240" w:lineRule="auto" w:before="19"/>
        <w:ind w:left="393" w:right="0"/>
        <w:jc w:val="left"/>
      </w:pPr>
      <w:r>
        <w:rPr/>
        <w:t>由此形成的损失准备的增加或转回金额，作为减值损失或利得计入当期损益。</w:t>
      </w:r>
    </w:p>
    <w:p>
      <w:pPr>
        <w:spacing w:line="300" w:lineRule="auto" w:before="76"/>
        <w:ind w:left="75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日前适用的会计政策</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w:t>
      </w:r>
    </w:p>
    <w:p>
      <w:pPr>
        <w:pStyle w:val="BodyText"/>
        <w:spacing w:line="240" w:lineRule="auto" w:before="31"/>
        <w:ind w:left="393" w:right="5533"/>
        <w:jc w:val="left"/>
      </w:pPr>
      <w:r>
        <w:rPr/>
        <w:t>有客观证据表明某项金融资产发生减值的，计提减值准备。</w:t>
      </w:r>
    </w:p>
    <w:p>
      <w:pPr>
        <w:pStyle w:val="BodyText"/>
        <w:spacing w:line="300" w:lineRule="auto" w:before="76"/>
        <w:ind w:left="753" w:right="0"/>
        <w:jc w:val="left"/>
      </w:pPr>
      <w:r>
        <w:rPr/>
        <w:t>（</w:t>
      </w:r>
      <w:r>
        <w:rPr>
          <w:rFonts w:ascii="Times New Roman" w:hAnsi="Times New Roman" w:cs="Times New Roman" w:eastAsia="Times New Roman" w:hint="default"/>
        </w:rPr>
        <w:t>1</w:t>
      </w:r>
      <w:r>
        <w:rPr/>
        <w:t>）可供出售金融资产的减值准备： </w:t>
      </w:r>
      <w:r>
        <w:rPr>
          <w:spacing w:val="-2"/>
        </w:rPr>
        <w:t>期末如果可供出售权益工具投资的公允价值发生严重下降，或在综合考虑各种相关因素后，预期这种下降趋势属于非暂</w:t>
      </w:r>
    </w:p>
    <w:p>
      <w:pPr>
        <w:pStyle w:val="BodyText"/>
        <w:spacing w:line="316" w:lineRule="auto" w:before="32"/>
        <w:ind w:left="753" w:right="0" w:hanging="360"/>
        <w:jc w:val="left"/>
      </w:pPr>
      <w:r>
        <w:rPr/>
        <w:t>时性的，就认定其已发生减值，将原直接计入所有者权益的公允价值下降形成的累计损失一并转出，确认减值损失。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9"/>
        <w:ind w:left="753" w:right="5713" w:hanging="360"/>
        <w:jc w:val="left"/>
      </w:pPr>
      <w:r>
        <w:rPr/>
        <w:t>事项有关的，原确认的减值损失予以转回，计入当期损益。 可供出售权益工具投资发生的减值损失，不通过损益转回。</w:t>
      </w:r>
    </w:p>
    <w:p>
      <w:pPr>
        <w:pStyle w:val="BodyText"/>
        <w:spacing w:line="240" w:lineRule="auto" w:before="19"/>
        <w:ind w:left="753" w:right="5533"/>
        <w:jc w:val="left"/>
      </w:pPr>
      <w:r>
        <w:rPr/>
        <w:t>（</w:t>
      </w:r>
      <w:r>
        <w:rPr>
          <w:rFonts w:ascii="Times New Roman" w:hAnsi="Times New Roman" w:cs="Times New Roman" w:eastAsia="Times New Roman" w:hint="default"/>
        </w:rPr>
        <w:t>2</w:t>
      </w:r>
      <w:r>
        <w:rPr/>
        <w:t>）应收款项坏账准备：</w:t>
      </w:r>
    </w:p>
    <w:p>
      <w:pPr>
        <w:pStyle w:val="BodyText"/>
        <w:spacing w:line="316" w:lineRule="auto" w:before="63"/>
        <w:ind w:left="753" w:right="0"/>
        <w:jc w:val="left"/>
      </w:pPr>
      <w:r>
        <w:rPr/>
        <w:t>①单项金额重大并单独计提坏账准备的应收款项： </w:t>
      </w:r>
      <w:r>
        <w:rPr>
          <w:spacing w:val="-1"/>
        </w:rPr>
        <w:t>单项金额重大的判断依据或金额标准：本公司将金额为人民币</w:t>
      </w:r>
      <w:r>
        <w:rPr>
          <w:rFonts w:ascii="Times New Roman" w:hAnsi="Times New Roman" w:cs="Times New Roman" w:eastAsia="Times New Roman" w:hint="default"/>
          <w:spacing w:val="-1"/>
        </w:rPr>
        <w:t>800.00</w:t>
      </w:r>
      <w:r>
        <w:rPr>
          <w:spacing w:val="-1"/>
        </w:rPr>
        <w:t>万元以上的应收款项确认为单项金额重大的应收款</w:t>
      </w:r>
    </w:p>
    <w:p>
      <w:pPr>
        <w:pStyle w:val="BodyText"/>
        <w:spacing w:line="235" w:lineRule="exact"/>
        <w:ind w:left="393" w:right="5533"/>
        <w:jc w:val="left"/>
      </w:pPr>
      <w:r>
        <w:rPr/>
        <w:t>项。</w:t>
      </w:r>
    </w:p>
    <w:p>
      <w:pPr>
        <w:pStyle w:val="BodyText"/>
        <w:spacing w:line="307" w:lineRule="auto" w:before="76"/>
        <w:ind w:left="393" w:right="1130" w:firstLine="360"/>
        <w:jc w:val="both"/>
        <w:rPr>
          <w:sz w:val="21"/>
          <w:szCs w:val="21"/>
        </w:rPr>
      </w:pPr>
      <w:r>
        <w:rPr>
          <w:spacing w:val="-2"/>
        </w:rPr>
        <w:t>单项金额重大并单独计提坏账准备的计提方法：单独进行减值测试，如有客观证据表明其已发生减值，按预计未来现金</w:t>
      </w:r>
      <w:r>
        <w:rPr/>
        <w:t> </w:t>
      </w:r>
      <w:r>
        <w:rPr>
          <w:spacing w:val="-2"/>
        </w:rPr>
        <w:t>流量现值低于其账面价值的差额，确认减值损失，计提坏账准备。单独测试未发生减值的应收款项，将其归入相应组合计提</w:t>
      </w:r>
      <w:r>
        <w:rPr>
          <w:spacing w:val="-64"/>
        </w:rPr>
        <w:t> </w:t>
      </w:r>
      <w:r>
        <w:rPr>
          <w:spacing w:val="-64"/>
        </w:rPr>
      </w:r>
      <w:r>
        <w:rPr/>
        <w:t>坏账准备</w:t>
      </w:r>
      <w:r>
        <w:rPr>
          <w:sz w:val="21"/>
          <w:szCs w:val="21"/>
        </w:rPr>
        <w:t>。</w:t>
      </w:r>
    </w:p>
    <w:p>
      <w:pPr>
        <w:pStyle w:val="BodyText"/>
        <w:spacing w:line="240" w:lineRule="auto" w:before="2"/>
        <w:ind w:left="753" w:right="5533"/>
        <w:jc w:val="left"/>
      </w:pPr>
      <w:r>
        <w:rPr/>
        <w:t>②按信用风险特征组合计提坏账准备应收款项：</w:t>
      </w:r>
    </w:p>
    <w:p>
      <w:pPr>
        <w:spacing w:line="240" w:lineRule="auto" w:before="0"/>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3181"/>
        <w:gridCol w:w="7029"/>
      </w:tblGrid>
      <w:tr>
        <w:trPr>
          <w:trHeight w:val="348" w:hRule="exact"/>
        </w:trPr>
        <w:tc>
          <w:tcPr>
            <w:tcW w:w="10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05"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w:t>
            </w:r>
          </w:p>
        </w:tc>
      </w:tr>
      <w:tr>
        <w:trPr>
          <w:trHeight w:val="346" w:hRule="exact"/>
        </w:trPr>
        <w:tc>
          <w:tcPr>
            <w:tcW w:w="3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r>
      <w:tr>
        <w:trPr>
          <w:trHeight w:val="348" w:hRule="exact"/>
        </w:trPr>
        <w:tc>
          <w:tcPr>
            <w:tcW w:w="3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9" w:right="0"/>
              <w:jc w:val="left"/>
              <w:rPr>
                <w:rFonts w:ascii="宋体" w:hAnsi="宋体" w:cs="宋体" w:eastAsia="宋体" w:hint="default"/>
                <w:sz w:val="18"/>
                <w:szCs w:val="18"/>
              </w:rPr>
            </w:pPr>
            <w:r>
              <w:rPr>
                <w:rFonts w:ascii="宋体" w:hAnsi="宋体" w:cs="宋体" w:eastAsia="宋体" w:hint="default"/>
                <w:sz w:val="18"/>
                <w:szCs w:val="18"/>
              </w:rPr>
              <w:t>关联方</w:t>
            </w:r>
            <w:r>
              <w:rPr>
                <w:rFonts w:ascii="Times New Roman" w:hAnsi="Times New Roman" w:cs="Times New Roman" w:eastAsia="Times New Roman" w:hint="default"/>
                <w:sz w:val="18"/>
                <w:szCs w:val="18"/>
              </w:rPr>
              <w:t>/</w:t>
            </w:r>
            <w:r>
              <w:rPr>
                <w:rFonts w:ascii="宋体" w:hAnsi="宋体" w:cs="宋体" w:eastAsia="宋体" w:hint="default"/>
                <w:sz w:val="18"/>
                <w:szCs w:val="18"/>
              </w:rPr>
              <w:t>内部往来等单项认定的应收款项</w:t>
            </w:r>
          </w:p>
        </w:tc>
        <w:tc>
          <w:tcPr>
            <w:tcW w:w="7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合并范围内关联方的应收账款、其他应收款及内部员工借款、押金、五险一金、保证金</w:t>
            </w:r>
          </w:p>
        </w:tc>
      </w:tr>
    </w:tbl>
    <w:p>
      <w:pPr>
        <w:spacing w:line="262" w:lineRule="exact" w:before="0"/>
        <w:ind w:left="813" w:right="5533"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10"/>
        <w:rPr>
          <w:rFonts w:ascii="宋体" w:hAnsi="宋体" w:cs="宋体" w:eastAsia="宋体" w:hint="default"/>
          <w:sz w:val="3"/>
          <w:szCs w:val="3"/>
        </w:rPr>
      </w:pPr>
    </w:p>
    <w:tbl>
      <w:tblPr>
        <w:tblW w:w="0" w:type="auto"/>
        <w:jc w:val="left"/>
        <w:tblInd w:w="386" w:type="dxa"/>
        <w:tblLayout w:type="fixed"/>
        <w:tblCellMar>
          <w:top w:w="0" w:type="dxa"/>
          <w:left w:w="0" w:type="dxa"/>
          <w:bottom w:w="0" w:type="dxa"/>
          <w:right w:w="0" w:type="dxa"/>
        </w:tblCellMar>
        <w:tblLook w:val="01E0"/>
      </w:tblPr>
      <w:tblGrid>
        <w:gridCol w:w="3409"/>
        <w:gridCol w:w="2518"/>
        <w:gridCol w:w="2463"/>
      </w:tblGrid>
      <w:tr>
        <w:trPr>
          <w:trHeight w:val="348"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46"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64" w:right="0"/>
              <w:jc w:val="center"/>
              <w:rPr>
                <w:rFonts w:ascii="Times New Roman" w:hAnsi="Times New Roman" w:cs="Times New Roman" w:eastAsia="Times New Roman" w:hint="default"/>
                <w:sz w:val="21"/>
                <w:szCs w:val="21"/>
              </w:rPr>
            </w:pPr>
            <w:r>
              <w:rPr>
                <w:rFonts w:ascii="Times New Roman"/>
                <w:w w:val="100"/>
                <w:sz w:val="21"/>
              </w:rPr>
              <w:t>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67" w:right="0"/>
              <w:jc w:val="center"/>
              <w:rPr>
                <w:rFonts w:ascii="Times New Roman" w:hAnsi="Times New Roman" w:cs="Times New Roman" w:eastAsia="Times New Roman" w:hint="default"/>
                <w:sz w:val="21"/>
                <w:szCs w:val="21"/>
              </w:rPr>
            </w:pPr>
            <w:r>
              <w:rPr>
                <w:rFonts w:ascii="Times New Roman"/>
                <w:w w:val="100"/>
                <w:sz w:val="21"/>
              </w:rPr>
              <w:t>5</w:t>
            </w:r>
          </w:p>
        </w:tc>
      </w:tr>
      <w:tr>
        <w:trPr>
          <w:trHeight w:val="348"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64" w:right="0"/>
              <w:jc w:val="center"/>
              <w:rPr>
                <w:rFonts w:ascii="Times New Roman" w:hAnsi="Times New Roman" w:cs="Times New Roman" w:eastAsia="Times New Roman" w:hint="default"/>
                <w:sz w:val="21"/>
                <w:szCs w:val="21"/>
              </w:rPr>
            </w:pPr>
            <w:r>
              <w:rPr>
                <w:rFonts w:ascii="Times New Roman"/>
                <w:sz w:val="21"/>
              </w:rPr>
              <w:t>10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67" w:right="0"/>
              <w:jc w:val="center"/>
              <w:rPr>
                <w:rFonts w:ascii="Times New Roman" w:hAnsi="Times New Roman" w:cs="Times New Roman" w:eastAsia="Times New Roman" w:hint="default"/>
                <w:sz w:val="21"/>
                <w:szCs w:val="21"/>
              </w:rPr>
            </w:pPr>
            <w:r>
              <w:rPr>
                <w:rFonts w:ascii="Times New Roman"/>
                <w:sz w:val="21"/>
              </w:rPr>
              <w:t>10</w:t>
            </w:r>
          </w:p>
        </w:tc>
      </w:tr>
      <w:tr>
        <w:trPr>
          <w:trHeight w:val="348"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64" w:right="0"/>
              <w:jc w:val="center"/>
              <w:rPr>
                <w:rFonts w:ascii="Times New Roman" w:hAnsi="Times New Roman" w:cs="Times New Roman" w:eastAsia="Times New Roman" w:hint="default"/>
                <w:sz w:val="21"/>
                <w:szCs w:val="21"/>
              </w:rPr>
            </w:pPr>
            <w:r>
              <w:rPr>
                <w:rFonts w:ascii="Times New Roman"/>
                <w:sz w:val="21"/>
              </w:rPr>
              <w:t>30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67" w:right="0"/>
              <w:jc w:val="center"/>
              <w:rPr>
                <w:rFonts w:ascii="Times New Roman" w:hAnsi="Times New Roman" w:cs="Times New Roman" w:eastAsia="Times New Roman" w:hint="default"/>
                <w:sz w:val="21"/>
                <w:szCs w:val="21"/>
              </w:rPr>
            </w:pPr>
            <w:r>
              <w:rPr>
                <w:rFonts w:ascii="Times New Roman"/>
                <w:sz w:val="21"/>
              </w:rPr>
              <w:t>30</w:t>
            </w:r>
          </w:p>
        </w:tc>
      </w:tr>
    </w:tbl>
    <w:p>
      <w:pPr>
        <w:spacing w:after="0" w:line="240" w:lineRule="auto"/>
        <w:jc w:val="center"/>
        <w:rPr>
          <w:rFonts w:ascii="Times New Roman" w:hAnsi="Times New Roman" w:cs="Times New Roman" w:eastAsia="Times New Roman" w:hint="default"/>
          <w:sz w:val="21"/>
          <w:szCs w:val="21"/>
        </w:rPr>
        <w:sectPr>
          <w:footerReference w:type="default" r:id="rId17"/>
          <w:pgSz w:w="11910" w:h="16840"/>
          <w:pgMar w:footer="974" w:header="748" w:top="1060" w:bottom="1160" w:left="740" w:right="0"/>
          <w:pgNumType w:start="120"/>
        </w:sectPr>
      </w:pPr>
    </w:p>
    <w:p>
      <w:pPr>
        <w:spacing w:line="240" w:lineRule="auto" w:before="4"/>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409"/>
        <w:gridCol w:w="2518"/>
        <w:gridCol w:w="2463"/>
      </w:tblGrid>
      <w:tr>
        <w:trPr>
          <w:trHeight w:val="348"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63"/>
              <w:jc w:val="right"/>
              <w:rPr>
                <w:rFonts w:ascii="Times New Roman" w:hAnsi="Times New Roman" w:cs="Times New Roman" w:eastAsia="Times New Roman" w:hint="default"/>
                <w:sz w:val="21"/>
                <w:szCs w:val="21"/>
              </w:rPr>
            </w:pPr>
            <w:r>
              <w:rPr>
                <w:rFonts w:ascii="Times New Roman"/>
                <w:sz w:val="21"/>
              </w:rPr>
              <w:t>50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33"/>
              <w:jc w:val="right"/>
              <w:rPr>
                <w:rFonts w:ascii="Times New Roman" w:hAnsi="Times New Roman" w:cs="Times New Roman" w:eastAsia="Times New Roman" w:hint="default"/>
                <w:sz w:val="21"/>
                <w:szCs w:val="21"/>
              </w:rPr>
            </w:pPr>
            <w:r>
              <w:rPr>
                <w:rFonts w:ascii="Times New Roman"/>
                <w:sz w:val="21"/>
              </w:rPr>
              <w:t>50</w:t>
            </w:r>
          </w:p>
        </w:tc>
      </w:tr>
      <w:tr>
        <w:trPr>
          <w:trHeight w:val="346"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63"/>
              <w:jc w:val="right"/>
              <w:rPr>
                <w:rFonts w:ascii="Times New Roman" w:hAnsi="Times New Roman" w:cs="Times New Roman" w:eastAsia="Times New Roman" w:hint="default"/>
                <w:sz w:val="21"/>
                <w:szCs w:val="21"/>
              </w:rPr>
            </w:pPr>
            <w:r>
              <w:rPr>
                <w:rFonts w:ascii="Times New Roman"/>
                <w:sz w:val="21"/>
              </w:rPr>
              <w:t>80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33"/>
              <w:jc w:val="right"/>
              <w:rPr>
                <w:rFonts w:ascii="Times New Roman" w:hAnsi="Times New Roman" w:cs="Times New Roman" w:eastAsia="Times New Roman" w:hint="default"/>
                <w:sz w:val="21"/>
                <w:szCs w:val="21"/>
              </w:rPr>
            </w:pPr>
            <w:r>
              <w:rPr>
                <w:rFonts w:ascii="Times New Roman"/>
                <w:sz w:val="21"/>
              </w:rPr>
              <w:t>80</w:t>
            </w:r>
          </w:p>
        </w:tc>
      </w:tr>
      <w:tr>
        <w:trPr>
          <w:trHeight w:val="348"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06"/>
              <w:jc w:val="right"/>
              <w:rPr>
                <w:rFonts w:ascii="Times New Roman" w:hAnsi="Times New Roman" w:cs="Times New Roman" w:eastAsia="Times New Roman" w:hint="default"/>
                <w:sz w:val="21"/>
                <w:szCs w:val="21"/>
              </w:rPr>
            </w:pPr>
            <w:r>
              <w:rPr>
                <w:rFonts w:ascii="Times New Roman"/>
                <w:sz w:val="21"/>
              </w:rPr>
              <w:t>100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80"/>
              <w:jc w:val="right"/>
              <w:rPr>
                <w:rFonts w:ascii="Times New Roman" w:hAnsi="Times New Roman" w:cs="Times New Roman" w:eastAsia="Times New Roman" w:hint="default"/>
                <w:sz w:val="21"/>
                <w:szCs w:val="21"/>
              </w:rPr>
            </w:pPr>
            <w:r>
              <w:rPr>
                <w:rFonts w:ascii="Times New Roman"/>
                <w:sz w:val="21"/>
              </w:rPr>
              <w:t>100</w:t>
            </w:r>
          </w:p>
        </w:tc>
      </w:tr>
    </w:tbl>
    <w:p>
      <w:pPr>
        <w:pStyle w:val="BodyText"/>
        <w:spacing w:line="316" w:lineRule="auto" w:before="10"/>
        <w:ind w:left="513" w:right="982"/>
        <w:jc w:val="left"/>
      </w:pPr>
      <w:r>
        <w:rPr/>
        <w:t>③单项金额不重大但单独计提坏账准备的应收款项： </w:t>
      </w:r>
      <w:r>
        <w:rPr>
          <w:spacing w:val="-2"/>
        </w:rPr>
        <w:t>本公司对于单项金额虽不重大但具备以下特征的应收款项，单独进行减值测试，有客观证据表明其发生了减值的，根据</w:t>
      </w:r>
    </w:p>
    <w:p>
      <w:pPr>
        <w:pStyle w:val="BodyText"/>
        <w:spacing w:line="316" w:lineRule="auto" w:before="19"/>
        <w:ind w:right="1043"/>
        <w:jc w:val="both"/>
      </w:pPr>
      <w:r>
        <w:rPr>
          <w:spacing w:val="-4"/>
        </w:rPr>
        <w:t>其未来现金流量现值低于其账面价值的差额，确认减值损失，计提坏账准备：应收关联方款项；与对方存在争议或涉及诉讼、</w:t>
      </w:r>
      <w:r>
        <w:rPr>
          <w:spacing w:val="-46"/>
        </w:rPr>
        <w:t> </w:t>
      </w:r>
      <w:r>
        <w:rPr>
          <w:spacing w:val="-46"/>
        </w:rPr>
      </w:r>
      <w:r>
        <w:rPr/>
        <w:t>仲裁的应收款项；已有明显迹象表明债务人很可能无法履行还款义务的应收款项等。</w:t>
      </w:r>
    </w:p>
    <w:p>
      <w:pPr>
        <w:pStyle w:val="BodyText"/>
        <w:spacing w:line="300" w:lineRule="auto" w:before="19"/>
        <w:ind w:left="513" w:right="4813"/>
        <w:jc w:val="left"/>
      </w:pPr>
      <w:r>
        <w:rPr/>
        <w:t>（</w:t>
      </w:r>
      <w:r>
        <w:rPr>
          <w:rFonts w:ascii="Times New Roman" w:hAnsi="Times New Roman" w:cs="Times New Roman" w:eastAsia="Times New Roman" w:hint="default"/>
        </w:rPr>
        <w:t>3</w:t>
      </w:r>
      <w:r>
        <w:rPr/>
        <w:t>）持有至到期投资的减值准备： 持有至到期投资减值损失的计量比照应收款项减值损失计量方法处理。</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2653"/>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t>存货分类为：存货主要包括在施项目、库存商品、发出商品等，其中存货核算的主要是人工成本。</w:t>
      </w:r>
    </w:p>
    <w:p>
      <w:pPr>
        <w:pStyle w:val="BodyText"/>
        <w:spacing w:line="240" w:lineRule="auto" w:before="31"/>
        <w:ind w:left="513" w:right="982"/>
        <w:jc w:val="left"/>
      </w:pPr>
      <w:r>
        <w:rPr/>
        <w:t>①在施项目主要核算实际发生成本和按完工百分比法确认成本的差异，提前派工一年以内未签约的软件项目；</w:t>
      </w:r>
    </w:p>
    <w:p>
      <w:pPr>
        <w:pStyle w:val="BodyText"/>
        <w:spacing w:line="240" w:lineRule="auto" w:before="76"/>
        <w:ind w:left="513" w:right="982"/>
        <w:jc w:val="left"/>
      </w:pPr>
      <w:r>
        <w:rPr/>
        <w:t>②发出商品主要是指已经出库但未满足收入确认条件的商品；</w:t>
      </w:r>
    </w:p>
    <w:p>
      <w:pPr>
        <w:pStyle w:val="BodyText"/>
        <w:spacing w:line="300" w:lineRule="auto" w:before="76"/>
        <w:ind w:left="513" w:right="982"/>
        <w:jc w:val="left"/>
      </w:pPr>
      <w:r>
        <w:rPr>
          <w:rFonts w:ascii="Times New Roman" w:hAnsi="Times New Roman" w:cs="Times New Roman" w:eastAsia="Times New Roman" w:hint="default"/>
          <w:b/>
          <w:bCs/>
        </w:rPr>
        <w:t>2</w:t>
      </w:r>
      <w:r>
        <w:rPr>
          <w:rFonts w:ascii="宋体" w:hAnsi="宋体" w:cs="宋体" w:eastAsia="宋体" w:hint="default"/>
          <w:b/>
          <w:bCs/>
        </w:rPr>
        <w:t>、发出存货的计价方法</w:t>
      </w:r>
      <w:r>
        <w:rPr>
          <w:rFonts w:ascii="宋体" w:hAnsi="宋体" w:cs="宋体" w:eastAsia="宋体" w:hint="default"/>
          <w:b/>
          <w:bCs/>
          <w:w w:val="99"/>
        </w:rPr>
        <w:t> </w:t>
      </w:r>
      <w:r>
        <w:rPr>
          <w:spacing w:val="-2"/>
        </w:rPr>
        <w:t>存货在取得时按实际成本计价，存货成本包括人工成本、采购成本和其他成本。领用和发出时按项目单独核算的移动加</w:t>
      </w:r>
    </w:p>
    <w:p>
      <w:pPr>
        <w:pStyle w:val="BodyText"/>
        <w:spacing w:line="240" w:lineRule="auto" w:before="31"/>
        <w:ind w:right="0"/>
        <w:jc w:val="both"/>
      </w:pPr>
      <w:r>
        <w:rPr/>
        <w:t>权平均法计价。</w:t>
      </w:r>
    </w:p>
    <w:p>
      <w:pPr>
        <w:spacing w:line="300" w:lineRule="auto" w:before="76"/>
        <w:ind w:left="513" w:right="98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、不同类别存货可变现净值的确定依据</w:t>
      </w:r>
      <w:r>
        <w:rPr>
          <w:rFonts w:ascii="宋体" w:hAnsi="宋体" w:cs="宋体" w:eastAsia="宋体" w:hint="default"/>
          <w:b/>
          <w:bCs/>
          <w:w w:val="99"/>
          <w:sz w:val="18"/>
          <w:szCs w:val="18"/>
        </w:rPr>
        <w:t> </w:t>
      </w:r>
      <w:r>
        <w:rPr>
          <w:rFonts w:ascii="宋体" w:hAnsi="宋体" w:cs="宋体" w:eastAsia="宋体" w:hint="default"/>
          <w:spacing w:val="-2"/>
          <w:sz w:val="18"/>
          <w:szCs w:val="18"/>
        </w:rPr>
        <w:t>产成品、库存商品和用于出售的材料等直接用于出售的商品存货，在正常生产经营过程中，以该存货的估计售价减去估</w:t>
      </w:r>
    </w:p>
    <w:p>
      <w:pPr>
        <w:pStyle w:val="BodyText"/>
        <w:spacing w:line="319" w:lineRule="auto" w:before="31"/>
        <w:ind w:right="1130"/>
        <w:jc w:val="both"/>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6" w:lineRule="auto" w:before="17"/>
        <w:ind w:right="113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left="513" w:right="157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309" w:lineRule="auto" w:before="19"/>
        <w:ind w:left="513" w:right="759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sz w:val="18"/>
          <w:szCs w:val="18"/>
        </w:rPr>
      </w:r>
    </w:p>
    <w:p>
      <w:pPr>
        <w:pStyle w:val="BodyText"/>
        <w:spacing w:line="240" w:lineRule="auto" w:before="5"/>
        <w:ind w:left="573" w:right="982"/>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left="573" w:right="982"/>
        <w:jc w:val="left"/>
      </w:pPr>
      <w:r>
        <w:rPr/>
        <w:t>（</w:t>
      </w:r>
      <w:r>
        <w:rPr>
          <w:rFonts w:ascii="Times New Roman" w:hAnsi="Times New Roman" w:cs="Times New Roman" w:eastAsia="Times New Roman" w:hint="default"/>
        </w:rPr>
        <w:t>2</w:t>
      </w:r>
      <w:r>
        <w:rPr/>
        <w:t>）包装物采用一次转销法</w:t>
      </w:r>
    </w:p>
    <w:p>
      <w:pPr>
        <w:spacing w:line="240" w:lineRule="auto" w:before="13"/>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12</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2"/>
        <w:jc w:val="left"/>
      </w:pPr>
      <w:r>
        <w:rPr/>
        <w:t>本公司将同时满足下列条件的非流动资产或处置组划分为持有待售类别：</w:t>
      </w:r>
    </w:p>
    <w:p>
      <w:pPr>
        <w:pStyle w:val="BodyText"/>
        <w:spacing w:line="240" w:lineRule="auto" w:before="76"/>
        <w:ind w:left="513" w:right="982"/>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1123" w:firstLine="36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after="0" w:line="30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2"/>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6"/>
          <w:szCs w:val="26"/>
        </w:rPr>
      </w:pPr>
    </w:p>
    <w:p>
      <w:pPr>
        <w:spacing w:line="300" w:lineRule="auto" w:before="0"/>
        <w:ind w:left="513" w:right="982" w:firstLine="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316" w:lineRule="auto" w:before="31"/>
        <w:ind w:right="982"/>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1132"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Heading5"/>
        <w:spacing w:line="240" w:lineRule="auto" w:before="19"/>
        <w:ind w:left="573" w:right="982"/>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BodyText"/>
        <w:spacing w:line="300" w:lineRule="auto" w:before="63"/>
        <w:ind w:left="513" w:right="982"/>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9" w:lineRule="auto" w:before="31"/>
        <w:ind w:right="982"/>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2"/>
        </w:rPr>
        <w:t> </w:t>
      </w:r>
      <w:r>
        <w:rPr>
          <w:spacing w:val="-62"/>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7"/>
        <w:ind w:right="113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2" w:lineRule="auto" w:before="19"/>
        <w:ind w:left="513" w:right="1128"/>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在非货币性资产交换具有商业实质，且换入资产或换出资产的公允价值能够可靠计量时，以公允价值为基础计量。如换</w:t>
      </w:r>
    </w:p>
    <w:p>
      <w:pPr>
        <w:pStyle w:val="BodyText"/>
        <w:spacing w:line="316" w:lineRule="auto" w:before="23"/>
        <w:ind w:right="1130"/>
        <w:jc w:val="both"/>
      </w:pPr>
      <w:r>
        <w:rPr>
          <w:spacing w:val="-2"/>
        </w:rPr>
        <w:t>入资产和换出资产的公允价值均能可靠计量的，对于换入的长期股权投资，以换出资产的公允价值和应支付的相关税费作为</w:t>
      </w:r>
      <w:r>
        <w:rPr>
          <w:spacing w:val="-64"/>
        </w:rPr>
        <w:t> </w:t>
      </w:r>
      <w:r>
        <w:rPr>
          <w:spacing w:val="-64"/>
        </w:rPr>
      </w:r>
      <w:r>
        <w:rPr>
          <w:spacing w:val="-2"/>
        </w:rPr>
        <w:t>换入的长期股权投资的初始投资成本，除非有确凿证据表明换入资产的公允价值更加可靠。非货币性资产交换不具有商业实</w:t>
      </w:r>
      <w:r>
        <w:rPr>
          <w:spacing w:val="-64"/>
        </w:rPr>
        <w:t> </w:t>
      </w:r>
      <w:r>
        <w:rPr>
          <w:spacing w:val="-64"/>
        </w:rPr>
      </w:r>
      <w:r>
        <w:rPr>
          <w:spacing w:val="-2"/>
        </w:rPr>
        <w:t>质，或换入资产和换出资产的公允价值均不能可靠计量的，对于换入的长期股权投资，以换出资产的账面价值和应支付的相</w:t>
      </w:r>
      <w:r>
        <w:rPr>
          <w:spacing w:val="-63"/>
        </w:rPr>
        <w:t> </w:t>
      </w:r>
      <w:r>
        <w:rPr>
          <w:spacing w:val="-63"/>
        </w:rPr>
      </w:r>
      <w:r>
        <w:rPr/>
        <w:t>关税费作为换入长期股权投资的初始投资成本。</w:t>
      </w:r>
    </w:p>
    <w:p>
      <w:pPr>
        <w:pStyle w:val="BodyText"/>
        <w:spacing w:line="316" w:lineRule="auto" w:before="19"/>
        <w:ind w:right="1125" w:firstLine="360"/>
        <w:jc w:val="both"/>
      </w:pPr>
      <w:r>
        <w:rPr/>
        <w:t>通过债务重组取得的长期股权投资，以所放弃债权的公允价值和可直接归属于该资产的税金等其他成本确定其入账价</w:t>
      </w:r>
      <w:r>
        <w:rPr>
          <w:spacing w:val="2"/>
        </w:rPr>
        <w:t> </w:t>
      </w:r>
      <w:r>
        <w:rPr/>
        <w:t>值，并将所放弃债权的公允价值与账面价值之间的差额，计入当期损益。</w:t>
      </w:r>
    </w:p>
    <w:p>
      <w:pPr>
        <w:pStyle w:val="Heading5"/>
        <w:spacing w:line="240" w:lineRule="auto" w:before="19"/>
        <w:ind w:left="573" w:right="982"/>
        <w:jc w:val="left"/>
        <w:rPr>
          <w:b w:val="0"/>
          <w:bCs w:val="0"/>
        </w:rPr>
      </w:pPr>
      <w:r>
        <w:rPr>
          <w:rFonts w:ascii="Times New Roman" w:hAnsi="Times New Roman" w:cs="Times New Roman" w:eastAsia="Times New Roman" w:hint="default"/>
        </w:rPr>
        <w:t>3</w:t>
      </w:r>
      <w:r>
        <w:rPr/>
        <w:t>、后续计量及损益确认方法</w:t>
      </w:r>
      <w:r>
        <w:rPr>
          <w:b w:val="0"/>
          <w:bCs w:val="0"/>
        </w:rPr>
      </w:r>
    </w:p>
    <w:p>
      <w:pPr>
        <w:pStyle w:val="BodyText"/>
        <w:spacing w:line="300" w:lineRule="auto" w:before="63"/>
        <w:ind w:left="513" w:right="982"/>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31"/>
        <w:ind w:right="982"/>
        <w:jc w:val="left"/>
      </w:pPr>
      <w:r>
        <w:rPr/>
        <w:t>金股利或利润外，公司按照享有被投资单位宣告发放的现金股利或利润确认当期投资收益。</w:t>
      </w:r>
    </w:p>
    <w:p>
      <w:pPr>
        <w:pStyle w:val="BodyText"/>
        <w:spacing w:line="300" w:lineRule="auto" w:before="76"/>
        <w:ind w:left="513" w:right="982"/>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29"/>
        <w:ind w:right="982"/>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9"/>
        <w:ind w:right="1128"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1"/>
        </w:rPr>
        <w:t> </w:t>
      </w:r>
      <w:r>
        <w:rPr>
          <w:spacing w:val="-61"/>
        </w:rPr>
      </w:r>
      <w:r>
        <w:rPr/>
        <w:t>计入所有者权益。</w:t>
      </w:r>
    </w:p>
    <w:p>
      <w:pPr>
        <w:pStyle w:val="BodyText"/>
        <w:spacing w:line="316" w:lineRule="auto" w:before="19"/>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spacing w:after="0" w:line="316"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113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t>企业之间发生投出或出售资产的交易，该资产构成业务的，按照本附注</w:t>
      </w:r>
      <w:r>
        <w:rPr>
          <w:rFonts w:ascii="Times New Roman" w:hAnsi="Times New Roman" w:cs="Times New Roman" w:eastAsia="Times New Roman" w:hint="default"/>
        </w:rPr>
        <w:t>“</w:t>
      </w:r>
      <w:r>
        <w:rPr/>
        <w:t>五、（五）同一控制下和非同一控制下企业合并的</w:t>
      </w:r>
      <w:r>
        <w:rPr>
          <w:spacing w:val="-75"/>
        </w:rPr>
        <w:t> </w:t>
      </w:r>
      <w:r>
        <w:rPr>
          <w:spacing w:val="-75"/>
        </w:rPr>
      </w:r>
      <w:r>
        <w:rPr/>
        <w:t>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五、（六）合并财务报表的编制方法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3"/>
        <w:ind w:right="1033"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5"/>
        </w:rPr>
        <w:t> </w:t>
      </w:r>
      <w:r>
        <w:rPr>
          <w:spacing w:val="-65"/>
        </w:rPr>
      </w:r>
      <w:r>
        <w:rPr/>
        <w:t>务确认预计负债，计入当期投资损失。</w:t>
      </w:r>
    </w:p>
    <w:p>
      <w:pPr>
        <w:pStyle w:val="BodyText"/>
        <w:spacing w:line="300" w:lineRule="auto" w:before="19"/>
        <w:ind w:left="513" w:right="463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9" w:lineRule="auto" w:before="31"/>
        <w:ind w:right="113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7"/>
        <w:ind w:right="1033"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9"/>
        <w:ind w:right="1130"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3"/>
        </w:rPr>
        <w:t> </w:t>
      </w:r>
      <w:r>
        <w:rPr>
          <w:spacing w:val="-63"/>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则的有关规定进行会计处理，其在丧失控制之日的公允价值与账面价值间的差额计入当期损益。单击此处输入文字。</w:t>
      </w:r>
    </w:p>
    <w:p>
      <w:pPr>
        <w:pStyle w:val="BodyText"/>
        <w:spacing w:line="316" w:lineRule="auto" w:before="19"/>
        <w:ind w:right="1131"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8"/>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953"/>
        <w:jc w:val="left"/>
      </w:pPr>
      <w:r>
        <w:rPr/>
        <w:t>投资性房地产计量模式 成本法计量 折旧或摊销方法</w:t>
      </w:r>
    </w:p>
    <w:p>
      <w:pPr>
        <w:pStyle w:val="BodyText"/>
        <w:spacing w:line="319" w:lineRule="auto" w:before="29"/>
        <w:ind w:right="113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314" w:lineRule="auto" w:before="17"/>
        <w:ind w:right="1131" w:firstLine="360"/>
        <w:jc w:val="both"/>
      </w:pPr>
      <w:r>
        <w:rPr>
          <w:spacing w:val="-2"/>
        </w:rPr>
        <w:t>本公司对现有投资性房地产采用成本模式计量。对按照成本模式计量的投资性房地产－出租用建筑物采用与本公司固定</w:t>
      </w:r>
      <w:r>
        <w:rPr/>
        <w:t> 资产相同的折旧政策，出租用土地使用权按与无形资产相同的摊销政策执行。</w:t>
      </w:r>
    </w:p>
    <w:p>
      <w:pPr>
        <w:spacing w:line="240" w:lineRule="auto" w:before="10"/>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after="0" w:line="316"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2.43%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自有房产装修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9%-19.4%</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9%-32.33%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18%</w:t>
            </w:r>
          </w:p>
        </w:tc>
      </w:tr>
    </w:tbl>
    <w:p>
      <w:pPr>
        <w:spacing w:line="240" w:lineRule="auto" w:before="3"/>
        <w:rPr>
          <w:rFonts w:ascii="宋体" w:hAnsi="宋体" w:cs="宋体" w:eastAsia="宋体" w:hint="default"/>
          <w:b/>
          <w:bCs/>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304" w:lineRule="auto"/>
        <w:ind w:right="982"/>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2"/>
        </w:rPr>
        <w:t> </w:t>
      </w:r>
      <w:r>
        <w:rPr>
          <w:spacing w:val="-42"/>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5"/>
        </w:rPr>
        <w:t> </w:t>
      </w:r>
      <w:r>
        <w:rPr>
          <w:spacing w:val="-75"/>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2"/>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4"/>
        <w:rPr>
          <w:rFonts w:ascii="宋体" w:hAnsi="宋体" w:cs="宋体" w:eastAsia="宋体" w:hint="default"/>
          <w:sz w:val="23"/>
          <w:szCs w:val="23"/>
        </w:rPr>
      </w:pPr>
    </w:p>
    <w:p>
      <w:pPr>
        <w:pStyle w:val="Heading4"/>
        <w:spacing w:line="240" w:lineRule="auto"/>
        <w:ind w:right="982"/>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9"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4"/>
        </w:rPr>
        <w:t> </w:t>
      </w:r>
      <w:r>
        <w:rPr>
          <w:spacing w:val="-64"/>
        </w:rPr>
      </w:r>
      <w:r>
        <w:rPr>
          <w:spacing w:val="-2"/>
        </w:rPr>
        <w:t>成本等，按估计的价值转入固定资产，并按本公司固定资产折旧政策计提固定资产的折旧，待办理竣工决算后，再按实际成</w:t>
      </w:r>
      <w:r>
        <w:rPr>
          <w:spacing w:val="-62"/>
        </w:rPr>
        <w:t> </w:t>
      </w:r>
      <w:r>
        <w:rPr>
          <w:spacing w:val="-62"/>
        </w:rPr>
      </w:r>
      <w:r>
        <w:rPr/>
        <w:t>本调整原来的暂估价值，但不调整原已计提的折旧额。</w:t>
      </w:r>
    </w:p>
    <w:p>
      <w:pPr>
        <w:spacing w:line="240" w:lineRule="auto" w:before="6"/>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513" w:right="982" w:firstLine="60"/>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6" w:lineRule="auto" w:before="24"/>
        <w:ind w:left="513" w:right="982" w:hanging="360"/>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3" w:right="6973" w:hanging="360"/>
        <w:jc w:val="left"/>
      </w:pPr>
      <w:r>
        <w:rPr/>
        <w:t>产、投资性房地产和存货等资产。 借款费用同时满足下列条件时开始资本化：</w:t>
      </w:r>
    </w:p>
    <w:p>
      <w:pPr>
        <w:pStyle w:val="BodyText"/>
        <w:spacing w:line="300" w:lineRule="auto" w:before="19"/>
        <w:ind w:right="1133" w:firstLine="360"/>
        <w:jc w:val="both"/>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31"/>
        <w:ind w:left="513" w:right="982"/>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513" w:right="982"/>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513" w:right="982" w:firstLine="60"/>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982"/>
        <w:jc w:val="left"/>
      </w:pPr>
      <w:r>
        <w:rPr/>
        <w:t>款费用资本化。</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982" w:firstLine="60"/>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982"/>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300" w:lineRule="auto" w:before="19"/>
        <w:ind w:left="513" w:right="982" w:firstLine="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对于为购建或者生产符合资本化条件的资产而借入的专门借款，以专门借款当期实际发生的借款费用，减去尚未动用的</w:t>
      </w:r>
    </w:p>
    <w:p>
      <w:pPr>
        <w:pStyle w:val="BodyText"/>
        <w:spacing w:line="316" w:lineRule="auto" w:before="31"/>
        <w:ind w:left="513" w:right="982" w:hanging="360"/>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9"/>
        <w:ind w:right="982"/>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8"/>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外购无形资产的成本，包括购买价款、相关税费以及直接归属于使该项资产达到预定用途所发生的其他支出。购买无形</w:t>
      </w:r>
      <w:r>
        <w:rPr/>
        <w:t> 资产的价款超过正常信用条件延期支付，实质上具有融资性质的，无形资产的成本以购买价款的现值为基础确定。</w:t>
      </w:r>
    </w:p>
    <w:p>
      <w:pPr>
        <w:pStyle w:val="BodyText"/>
        <w:spacing w:line="316" w:lineRule="auto" w:before="19"/>
        <w:ind w:right="1132" w:firstLine="360"/>
        <w:jc w:val="both"/>
      </w:pPr>
      <w:r>
        <w:rPr>
          <w:spacing w:val="-2"/>
        </w:rPr>
        <w:t>债务重组取得债务人用以抵债的无形资产，以所放弃债权的公允价值和可直接归属于使该资产达到预定用途所发生的税</w:t>
      </w:r>
      <w:r>
        <w:rPr/>
        <w:t> 金等其他成本确定其入账价值，并将所放弃债权的公允价值与账面价值之间的差额，计入当期损益。</w:t>
      </w:r>
    </w:p>
    <w:p>
      <w:pPr>
        <w:pStyle w:val="BodyText"/>
        <w:spacing w:line="319" w:lineRule="auto" w:before="19"/>
        <w:ind w:right="1129" w:firstLine="360"/>
        <w:jc w:val="both"/>
      </w:pPr>
      <w:r>
        <w:rPr>
          <w:spacing w:val="-2"/>
        </w:rPr>
        <w:t>在非货币性资产交换具有商业实质，且换入资产或换出资产的公允价值能够可靠计量时，以公允价值为基础计量。如换</w:t>
      </w:r>
      <w:r>
        <w:rPr/>
        <w:t> </w:t>
      </w:r>
      <w:r>
        <w:rPr>
          <w:spacing w:val="-2"/>
        </w:rPr>
        <w:t>入资产和换出资产的公允价值均能可靠计量的，对于换入的无形资产，以换出资产的公允价值和应支付的相关税费作为换入</w:t>
      </w:r>
      <w:r>
        <w:rPr>
          <w:spacing w:val="-64"/>
        </w:rPr>
        <w:t> </w:t>
      </w:r>
      <w:r>
        <w:rPr>
          <w:spacing w:val="-64"/>
        </w:rPr>
      </w:r>
      <w:r>
        <w:rPr>
          <w:spacing w:val="-2"/>
        </w:rPr>
        <w:t>的无形资产的初始投资成本，除非有确凿证据表明换入资产的公允价值更加可靠。非货币性资产交换不具有商业实质，或换</w:t>
      </w:r>
      <w:r>
        <w:rPr>
          <w:spacing w:val="-63"/>
        </w:rPr>
        <w:t> </w:t>
      </w:r>
      <w:r>
        <w:rPr>
          <w:spacing w:val="-63"/>
        </w:rPr>
      </w:r>
      <w:r>
        <w:rPr>
          <w:spacing w:val="-2"/>
        </w:rPr>
        <w:t>入资产和换出资产的公允价值均不能可靠计量的，对于换入的无形资产，以换出资产的账面价值和应支付的相关税费作为换</w:t>
      </w:r>
      <w:r>
        <w:rPr>
          <w:spacing w:val="-64"/>
        </w:rPr>
        <w:t> </w:t>
      </w:r>
      <w:r>
        <w:rPr>
          <w:spacing w:val="-64"/>
        </w:rPr>
      </w:r>
      <w:r>
        <w:rPr/>
        <w:t>入无形资产的初始投资成本。</w:t>
      </w:r>
    </w:p>
    <w:p>
      <w:pPr>
        <w:pStyle w:val="BodyText"/>
        <w:spacing w:line="316" w:lineRule="auto" w:before="17"/>
        <w:ind w:left="513" w:right="982"/>
        <w:jc w:val="left"/>
      </w:pPr>
      <w:r>
        <w:rPr/>
        <w:t>在取得无形资产时分析判断其使用寿命。 </w:t>
      </w:r>
      <w:r>
        <w:rPr>
          <w:spacing w:val="-2"/>
        </w:rPr>
        <w:t>对于使用寿命有限的无形资产，在为企业带来经济利益的期限内按直线法摊销；无法预见无形资产为企业带来经济利益</w:t>
      </w:r>
    </w:p>
    <w:p>
      <w:pPr>
        <w:pStyle w:val="BodyText"/>
        <w:spacing w:line="316" w:lineRule="auto" w:before="19"/>
        <w:ind w:left="513" w:right="982" w:hanging="360"/>
        <w:jc w:val="left"/>
      </w:pPr>
      <w:r>
        <w:rPr/>
        <w:t>期限的，视为使用寿命不确定的无形资产，不予摊销。 </w:t>
      </w:r>
      <w:r>
        <w:rPr>
          <w:spacing w:val="-2"/>
        </w:rPr>
        <w:t>使用寿命有限的无形资产自可供使用时起，对其原值减去预计净残值和已计提的减值准备累计金额在其预计使用寿命内</w:t>
      </w:r>
    </w:p>
    <w:p>
      <w:pPr>
        <w:pStyle w:val="BodyText"/>
        <w:spacing w:line="316" w:lineRule="auto" w:before="19"/>
        <w:ind w:right="982"/>
        <w:jc w:val="left"/>
      </w:pPr>
      <w:r>
        <w:rPr>
          <w:spacing w:val="-2"/>
        </w:rPr>
        <w:t>采用直线法分期平均摊销。使用寿命不确定的无形资产不予摊销。期末，对使用寿命有限的无形资产的使用寿命和摊销方法</w:t>
      </w:r>
      <w:r>
        <w:rPr>
          <w:spacing w:val="-66"/>
        </w:rPr>
        <w:t> </w:t>
      </w:r>
      <w:r>
        <w:rPr>
          <w:spacing w:val="-66"/>
        </w:rPr>
      </w:r>
      <w:r>
        <w:rPr/>
        <w:t>进行复核，如发生变更则作为会计估计变更处理。</w:t>
      </w:r>
    </w:p>
    <w:p>
      <w:pPr>
        <w:pStyle w:val="BodyText"/>
        <w:spacing w:line="316" w:lineRule="auto" w:before="19"/>
        <w:ind w:right="1132" w:firstLine="360"/>
        <w:jc w:val="both"/>
      </w:pPr>
      <w:r>
        <w:rPr>
          <w:spacing w:val="-2"/>
        </w:rPr>
        <w:t>使用寿命不确定的无形资产不予摊销。期末，对使用寿命不确定的无形资产的使用寿命进行复核，如果有证据表明该无</w:t>
      </w:r>
      <w:r>
        <w:rPr/>
        <w:t> 形资产为企业带来经济利益的期限是可预见的，则估计其使用寿命并按照使用寿命有限的无形资产的摊销政策进行摊销。</w:t>
      </w:r>
    </w:p>
    <w:p>
      <w:pPr>
        <w:spacing w:line="240" w:lineRule="auto" w:before="8"/>
        <w:rPr>
          <w:rFonts w:ascii="宋体" w:hAnsi="宋体" w:cs="宋体" w:eastAsia="宋体" w:hint="default"/>
          <w:sz w:val="22"/>
          <w:szCs w:val="22"/>
        </w:rPr>
      </w:pPr>
    </w:p>
    <w:p>
      <w:pPr>
        <w:pStyle w:val="Heading4"/>
        <w:spacing w:line="240" w:lineRule="auto"/>
        <w:ind w:right="982"/>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82"/>
        <w:jc w:val="left"/>
      </w:pP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16" w:lineRule="auto" w:before="19"/>
        <w:ind w:left="513" w:right="1753" w:hanging="360"/>
        <w:jc w:val="left"/>
      </w:pPr>
      <w:r>
        <w:rPr/>
        <w:t>进的材料、装置、产品等活动的阶段。 开发阶段的支出同时满足下列条件的，确认为无形资产，不能满足下述条件的开发阶段的支出计入当期损益：</w:t>
      </w:r>
    </w:p>
    <w:p>
      <w:pPr>
        <w:pStyle w:val="BodyText"/>
        <w:spacing w:line="240" w:lineRule="auto" w:before="19"/>
        <w:ind w:left="513" w:right="982"/>
        <w:jc w:val="left"/>
      </w:pPr>
      <w:r>
        <w:rPr/>
        <w:t>①</w:t>
      </w:r>
      <w:r>
        <w:rPr>
          <w:spacing w:val="-18"/>
        </w:rPr>
        <w:t> </w:t>
      </w:r>
      <w:r>
        <w:rPr/>
        <w:t>完成该无形资产以使其能够使用或出售在技术上具有可行性；</w:t>
      </w:r>
    </w:p>
    <w:p>
      <w:pPr>
        <w:pStyle w:val="BodyText"/>
        <w:spacing w:line="240" w:lineRule="auto" w:before="76"/>
        <w:ind w:left="513" w:right="982"/>
        <w:jc w:val="left"/>
      </w:pPr>
      <w:r>
        <w:rPr/>
        <w:t>②</w:t>
      </w:r>
      <w:r>
        <w:rPr>
          <w:spacing w:val="-18"/>
        </w:rPr>
        <w:t> </w:t>
      </w:r>
      <w:r>
        <w:rPr/>
        <w:t>具有完成该无形资产并使用或出售的意图；</w:t>
      </w:r>
    </w:p>
    <w:p>
      <w:pPr>
        <w:pStyle w:val="BodyText"/>
        <w:spacing w:line="316" w:lineRule="auto" w:before="76"/>
        <w:ind w:right="1137" w:firstLine="360"/>
        <w:jc w:val="both"/>
      </w:pPr>
      <w:r>
        <w:rPr/>
        <w:t>③ 无形资产产生经济利益的方式，包括能够证明运用该无形资产生产的产品存在市场或无形资产自身存在市场，无形 资产将在内部使用的，能够证明其有用性；</w:t>
      </w:r>
    </w:p>
    <w:p>
      <w:pPr>
        <w:pStyle w:val="BodyText"/>
        <w:spacing w:line="240" w:lineRule="auto" w:before="19"/>
        <w:ind w:left="513" w:right="982"/>
        <w:jc w:val="left"/>
      </w:pPr>
      <w:r>
        <w:rPr/>
        <w:t>④</w:t>
      </w:r>
      <w:r>
        <w:rPr>
          <w:spacing w:val="-18"/>
        </w:rPr>
        <w:t> </w:t>
      </w:r>
      <w:r>
        <w:rPr/>
        <w:t>有足够的技术、财务资源和其他资源支持，以完成该无形资产的开发，并有能力使用或出售该无形资产；</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3733"/>
        <w:jc w:val="left"/>
      </w:pPr>
      <w:r>
        <w:rPr/>
        <w:t>⑤</w:t>
      </w:r>
      <w:r>
        <w:rPr>
          <w:spacing w:val="-18"/>
        </w:rPr>
        <w:t> </w:t>
      </w:r>
      <w:r>
        <w:rPr/>
        <w:t>归属于该无形资产开发阶段的支出能够可靠地计量。</w:t>
      </w:r>
      <w:r>
        <w:rPr/>
        <w:t> 无法区分研究阶段支出和开发阶段支出的，将发生的研发支出全部计入当期损益。 本公司相关项目在满足上述条件，研发部门完成资本化评估报告后，进入开发阶段。</w:t>
      </w:r>
    </w:p>
    <w:p>
      <w:pPr>
        <w:spacing w:line="240" w:lineRule="auto" w:before="6"/>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60"/>
        <w:jc w:val="both"/>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3"/>
        </w:rPr>
        <w:t> </w:t>
      </w:r>
      <w:r>
        <w:rPr>
          <w:spacing w:val="-63"/>
        </w:rPr>
      </w:r>
      <w:r>
        <w:rPr/>
        <w:t>备并计入减值损失。可收回金额为资产的公允价值减去处置费用后的净额与资产预计未来现金流量的现值两者之间的较高</w:t>
      </w:r>
      <w:r>
        <w:rPr>
          <w:spacing w:val="-11"/>
        </w:rPr>
        <w:t> </w:t>
      </w:r>
      <w:r>
        <w:rPr>
          <w:spacing w:val="-11"/>
        </w:rPr>
      </w:r>
      <w:r>
        <w:rPr>
          <w:spacing w:val="-2"/>
        </w:rPr>
        <w:t>者。资产减值准备按单项资产为基础计算并确认，如果难以对单项资产的可收回金额进行估计的，以该资产所属的资产组确</w:t>
      </w:r>
      <w:r>
        <w:rPr>
          <w:spacing w:val="-63"/>
        </w:rPr>
        <w:t> </w:t>
      </w:r>
      <w:r>
        <w:rPr>
          <w:spacing w:val="-63"/>
        </w:rPr>
      </w:r>
      <w:r>
        <w:rPr>
          <w:spacing w:val="-2"/>
        </w:rPr>
        <w:t>定资产组的可收回金额。资产组是能够独立产生现金流入的最小资产组合。商誉、使用寿命不确定的无形资产、尚未达到可</w:t>
      </w:r>
      <w:r>
        <w:rPr>
          <w:spacing w:val="-62"/>
        </w:rPr>
        <w:t> </w:t>
      </w:r>
      <w:r>
        <w:rPr>
          <w:spacing w:val="-62"/>
        </w:rPr>
      </w:r>
      <w:r>
        <w:rPr/>
        <w:t>使用状态的无形资产至少在每年年度终了进行减值测试。</w:t>
      </w:r>
    </w:p>
    <w:p>
      <w:pPr>
        <w:pStyle w:val="BodyText"/>
        <w:spacing w:line="316" w:lineRule="auto" w:before="19"/>
        <w:ind w:right="1033" w:firstLine="360"/>
        <w:jc w:val="left"/>
      </w:pPr>
      <w:r>
        <w:rPr/>
        <w:t>本公司进行商誉减值测试，对于因企业合并形成的商誉的账面价值，自购买日起按照合理的方法分摊至相关的资产组； </w:t>
      </w:r>
      <w:r>
        <w:rPr>
          <w:spacing w:val="-2"/>
        </w:rPr>
        <w:t>难以分摊至相关的资产组的，将其分摊至相关的资产组组合。本公司在分摊商誉的账面价值时，根据相关资产组或资产组组</w:t>
      </w:r>
      <w:r>
        <w:rPr>
          <w:spacing w:val="-63"/>
        </w:rPr>
        <w:t> </w:t>
      </w:r>
      <w:r>
        <w:rPr>
          <w:spacing w:val="-63"/>
        </w:rPr>
      </w:r>
      <w:r>
        <w:rPr/>
        <w:t>合能够从企业合并的协同效应中获得的相对受益情况进行分摊，在此基础上进行商誉减值测试。</w:t>
      </w:r>
    </w:p>
    <w:p>
      <w:pPr>
        <w:pStyle w:val="BodyText"/>
        <w:spacing w:line="316" w:lineRule="auto" w:before="19"/>
        <w:ind w:right="1033"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pStyle w:val="BodyText"/>
        <w:spacing w:line="240" w:lineRule="auto" w:before="19"/>
        <w:ind w:left="513" w:right="982"/>
        <w:jc w:val="left"/>
      </w:pPr>
      <w:r>
        <w:rPr/>
        <w:t>上述资产减值损失一经确认，在以后会计期间不予转回。</w:t>
      </w:r>
    </w:p>
    <w:p>
      <w:pPr>
        <w:spacing w:line="240" w:lineRule="auto" w:before="0"/>
        <w:rPr>
          <w:rFonts w:ascii="宋体" w:hAnsi="宋体" w:cs="宋体" w:eastAsia="宋体" w:hint="default"/>
          <w:sz w:val="18"/>
          <w:szCs w:val="18"/>
        </w:rPr>
      </w:pPr>
    </w:p>
    <w:p>
      <w:pPr>
        <w:pStyle w:val="Heading4"/>
        <w:spacing w:line="240" w:lineRule="auto" w:before="118"/>
        <w:ind w:right="982"/>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82" w:firstLine="420"/>
        <w:jc w:val="left"/>
      </w:pPr>
      <w:r>
        <w:rPr/>
        <w:t>长期待摊费用为已经发生但应由报告期和以后各期负担的分摊期限在一年以上的各项费用。本公司的长期待摊费用主 要包括房屋装修费用。长期待摊费用在预计受益期间按直线法摊销。</w:t>
      </w:r>
    </w:p>
    <w:p>
      <w:pPr>
        <w:spacing w:line="240" w:lineRule="auto" w:before="8"/>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982"/>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513" w:right="4633" w:hanging="360"/>
        <w:jc w:val="left"/>
      </w:pPr>
      <w:r>
        <w:rPr/>
        <w:t>的会计期间，根据规定的计提基础和计提比例计算确定相应的职工薪酬金额。 职工福利费为非货币性福利的，如能够可靠计量的，按照公允价值计量。</w:t>
      </w:r>
    </w:p>
    <w:p>
      <w:pPr>
        <w:spacing w:line="240" w:lineRule="auto" w:before="9"/>
        <w:rPr>
          <w:rFonts w:ascii="宋体" w:hAnsi="宋体" w:cs="宋体" w:eastAsia="宋体" w:hint="default"/>
          <w:sz w:val="22"/>
          <w:szCs w:val="22"/>
        </w:rPr>
      </w:pPr>
    </w:p>
    <w:p>
      <w:pPr>
        <w:pStyle w:val="Heading4"/>
        <w:spacing w:line="240" w:lineRule="auto"/>
        <w:ind w:right="982"/>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982"/>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w:t>
      </w:r>
    </w:p>
    <w:p>
      <w:pPr>
        <w:pStyle w:val="BodyText"/>
        <w:spacing w:line="316" w:lineRule="auto" w:before="31"/>
        <w:ind w:left="513" w:right="982" w:hanging="360"/>
        <w:jc w:val="left"/>
      </w:pPr>
      <w:r>
        <w:rPr/>
        <w:t>定的缴纳基数和比例计算应缴纳金额，确认为负债，并计入当期损益或相关资产成本。 除基本养老保险外，本公司还依据国家企业年金制度的相关政策建立了企业年金缴费制度（补充养老保险）</w:t>
      </w:r>
      <w:r>
        <w:rPr>
          <w:rFonts w:ascii="Times New Roman" w:hAnsi="Times New Roman" w:cs="Times New Roman" w:eastAsia="Times New Roman" w:hint="default"/>
        </w:rPr>
        <w:t>/</w:t>
      </w:r>
      <w:r>
        <w:rPr/>
        <w:t>企业年金</w:t>
      </w:r>
    </w:p>
    <w:p>
      <w:pPr>
        <w:pStyle w:val="BodyText"/>
        <w:spacing w:line="248" w:lineRule="exact"/>
        <w:ind w:right="0"/>
        <w:jc w:val="left"/>
      </w:pPr>
      <w:r>
        <w:rPr/>
        <w:t>计划。本公司按职工工资总额的一定比例向当地社会保险机构缴费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00" w:lineRule="auto" w:before="63"/>
        <w:ind w:left="513" w:right="982"/>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本公司根据预期累计福利单位法确定的公式将设定受益计划产生的福利义务归属于职工提供服务的期间，并计入当期损</w:t>
      </w:r>
    </w:p>
    <w:p>
      <w:pPr>
        <w:pStyle w:val="BodyText"/>
        <w:spacing w:line="240" w:lineRule="auto" w:before="31"/>
        <w:ind w:right="982"/>
        <w:jc w:val="left"/>
      </w:pPr>
      <w:r>
        <w:rPr/>
        <w:t>益或相关资产成本。</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3" w:firstLine="360"/>
        <w:jc w:val="left"/>
      </w:pPr>
      <w:r>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BodyText"/>
        <w:spacing w:line="316" w:lineRule="auto" w:before="17"/>
        <w:ind w:right="982" w:firstLine="360"/>
        <w:jc w:val="left"/>
      </w:pPr>
      <w:r>
        <w:rPr>
          <w:spacing w:val="-2"/>
        </w:rPr>
        <w:t>所有设定受益计划义务，包括预期在职工提供服务的年度报告期间结束后的十二个月内支付的义务，根据资产负债表日</w:t>
      </w:r>
      <w:r>
        <w:rPr/>
        <w:t> 与设定受益计划义务期限和币种相匹配的国债或活跃市场上的高质量公司债券的市场收益率予以折现。</w:t>
      </w:r>
    </w:p>
    <w:p>
      <w:pPr>
        <w:pStyle w:val="BodyText"/>
        <w:spacing w:line="316" w:lineRule="auto" w:before="19"/>
        <w:ind w:right="1132" w:firstLine="360"/>
        <w:jc w:val="both"/>
      </w:pPr>
      <w:r>
        <w:rPr>
          <w:spacing w:val="-2"/>
        </w:rPr>
        <w:t>设定受益计划产生的服务成本和设定受益计划净负债或净资产的利息净额计入当期损益或相关资产成本；重新计量设定</w:t>
      </w:r>
      <w:r>
        <w:rPr/>
        <w:t> </w:t>
      </w:r>
      <w:r>
        <w:rPr>
          <w:spacing w:val="-2"/>
        </w:rPr>
        <w:t>受益计划净负债或净资产所产生的变动计入其他综合收益，并且在后续会计期间不转回至损益，在原设定受益计划终止时在</w:t>
      </w:r>
      <w:r>
        <w:rPr>
          <w:spacing w:val="-64"/>
        </w:rPr>
        <w:t> </w:t>
      </w:r>
      <w:r>
        <w:rPr>
          <w:spacing w:val="-64"/>
        </w:rPr>
      </w:r>
      <w:r>
        <w:rPr/>
        <w:t>权益范围内将原计入其他综合收益的部分全部结转至未分配利润。</w:t>
      </w:r>
    </w:p>
    <w:p>
      <w:pPr>
        <w:pStyle w:val="BodyText"/>
        <w:spacing w:line="240" w:lineRule="auto" w:before="59"/>
        <w:ind w:right="982"/>
        <w:jc w:val="left"/>
      </w:pPr>
      <w:r>
        <w:rPr/>
        <w:t>在设定受益计划结算时，按在结算日确定的设定受益计划义务现值和结算价格两者的差额，确认结算利得或损失。</w:t>
      </w:r>
    </w:p>
    <w:p>
      <w:pPr>
        <w:spacing w:line="240" w:lineRule="auto" w:before="11"/>
        <w:rPr>
          <w:rFonts w:ascii="宋体" w:hAnsi="宋体" w:cs="宋体" w:eastAsia="宋体" w:hint="default"/>
          <w:sz w:val="26"/>
          <w:szCs w:val="26"/>
        </w:rPr>
      </w:pPr>
    </w:p>
    <w:p>
      <w:pPr>
        <w:pStyle w:val="Heading4"/>
        <w:spacing w:line="240" w:lineRule="auto"/>
        <w:ind w:right="982"/>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82"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6"/>
        <w:rPr>
          <w:rFonts w:ascii="宋体" w:hAnsi="宋体" w:cs="宋体" w:eastAsia="宋体" w:hint="default"/>
          <w:sz w:val="22"/>
          <w:szCs w:val="22"/>
        </w:rPr>
      </w:pPr>
    </w:p>
    <w:p>
      <w:pPr>
        <w:pStyle w:val="Heading4"/>
        <w:spacing w:line="240" w:lineRule="auto"/>
        <w:ind w:right="982"/>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982"/>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82"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9" w:lineRule="auto" w:before="13"/>
        <w:ind w:right="982"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7"/>
        <w:ind w:right="982"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300" w:lineRule="auto" w:before="19"/>
        <w:ind w:left="513" w:right="982"/>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16" w:lineRule="auto" w:before="31"/>
        <w:ind w:right="982"/>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316" w:lineRule="auto" w:before="19"/>
        <w:ind w:right="1033" w:firstLine="360"/>
        <w:jc w:val="left"/>
      </w:pPr>
      <w:r>
        <w:rPr/>
        <w:t>通过比较合同的工程计划收入（即不含增值税金额和商品销售收入）与对应的工程预算（即不含采购成本和外包成本） </w:t>
      </w:r>
      <w:r>
        <w:rPr>
          <w:spacing w:val="-2"/>
        </w:rPr>
        <w:t>之间的差异，计划收入小于工程预算的，即为亏损合同。企业待执行合同变成亏损合同时，企业拥有合同标的资产的，先对</w:t>
      </w:r>
      <w:r>
        <w:rPr>
          <w:spacing w:val="-67"/>
        </w:rPr>
        <w:t> </w:t>
      </w:r>
      <w:r>
        <w:rPr>
          <w:spacing w:val="-67"/>
        </w:rPr>
      </w:r>
      <w:r>
        <w:rPr>
          <w:spacing w:val="-2"/>
        </w:rPr>
        <w:t>标的资产进行减值测试并按规定确认减值损失，如预计亏损超过该减值损失，将超过部分确认为预计负债。无合同标的资产</w:t>
      </w:r>
      <w:r>
        <w:rPr>
          <w:spacing w:val="-63"/>
        </w:rPr>
        <w:t> </w:t>
      </w:r>
      <w:r>
        <w:rPr>
          <w:spacing w:val="-63"/>
        </w:rPr>
      </w:r>
      <w:r>
        <w:rPr/>
        <w:t>的，亏损合同相关义务满足预计负债确认条件时，确认为预计负债。</w:t>
      </w:r>
    </w:p>
    <w:p>
      <w:pPr>
        <w:pStyle w:val="BodyText"/>
        <w:spacing w:line="300" w:lineRule="auto" w:before="19"/>
        <w:ind w:left="513" w:right="982"/>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316" w:lineRule="auto" w:before="31"/>
        <w:ind w:right="982"/>
        <w:jc w:val="left"/>
      </w:pPr>
      <w:r>
        <w:rPr>
          <w:spacing w:val="-2"/>
        </w:rPr>
        <w:t>出确定预计负债金额。对于出售部分业务的重组义务，只有在本公司承诺出售部分业务（即签订了约束性出售协议时），才</w:t>
      </w:r>
      <w:r>
        <w:rPr>
          <w:spacing w:val="-67"/>
        </w:rPr>
        <w:t> </w:t>
      </w:r>
      <w:r>
        <w:rPr>
          <w:spacing w:val="-67"/>
        </w:rPr>
      </w:r>
      <w:r>
        <w:rPr/>
        <w:t>确认与重组相关的义务。</w:t>
      </w:r>
    </w:p>
    <w:p>
      <w:pPr>
        <w:spacing w:line="240" w:lineRule="auto" w:before="8"/>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2" w:firstLine="360"/>
        <w:jc w:val="left"/>
      </w:pPr>
      <w:r>
        <w:rPr>
          <w:spacing w:val="-2"/>
        </w:rPr>
        <w:t>本公司的股份支付是为了获取职工或其他方提供服务而授予权益工具或者承担以权益工具为基础确定的负债的交易。本</w:t>
      </w:r>
      <w:r>
        <w:rPr/>
        <w:t> 公司的股份支付分为以权益结算的股份支付和以现金结算的股份支付。</w:t>
      </w:r>
    </w:p>
    <w:p>
      <w:pPr>
        <w:spacing w:line="300" w:lineRule="auto" w:before="18"/>
        <w:ind w:left="513" w:right="982" w:firstLine="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、以权益结算的股份支付及权益工具</w:t>
      </w:r>
      <w:r>
        <w:rPr>
          <w:rFonts w:ascii="宋体" w:hAnsi="宋体" w:cs="宋体" w:eastAsia="宋体" w:hint="default"/>
          <w:b/>
          <w:bCs/>
          <w:w w:val="99"/>
          <w:sz w:val="18"/>
          <w:szCs w:val="18"/>
        </w:rPr>
        <w:t> </w:t>
      </w:r>
      <w:r>
        <w:rPr>
          <w:rFonts w:ascii="宋体" w:hAnsi="宋体" w:cs="宋体" w:eastAsia="宋体" w:hint="default"/>
          <w:spacing w:val="-2"/>
          <w:sz w:val="18"/>
          <w:szCs w:val="18"/>
        </w:rPr>
        <w:t>用以换取职工提供的服务的权益结算的股份支付，以授予职工权益工具在授予日的公允价值计量。该公允价值的金额在</w:t>
      </w:r>
    </w:p>
    <w:p>
      <w:pPr>
        <w:spacing w:after="0" w:line="30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jc w:val="both"/>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ind w:right="1132" w:firstLine="360"/>
        <w:jc w:val="both"/>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right="1130"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3"/>
        </w:rPr>
        <w:t> </w:t>
      </w:r>
      <w:r>
        <w:rPr>
          <w:spacing w:val="-63"/>
        </w:rPr>
      </w:r>
      <w:r>
        <w:rPr/>
        <w:t>日的公允价值计量，计入相关成本或费用，相应增加股东权益。</w:t>
      </w:r>
    </w:p>
    <w:p>
      <w:pPr>
        <w:spacing w:line="300" w:lineRule="auto" w:before="19"/>
        <w:ind w:left="513" w:right="982" w:firstLine="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、以现金结算的股份支付及权益工具</w:t>
      </w:r>
      <w:r>
        <w:rPr>
          <w:rFonts w:ascii="宋体" w:hAnsi="宋体" w:cs="宋体" w:eastAsia="宋体" w:hint="default"/>
          <w:b/>
          <w:bCs/>
          <w:w w:val="99"/>
          <w:sz w:val="18"/>
          <w:szCs w:val="18"/>
        </w:rPr>
        <w:t> </w:t>
      </w:r>
      <w:r>
        <w:rPr>
          <w:rFonts w:ascii="宋体" w:hAnsi="宋体" w:cs="宋体" w:eastAsia="宋体" w:hint="default"/>
          <w:spacing w:val="-2"/>
          <w:sz w:val="18"/>
          <w:szCs w:val="18"/>
        </w:rPr>
        <w:t>以现金结算的股份支付，按照本公司承担的以股份或其他权益工具为基础确定的负债的公允价值计量。如授予后立即可</w:t>
      </w:r>
    </w:p>
    <w:p>
      <w:pPr>
        <w:pStyle w:val="BodyText"/>
        <w:spacing w:line="316" w:lineRule="auto" w:before="31"/>
        <w:ind w:right="1130"/>
        <w:jc w:val="both"/>
      </w:pPr>
      <w:r>
        <w:rPr>
          <w:spacing w:val="-2"/>
        </w:rPr>
        <w:t>行权，在授予日计入相关成本或费用，相应增加负债；如须完成等待期内的服务或达到规定业绩条件以后才可行权，在等待</w:t>
      </w:r>
      <w:r>
        <w:rPr>
          <w:spacing w:val="-64"/>
        </w:rPr>
        <w:t> </w:t>
      </w:r>
      <w:r>
        <w:rPr>
          <w:spacing w:val="-64"/>
        </w:rPr>
      </w:r>
      <w:r>
        <w:rPr>
          <w:spacing w:val="-2"/>
        </w:rPr>
        <w:t>期的每个资产负债表日，以对可行权情况的最佳估计为基础，按照本公司承担负债的公允价值金额，将当期取得的服务计入</w:t>
      </w:r>
      <w:r>
        <w:rPr>
          <w:spacing w:val="-63"/>
        </w:rPr>
        <w:t> </w:t>
      </w:r>
      <w:r>
        <w:rPr>
          <w:spacing w:val="-63"/>
        </w:rPr>
      </w:r>
      <w:r>
        <w:rPr/>
        <w:t>成本或费用，相应增加负债。</w:t>
      </w:r>
    </w:p>
    <w:p>
      <w:pPr>
        <w:pStyle w:val="BodyText"/>
        <w:spacing w:line="240" w:lineRule="auto" w:before="19"/>
        <w:ind w:left="513" w:right="982"/>
        <w:jc w:val="left"/>
      </w:pPr>
      <w:r>
        <w:rPr/>
        <w:t>在相关负债结算前的每个资产负债表日以及结算日，对负债的公允价值重新计量，其变动计入当期损益。</w:t>
      </w:r>
    </w:p>
    <w:p>
      <w:pPr>
        <w:spacing w:line="240" w:lineRule="auto" w:before="0"/>
        <w:rPr>
          <w:rFonts w:ascii="宋体" w:hAnsi="宋体" w:cs="宋体" w:eastAsia="宋体" w:hint="default"/>
          <w:sz w:val="18"/>
          <w:szCs w:val="18"/>
        </w:rPr>
      </w:pPr>
    </w:p>
    <w:p>
      <w:pPr>
        <w:pStyle w:val="Heading4"/>
        <w:spacing w:line="240" w:lineRule="auto" w:before="118"/>
        <w:ind w:right="982"/>
        <w:jc w:val="left"/>
        <w:rPr>
          <w:b w:val="0"/>
          <w:bCs w:val="0"/>
        </w:rPr>
      </w:pPr>
      <w:r>
        <w:rPr>
          <w:rFonts w:ascii="Times New Roman" w:hAnsi="Times New Roman" w:cs="Times New Roman" w:eastAsia="Times New Roman" w:hint="default"/>
        </w:rPr>
        <w:t>24</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573" w:right="982" w:hanging="42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rFonts w:ascii="Times New Roman" w:hAnsi="Times New Roman" w:cs="Times New Roman" w:eastAsia="Times New Roman" w:hint="default"/>
          <w:b/>
          <w:bCs/>
        </w:rPr>
        <w:t>1</w:t>
      </w:r>
      <w:r>
        <w:rPr>
          <w:rFonts w:ascii="宋体" w:hAnsi="宋体" w:cs="宋体" w:eastAsia="宋体" w:hint="default"/>
          <w:b/>
          <w:bCs/>
        </w:rPr>
        <w:t>、商品销售收入</w:t>
      </w:r>
      <w:r>
        <w:rPr>
          <w:rFonts w:ascii="宋体" w:hAnsi="宋体" w:cs="宋体" w:eastAsia="宋体" w:hint="default"/>
          <w:b/>
          <w:bCs/>
          <w:w w:val="99"/>
        </w:rPr>
        <w:t> </w:t>
      </w:r>
      <w:r>
        <w:rPr/>
        <w:t>在已将商品所有权上的主要风险和报酬转移给买方，既没有保留通常与所有权相联系的继续管理权，也没有对已售商</w:t>
      </w:r>
    </w:p>
    <w:p>
      <w:pPr>
        <w:pStyle w:val="BodyText"/>
        <w:spacing w:line="316" w:lineRule="auto" w:before="17"/>
        <w:ind w:right="1129"/>
        <w:jc w:val="both"/>
      </w:pPr>
      <w:r>
        <w:rPr>
          <w:spacing w:val="-2"/>
        </w:rPr>
        <w:t>品实施有效控制，收入的金额能够可靠地计量，相关的经济利益很可能流入企业，相关的已发生或将发生的成本能够可靠地</w:t>
      </w:r>
      <w:r>
        <w:rPr>
          <w:spacing w:val="-62"/>
        </w:rPr>
        <w:t> </w:t>
      </w:r>
      <w:r>
        <w:rPr>
          <w:spacing w:val="-62"/>
        </w:rPr>
      </w:r>
      <w:r>
        <w:rPr/>
        <w:t>计量时，确认商品销售收入的实现。</w:t>
      </w:r>
    </w:p>
    <w:p>
      <w:pPr>
        <w:pStyle w:val="BodyText"/>
        <w:spacing w:line="300" w:lineRule="auto" w:before="19"/>
        <w:ind w:left="513" w:right="982" w:firstLine="62"/>
        <w:jc w:val="left"/>
      </w:pPr>
      <w:r>
        <w:rPr>
          <w:rFonts w:ascii="Times New Roman" w:hAnsi="Times New Roman" w:cs="Times New Roman" w:eastAsia="Times New Roman" w:hint="default"/>
          <w:b/>
          <w:bCs/>
        </w:rPr>
        <w:t>2</w:t>
      </w:r>
      <w:r>
        <w:rPr>
          <w:rFonts w:ascii="宋体" w:hAnsi="宋体" w:cs="宋体" w:eastAsia="宋体" w:hint="default"/>
          <w:b/>
          <w:bCs/>
        </w:rPr>
        <w:t>、提供劳务收入</w:t>
      </w:r>
      <w:r>
        <w:rPr>
          <w:rFonts w:ascii="宋体" w:hAnsi="宋体" w:cs="宋体" w:eastAsia="宋体" w:hint="default"/>
          <w:b/>
          <w:bCs/>
          <w:w w:val="99"/>
        </w:rPr>
        <w:t> </w:t>
      </w:r>
      <w:r>
        <w:rPr>
          <w:spacing w:val="-2"/>
        </w:rPr>
        <w:t>在提供劳务交易的结果能够可靠估计的情况下，于资产负债表日按照完工百分比法确认提供的劳务收入。劳务交易的完</w:t>
      </w:r>
    </w:p>
    <w:p>
      <w:pPr>
        <w:pStyle w:val="BodyText"/>
        <w:spacing w:line="316" w:lineRule="auto" w:before="32"/>
        <w:ind w:left="513" w:right="6253" w:hanging="360"/>
        <w:jc w:val="left"/>
      </w:pPr>
      <w:r>
        <w:rPr/>
        <w:t>工进度按已经发生的劳务成本占估计总成本的比例确定。 提供劳务交易的结果能够可靠估计是指同时满足：</w:t>
      </w:r>
    </w:p>
    <w:p>
      <w:pPr>
        <w:pStyle w:val="BodyText"/>
        <w:spacing w:line="316" w:lineRule="auto" w:before="19"/>
        <w:ind w:right="1130" w:firstLine="360"/>
        <w:jc w:val="both"/>
      </w:pPr>
      <w:r>
        <w:rPr>
          <w:spacing w:val="-2"/>
        </w:rPr>
        <w:t>①收入的金额能够可靠地计量；②相关的经济利益很可能流入企业；③交易的完工程度能够可靠地确定；④交易中已发</w:t>
      </w:r>
      <w:r>
        <w:rPr/>
        <w:t> 生和将发生的成本能够可靠地计量。</w:t>
      </w:r>
    </w:p>
    <w:p>
      <w:pPr>
        <w:pStyle w:val="BodyText"/>
        <w:spacing w:line="316" w:lineRule="auto" w:before="19"/>
        <w:ind w:right="1130" w:firstLine="360"/>
        <w:jc w:val="both"/>
      </w:pPr>
      <w:r>
        <w:rPr>
          <w:spacing w:val="-2"/>
        </w:rPr>
        <w:t>如果提供劳务交易的结果不能够可靠估计，则按已经发生并预计能够得到补偿的劳务成本金额确认提供的劳务收入，并</w:t>
      </w:r>
      <w:r>
        <w:rPr/>
        <w:t> </w:t>
      </w:r>
      <w:r>
        <w:rPr>
          <w:spacing w:val="-2"/>
        </w:rPr>
        <w:t>将已发生的劳务成本作为当期费用。已经发生的劳务成本如预计不能得到补偿的，则不确认收入，应当将已经发生的劳务成</w:t>
      </w:r>
      <w:r>
        <w:rPr>
          <w:spacing w:val="-63"/>
        </w:rPr>
        <w:t> </w:t>
      </w:r>
      <w:r>
        <w:rPr>
          <w:spacing w:val="-63"/>
        </w:rPr>
      </w:r>
      <w:r>
        <w:rPr/>
        <w:t>本计入当期损益，不确认提供劳务收入。</w:t>
      </w:r>
    </w:p>
    <w:p>
      <w:pPr>
        <w:pStyle w:val="BodyText"/>
        <w:spacing w:line="316" w:lineRule="auto" w:before="19"/>
        <w:ind w:right="1130" w:firstLine="360"/>
        <w:jc w:val="both"/>
      </w:pPr>
      <w:r>
        <w:rPr>
          <w:spacing w:val="-2"/>
        </w:rPr>
        <w:t>本公司与其他企业签订的合同或协议包括销售商品和提供劳务时，如销售商品部分和提供劳务部分能够区分并单独计量</w:t>
      </w:r>
      <w:r>
        <w:rPr/>
        <w:t> </w:t>
      </w:r>
      <w:r>
        <w:rPr>
          <w:spacing w:val="-2"/>
        </w:rPr>
        <w:t>的，将销售商品部分和提供劳务部分分别处理；如销售商品部分和提供劳务部分不能够区分，或虽能区分但不能够单独计量</w:t>
      </w:r>
      <w:r>
        <w:rPr>
          <w:spacing w:val="-63"/>
        </w:rPr>
        <w:t> </w:t>
      </w:r>
      <w:r>
        <w:rPr>
          <w:spacing w:val="-63"/>
        </w:rPr>
      </w:r>
      <w:r>
        <w:rPr/>
        <w:t>的，将该合同全部作为销售商品处理。</w:t>
      </w:r>
    </w:p>
    <w:p>
      <w:pPr>
        <w:spacing w:line="300" w:lineRule="auto" w:before="19"/>
        <w:ind w:left="513" w:right="2473" w:firstLine="6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、各类营业收入确认的具体方法</w:t>
      </w:r>
      <w:r>
        <w:rPr>
          <w:rFonts w:ascii="宋体" w:hAnsi="宋体" w:cs="宋体" w:eastAsia="宋体" w:hint="default"/>
          <w:b/>
          <w:bCs/>
          <w:w w:val="99"/>
          <w:sz w:val="18"/>
          <w:szCs w:val="18"/>
        </w:rPr>
        <w:t> </w:t>
      </w:r>
      <w:r>
        <w:rPr>
          <w:rFonts w:ascii="宋体" w:hAnsi="宋体" w:cs="宋体" w:eastAsia="宋体" w:hint="default"/>
          <w:sz w:val="18"/>
          <w:szCs w:val="18"/>
        </w:rPr>
        <w:t>本公司的营业收入分为软件开发收入、技术服务收入和商品销售收入三大类别，收入确认原则如下：</w:t>
      </w:r>
    </w:p>
    <w:p>
      <w:pPr>
        <w:pStyle w:val="BodyText"/>
        <w:spacing w:line="316" w:lineRule="auto" w:before="31"/>
        <w:ind w:left="513" w:right="982"/>
        <w:jc w:val="left"/>
      </w:pPr>
      <w:r>
        <w:rPr/>
        <w:t>①软件开发收入 </w:t>
      </w:r>
      <w:r>
        <w:rPr>
          <w:spacing w:val="-2"/>
        </w:rPr>
        <w:t>软件开发收入是指公司按照客户需求为其开发软件所取得的收入。此类项目按照合同约定金额与项目实施阶段，根据对</w:t>
      </w:r>
    </w:p>
    <w:p>
      <w:pPr>
        <w:pStyle w:val="BodyText"/>
        <w:spacing w:line="316" w:lineRule="auto" w:before="19"/>
        <w:ind w:left="513" w:right="1033" w:hanging="360"/>
        <w:jc w:val="left"/>
      </w:pPr>
      <w:r>
        <w:rPr/>
        <w:t>方出具验收证明确认相应的收入。未明确合同金额的框架协议，按双方认可的结算单确认收入。 项目进度实施分为上线或到货、初验和终验三个阶段，当收到客户验收证明时分别根据合同金额和验收进度确认收入，</w:t>
      </w:r>
    </w:p>
    <w:p>
      <w:pPr>
        <w:pStyle w:val="BodyText"/>
        <w:spacing w:line="309" w:lineRule="auto" w:before="19"/>
        <w:ind w:left="573" w:right="1115" w:hanging="420"/>
        <w:jc w:val="left"/>
      </w:pPr>
      <w:r>
        <w:rPr/>
        <w:t>确认收入比例为上线（到货）阶段</w:t>
      </w:r>
      <w:r>
        <w:rPr>
          <w:rFonts w:ascii="Times New Roman" w:hAnsi="Times New Roman" w:cs="Times New Roman" w:eastAsia="Times New Roman" w:hint="default"/>
        </w:rPr>
        <w:t>50%</w:t>
      </w:r>
      <w:r>
        <w:rPr/>
        <w:t>、初验阶段</w:t>
      </w:r>
      <w:r>
        <w:rPr>
          <w:rFonts w:ascii="Times New Roman" w:hAnsi="Times New Roman" w:cs="Times New Roman" w:eastAsia="Times New Roman" w:hint="default"/>
        </w:rPr>
        <w:t>70%</w:t>
      </w:r>
      <w:r>
        <w:rPr/>
        <w:t>、终验阶段</w:t>
      </w:r>
      <w:r>
        <w:rPr>
          <w:rFonts w:ascii="Times New Roman" w:hAnsi="Times New Roman" w:cs="Times New Roman" w:eastAsia="Times New Roman" w:hint="default"/>
        </w:rPr>
        <w:t>100%</w:t>
      </w:r>
      <w:r>
        <w:rPr/>
        <w:t>。 此外，如合同明确约定建设期和运营期，核算方式如下： </w:t>
      </w:r>
      <w:r>
        <w:rPr>
          <w:rFonts w:ascii="Times New Roman" w:hAnsi="Times New Roman" w:cs="Times New Roman" w:eastAsia="Times New Roman" w:hint="default"/>
          <w:spacing w:val="-1"/>
        </w:rPr>
        <w:t>1</w:t>
      </w:r>
      <w:r>
        <w:rPr>
          <w:spacing w:val="-1"/>
        </w:rPr>
        <w:t>、建设期为资产形成投入期，工程实花计入存货；建设期如约定了固定的合同金额，在运营期平均摊销确认收入，建</w:t>
      </w:r>
    </w:p>
    <w:p>
      <w:pPr>
        <w:pStyle w:val="BodyText"/>
        <w:spacing w:line="240" w:lineRule="auto" w:before="5"/>
        <w:ind w:right="982"/>
        <w:jc w:val="left"/>
      </w:pPr>
      <w:r>
        <w:rPr/>
        <w:t>设期形成的存货在运营期平均摊销入成本。</w:t>
      </w:r>
    </w:p>
    <w:p>
      <w:pPr>
        <w:pStyle w:val="BodyText"/>
        <w:spacing w:line="240" w:lineRule="auto" w:before="76"/>
        <w:ind w:left="573" w:right="982"/>
        <w:jc w:val="left"/>
      </w:pPr>
      <w:r>
        <w:rPr>
          <w:rFonts w:ascii="Times New Roman" w:hAnsi="Times New Roman" w:cs="Times New Roman" w:eastAsia="Times New Roman" w:hint="default"/>
        </w:rPr>
        <w:t>2</w:t>
      </w:r>
      <w:r>
        <w:rPr/>
        <w:t>、运营期为经营租赁，即将所开发的资产用于租给客户使用，按收到的结算单确认收入，以对应的结算期间实花确认</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成本。</w:t>
      </w:r>
    </w:p>
    <w:p>
      <w:pPr>
        <w:pStyle w:val="BodyText"/>
        <w:spacing w:line="316" w:lineRule="auto" w:before="77"/>
        <w:ind w:left="513" w:right="982" w:firstLine="60"/>
        <w:jc w:val="left"/>
      </w:pPr>
      <w:r>
        <w:rPr/>
        <w:t>②技术服务收入 </w:t>
      </w:r>
      <w:r>
        <w:rPr>
          <w:spacing w:val="-2"/>
        </w:rPr>
        <w:t>技术服务收入是指向客户提供技术服务所取得的项目收入，技术服务包括系统维护、技术咨询等。合同金额在</w:t>
      </w:r>
      <w:r>
        <w:rPr>
          <w:rFonts w:ascii="Times New Roman" w:hAnsi="Times New Roman" w:cs="Times New Roman" w:eastAsia="Times New Roman" w:hint="default"/>
          <w:spacing w:val="-2"/>
        </w:rPr>
        <w:t>20</w:t>
      </w:r>
      <w:r>
        <w:rPr>
          <w:spacing w:val="-2"/>
        </w:rPr>
        <w:t>万以上</w:t>
      </w:r>
    </w:p>
    <w:p>
      <w:pPr>
        <w:pStyle w:val="BodyText"/>
        <w:spacing w:line="309" w:lineRule="auto"/>
        <w:ind w:right="1129"/>
        <w:jc w:val="both"/>
      </w:pPr>
      <w:r>
        <w:rPr>
          <w:spacing w:val="-2"/>
        </w:rPr>
        <w:t>的技术服务合同，按受益期确认收入；合同金额低于</w:t>
      </w:r>
      <w:r>
        <w:rPr>
          <w:rFonts w:ascii="Times New Roman" w:hAnsi="Times New Roman" w:cs="Times New Roman" w:eastAsia="Times New Roman" w:hint="default"/>
          <w:spacing w:val="-2"/>
        </w:rPr>
        <w:t>20</w:t>
      </w:r>
      <w:r>
        <w:rPr>
          <w:spacing w:val="-2"/>
        </w:rPr>
        <w:t>万的技术服务合同，于劳务已提供完毕取得收款权利并实际收到款项</w:t>
      </w:r>
      <w:r>
        <w:rPr>
          <w:spacing w:val="-62"/>
        </w:rPr>
        <w:t> </w:t>
      </w:r>
      <w:r>
        <w:rPr>
          <w:spacing w:val="-62"/>
        </w:rPr>
      </w:r>
      <w:r>
        <w:rPr>
          <w:spacing w:val="-2"/>
        </w:rPr>
        <w:t>时确认收入；未明确合同金额的框架协议，按双方认可的结算单确认收入。此外，如合同约定按照上线、初验、终验等阶段</w:t>
      </w:r>
      <w:r>
        <w:rPr>
          <w:spacing w:val="-67"/>
        </w:rPr>
        <w:t> </w:t>
      </w:r>
      <w:r>
        <w:rPr>
          <w:spacing w:val="-67"/>
        </w:rPr>
      </w:r>
      <w:r>
        <w:rPr/>
        <w:t>验收，在收到客户出具的验收证明时，按合同金额与验收阶段确认收入。</w:t>
      </w:r>
    </w:p>
    <w:p>
      <w:pPr>
        <w:pStyle w:val="BodyText"/>
        <w:spacing w:line="316" w:lineRule="auto" w:before="24"/>
        <w:ind w:left="513" w:right="982" w:firstLine="60"/>
        <w:jc w:val="left"/>
      </w:pPr>
      <w:r>
        <w:rPr/>
        <w:t>③商品销售收入 </w:t>
      </w:r>
      <w:r>
        <w:rPr>
          <w:spacing w:val="-2"/>
        </w:rPr>
        <w:t>商品销售收入是指从第三方采购商品后再出售所形成的销售收入。本公司商品发货后，按照客户出具的到货签收证明确</w:t>
      </w:r>
    </w:p>
    <w:p>
      <w:pPr>
        <w:pStyle w:val="BodyText"/>
        <w:spacing w:line="240" w:lineRule="auto" w:before="19"/>
        <w:ind w:right="0"/>
        <w:jc w:val="both"/>
      </w:pPr>
      <w:r>
        <w:rPr/>
        <w:t>认收入。</w:t>
      </w:r>
    </w:p>
    <w:p>
      <w:pPr>
        <w:pStyle w:val="BodyText"/>
        <w:spacing w:line="300" w:lineRule="auto" w:before="76"/>
        <w:ind w:left="513" w:right="6613" w:firstLine="60"/>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00" w:lineRule="auto" w:before="31"/>
        <w:ind w:left="513" w:right="5713" w:firstLine="60"/>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982" w:firstLine="60"/>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99"/>
        </w:rPr>
        <w:t> </w:t>
      </w:r>
      <w:r>
        <w:rPr>
          <w:spacing w:val="-2"/>
        </w:rPr>
        <w:t>政府补助是指本公司从政府无偿取得货币性资产和非货币性资产，不包括政府以投资者身份并享有相应所有者权益而投</w:t>
      </w:r>
    </w:p>
    <w:p>
      <w:pPr>
        <w:pStyle w:val="BodyText"/>
        <w:spacing w:line="316" w:lineRule="auto" w:before="31"/>
        <w:ind w:right="982"/>
        <w:jc w:val="left"/>
      </w:pPr>
      <w:r>
        <w:rPr>
          <w:spacing w:val="-2"/>
        </w:rPr>
        <w:t>入的资本。政府补助分为与资产相关的政府补助和与收益相关的政府补助。本公司将所取得的用于购建或以其他方式形成长</w:t>
      </w:r>
      <w:r>
        <w:rPr>
          <w:spacing w:val="-65"/>
        </w:rPr>
        <w:t> </w:t>
      </w:r>
      <w:r>
        <w:rPr>
          <w:spacing w:val="-65"/>
        </w:rPr>
      </w:r>
      <w:r>
        <w:rPr/>
        <w:t>期资产的政府补助界定为与资产相关的政府补助；其余政府补助界定为与收益相关的政府补助。</w:t>
      </w:r>
    </w:p>
    <w:p>
      <w:pPr>
        <w:pStyle w:val="BodyText"/>
        <w:spacing w:line="312" w:lineRule="auto" w:before="19"/>
        <w:ind w:right="1033" w:firstLine="360"/>
        <w:jc w:val="left"/>
      </w:pPr>
      <w:r>
        <w:rPr>
          <w:spacing w:val="-5"/>
        </w:rPr>
        <w:t>若政府文件未明确规定补助对象，则采用以下方式将补助款划分为与收益相关的政府补助和与资产相关的政府补助：（</w:t>
      </w:r>
      <w:r>
        <w:rPr>
          <w:rFonts w:ascii="Times New Roman" w:hAnsi="Times New Roman" w:cs="Times New Roman" w:eastAsia="Times New Roman" w:hint="default"/>
          <w:spacing w:val="-5"/>
        </w:rPr>
        <w:t>1</w:t>
      </w:r>
      <w:r>
        <w:rPr>
          <w:spacing w:val="-5"/>
        </w:rPr>
        <w:t>）</w:t>
      </w:r>
      <w:r>
        <w:rPr/>
        <w:t> </w:t>
      </w:r>
      <w:r>
        <w:rPr>
          <w:spacing w:val="-2"/>
        </w:rPr>
        <w:t>政府文件明确了补助所针对的特定项目的，根据该特定项目的预算中将形成资产的支出金额和计入费用的支出金额的相对比</w:t>
      </w:r>
      <w:r>
        <w:rPr>
          <w:spacing w:val="-64"/>
        </w:rPr>
        <w:t> </w:t>
      </w:r>
      <w:r>
        <w:rPr>
          <w:spacing w:val="-64"/>
        </w:rPr>
      </w:r>
      <w:r>
        <w:rPr/>
        <w:t>例进行划分，对该划分比例需在每个资产负债表日进行复核，必要时进行变更；（</w:t>
      </w:r>
      <w:r>
        <w:rPr>
          <w:rFonts w:ascii="Times New Roman" w:hAnsi="Times New Roman" w:cs="Times New Roman" w:eastAsia="Times New Roman" w:hint="default"/>
        </w:rPr>
        <w:t>2</w:t>
      </w:r>
      <w:r>
        <w:rPr/>
        <w:t>）政府文件中对用途仅作一般性表述，</w:t>
      </w:r>
      <w:r>
        <w:rPr>
          <w:spacing w:val="-83"/>
        </w:rPr>
        <w:t> </w:t>
      </w:r>
      <w:r>
        <w:rPr>
          <w:spacing w:val="-83"/>
        </w:rPr>
      </w:r>
      <w:r>
        <w:rPr>
          <w:spacing w:val="-2"/>
        </w:rPr>
        <w:t>没有指明特定项目的，作为与收益相关的政府补助。政府补助为货币性资产的，按照收到或应收的金额计量。政府补助为非</w:t>
      </w:r>
      <w:r>
        <w:rPr>
          <w:spacing w:val="-66"/>
        </w:rPr>
        <w:t> </w:t>
      </w:r>
      <w:r>
        <w:rPr>
          <w:spacing w:val="-66"/>
        </w:rPr>
      </w:r>
      <w:r>
        <w:rPr>
          <w:spacing w:val="-2"/>
        </w:rPr>
        <w:t>货币性资产的，按照公允价值计量；公允价值不能够可靠取得的，按照名义金额计量。按照名义金额计量的政府补助，直接</w:t>
      </w:r>
      <w:r>
        <w:rPr>
          <w:spacing w:val="-67"/>
        </w:rPr>
        <w:t> </w:t>
      </w:r>
      <w:r>
        <w:rPr>
          <w:spacing w:val="-67"/>
        </w:rPr>
      </w:r>
      <w:r>
        <w:rPr/>
        <w:t>计入当期损益。</w:t>
      </w:r>
    </w:p>
    <w:p>
      <w:pPr>
        <w:spacing w:line="309" w:lineRule="auto" w:before="22"/>
        <w:ind w:left="573" w:right="72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、确认时点</w:t>
      </w:r>
      <w:r>
        <w:rPr>
          <w:rFonts w:ascii="宋体" w:hAnsi="宋体" w:cs="宋体" w:eastAsia="宋体" w:hint="default"/>
          <w:b/>
          <w:bCs/>
          <w:w w:val="99"/>
          <w:sz w:val="18"/>
          <w:szCs w:val="18"/>
        </w:rPr>
        <w:t> </w:t>
      </w:r>
      <w:r>
        <w:rPr>
          <w:rFonts w:ascii="宋体" w:hAnsi="宋体" w:cs="宋体" w:eastAsia="宋体" w:hint="default"/>
          <w:sz w:val="18"/>
          <w:szCs w:val="18"/>
        </w:rPr>
        <w:t>本公司实际收到政府补助资金后确认。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、会计处理</w:t>
      </w:r>
      <w:r>
        <w:rPr>
          <w:rFonts w:ascii="宋体" w:hAnsi="宋体" w:cs="宋体" w:eastAsia="宋体" w:hint="default"/>
          <w:sz w:val="18"/>
          <w:szCs w:val="18"/>
        </w:rPr>
      </w:r>
    </w:p>
    <w:p>
      <w:pPr>
        <w:pStyle w:val="BodyText"/>
        <w:spacing w:line="316" w:lineRule="auto" w:before="5"/>
        <w:ind w:right="1132" w:firstLine="360"/>
        <w:jc w:val="both"/>
      </w:pPr>
      <w:r>
        <w:rPr>
          <w:spacing w:val="-2"/>
        </w:rPr>
        <w:t>与资产相关的政府补助，确认为递延收益，并在相关资产的使用寿命内按照合理、系统的方法分期计入当期损益。与收</w:t>
      </w:r>
      <w:r>
        <w:rPr/>
        <w:t> </w:t>
      </w:r>
      <w:r>
        <w:rPr>
          <w:spacing w:val="-2"/>
        </w:rPr>
        <w:t>益相关的政府补助，用于补偿以后期间的相关成本费用或损失的，确认为递延收益，并在确认相关成本费用或损失的期间计</w:t>
      </w:r>
      <w:r>
        <w:rPr>
          <w:spacing w:val="-66"/>
        </w:rPr>
        <w:t> </w:t>
      </w:r>
      <w:r>
        <w:rPr>
          <w:spacing w:val="-66"/>
        </w:rPr>
      </w:r>
      <w:r>
        <w:rPr/>
        <w:t>入当期损益；用于补偿已经发生的相关成本费用或损失的，直接计入当期损益。</w:t>
      </w:r>
    </w:p>
    <w:p>
      <w:pPr>
        <w:pStyle w:val="BodyText"/>
        <w:spacing w:line="316" w:lineRule="auto" w:before="19"/>
        <w:ind w:right="1130" w:firstLine="360"/>
        <w:jc w:val="both"/>
      </w:pPr>
      <w:r>
        <w:rPr>
          <w:spacing w:val="-2"/>
        </w:rPr>
        <w:t>同时包含与资产相关部分和与收益相关部分的政府补助，区分不同部分分别进行会计处理；难以区分的，将其整体归类</w:t>
      </w:r>
      <w:r>
        <w:rPr/>
        <w:t> 为与收益相关的政府补助。</w:t>
      </w:r>
    </w:p>
    <w:p>
      <w:pPr>
        <w:pStyle w:val="BodyText"/>
        <w:spacing w:line="316" w:lineRule="auto" w:before="19"/>
        <w:ind w:right="1132" w:firstLine="360"/>
        <w:jc w:val="both"/>
      </w:pPr>
      <w:r>
        <w:rPr>
          <w:spacing w:val="-2"/>
        </w:rPr>
        <w:t>与本公司日常活动相关的政府补助，按照经济业务的实质，计入其他收益或冲减相关成本费用；与日常活动无关的政府</w:t>
      </w:r>
      <w:r>
        <w:rPr/>
        <w:t> 补助，计入营业外收支。</w:t>
      </w:r>
    </w:p>
    <w:p>
      <w:pPr>
        <w:pStyle w:val="BodyText"/>
        <w:spacing w:line="316" w:lineRule="auto" w:before="16"/>
        <w:ind w:right="1132" w:firstLine="360"/>
        <w:jc w:val="both"/>
      </w:pPr>
      <w:r>
        <w:rPr>
          <w:spacing w:val="-2"/>
        </w:rPr>
        <w:t>已确认的政府补助需要退回时，存在相关递延收益余额的，冲减相关递延收益账面余额，超出部分计入当期损益；属于</w:t>
      </w:r>
      <w:r>
        <w:rPr/>
        <w:t> 其他情况的，直接计入当期损益。</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240" w:lineRule="auto" w:before="19"/>
        <w:ind w:left="513" w:right="982"/>
        <w:jc w:val="left"/>
      </w:pPr>
      <w:r>
        <w:rPr/>
        <w:t>对于应纳税暂时性差异，除特殊情况外，确认递延所得税负债。</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firstLine="360"/>
        <w:jc w:val="both"/>
      </w:pPr>
      <w:r>
        <w:rPr>
          <w:spacing w:val="-2"/>
        </w:rPr>
        <w:t>不确认递延所得税资产或递延所得税负债的特殊情况包括：商誉的初始确认；除企业合并以外的发生时既不影响会计利</w:t>
      </w:r>
      <w:r>
        <w:rPr/>
        <w:t> 润也不影响应纳税所得额（或可抵扣亏损）的其他交易或事项。</w:t>
      </w:r>
    </w:p>
    <w:p>
      <w:pPr>
        <w:pStyle w:val="BodyText"/>
        <w:spacing w:line="316" w:lineRule="auto" w:before="17"/>
        <w:ind w:right="1131" w:firstLine="360"/>
        <w:jc w:val="both"/>
      </w:pPr>
      <w:r>
        <w:rPr>
          <w:spacing w:val="-2"/>
        </w:rPr>
        <w:t>当拥有以净额结算的法定权利，且意图以净额结算或取得资产、清偿负债同时进行时，当期所得税资产及当期所得税负</w:t>
      </w:r>
      <w:r>
        <w:rPr/>
        <w:t> 债以抵销后的净额列报。</w:t>
      </w:r>
    </w:p>
    <w:p>
      <w:pPr>
        <w:pStyle w:val="BodyText"/>
        <w:spacing w:line="316" w:lineRule="auto" w:before="19"/>
        <w:ind w:right="1132"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8"/>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27</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2" w:firstLine="360"/>
        <w:jc w:val="both"/>
      </w:pPr>
      <w:r>
        <w:rPr>
          <w:spacing w:val="-2"/>
        </w:rPr>
        <w:t>公司租入资产所支付的租赁费，在不扣除免租期的整个租赁期内，按直线法进行分摊，计入当期费用。公司支付的与租</w:t>
      </w:r>
      <w:r>
        <w:rPr/>
        <w:t> 赁交易相关的初始直接费用，计入当期费用。</w:t>
      </w:r>
    </w:p>
    <w:p>
      <w:pPr>
        <w:pStyle w:val="BodyText"/>
        <w:spacing w:line="316" w:lineRule="auto" w:before="19"/>
        <w:ind w:right="113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19"/>
        <w:ind w:right="1133" w:firstLine="360"/>
        <w:jc w:val="both"/>
      </w:pPr>
      <w:r>
        <w:rPr>
          <w:spacing w:val="-2"/>
        </w:rPr>
        <w:t>公司出租资产所收取的租赁费，在不扣除免租期的整个租赁期内，按直线法进行分摊，确认为租赁相关收入。公司支付</w:t>
      </w:r>
      <w:r>
        <w:rPr/>
        <w:t> </w:t>
      </w:r>
      <w:r>
        <w:rPr>
          <w:spacing w:val="-2"/>
        </w:rPr>
        <w:t>的与租赁交易相关的初始直接费用，计入当期费用；如金额较大的，则予以资本化，在整个租赁期间内按照与租赁相关收入</w:t>
      </w:r>
      <w:r>
        <w:rPr>
          <w:spacing w:val="-66"/>
        </w:rPr>
        <w:t> </w:t>
      </w:r>
      <w:r>
        <w:rPr>
          <w:spacing w:val="-66"/>
        </w:rPr>
      </w:r>
      <w:r>
        <w:rPr/>
        <w:t>确认相同的基础分期计入当期收益。</w:t>
      </w:r>
    </w:p>
    <w:p>
      <w:pPr>
        <w:pStyle w:val="BodyText"/>
        <w:spacing w:line="316" w:lineRule="auto" w:before="19"/>
        <w:ind w:right="113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8"/>
        <w:rPr>
          <w:rFonts w:ascii="宋体" w:hAnsi="宋体" w:cs="宋体" w:eastAsia="宋体" w:hint="default"/>
          <w:sz w:val="22"/>
          <w:szCs w:val="22"/>
        </w:rPr>
      </w:pPr>
    </w:p>
    <w:p>
      <w:pPr>
        <w:pStyle w:val="Heading4"/>
        <w:spacing w:line="240" w:lineRule="auto"/>
        <w:ind w:right="982"/>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82"/>
        <w:jc w:val="left"/>
      </w:pP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19"/>
        <w:ind w:right="982"/>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316" w:lineRule="auto" w:before="19"/>
        <w:ind w:left="513" w:right="982"/>
        <w:jc w:val="left"/>
      </w:pPr>
      <w:r>
        <w:rPr/>
        <w:t>未确认融资费用在租赁期内采用实际利率法计算确认当期的融资费用。或有租金于实际发生时计入当期损益。 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19"/>
        <w:ind w:right="982"/>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9"/>
        <w:ind w:left="513" w:right="982"/>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pStyle w:val="Heading4"/>
        <w:spacing w:line="240" w:lineRule="auto" w:before="118"/>
        <w:ind w:right="982"/>
        <w:jc w:val="left"/>
        <w:rPr>
          <w:b w:val="0"/>
          <w:bCs w:val="0"/>
        </w:rPr>
      </w:pPr>
      <w:r>
        <w:rPr>
          <w:rFonts w:ascii="Times New Roman" w:hAnsi="Times New Roman" w:cs="Times New Roman" w:eastAsia="Times New Roman" w:hint="default"/>
        </w:rPr>
        <w:t>28</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26" w:firstLine="360"/>
        <w:jc w:val="both"/>
      </w:pPr>
      <w:r>
        <w:rPr/>
        <w:t>（</w:t>
      </w:r>
      <w:r>
        <w:rPr>
          <w:rFonts w:ascii="Times New Roman" w:hAnsi="Times New Roman" w:cs="Times New Roman" w:eastAsia="Times New Roman" w:hint="default"/>
        </w:rPr>
        <w:t>1</w:t>
      </w:r>
      <w:r>
        <w:rPr/>
        <w:t>）执行《财政部关于修订印发</w:t>
      </w:r>
      <w:r>
        <w:rPr>
          <w:rFonts w:ascii="Times New Roman" w:hAnsi="Times New Roman" w:cs="Times New Roman" w:eastAsia="Times New Roman" w:hint="default"/>
        </w:rPr>
        <w:t>2019</w:t>
      </w:r>
      <w:r>
        <w:rPr/>
        <w:t>年度一般企业财务报表格式的通知》和《关于修订印发合并财务报表格式（</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版）的通知》</w:t>
      </w:r>
    </w:p>
    <w:p>
      <w:pPr>
        <w:pStyle w:val="BodyText"/>
        <w:spacing w:line="240" w:lineRule="auto" w:before="31"/>
        <w:ind w:left="513" w:right="982"/>
        <w:jc w:val="left"/>
      </w:pPr>
      <w:r>
        <w:rPr/>
        <w:t>财政部分别于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r>
        <w:rPr>
          <w:spacing w:val="-4"/>
        </w:rPr>
        <w:t> </w:t>
      </w:r>
      <w:r>
        <w:rPr/>
        <w:t>发布了《关于修订印发</w:t>
      </w:r>
      <w:r>
        <w:rPr>
          <w:rFonts w:ascii="Times New Roman" w:hAnsi="Times New Roman" w:cs="Times New Roman" w:eastAsia="Times New Roman" w:hint="default"/>
        </w:rPr>
        <w:t>2019</w:t>
      </w:r>
      <w:r>
        <w:rPr/>
        <w:t>年度一般企业财务报表格式的通知》（财会</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333" w:right="1123"/>
        <w:jc w:val="left"/>
      </w:pPr>
      <w:r>
        <w:rPr/>
        <w:t>（</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号）和《关于修订印发合并财务报表格式（</w:t>
      </w:r>
      <w:r>
        <w:rPr>
          <w:rFonts w:ascii="Times New Roman" w:hAnsi="Times New Roman" w:cs="Times New Roman" w:eastAsia="Times New Roman" w:hint="default"/>
        </w:rPr>
        <w:t>2019</w:t>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号），对一般企业财务报表格式 进行了修订。</w:t>
      </w:r>
      <w:r>
        <w:rPr>
          <w:spacing w:val="-19"/>
        </w:rPr>
        <w:t> </w:t>
      </w:r>
      <w:r>
        <w:rPr/>
        <w:t>本公司执行上述规定的主要影响如下：</w:t>
      </w:r>
    </w:p>
    <w:tbl>
      <w:tblPr>
        <w:tblW w:w="0" w:type="auto"/>
        <w:jc w:val="left"/>
        <w:tblInd w:w="326" w:type="dxa"/>
        <w:tblLayout w:type="fixed"/>
        <w:tblCellMar>
          <w:top w:w="0" w:type="dxa"/>
          <w:left w:w="0" w:type="dxa"/>
          <w:bottom w:w="0" w:type="dxa"/>
          <w:right w:w="0" w:type="dxa"/>
        </w:tblCellMar>
        <w:tblLook w:val="01E0"/>
      </w:tblPr>
      <w:tblGrid>
        <w:gridCol w:w="2269"/>
        <w:gridCol w:w="1418"/>
        <w:gridCol w:w="2835"/>
        <w:gridCol w:w="2835"/>
      </w:tblGrid>
      <w:tr>
        <w:trPr>
          <w:trHeight w:val="348" w:hRule="exact"/>
        </w:trPr>
        <w:tc>
          <w:tcPr>
            <w:tcW w:w="2269" w:type="dxa"/>
            <w:vMerge w:val="restart"/>
            <w:tcBorders>
              <w:top w:val="single" w:sz="6" w:space="0" w:color="000000"/>
              <w:left w:val="single" w:sz="6" w:space="0" w:color="000000"/>
              <w:right w:val="single" w:sz="6" w:space="0" w:color="000000"/>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56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58"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46" w:hRule="exact"/>
        </w:trPr>
        <w:tc>
          <w:tcPr>
            <w:tcW w:w="2269"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36" w:hRule="exact"/>
        </w:trPr>
        <w:tc>
          <w:tcPr>
            <w:tcW w:w="226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资产负债表</w:t>
            </w:r>
            <w:r>
              <w:rPr>
                <w:rFonts w:ascii="宋体" w:hAnsi="宋体" w:cs="宋体" w:eastAsia="宋体" w:hint="default"/>
                <w:spacing w:val="-1"/>
                <w:sz w:val="18"/>
                <w:szCs w:val="18"/>
              </w:rPr>
              <w:t>中</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应收票据</w:t>
            </w:r>
          </w:p>
        </w:tc>
        <w:tc>
          <w:tcPr>
            <w:tcW w:w="14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年第三届董</w:t>
            </w:r>
          </w:p>
        </w:tc>
        <w:tc>
          <w:tcPr>
            <w:tcW w:w="2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w:t>
            </w:r>
          </w:p>
        </w:tc>
        <w:tc>
          <w:tcPr>
            <w:tcW w:w="2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w:t>
            </w:r>
          </w:p>
        </w:tc>
      </w:tr>
      <w:tr>
        <w:trPr>
          <w:trHeight w:val="312" w:hRule="exact"/>
        </w:trPr>
        <w:tc>
          <w:tcPr>
            <w:tcW w:w="226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w:t>
            </w: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事会第二次会议</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p>
        </w:tc>
      </w:tr>
      <w:tr>
        <w:trPr>
          <w:trHeight w:val="312" w:hRule="exact"/>
        </w:trPr>
        <w:tc>
          <w:tcPr>
            <w:tcW w:w="226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4"/>
                <w:sz w:val="18"/>
                <w:szCs w:val="18"/>
              </w:rPr>
              <w:t>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列示；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w:t>
            </w: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1"/>
              <w:jc w:val="left"/>
              <w:rPr>
                <w:rFonts w:ascii="宋体" w:hAnsi="宋体" w:cs="宋体" w:eastAsia="宋体" w:hint="default"/>
                <w:sz w:val="18"/>
                <w:szCs w:val="18"/>
              </w:rPr>
            </w:pPr>
            <w:r>
              <w:rPr>
                <w:rFonts w:ascii="宋体" w:hAnsi="宋体" w:cs="宋体" w:eastAsia="宋体" w:hint="default"/>
                <w:spacing w:val="-1"/>
                <w:sz w:val="18"/>
                <w:szCs w:val="18"/>
              </w:rPr>
              <w:t>年年末余额</w:t>
            </w:r>
            <w:r>
              <w:rPr>
                <w:rFonts w:ascii="Times New Roman" w:hAnsi="Times New Roman" w:cs="Times New Roman" w:eastAsia="Times New Roman" w:hint="default"/>
                <w:spacing w:val="-1"/>
                <w:sz w:val="18"/>
                <w:szCs w:val="18"/>
              </w:rPr>
              <w:t>4,958,568.80</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应收账</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1"/>
              <w:jc w:val="left"/>
              <w:rPr>
                <w:rFonts w:ascii="宋体" w:hAnsi="宋体" w:cs="宋体" w:eastAsia="宋体" w:hint="default"/>
                <w:sz w:val="18"/>
                <w:szCs w:val="18"/>
              </w:rPr>
            </w:pPr>
            <w:r>
              <w:rPr>
                <w:rFonts w:ascii="宋体" w:hAnsi="宋体" w:cs="宋体" w:eastAsia="宋体" w:hint="default"/>
                <w:sz w:val="18"/>
                <w:szCs w:val="18"/>
              </w:rPr>
              <w:t>年年末余额</w:t>
            </w:r>
            <w:r>
              <w:rPr>
                <w:rFonts w:ascii="Times New Roman" w:hAnsi="Times New Roman" w:cs="Times New Roman" w:eastAsia="Times New Roman" w:hint="default"/>
                <w:sz w:val="18"/>
                <w:szCs w:val="18"/>
              </w:rPr>
              <w:t>4,958,568.80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w:t>
            </w:r>
          </w:p>
        </w:tc>
      </w:tr>
      <w:tr>
        <w:trPr>
          <w:trHeight w:val="312" w:hRule="exact"/>
        </w:trPr>
        <w:tc>
          <w:tcPr>
            <w:tcW w:w="226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w:t>
            </w:r>
          </w:p>
        </w:tc>
        <w:tc>
          <w:tcPr>
            <w:tcW w:w="1418" w:type="dxa"/>
            <w:tcBorders>
              <w:top w:val="nil" w:sz="6" w:space="0" w:color="auto"/>
              <w:left w:val="single" w:sz="6" w:space="0" w:color="000000"/>
              <w:bottom w:val="nil" w:sz="6" w:space="0" w:color="auto"/>
              <w:right w:val="single" w:sz="6" w:space="0" w:color="000000"/>
            </w:tcBorders>
          </w:tcPr>
          <w:p>
            <w:pP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13"/>
              <w:jc w:val="left"/>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419,936,216.50</w:t>
            </w:r>
            <w:r>
              <w:rPr>
                <w:rFonts w:ascii="宋体" w:hAnsi="宋体" w:cs="宋体" w:eastAsia="宋体" w:hint="default"/>
                <w:sz w:val="18"/>
                <w:szCs w:val="18"/>
              </w:rPr>
              <w:t>元；</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13"/>
              <w:jc w:val="left"/>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414,169,277.40</w:t>
            </w:r>
            <w:r>
              <w:rPr>
                <w:rFonts w:ascii="宋体" w:hAnsi="宋体" w:cs="宋体" w:eastAsia="宋体" w:hint="default"/>
                <w:sz w:val="18"/>
                <w:szCs w:val="18"/>
              </w:rPr>
              <w:t>元；</w:t>
            </w:r>
          </w:p>
        </w:tc>
      </w:tr>
      <w:tr>
        <w:trPr>
          <w:trHeight w:val="312" w:hRule="exact"/>
        </w:trPr>
        <w:tc>
          <w:tcPr>
            <w:tcW w:w="226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1418" w:type="dxa"/>
            <w:tcBorders>
              <w:top w:val="nil" w:sz="6" w:space="0" w:color="auto"/>
              <w:left w:val="single" w:sz="6" w:space="0" w:color="000000"/>
              <w:bottom w:val="nil" w:sz="6" w:space="0" w:color="auto"/>
              <w:right w:val="single" w:sz="6" w:space="0" w:color="000000"/>
            </w:tcBorders>
          </w:tcPr>
          <w:p>
            <w:pP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w:t>
            </w:r>
          </w:p>
        </w:tc>
      </w:tr>
      <w:tr>
        <w:trPr>
          <w:trHeight w:val="312" w:hRule="exact"/>
        </w:trPr>
        <w:tc>
          <w:tcPr>
            <w:tcW w:w="226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比较数据相应调整。</w:t>
            </w:r>
          </w:p>
        </w:tc>
        <w:tc>
          <w:tcPr>
            <w:tcW w:w="1418" w:type="dxa"/>
            <w:tcBorders>
              <w:top w:val="nil" w:sz="6" w:space="0" w:color="auto"/>
              <w:left w:val="single" w:sz="6" w:space="0" w:color="000000"/>
              <w:bottom w:val="nil" w:sz="6" w:space="0" w:color="auto"/>
              <w:right w:val="single" w:sz="6" w:space="0" w:color="000000"/>
            </w:tcBorders>
          </w:tcPr>
          <w:p>
            <w:pP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p>
        </w:tc>
      </w:tr>
      <w:tr>
        <w:trPr>
          <w:trHeight w:val="312" w:hRule="exact"/>
        </w:trPr>
        <w:tc>
          <w:tcPr>
            <w:tcW w:w="2269" w:type="dxa"/>
            <w:tcBorders>
              <w:top w:val="nil" w:sz="6" w:space="0" w:color="auto"/>
              <w:left w:val="single" w:sz="6" w:space="0" w:color="000000"/>
              <w:bottom w:val="nil" w:sz="6" w:space="0" w:color="auto"/>
              <w:right w:val="single" w:sz="6" w:space="0" w:color="000000"/>
            </w:tcBorders>
          </w:tcPr>
          <w:p>
            <w:pPr/>
          </w:p>
        </w:tc>
        <w:tc>
          <w:tcPr>
            <w:tcW w:w="1418" w:type="dxa"/>
            <w:tcBorders>
              <w:top w:val="nil" w:sz="6" w:space="0" w:color="auto"/>
              <w:left w:val="single" w:sz="6" w:space="0" w:color="000000"/>
              <w:bottom w:val="nil" w:sz="6" w:space="0" w:color="auto"/>
              <w:right w:val="single" w:sz="6" w:space="0" w:color="000000"/>
            </w:tcBorders>
          </w:tcPr>
          <w:p>
            <w:pP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1"/>
              <w:jc w:val="left"/>
              <w:rPr>
                <w:rFonts w:ascii="宋体" w:hAnsi="宋体" w:cs="宋体" w:eastAsia="宋体" w:hint="default"/>
                <w:sz w:val="18"/>
                <w:szCs w:val="18"/>
              </w:rPr>
            </w:pPr>
            <w:r>
              <w:rPr>
                <w:rFonts w:ascii="宋体" w:hAnsi="宋体" w:cs="宋体" w:eastAsia="宋体" w:hint="default"/>
                <w:sz w:val="18"/>
                <w:szCs w:val="18"/>
              </w:rPr>
              <w:t>年年末余额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1"/>
              <w:jc w:val="left"/>
              <w:rPr>
                <w:rFonts w:ascii="宋体" w:hAnsi="宋体" w:cs="宋体" w:eastAsia="宋体" w:hint="default"/>
                <w:sz w:val="18"/>
                <w:szCs w:val="18"/>
              </w:rPr>
            </w:pPr>
            <w:r>
              <w:rPr>
                <w:rFonts w:ascii="宋体" w:hAnsi="宋体" w:cs="宋体" w:eastAsia="宋体" w:hint="default"/>
                <w:sz w:val="18"/>
                <w:szCs w:val="18"/>
              </w:rPr>
              <w:t>年年末余额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上年</w:t>
            </w:r>
          </w:p>
        </w:tc>
      </w:tr>
      <w:tr>
        <w:trPr>
          <w:trHeight w:val="324" w:hRule="exact"/>
        </w:trPr>
        <w:tc>
          <w:tcPr>
            <w:tcW w:w="2269" w:type="dxa"/>
            <w:tcBorders>
              <w:top w:val="nil" w:sz="6" w:space="0" w:color="auto"/>
              <w:left w:val="single" w:sz="6" w:space="0" w:color="000000"/>
              <w:bottom w:val="single" w:sz="6" w:space="0" w:color="000000"/>
              <w:right w:val="single" w:sz="6" w:space="0" w:color="000000"/>
            </w:tcBorders>
          </w:tcPr>
          <w:p>
            <w:pPr/>
          </w:p>
        </w:tc>
        <w:tc>
          <w:tcPr>
            <w:tcW w:w="1418" w:type="dxa"/>
            <w:tcBorders>
              <w:top w:val="nil" w:sz="6" w:space="0" w:color="auto"/>
              <w:left w:val="single" w:sz="6" w:space="0" w:color="000000"/>
              <w:bottom w:val="single" w:sz="6" w:space="0" w:color="000000"/>
              <w:right w:val="single" w:sz="6" w:space="0" w:color="000000"/>
            </w:tcBorders>
          </w:tcPr>
          <w:p>
            <w:pPr/>
          </w:p>
        </w:tc>
        <w:tc>
          <w:tcPr>
            <w:tcW w:w="283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21,273,836.81</w:t>
            </w:r>
            <w:r>
              <w:rPr>
                <w:rFonts w:ascii="宋体" w:hAnsi="宋体" w:cs="宋体" w:eastAsia="宋体" w:hint="default"/>
                <w:sz w:val="18"/>
                <w:szCs w:val="18"/>
              </w:rPr>
              <w:t>元。</w:t>
            </w:r>
          </w:p>
        </w:tc>
        <w:tc>
          <w:tcPr>
            <w:tcW w:w="283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25,277,823.08</w:t>
            </w:r>
            <w:r>
              <w:rPr>
                <w:rFonts w:ascii="宋体" w:hAnsi="宋体" w:cs="宋体" w:eastAsia="宋体" w:hint="default"/>
                <w:sz w:val="18"/>
                <w:szCs w:val="18"/>
              </w:rPr>
              <w:t>元。</w:t>
            </w:r>
          </w:p>
        </w:tc>
      </w:tr>
      <w:tr>
        <w:trPr>
          <w:trHeight w:val="334" w:hRule="exact"/>
        </w:trPr>
        <w:tc>
          <w:tcPr>
            <w:tcW w:w="226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）将利润表</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减：资产减值</w:t>
            </w:r>
          </w:p>
        </w:tc>
        <w:tc>
          <w:tcPr>
            <w:tcW w:w="14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年第三届董</w:t>
            </w:r>
          </w:p>
        </w:tc>
        <w:tc>
          <w:tcPr>
            <w:tcW w:w="2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减：资产减值损失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调整为</w:t>
            </w:r>
            <w:r>
              <w:rPr>
                <w:rFonts w:ascii="Times New Roman" w:hAnsi="Times New Roman" w:cs="Times New Roman" w:eastAsia="Times New Roman" w:hint="default"/>
                <w:sz w:val="18"/>
                <w:szCs w:val="18"/>
              </w:rPr>
              <w:t>“</w:t>
            </w:r>
            <w:r>
              <w:rPr>
                <w:rFonts w:ascii="宋体" w:hAnsi="宋体" w:cs="宋体" w:eastAsia="宋体" w:hint="default"/>
                <w:sz w:val="18"/>
                <w:szCs w:val="18"/>
              </w:rPr>
              <w:t>加：资</w:t>
            </w:r>
          </w:p>
        </w:tc>
        <w:tc>
          <w:tcPr>
            <w:tcW w:w="2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减：资产减值损失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调整为</w:t>
            </w:r>
            <w:r>
              <w:rPr>
                <w:rFonts w:ascii="Times New Roman" w:hAnsi="Times New Roman" w:cs="Times New Roman" w:eastAsia="Times New Roman" w:hint="default"/>
                <w:sz w:val="18"/>
                <w:szCs w:val="18"/>
              </w:rPr>
              <w:t>“</w:t>
            </w:r>
            <w:r>
              <w:rPr>
                <w:rFonts w:ascii="宋体" w:hAnsi="宋体" w:cs="宋体" w:eastAsia="宋体" w:hint="default"/>
                <w:sz w:val="18"/>
                <w:szCs w:val="18"/>
              </w:rPr>
              <w:t>加：资</w:t>
            </w:r>
          </w:p>
        </w:tc>
      </w:tr>
      <w:tr>
        <w:trPr>
          <w:trHeight w:val="312" w:hRule="exact"/>
        </w:trPr>
        <w:tc>
          <w:tcPr>
            <w:tcW w:w="226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6"/>
                <w:sz w:val="18"/>
                <w:szCs w:val="18"/>
              </w:rPr>
              <w:t>损失</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调整为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加：资产减值损</w:t>
            </w: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事会第二次会议</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5"/>
              <w:jc w:val="left"/>
              <w:rPr>
                <w:rFonts w:ascii="宋体" w:hAnsi="宋体" w:cs="宋体" w:eastAsia="宋体" w:hint="default"/>
                <w:sz w:val="18"/>
                <w:szCs w:val="18"/>
              </w:rPr>
            </w:pPr>
            <w:r>
              <w:rPr>
                <w:rFonts w:ascii="宋体" w:hAnsi="宋体" w:cs="宋体" w:eastAsia="宋体" w:hint="default"/>
                <w:sz w:val="18"/>
                <w:szCs w:val="18"/>
              </w:rPr>
              <w:t>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5"/>
              <w:jc w:val="left"/>
              <w:rPr>
                <w:rFonts w:ascii="宋体" w:hAnsi="宋体" w:cs="宋体" w:eastAsia="宋体" w:hint="default"/>
                <w:sz w:val="18"/>
                <w:szCs w:val="18"/>
              </w:rPr>
            </w:pPr>
            <w:r>
              <w:rPr>
                <w:rFonts w:ascii="宋体" w:hAnsi="宋体" w:cs="宋体" w:eastAsia="宋体" w:hint="default"/>
                <w:sz w:val="18"/>
                <w:szCs w:val="18"/>
              </w:rPr>
              <w:t>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12" w:hRule="exact"/>
        </w:trPr>
        <w:tc>
          <w:tcPr>
            <w:tcW w:w="226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1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资产减值损失上期金额为</w:t>
            </w:r>
          </w:p>
        </w:tc>
        <w:tc>
          <w:tcPr>
            <w:tcW w:w="283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资产减值损失上期金额为</w:t>
            </w:r>
          </w:p>
        </w:tc>
      </w:tr>
      <w:tr>
        <w:trPr>
          <w:trHeight w:val="326" w:hRule="exact"/>
        </w:trPr>
        <w:tc>
          <w:tcPr>
            <w:tcW w:w="2269" w:type="dxa"/>
            <w:tcBorders>
              <w:top w:val="nil" w:sz="6" w:space="0" w:color="auto"/>
              <w:left w:val="single" w:sz="6" w:space="0" w:color="000000"/>
              <w:bottom w:val="single" w:sz="6" w:space="0" w:color="000000"/>
              <w:right w:val="single" w:sz="6" w:space="0" w:color="000000"/>
            </w:tcBorders>
          </w:tcPr>
          <w:p>
            <w:pPr/>
          </w:p>
        </w:tc>
        <w:tc>
          <w:tcPr>
            <w:tcW w:w="1418" w:type="dxa"/>
            <w:tcBorders>
              <w:top w:val="nil" w:sz="6" w:space="0" w:color="auto"/>
              <w:left w:val="single" w:sz="6" w:space="0" w:color="000000"/>
              <w:bottom w:val="single" w:sz="6" w:space="0" w:color="000000"/>
              <w:right w:val="single" w:sz="6" w:space="0" w:color="000000"/>
            </w:tcBorders>
          </w:tcPr>
          <w:p>
            <w:pPr/>
          </w:p>
        </w:tc>
        <w:tc>
          <w:tcPr>
            <w:tcW w:w="283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-6,685,689.33</w:t>
            </w:r>
            <w:r>
              <w:rPr>
                <w:rFonts w:ascii="宋体" w:hAnsi="宋体" w:cs="宋体" w:eastAsia="宋体" w:hint="default"/>
                <w:sz w:val="18"/>
                <w:szCs w:val="18"/>
              </w:rPr>
              <w:t>元。</w:t>
            </w:r>
          </w:p>
        </w:tc>
        <w:tc>
          <w:tcPr>
            <w:tcW w:w="283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-6,598,841.25</w:t>
            </w:r>
            <w:r>
              <w:rPr>
                <w:rFonts w:ascii="宋体" w:hAnsi="宋体" w:cs="宋体" w:eastAsia="宋体" w:hint="default"/>
                <w:sz w:val="18"/>
                <w:szCs w:val="18"/>
              </w:rPr>
              <w:t>。</w:t>
            </w:r>
          </w:p>
        </w:tc>
      </w:tr>
    </w:tbl>
    <w:p>
      <w:pPr>
        <w:pStyle w:val="BodyText"/>
        <w:spacing w:line="300" w:lineRule="auto" w:before="31"/>
        <w:ind w:left="333" w:right="1123" w:firstLine="360"/>
        <w:jc w:val="left"/>
      </w:pPr>
      <w:r>
        <w:rPr/>
        <w:t>（</w:t>
      </w:r>
      <w:r>
        <w:rPr>
          <w:rFonts w:ascii="Times New Roman" w:hAnsi="Times New Roman" w:cs="Times New Roman" w:eastAsia="Times New Roman" w:hint="default"/>
        </w:rPr>
        <w:t>2</w:t>
      </w:r>
      <w:r>
        <w:rPr/>
        <w:t>）执行《企业会计准则第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金融资产转移》、《企业会 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2017</w:t>
      </w:r>
      <w:r>
        <w:rPr/>
        <w:t>年修订）</w:t>
      </w:r>
    </w:p>
    <w:p>
      <w:pPr>
        <w:pStyle w:val="BodyText"/>
        <w:spacing w:line="240" w:lineRule="auto" w:before="13"/>
        <w:ind w:left="693" w:right="401"/>
        <w:jc w:val="left"/>
      </w:pPr>
      <w:r>
        <w:rPr/>
        <w:t>财政部</w:t>
      </w:r>
      <w:r>
        <w:rPr>
          <w:spacing w:val="-1"/>
        </w:rPr>
        <w:t>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t>年度修订</w:t>
      </w:r>
      <w:r>
        <w:rPr>
          <w:spacing w:val="-70"/>
        </w:rPr>
        <w:t>了</w:t>
      </w:r>
      <w:r>
        <w:rPr/>
        <w:t>《企</w:t>
      </w:r>
      <w:r>
        <w:rPr>
          <w:spacing w:val="-3"/>
        </w:rPr>
        <w:t>业</w:t>
      </w:r>
      <w:r>
        <w:rPr/>
        <w:t>会计准则第</w:t>
      </w:r>
      <w:r>
        <w:rPr>
          <w:rFonts w:ascii="Times New Roman" w:hAnsi="Times New Roman" w:cs="Times New Roman" w:eastAsia="Times New Roman" w:hint="default"/>
          <w:spacing w:val="1"/>
        </w:rPr>
        <w:t>22</w:t>
      </w:r>
      <w:r>
        <w:rPr/>
        <w:t>号</w:t>
      </w:r>
      <w:r>
        <w:rPr>
          <w:rFonts w:ascii="Times New Roman" w:hAnsi="Times New Roman" w:cs="Times New Roman" w:eastAsia="Times New Roman" w:hint="default"/>
        </w:rPr>
        <w:t>——</w:t>
      </w:r>
      <w:r>
        <w:rPr/>
        <w:t>金融工</w:t>
      </w:r>
      <w:r>
        <w:rPr>
          <w:spacing w:val="-3"/>
        </w:rPr>
        <w:t>具</w:t>
      </w:r>
      <w:r>
        <w:rPr/>
        <w:t>确认和计量</w:t>
      </w:r>
      <w:r>
        <w:rPr>
          <w:spacing w:val="-70"/>
        </w:rPr>
        <w:t>》</w:t>
      </w:r>
      <w:r>
        <w:rPr>
          <w:spacing w:val="-140"/>
        </w:rPr>
        <w:t>、</w:t>
      </w:r>
      <w:r>
        <w:rPr/>
        <w:t>《企业会计准</w:t>
      </w:r>
      <w:r>
        <w:rPr>
          <w:spacing w:val="-3"/>
        </w:rPr>
        <w:t>则</w:t>
      </w:r>
      <w:r>
        <w:rPr/>
        <w:t>第</w:t>
      </w:r>
      <w:r>
        <w:rPr>
          <w:rFonts w:ascii="Times New Roman" w:hAnsi="Times New Roman" w:cs="Times New Roman" w:eastAsia="Times New Roman" w:hint="default"/>
          <w:spacing w:val="1"/>
        </w:rPr>
        <w:t>23</w:t>
      </w:r>
      <w:r>
        <w:rPr/>
        <w:t>号</w:t>
      </w:r>
      <w:r>
        <w:rPr>
          <w:rFonts w:ascii="Times New Roman" w:hAnsi="Times New Roman" w:cs="Times New Roman" w:eastAsia="Times New Roman" w:hint="default"/>
        </w:rPr>
        <w:t>——</w:t>
      </w:r>
      <w:r>
        <w:rPr/>
        <w:t>金融资产转移</w:t>
      </w:r>
      <w:r>
        <w:rPr>
          <w:spacing w:val="-70"/>
        </w:rPr>
        <w:t>》</w:t>
      </w:r>
      <w:r>
        <w:rPr/>
        <w:t>、</w:t>
      </w:r>
    </w:p>
    <w:p>
      <w:pPr>
        <w:pStyle w:val="BodyText"/>
        <w:spacing w:line="309" w:lineRule="auto" w:before="63"/>
        <w:ind w:left="333" w:right="1130"/>
        <w:jc w:val="both"/>
      </w:pPr>
      <w:r>
        <w:rPr>
          <w:spacing w:val="-2"/>
        </w:rPr>
        <w:t>《企业会计准则第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套期会计》和《企业会计准则第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金融工具列报》。修订后的准则规定，对于首次执行日</w:t>
      </w:r>
      <w:r>
        <w:rPr>
          <w:spacing w:val="-63"/>
        </w:rPr>
        <w:t> </w:t>
      </w:r>
      <w:r>
        <w:rPr>
          <w:spacing w:val="-63"/>
        </w:rPr>
      </w:r>
      <w:r>
        <w:rPr>
          <w:spacing w:val="-2"/>
        </w:rPr>
        <w:t>尚未终止确认的金融工具，之前的确认和计量与修订后的准则要求不一致的，应当追溯调整。涉及前期比较财务报表数据与</w:t>
      </w:r>
      <w:r>
        <w:rPr>
          <w:spacing w:val="-63"/>
        </w:rPr>
        <w:t> </w:t>
      </w:r>
      <w:r>
        <w:rPr>
          <w:spacing w:val="-63"/>
        </w:rPr>
      </w:r>
      <w:r>
        <w:rPr/>
        <w:t>修订后的准则要求不一致的，无需调整。本公司将因追溯调整产生的累积影响数调整当年年初留存收益和其他综合收益。</w:t>
      </w:r>
    </w:p>
    <w:p>
      <w:pPr>
        <w:pStyle w:val="BodyText"/>
        <w:spacing w:line="300" w:lineRule="auto" w:before="24"/>
        <w:ind w:left="333" w:right="1123" w:firstLine="360"/>
        <w:jc w:val="left"/>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号的规定调整后的上年年末余额为基础，执行上述新金融工具准则的主要影 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44"/>
        <w:ind w:left="0" w:right="833"/>
        <w:jc w:val="right"/>
      </w:pPr>
      <w:r>
        <w:rPr/>
        <w:pict>
          <v:shape style="position:absolute;margin-left:45.599998pt;margin-top:-57.608295pt;width:504.5pt;height:132.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2"/>
                    <w:gridCol w:w="1277"/>
                    <w:gridCol w:w="3119"/>
                    <w:gridCol w:w="3120"/>
                  </w:tblGrid>
                  <w:tr>
                    <w:trPr>
                      <w:trHeight w:val="346" w:hRule="exact"/>
                    </w:trPr>
                    <w:tc>
                      <w:tcPr>
                        <w:tcW w:w="255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62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41"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48" w:hRule="exact"/>
                    </w:trPr>
                    <w:tc>
                      <w:tcPr>
                        <w:tcW w:w="2552"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970"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300" w:lineRule="auto"/>
                          <w:ind w:left="4"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）可供出售权益工具投资重分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类为</w:t>
                        </w:r>
                        <w:r>
                          <w:rPr>
                            <w:rFonts w:ascii="Times New Roman" w:hAnsi="Times New Roman" w:cs="Times New Roman" w:eastAsia="Times New Roman" w:hint="default"/>
                            <w:sz w:val="18"/>
                            <w:szCs w:val="18"/>
                          </w:rPr>
                          <w:t>“</w:t>
                        </w: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93"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年第三届 董事会第二次 会议审议通过</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300" w:lineRule="auto"/>
                          <w:ind w:left="4" w:right="80"/>
                          <w:jc w:val="left"/>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Times New Roman" w:hAnsi="Times New Roman" w:cs="Times New Roman" w:eastAsia="Times New Roman" w:hint="default"/>
                            <w:sz w:val="18"/>
                            <w:szCs w:val="18"/>
                          </w:rPr>
                          <w:t>500.00</w:t>
                        </w:r>
                        <w:r>
                          <w:rPr>
                            <w:rFonts w:ascii="宋体" w:hAnsi="宋体" w:cs="宋体" w:eastAsia="宋体" w:hint="default"/>
                            <w:sz w:val="18"/>
                            <w:szCs w:val="18"/>
                          </w:rPr>
                          <w:t>万元； 其他非流动金融资产：增加</w:t>
                        </w:r>
                        <w:r>
                          <w:rPr>
                            <w:rFonts w:ascii="Times New Roman" w:hAnsi="Times New Roman" w:cs="Times New Roman" w:eastAsia="Times New Roman" w:hint="default"/>
                            <w:sz w:val="18"/>
                            <w:szCs w:val="18"/>
                          </w:rPr>
                          <w:t>500.00</w:t>
                        </w:r>
                        <w:r>
                          <w:rPr>
                            <w:rFonts w:ascii="宋体" w:hAnsi="宋体" w:cs="宋体" w:eastAsia="宋体" w:hint="default"/>
                            <w:sz w:val="18"/>
                            <w:szCs w:val="18"/>
                          </w:rPr>
                          <w:t>万元</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300" w:lineRule="auto"/>
                          <w:ind w:left="4" w:right="83"/>
                          <w:jc w:val="left"/>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Times New Roman" w:hAnsi="Times New Roman" w:cs="Times New Roman" w:eastAsia="Times New Roman" w:hint="default"/>
                            <w:sz w:val="18"/>
                            <w:szCs w:val="18"/>
                          </w:rPr>
                          <w:t>500.00</w:t>
                        </w:r>
                        <w:r>
                          <w:rPr>
                            <w:rFonts w:ascii="宋体" w:hAnsi="宋体" w:cs="宋体" w:eastAsia="宋体" w:hint="default"/>
                            <w:sz w:val="18"/>
                            <w:szCs w:val="18"/>
                          </w:rPr>
                          <w:t>万元； 其他非流动金融资产：增加</w:t>
                        </w:r>
                        <w:r>
                          <w:rPr>
                            <w:rFonts w:ascii="Times New Roman" w:hAnsi="Times New Roman" w:cs="Times New Roman" w:eastAsia="Times New Roman" w:hint="default"/>
                            <w:sz w:val="18"/>
                            <w:szCs w:val="18"/>
                          </w:rPr>
                          <w:t>500.00</w:t>
                        </w:r>
                        <w:r>
                          <w:rPr>
                            <w:rFonts w:ascii="宋体" w:hAnsi="宋体" w:cs="宋体" w:eastAsia="宋体" w:hint="default"/>
                            <w:sz w:val="18"/>
                            <w:szCs w:val="18"/>
                          </w:rPr>
                          <w:t>万元</w:t>
                        </w:r>
                      </w:p>
                    </w:tc>
                  </w:tr>
                  <w:tr>
                    <w:trPr>
                      <w:trHeight w:val="97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00" w:lineRule="auto"/>
                          <w:ind w:left="4"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）可供出售权益工具投资重分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类为</w:t>
                        </w: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2"/>
                          <w:ind w:left="93"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年第三届 董事会第二次 会议审议通过</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2"/>
                          <w:ind w:left="4" w:right="37"/>
                          <w:jc w:val="left"/>
                          <w:rPr>
                            <w:rFonts w:ascii="宋体" w:hAnsi="宋体" w:cs="宋体" w:eastAsia="宋体" w:hint="default"/>
                            <w:sz w:val="18"/>
                            <w:szCs w:val="18"/>
                          </w:rPr>
                        </w:pPr>
                        <w:r>
                          <w:rPr>
                            <w:rFonts w:ascii="宋体" w:hAnsi="宋体" w:cs="宋体" w:eastAsia="宋体" w:hint="default"/>
                            <w:sz w:val="18"/>
                            <w:szCs w:val="18"/>
                          </w:rPr>
                          <w:t>可供出售金融资产（列报为其他流动资 产）：减少</w:t>
                        </w:r>
                        <w:r>
                          <w:rPr>
                            <w:rFonts w:ascii="Times New Roman" w:hAnsi="Times New Roman" w:cs="Times New Roman" w:eastAsia="Times New Roman" w:hint="default"/>
                            <w:sz w:val="18"/>
                            <w:szCs w:val="18"/>
                          </w:rPr>
                          <w:t>17,913,778.80</w:t>
                        </w:r>
                        <w:r>
                          <w:rPr>
                            <w:rFonts w:ascii="宋体" w:hAnsi="宋体" w:cs="宋体" w:eastAsia="宋体" w:hint="default"/>
                            <w:sz w:val="18"/>
                            <w:szCs w:val="18"/>
                          </w:rPr>
                          <w:t>元； 交易性金融资产：增加</w:t>
                        </w:r>
                        <w:r>
                          <w:rPr>
                            <w:rFonts w:ascii="Times New Roman" w:hAnsi="Times New Roman" w:cs="Times New Roman" w:eastAsia="Times New Roman" w:hint="default"/>
                            <w:sz w:val="18"/>
                            <w:szCs w:val="18"/>
                          </w:rPr>
                          <w:t>17,913,778.80</w:t>
                        </w:r>
                        <w:r>
                          <w:rPr>
                            <w:rFonts w:ascii="宋体" w:hAnsi="宋体" w:cs="宋体" w:eastAsia="宋体" w:hint="default"/>
                            <w:sz w:val="18"/>
                            <w:szCs w:val="18"/>
                          </w:rPr>
                          <w:t>元</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2"/>
                          <w:ind w:left="4" w:right="39"/>
                          <w:jc w:val="left"/>
                          <w:rPr>
                            <w:rFonts w:ascii="宋体" w:hAnsi="宋体" w:cs="宋体" w:eastAsia="宋体" w:hint="default"/>
                            <w:sz w:val="18"/>
                            <w:szCs w:val="18"/>
                          </w:rPr>
                        </w:pPr>
                        <w:r>
                          <w:rPr>
                            <w:rFonts w:ascii="宋体" w:hAnsi="宋体" w:cs="宋体" w:eastAsia="宋体" w:hint="default"/>
                            <w:sz w:val="18"/>
                            <w:szCs w:val="18"/>
                          </w:rPr>
                          <w:t>可供出售金融资产（列报为其他流动资 产）：减少</w:t>
                        </w:r>
                        <w:r>
                          <w:rPr>
                            <w:rFonts w:ascii="Times New Roman" w:hAnsi="Times New Roman" w:cs="Times New Roman" w:eastAsia="Times New Roman" w:hint="default"/>
                            <w:sz w:val="18"/>
                            <w:szCs w:val="18"/>
                          </w:rPr>
                          <w:t>17,913,778.80</w:t>
                        </w:r>
                        <w:r>
                          <w:rPr>
                            <w:rFonts w:ascii="宋体" w:hAnsi="宋体" w:cs="宋体" w:eastAsia="宋体" w:hint="default"/>
                            <w:sz w:val="18"/>
                            <w:szCs w:val="18"/>
                          </w:rPr>
                          <w:t>元； 交易性金融资产：增加</w:t>
                        </w:r>
                        <w:r>
                          <w:rPr>
                            <w:rFonts w:ascii="Times New Roman" w:hAnsi="Times New Roman" w:cs="Times New Roman" w:eastAsia="Times New Roman" w:hint="default"/>
                            <w:sz w:val="18"/>
                            <w:szCs w:val="18"/>
                          </w:rPr>
                          <w:t>17,913,778.80</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0" w:right="833"/>
        <w:jc w:val="right"/>
      </w:pPr>
      <w:r>
        <w:rPr/>
        <w:t>。</w:t>
      </w:r>
    </w:p>
    <w:p>
      <w:pPr>
        <w:spacing w:line="240" w:lineRule="auto" w:before="2"/>
        <w:rPr>
          <w:rFonts w:ascii="宋体" w:hAnsi="宋体" w:cs="宋体" w:eastAsia="宋体" w:hint="default"/>
          <w:sz w:val="28"/>
          <w:szCs w:val="28"/>
        </w:rPr>
      </w:pPr>
    </w:p>
    <w:p>
      <w:pPr>
        <w:pStyle w:val="BodyText"/>
        <w:spacing w:line="300" w:lineRule="auto" w:before="44"/>
        <w:ind w:left="333" w:right="401" w:firstLine="288"/>
        <w:jc w:val="left"/>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号的规定调整后的上年年末余额为基础，各项金融资产和金融负债按照修订 前后金融工具确认计量准则的规定进行分类和计量结果对比如下：</w:t>
      </w:r>
    </w:p>
    <w:p>
      <w:pPr>
        <w:pStyle w:val="Heading5"/>
        <w:spacing w:line="240" w:lineRule="auto" w:before="31"/>
        <w:ind w:left="1593" w:right="3619"/>
        <w:jc w:val="left"/>
        <w:rPr>
          <w:b w:val="0"/>
          <w:bCs w:val="0"/>
        </w:rPr>
      </w:pPr>
      <w:r>
        <w:rPr/>
        <w:t>合并</w:t>
      </w:r>
      <w:r>
        <w:rPr>
          <w:b w:val="0"/>
          <w:bCs w:val="0"/>
        </w:rPr>
      </w:r>
    </w:p>
    <w:p>
      <w:pPr>
        <w:spacing w:line="240" w:lineRule="auto" w:before="0"/>
        <w:rPr>
          <w:rFonts w:ascii="宋体" w:hAnsi="宋体" w:cs="宋体" w:eastAsia="宋体" w:hint="default"/>
          <w:b/>
          <w:bCs/>
          <w:sz w:val="5"/>
          <w:szCs w:val="5"/>
        </w:rPr>
      </w:pPr>
    </w:p>
    <w:tbl>
      <w:tblPr>
        <w:tblW w:w="0" w:type="auto"/>
        <w:jc w:val="left"/>
        <w:tblInd w:w="426" w:type="dxa"/>
        <w:tblLayout w:type="fixed"/>
        <w:tblCellMar>
          <w:top w:w="0" w:type="dxa"/>
          <w:left w:w="0" w:type="dxa"/>
          <w:bottom w:w="0" w:type="dxa"/>
          <w:right w:w="0" w:type="dxa"/>
        </w:tblCellMar>
        <w:tblLook w:val="01E0"/>
      </w:tblPr>
      <w:tblGrid>
        <w:gridCol w:w="1462"/>
        <w:gridCol w:w="1294"/>
        <w:gridCol w:w="2004"/>
        <w:gridCol w:w="1418"/>
        <w:gridCol w:w="1275"/>
        <w:gridCol w:w="1985"/>
      </w:tblGrid>
      <w:tr>
        <w:trPr>
          <w:trHeight w:val="348" w:hRule="exact"/>
        </w:trPr>
        <w:tc>
          <w:tcPr>
            <w:tcW w:w="47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46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7"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6"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8"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8"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385,365,435.45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385,365,435.45</w:t>
            </w:r>
          </w:p>
        </w:tc>
      </w:tr>
      <w:tr>
        <w:trPr>
          <w:trHeight w:val="346"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4,958,568.80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4,958,568.80</w:t>
            </w:r>
          </w:p>
        </w:tc>
      </w:tr>
      <w:tr>
        <w:trPr>
          <w:trHeight w:val="348"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419,936,216.50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419,936,216.50</w:t>
            </w:r>
          </w:p>
        </w:tc>
      </w:tr>
      <w:tr>
        <w:trPr>
          <w:trHeight w:val="348"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10,400,520.73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10,400,520.73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800" w:right="0"/>
        </w:sectPr>
      </w:pPr>
    </w:p>
    <w:p>
      <w:pPr>
        <w:spacing w:line="240" w:lineRule="auto" w:before="4"/>
        <w:rPr>
          <w:rFonts w:ascii="宋体" w:hAnsi="宋体" w:cs="宋体" w:eastAsia="宋体" w:hint="default"/>
          <w:b/>
          <w:bCs/>
          <w:sz w:val="28"/>
          <w:szCs w:val="28"/>
        </w:rPr>
      </w:pPr>
    </w:p>
    <w:tbl>
      <w:tblPr>
        <w:tblW w:w="0" w:type="auto"/>
        <w:jc w:val="left"/>
        <w:tblInd w:w="466" w:type="dxa"/>
        <w:tblLayout w:type="fixed"/>
        <w:tblCellMar>
          <w:top w:w="0" w:type="dxa"/>
          <w:left w:w="0" w:type="dxa"/>
          <w:bottom w:w="0" w:type="dxa"/>
          <w:right w:w="0" w:type="dxa"/>
        </w:tblCellMar>
        <w:tblLook w:val="01E0"/>
      </w:tblPr>
      <w:tblGrid>
        <w:gridCol w:w="1462"/>
        <w:gridCol w:w="1294"/>
        <w:gridCol w:w="2004"/>
        <w:gridCol w:w="1418"/>
        <w:gridCol w:w="1275"/>
        <w:gridCol w:w="1985"/>
      </w:tblGrid>
      <w:tr>
        <w:trPr>
          <w:trHeight w:val="972"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4"/>
              <w:jc w:val="both"/>
              <w:rPr>
                <w:rFonts w:ascii="宋体" w:hAnsi="宋体" w:cs="宋体" w:eastAsia="宋体" w:hint="default"/>
                <w:sz w:val="18"/>
                <w:szCs w:val="18"/>
              </w:rPr>
            </w:pPr>
            <w:r>
              <w:rPr>
                <w:rFonts w:ascii="宋体" w:hAnsi="宋体" w:cs="宋体" w:eastAsia="宋体" w:hint="default"/>
                <w:sz w:val="18"/>
                <w:szCs w:val="18"/>
              </w:rPr>
              <w:t>以公允价值计量 且其变动计入其 他综合收益</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17,913,778.80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175"/>
              <w:jc w:val="both"/>
              <w:rPr>
                <w:rFonts w:ascii="宋体" w:hAnsi="宋体" w:cs="宋体" w:eastAsia="宋体" w:hint="default"/>
                <w:sz w:val="18"/>
                <w:szCs w:val="18"/>
              </w:rPr>
            </w:pPr>
            <w:r>
              <w:rPr>
                <w:rFonts w:ascii="宋体" w:hAnsi="宋体" w:cs="宋体" w:eastAsia="宋体" w:hint="default"/>
                <w:sz w:val="18"/>
                <w:szCs w:val="18"/>
              </w:rPr>
              <w:t>以公允价值计 量且其变动计 入当期损益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17,913,778.80</w:t>
            </w:r>
          </w:p>
        </w:tc>
      </w:tr>
      <w:tr>
        <w:trPr>
          <w:trHeight w:val="970" w:hRule="exact"/>
        </w:trPr>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300" w:lineRule="auto"/>
              <w:ind w:left="4" w:right="132"/>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 益工具</w:t>
            </w:r>
            <w:r>
              <w:rPr>
                <w:rFonts w:ascii="Times New Roman" w:hAnsi="Times New Roman" w:cs="Times New Roman" w:eastAsia="Times New Roman" w:hint="default"/>
                <w:sz w:val="18"/>
                <w:szCs w:val="18"/>
              </w:rPr>
              <w:t>)</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5,000,000.00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316" w:lineRule="auto"/>
              <w:ind w:left="4" w:right="137"/>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6"/>
              <w:jc w:val="both"/>
              <w:rPr>
                <w:rFonts w:ascii="宋体" w:hAnsi="宋体" w:cs="宋体" w:eastAsia="宋体" w:hint="default"/>
                <w:sz w:val="18"/>
                <w:szCs w:val="18"/>
              </w:rPr>
            </w:pPr>
            <w:r>
              <w:rPr>
                <w:rFonts w:ascii="宋体" w:hAnsi="宋体" w:cs="宋体" w:eastAsia="宋体" w:hint="default"/>
                <w:sz w:val="18"/>
                <w:szCs w:val="18"/>
              </w:rPr>
              <w:t>以公允价值计 量且其变动计 入当期损益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5,000,000.00</w:t>
            </w:r>
          </w:p>
        </w:tc>
      </w:tr>
    </w:tbl>
    <w:p>
      <w:pPr>
        <w:pStyle w:val="Heading5"/>
        <w:spacing w:line="240" w:lineRule="auto" w:before="10"/>
        <w:ind w:left="1633" w:right="107"/>
        <w:jc w:val="left"/>
        <w:rPr>
          <w:b w:val="0"/>
          <w:bCs w:val="0"/>
        </w:rPr>
      </w:pPr>
      <w:r>
        <w:rPr/>
        <w:t>母公司</w:t>
      </w:r>
      <w:r>
        <w:rPr>
          <w:b w:val="0"/>
          <w:bCs w:val="0"/>
        </w:rPr>
      </w:r>
    </w:p>
    <w:p>
      <w:pPr>
        <w:spacing w:line="240" w:lineRule="auto" w:before="0"/>
        <w:rPr>
          <w:rFonts w:ascii="宋体" w:hAnsi="宋体" w:cs="宋体" w:eastAsia="宋体" w:hint="default"/>
          <w:b/>
          <w:bCs/>
          <w:sz w:val="5"/>
          <w:szCs w:val="5"/>
        </w:rPr>
      </w:pPr>
    </w:p>
    <w:tbl>
      <w:tblPr>
        <w:tblW w:w="0" w:type="auto"/>
        <w:jc w:val="left"/>
        <w:tblInd w:w="101" w:type="dxa"/>
        <w:tblLayout w:type="fixed"/>
        <w:tblCellMar>
          <w:top w:w="0" w:type="dxa"/>
          <w:left w:w="0" w:type="dxa"/>
          <w:bottom w:w="0" w:type="dxa"/>
          <w:right w:w="0" w:type="dxa"/>
        </w:tblCellMar>
        <w:tblLook w:val="01E0"/>
      </w:tblPr>
      <w:tblGrid>
        <w:gridCol w:w="1659"/>
        <w:gridCol w:w="1846"/>
        <w:gridCol w:w="1647"/>
        <w:gridCol w:w="1757"/>
        <w:gridCol w:w="1699"/>
        <w:gridCol w:w="1560"/>
      </w:tblGrid>
      <w:tr>
        <w:trPr>
          <w:trHeight w:val="348" w:hRule="exact"/>
        </w:trPr>
        <w:tc>
          <w:tcPr>
            <w:tcW w:w="51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0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4"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8"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63"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11"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6"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350,836,242.32</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350,836,242.32</w:t>
            </w:r>
          </w:p>
        </w:tc>
      </w:tr>
      <w:tr>
        <w:trPr>
          <w:trHeight w:val="348"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4,958,568.80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4,958,568.80</w:t>
            </w:r>
          </w:p>
        </w:tc>
      </w:tr>
      <w:tr>
        <w:trPr>
          <w:trHeight w:val="346"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414,169,277.40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414,169,277.40</w:t>
            </w:r>
          </w:p>
        </w:tc>
      </w:tr>
      <w:tr>
        <w:trPr>
          <w:trHeight w:val="348"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60,053,292.62</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60,053,292.62</w:t>
            </w:r>
          </w:p>
        </w:tc>
      </w:tr>
      <w:tr>
        <w:trPr>
          <w:trHeight w:val="658"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7"/>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17,913,778.80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60"/>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17,913,778.80</w:t>
            </w:r>
          </w:p>
        </w:tc>
      </w:tr>
      <w:tr>
        <w:trPr>
          <w:trHeight w:val="660" w:hRule="exact"/>
        </w:trPr>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5,000,000.00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60"/>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5,000,000.00</w:t>
            </w:r>
          </w:p>
        </w:tc>
      </w:tr>
    </w:tbl>
    <w:p>
      <w:pPr>
        <w:pStyle w:val="BodyText"/>
        <w:spacing w:line="300" w:lineRule="auto" w:before="10"/>
        <w:ind w:left="733" w:right="107"/>
        <w:jc w:val="left"/>
      </w:pPr>
      <w:r>
        <w:rPr/>
        <w:t>（</w:t>
      </w:r>
      <w:r>
        <w:rPr>
          <w:rFonts w:ascii="Times New Roman" w:hAnsi="Times New Roman" w:cs="Times New Roman" w:eastAsia="Times New Roman" w:hint="default"/>
        </w:rPr>
        <w:t>3</w:t>
      </w:r>
      <w:r>
        <w:rPr/>
        <w:t>）执行《企业会计准则第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rFonts w:ascii="Times New Roman" w:hAnsi="Times New Roman" w:cs="Times New Roman" w:eastAsia="Times New Roman" w:hint="default"/>
        </w:rPr>
        <w:t>2019</w:t>
      </w:r>
      <w:r>
        <w:rPr/>
        <w:t>修订）</w:t>
      </w:r>
      <w:r>
        <w:rPr>
          <w:spacing w:val="-87"/>
        </w:rPr>
        <w:t> </w:t>
      </w:r>
      <w:r>
        <w:rPr>
          <w:spacing w:val="-2"/>
        </w:rPr>
        <w:t>财政部于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日发布了《企业会计准则第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spacing w:val="-2"/>
        </w:rPr>
        <w:t>非货币性资产交换》（</w:t>
      </w:r>
      <w:r>
        <w:rPr>
          <w:rFonts w:ascii="Times New Roman" w:hAnsi="Times New Roman" w:cs="Times New Roman" w:eastAsia="Times New Roman" w:hint="default"/>
          <w:spacing w:val="-2"/>
        </w:rPr>
        <w:t>2019</w:t>
      </w:r>
      <w:r>
        <w:rPr>
          <w:spacing w:val="-2"/>
        </w:rPr>
        <w:t>修订）（财会〔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8</w:t>
      </w:r>
      <w:r>
        <w:rPr>
          <w:spacing w:val="-2"/>
        </w:rPr>
        <w:t>号），修订</w:t>
      </w:r>
    </w:p>
    <w:p>
      <w:pPr>
        <w:pStyle w:val="BodyText"/>
        <w:spacing w:line="300" w:lineRule="auto" w:before="13"/>
        <w:ind w:left="373" w:right="107"/>
        <w:jc w:val="left"/>
      </w:pPr>
      <w:r>
        <w:rPr>
          <w:spacing w:val="-2"/>
        </w:rPr>
        <w:t>后的准则自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日起施行，对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日至本准则施行日之间发生的非货币性资产交换，应根据本准则进行调整。</w:t>
      </w:r>
      <w:r>
        <w:rPr>
          <w:spacing w:val="-56"/>
        </w:rPr>
        <w:t> </w:t>
      </w:r>
      <w:r>
        <w:rPr>
          <w:spacing w:val="-56"/>
        </w:rPr>
      </w:r>
      <w:r>
        <w:rPr>
          <w:spacing w:val="-2"/>
        </w:rPr>
        <w:t>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日之前发生的非货币性资产交换，不需要按照本准则的规定进行追溯调整。本公司执行上述准则在本报告期内</w:t>
      </w:r>
      <w:r>
        <w:rPr>
          <w:spacing w:val="-61"/>
        </w:rPr>
        <w:t> </w:t>
      </w:r>
      <w:r>
        <w:rPr>
          <w:spacing w:val="-61"/>
        </w:rPr>
      </w:r>
      <w:r>
        <w:rPr/>
        <w:t>无重大影响。</w:t>
      </w:r>
    </w:p>
    <w:p>
      <w:pPr>
        <w:spacing w:line="240" w:lineRule="auto" w:before="8"/>
        <w:rPr>
          <w:rFonts w:ascii="宋体" w:hAnsi="宋体" w:cs="宋体" w:eastAsia="宋体" w:hint="default"/>
          <w:sz w:val="23"/>
          <w:szCs w:val="23"/>
        </w:rPr>
      </w:pPr>
    </w:p>
    <w:p>
      <w:pPr>
        <w:pStyle w:val="Heading4"/>
        <w:spacing w:line="240" w:lineRule="auto"/>
        <w:ind w:left="373" w:right="107"/>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73" w:right="1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left="373" w:right="107"/>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760" w:right="0"/>
        </w:sectPr>
      </w:pPr>
    </w:p>
    <w:p>
      <w:pPr>
        <w:pStyle w:val="BodyText"/>
        <w:spacing w:line="340" w:lineRule="auto" w:before="44"/>
        <w:ind w:left="3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373" w:right="0"/>
        <w:jc w:val="left"/>
      </w:pPr>
      <w:r>
        <w:rPr/>
        <w:t>单位：元</w:t>
      </w:r>
    </w:p>
    <w:p>
      <w:pPr>
        <w:spacing w:after="0" w:line="240" w:lineRule="auto"/>
        <w:jc w:val="left"/>
        <w:sectPr>
          <w:type w:val="continuous"/>
          <w:pgSz w:w="11910" w:h="16840"/>
          <w:pgMar w:top="1060" w:bottom="1160" w:left="760" w:right="0"/>
          <w:cols w:num="2" w:equalWidth="0">
            <w:col w:w="1754" w:space="7167"/>
            <w:col w:w="2229"/>
          </w:cols>
        </w:sectPr>
      </w:pPr>
    </w:p>
    <w:p>
      <w:pPr>
        <w:spacing w:line="240" w:lineRule="auto" w:before="1"/>
        <w:rPr>
          <w:rFonts w:ascii="宋体" w:hAnsi="宋体" w:cs="宋体" w:eastAsia="宋体" w:hint="default"/>
          <w:sz w:val="8"/>
          <w:szCs w:val="8"/>
        </w:rPr>
      </w:pPr>
    </w:p>
    <w:tbl>
      <w:tblPr>
        <w:tblW w:w="0" w:type="auto"/>
        <w:jc w:val="left"/>
        <w:tblInd w:w="368" w:type="dxa"/>
        <w:tblLayout w:type="fixed"/>
        <w:tblCellMar>
          <w:top w:w="0" w:type="dxa"/>
          <w:left w:w="0" w:type="dxa"/>
          <w:bottom w:w="0" w:type="dxa"/>
          <w:right w:w="0" w:type="dxa"/>
        </w:tblCellMar>
        <w:tblLook w:val="01E0"/>
      </w:tblPr>
      <w:tblGrid>
        <w:gridCol w:w="4537"/>
        <w:gridCol w:w="1843"/>
        <w:gridCol w:w="1844"/>
        <w:gridCol w:w="1344"/>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86" w:right="0"/>
              <w:jc w:val="left"/>
              <w:rPr>
                <w:rFonts w:ascii="Times New Roman" w:hAnsi="Times New Roman" w:cs="Times New Roman" w:eastAsia="Times New Roman" w:hint="default"/>
                <w:sz w:val="18"/>
                <w:szCs w:val="18"/>
              </w:rPr>
            </w:pPr>
            <w:r>
              <w:rPr>
                <w:rFonts w:ascii="Times New Roman"/>
                <w:sz w:val="18"/>
              </w:rPr>
              <w:t>385,365,435.45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385,365,435.45</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17,913,778.80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8" w:right="0"/>
              <w:jc w:val="left"/>
              <w:rPr>
                <w:rFonts w:ascii="Times New Roman" w:hAnsi="Times New Roman" w:cs="Times New Roman" w:eastAsia="Times New Roman" w:hint="default"/>
                <w:sz w:val="18"/>
                <w:szCs w:val="18"/>
              </w:rPr>
            </w:pPr>
            <w:r>
              <w:rPr>
                <w:rFonts w:ascii="Times New Roman"/>
                <w:sz w:val="18"/>
              </w:rPr>
              <w:t>17,913,778.80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7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537"/>
        <w:gridCol w:w="1843"/>
        <w:gridCol w:w="1844"/>
        <w:gridCol w:w="1344"/>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4,958,568.80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4,958,568.80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419,936,216.50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419,936,216.50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10,400,520.73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10,400,520.73</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191,735,222.94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191,735,222.94</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24,445,770.31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6,531,991.51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-17,913,778.80</w:t>
            </w:r>
          </w:p>
        </w:tc>
      </w:tr>
      <w:tr>
        <w:trPr>
          <w:trHeight w:val="408"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1,036,841,734.73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1,036,841,734.73</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11,884,611.92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11,884,611.92</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66,960,502.19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66,960,502.19</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35,465,709.54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35,465,709.54</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8,666,529.52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8,666,529.52</w:t>
            </w: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537"/>
        <w:gridCol w:w="1843"/>
        <w:gridCol w:w="1844"/>
        <w:gridCol w:w="1344"/>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4,745,292.00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4,745,292.00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11,560,469.12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11,560,469.12</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3,351,172.78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3,351,172.78</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5,214,094.02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5,214,094.02</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6,308,906.42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6,308,906.42</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159,157,287.51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159,157,287.51</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1,195,999,022.24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1,195,999,022.24</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247,000,000.00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247,000,000.00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21,273,836.81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21,273,836.81</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41,145,844.70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41,145,844.70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95,981,789.96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95,981,789.96</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28,911,953.47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28,911,953.47</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41,092,601.16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41,092,601.16</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373,302.50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373,302.50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475,406,026.10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475,406,026.10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537"/>
        <w:gridCol w:w="1843"/>
        <w:gridCol w:w="1844"/>
        <w:gridCol w:w="1344"/>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340,635.68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340,635.68</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1,733,865.98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1,733,865.98</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2,074,501.66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2,074,501.66</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477,480,527.76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477,480,527.76</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106,117,800.00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106,117,800.00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300,506,980.55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300,506,980.55</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32,916.45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32,916.45</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44,768,531.88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44,768,531.88</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284,525,881.96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284,525,881.96</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714,743,610.84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714,743,610.84</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3,774,883.64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3,774,883.64</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718,518,494.48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718,518,494.48</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1,195,999,022.24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1,195,999,022.24</w:t>
            </w:r>
          </w:p>
        </w:tc>
        <w:tc>
          <w:tcPr>
            <w:tcW w:w="13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调整情况说明</w:t>
      </w:r>
    </w:p>
    <w:p>
      <w:pPr>
        <w:pStyle w:val="BodyText"/>
        <w:spacing w:line="300" w:lineRule="auto" w:before="115"/>
        <w:ind w:right="1213"/>
        <w:jc w:val="left"/>
      </w:pPr>
      <w:r>
        <w:rPr/>
        <w:t>本次调整将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日的可供出售金融资产列报的权益工具于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日调整至其他非流动金融资产科目，将</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日其他流动资产列报的可供出售金融资产调整至交易性金融资产科目。</w:t>
      </w:r>
    </w:p>
    <w:p>
      <w:pPr>
        <w:pStyle w:val="BodyText"/>
        <w:spacing w:line="240" w:lineRule="auto" w:before="53"/>
        <w:ind w:right="982"/>
        <w:jc w:val="left"/>
      </w:pPr>
      <w:r>
        <w:rPr/>
        <w:t>母公司资产负债表</w:t>
      </w:r>
    </w:p>
    <w:p>
      <w:pPr>
        <w:pStyle w:val="BodyText"/>
        <w:spacing w:line="240" w:lineRule="auto" w:before="117"/>
        <w:ind w:left="0" w:right="1130"/>
        <w:jc w:val="right"/>
      </w:pPr>
      <w:r>
        <w:rPr/>
        <w:t>单位：元</w:t>
      </w:r>
    </w:p>
    <w:p>
      <w:pPr>
        <w:spacing w:after="0" w:line="240" w:lineRule="auto"/>
        <w:jc w:val="right"/>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537"/>
        <w:gridCol w:w="1843"/>
        <w:gridCol w:w="1702"/>
        <w:gridCol w:w="1486"/>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8"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39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350,836,242.32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350,836,242.32</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17,913,778.80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17,913,778.80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4,958,568.80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4,958,568.80</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414,169,277.40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414,169,277.40</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12,839,661.39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18"/>
                <w:szCs w:val="18"/>
              </w:rPr>
            </w:pPr>
            <w:r>
              <w:rPr>
                <w:rFonts w:ascii="Times New Roman"/>
                <w:spacing w:val="-1"/>
                <w:sz w:val="18"/>
              </w:rPr>
              <w:t>12,839,661.39</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60,053,292.62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60,053,292.62</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182,654,218.24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182,654,218.24</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19,106,563.26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1,192,784.46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-17,913,778.80</w:t>
            </w:r>
          </w:p>
        </w:tc>
      </w:tr>
      <w:tr>
        <w:trPr>
          <w:trHeight w:val="408"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1,044,617,824.03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1,044,617,824.03</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86,813,609.91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86,813,609.91</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19,125,588.75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19,125,588.75</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537"/>
        <w:gridCol w:w="1843"/>
        <w:gridCol w:w="1702"/>
        <w:gridCol w:w="1486"/>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2,058,202.85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2,058,202.85</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4,745,292.00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4,745,292.00</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1,430,835.40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1,430,835.40</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4,953,278.97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4,953,278.97</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124,126,807.88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124,126,807.88</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1,168,744,631.91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1,168,744,631.91</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247,000,000.00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18"/>
                <w:szCs w:val="18"/>
              </w:rPr>
            </w:pPr>
            <w:r>
              <w:rPr>
                <w:rFonts w:ascii="Times New Roman"/>
                <w:spacing w:val="-1"/>
                <w:sz w:val="18"/>
              </w:rPr>
              <w:t>247,000,000.00</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25,277,823.08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25,277,823.08</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26,308,947.32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26,308,947.32</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75,827,256.82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75,827,256.82</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24,995,019.94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24,995,019.94</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30,726,092.29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30,726,092.29</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373,302.50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373,302.50</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430,135,139.45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430,135,139.45</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537"/>
        <w:gridCol w:w="1843"/>
        <w:gridCol w:w="1702"/>
        <w:gridCol w:w="1486"/>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340,635.68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340,635.68</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340,635.68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340,635.68</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430,475,775.13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430,475,775.13</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106,117,800.00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106,117,800.00</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290,506,980.55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290,506,980.55</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21,208,500.00</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44,768,531.88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44,768,531.88</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318,084,044.35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318,084,044.35</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738,268,856.78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738,268,856.78</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1,168,744,631.91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1,168,744,631.91</w:t>
            </w:r>
          </w:p>
        </w:tc>
        <w:tc>
          <w:tcPr>
            <w:tcW w:w="14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82"/>
        <w:jc w:val="left"/>
      </w:pPr>
      <w:r>
        <w:rPr/>
        <w:t>调整情况说明</w:t>
      </w:r>
    </w:p>
    <w:p>
      <w:pPr>
        <w:pStyle w:val="BodyText"/>
        <w:spacing w:line="300" w:lineRule="auto" w:before="115"/>
        <w:ind w:right="1213"/>
        <w:jc w:val="left"/>
      </w:pPr>
      <w:r>
        <w:rPr/>
        <w:t>本次调整将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日的可供出售金融资产列报的权益工具于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日调整至其他非流动金融资产科目，将</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日其他流动资产列报的可供出售金融资产调整至交易性金融资产科目。</w:t>
      </w:r>
    </w:p>
    <w:p>
      <w:pPr>
        <w:spacing w:line="240" w:lineRule="auto" w:before="2"/>
        <w:rPr>
          <w:rFonts w:ascii="宋体" w:hAnsi="宋体" w:cs="宋体" w:eastAsia="宋体" w:hint="default"/>
          <w:sz w:val="22"/>
          <w:szCs w:val="22"/>
        </w:rPr>
      </w:pPr>
    </w:p>
    <w:p>
      <w:pPr>
        <w:pStyle w:val="Heading4"/>
        <w:spacing w:line="240" w:lineRule="auto"/>
        <w:ind w:right="982"/>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29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7"/>
        </w:rPr>
        <w:t> </w:t>
      </w:r>
      <w:r>
        <w:rPr>
          <w:spacing w:val="-67"/>
        </w:rPr>
      </w:r>
      <w:r>
        <w:rPr>
          <w:spacing w:val="-2"/>
        </w:rPr>
        <w:t>确定性所导致的实际结果可能与本公司管理层当前的估计存在差异，进而造成对未来受影响的资产或负债的账面金额进行重</w:t>
      </w:r>
      <w:r>
        <w:rPr>
          <w:spacing w:val="-63"/>
        </w:rPr>
        <w:t> </w:t>
      </w:r>
      <w:r>
        <w:rPr>
          <w:spacing w:val="-63"/>
        </w:rPr>
      </w:r>
      <w:r>
        <w:rPr/>
        <w:t>大调整。</w:t>
      </w:r>
    </w:p>
    <w:p>
      <w:pPr>
        <w:pStyle w:val="BodyText"/>
        <w:spacing w:line="316" w:lineRule="auto" w:before="19"/>
        <w:ind w:right="982"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3" w:right="982"/>
        <w:jc w:val="left"/>
      </w:pPr>
      <w:r>
        <w:rPr/>
        <w:t>于资产负债表日，本公司需对财务报表项目金额进行判断、估计和假设的重要领域如下：</w:t>
      </w:r>
    </w:p>
    <w:p>
      <w:pPr>
        <w:pStyle w:val="BodyText"/>
        <w:spacing w:line="300" w:lineRule="auto" w:before="76"/>
        <w:ind w:left="513" w:right="982"/>
        <w:jc w:val="left"/>
      </w:pPr>
      <w:r>
        <w:rPr/>
        <w:t>（</w:t>
      </w:r>
      <w:r>
        <w:rPr>
          <w:rFonts w:ascii="Times New Roman" w:hAnsi="Times New Roman" w:cs="Times New Roman" w:eastAsia="Times New Roman" w:hint="default"/>
        </w:rPr>
        <w:t>1</w:t>
      </w:r>
      <w:r>
        <w:rPr/>
        <w:t>）坏账准备计提 </w:t>
      </w:r>
      <w:r>
        <w:rPr>
          <w:spacing w:val="-2"/>
        </w:rPr>
        <w:t>本公司根据应收款项的会计政策，采用备抵法核算坏账损失。应收款项减值是基于评估应收账款的可收回性。鉴定应收</w:t>
      </w:r>
    </w:p>
    <w:p>
      <w:pPr>
        <w:spacing w:after="0" w:line="30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1"/>
        <w:jc w:val="both"/>
      </w:pPr>
      <w:r>
        <w:rPr>
          <w:spacing w:val="-2"/>
        </w:rPr>
        <w:t>款项减值要求管理层的判断和估计。实际的结果与原先估计的差异将在估计被改变的期间影响应收款项的账面价值及应收款</w:t>
      </w:r>
      <w:r>
        <w:rPr>
          <w:spacing w:val="-63"/>
        </w:rPr>
        <w:t> </w:t>
      </w:r>
      <w:r>
        <w:rPr>
          <w:spacing w:val="-63"/>
        </w:rPr>
      </w:r>
      <w:r>
        <w:rPr/>
        <w:t>项坏账准备的计提或转回。</w:t>
      </w:r>
    </w:p>
    <w:p>
      <w:pPr>
        <w:pStyle w:val="BodyText"/>
        <w:spacing w:line="300" w:lineRule="auto" w:before="17"/>
        <w:ind w:left="513" w:right="982"/>
        <w:jc w:val="left"/>
      </w:pPr>
      <w:r>
        <w:rPr/>
        <w:t>（</w:t>
      </w:r>
      <w:r>
        <w:rPr>
          <w:rFonts w:ascii="Times New Roman" w:hAnsi="Times New Roman" w:cs="Times New Roman" w:eastAsia="Times New Roman" w:hint="default"/>
        </w:rPr>
        <w:t>2</w:t>
      </w:r>
      <w:r>
        <w:rPr/>
        <w:t>）存货跌价准备 </w:t>
      </w:r>
      <w:r>
        <w:rPr>
          <w:spacing w:val="-2"/>
        </w:rPr>
        <w:t>本公司根据存货会计政策，按照成本与可变现净值孰低计量，对成本高于可变现净值的存货，计提存货跌价准备。存货</w:t>
      </w:r>
    </w:p>
    <w:p>
      <w:pPr>
        <w:pStyle w:val="BodyText"/>
        <w:spacing w:line="316" w:lineRule="auto" w:before="31"/>
        <w:ind w:right="1132"/>
        <w:jc w:val="both"/>
      </w:pPr>
      <w:r>
        <w:rPr>
          <w:spacing w:val="-2"/>
        </w:rPr>
        <w:t>减值至可变现净值是基于评估存货的可售性及其可变现净值。鉴定存货减值要求管理层在取得确凿证据，并且考虑持有存货</w:t>
      </w:r>
      <w:r>
        <w:rPr>
          <w:spacing w:val="-64"/>
        </w:rPr>
        <w:t> </w:t>
      </w:r>
      <w:r>
        <w:rPr>
          <w:spacing w:val="-64"/>
        </w:rPr>
      </w:r>
      <w:r>
        <w:rPr>
          <w:spacing w:val="-2"/>
        </w:rPr>
        <w:t>的目的、资产负债表日后事项的影响等因素的基础上作出判断和估计。实际的结果与原先估计的差异将在估计被改变的期间</w:t>
      </w:r>
      <w:r>
        <w:rPr>
          <w:spacing w:val="-64"/>
        </w:rPr>
        <w:t> </w:t>
      </w:r>
      <w:r>
        <w:rPr>
          <w:spacing w:val="-64"/>
        </w:rPr>
      </w:r>
      <w:r>
        <w:rPr/>
        <w:t>影响存货的账面价值及存货跌价准备的计提或转回。</w:t>
      </w:r>
    </w:p>
    <w:p>
      <w:pPr>
        <w:pStyle w:val="BodyText"/>
        <w:spacing w:line="300" w:lineRule="auto" w:before="19"/>
        <w:ind w:left="513" w:right="982"/>
        <w:jc w:val="left"/>
      </w:pPr>
      <w:r>
        <w:rPr/>
        <w:t>（</w:t>
      </w:r>
      <w:r>
        <w:rPr>
          <w:rFonts w:ascii="Times New Roman" w:hAnsi="Times New Roman" w:cs="Times New Roman" w:eastAsia="Times New Roman" w:hint="default"/>
        </w:rPr>
        <w:t>3</w:t>
      </w:r>
      <w:r>
        <w:rPr/>
        <w:t>）长期资产减值 </w:t>
      </w:r>
      <w:r>
        <w:rPr>
          <w:spacing w:val="-2"/>
        </w:rPr>
        <w:t>本公司于资产负债表日对除金融资产之外的非流动资产判断是否存在可能发生减值的迹象。对使用寿命不确定的无形资</w:t>
      </w:r>
    </w:p>
    <w:p>
      <w:pPr>
        <w:pStyle w:val="BodyText"/>
        <w:spacing w:line="316" w:lineRule="auto" w:before="31"/>
        <w:ind w:right="1134"/>
        <w:jc w:val="both"/>
      </w:pPr>
      <w:r>
        <w:rPr>
          <w:spacing w:val="-2"/>
        </w:rPr>
        <w:t>产，除每年进行的减值测试外，当其存在减值迹象时，也进行减值测试。其他除金融资产之外的非流动资产，当存在迹象表</w:t>
      </w:r>
      <w:r>
        <w:rPr>
          <w:spacing w:val="-67"/>
        </w:rPr>
        <w:t> </w:t>
      </w:r>
      <w:r>
        <w:rPr>
          <w:spacing w:val="-67"/>
        </w:rPr>
      </w:r>
      <w:r>
        <w:rPr/>
        <w:t>明其账面金额不可收回时，进行减值测试。</w:t>
      </w:r>
    </w:p>
    <w:p>
      <w:pPr>
        <w:pStyle w:val="BodyText"/>
        <w:spacing w:line="319" w:lineRule="auto" w:before="19"/>
        <w:ind w:right="982" w:firstLine="360"/>
        <w:jc w:val="left"/>
      </w:pPr>
      <w:r>
        <w:rPr/>
        <w:t>当资产或资产组的账面价值高于可收回金额，即公允价值减去处置费用后的净额和预计未来现金流量的现值中的较高</w:t>
      </w:r>
      <w:r>
        <w:rPr>
          <w:spacing w:val="2"/>
        </w:rPr>
        <w:t> </w:t>
      </w:r>
      <w:r>
        <w:rPr/>
        <w:t>者，表明发生了减值。</w:t>
      </w:r>
    </w:p>
    <w:p>
      <w:pPr>
        <w:pStyle w:val="BodyText"/>
        <w:spacing w:line="316" w:lineRule="auto" w:before="17"/>
        <w:ind w:right="982"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982"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9"/>
        <w:ind w:right="1125" w:firstLine="360"/>
        <w:jc w:val="both"/>
      </w:pPr>
      <w:r>
        <w:rPr/>
        <w:t>本公司至少每年测试商誉是否发生减值。这要求对分配了商誉的资产组或者资产组组合的未来现金流量的现值进行预</w:t>
      </w:r>
      <w:r>
        <w:rPr>
          <w:spacing w:val="2"/>
        </w:rPr>
        <w:t> </w:t>
      </w:r>
      <w:r>
        <w:rPr>
          <w:spacing w:val="-2"/>
        </w:rPr>
        <w:t>计。对未来现金流量的现值进行预计时，本公司需要预计未来资产组或者资产组组合产生的现金流量，同时选择恰当的折现</w:t>
      </w:r>
      <w:r>
        <w:rPr>
          <w:spacing w:val="-63"/>
        </w:rPr>
        <w:t> </w:t>
      </w:r>
      <w:r>
        <w:rPr>
          <w:spacing w:val="-63"/>
        </w:rPr>
      </w:r>
      <w:r>
        <w:rPr/>
        <w:t>率确定未来现金流量的现值。</w:t>
      </w:r>
    </w:p>
    <w:p>
      <w:pPr>
        <w:pStyle w:val="BodyText"/>
        <w:spacing w:line="300" w:lineRule="auto" w:before="19"/>
        <w:ind w:left="513" w:right="982"/>
        <w:jc w:val="left"/>
      </w:pPr>
      <w:r>
        <w:rPr/>
        <w:t>（</w:t>
      </w:r>
      <w:r>
        <w:rPr>
          <w:rFonts w:ascii="Times New Roman" w:hAnsi="Times New Roman" w:cs="Times New Roman" w:eastAsia="Times New Roman" w:hint="default"/>
        </w:rPr>
        <w:t>4</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32"/>
        <w:ind w:right="1132"/>
        <w:jc w:val="both"/>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9"/>
        <w:ind w:left="513" w:right="982"/>
        <w:jc w:val="left"/>
      </w:pPr>
      <w:r>
        <w:rPr/>
        <w:t>（</w:t>
      </w:r>
      <w:r>
        <w:rPr>
          <w:rFonts w:ascii="Times New Roman" w:hAnsi="Times New Roman" w:cs="Times New Roman" w:eastAsia="Times New Roman" w:hint="default"/>
        </w:rPr>
        <w:t>5</w:t>
      </w:r>
      <w:r>
        <w:rPr/>
        <w:t>）递延所得税资产 </w:t>
      </w:r>
      <w:r>
        <w:rPr>
          <w:spacing w:val="-2"/>
        </w:rPr>
        <w:t>在很有可能有足够的应纳税利润来抵扣亏损的限度内，本公司就所有未利用的税务亏损确认递延所得税资产。这需要本</w:t>
      </w:r>
    </w:p>
    <w:p>
      <w:pPr>
        <w:pStyle w:val="BodyText"/>
        <w:spacing w:line="316" w:lineRule="auto" w:before="31"/>
        <w:ind w:right="1132"/>
        <w:jc w:val="both"/>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300" w:lineRule="auto" w:before="19"/>
        <w:ind w:left="513" w:right="982"/>
        <w:jc w:val="left"/>
      </w:pPr>
      <w:r>
        <w:rPr/>
        <w:t>（</w:t>
      </w:r>
      <w:r>
        <w:rPr>
          <w:rFonts w:ascii="Times New Roman" w:hAnsi="Times New Roman" w:cs="Times New Roman" w:eastAsia="Times New Roman" w:hint="default"/>
        </w:rPr>
        <w:t>6</w:t>
      </w:r>
      <w:r>
        <w:rPr/>
        <w:t>）所得税 </w:t>
      </w:r>
      <w:r>
        <w:rPr>
          <w:spacing w:val="-2"/>
        </w:rPr>
        <w:t>本公司在正常的经营活动中，有部分交易其最终的税务处理和计算存在一定的不确定性。部分项目是否能够在税前列支</w:t>
      </w:r>
    </w:p>
    <w:p>
      <w:pPr>
        <w:pStyle w:val="BodyText"/>
        <w:spacing w:line="316" w:lineRule="auto" w:before="31"/>
        <w:ind w:right="1132"/>
        <w:jc w:val="both"/>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pStyle w:val="BodyText"/>
        <w:spacing w:line="300" w:lineRule="auto" w:before="19"/>
        <w:ind w:left="513" w:right="982"/>
        <w:jc w:val="left"/>
      </w:pPr>
      <w:r>
        <w:rPr/>
        <w:t>（</w:t>
      </w:r>
      <w:r>
        <w:rPr>
          <w:rFonts w:ascii="Times New Roman" w:hAnsi="Times New Roman" w:cs="Times New Roman" w:eastAsia="Times New Roman" w:hint="default"/>
        </w:rPr>
        <w:t>7</w:t>
      </w:r>
      <w:r>
        <w:rPr/>
        <w:t>）预计负债 </w:t>
      </w:r>
      <w:r>
        <w:rPr>
          <w:spacing w:val="-4"/>
        </w:rPr>
        <w:t>本公司根据合约条款、现有知识及历史经验，对产品质量保证、预计合同亏损、延迟交货违约金等估计并计提相应准备。</w:t>
      </w:r>
    </w:p>
    <w:p>
      <w:pPr>
        <w:pStyle w:val="BodyText"/>
        <w:spacing w:line="316" w:lineRule="auto" w:before="31"/>
        <w:ind w:right="1131"/>
        <w:jc w:val="both"/>
      </w:pPr>
      <w:r>
        <w:rPr>
          <w:spacing w:val="-2"/>
        </w:rPr>
        <w:t>在该等或有事项已经形成一项现时义务，且履行该等现时义务很可能导致经济利益流出本公司的情况下，本公司对或有事项</w:t>
      </w:r>
      <w:r>
        <w:rPr>
          <w:spacing w:val="-64"/>
        </w:rPr>
        <w:t> </w:t>
      </w:r>
      <w:r>
        <w:rPr>
          <w:spacing w:val="-64"/>
        </w:rPr>
      </w:r>
      <w:r>
        <w:rPr>
          <w:spacing w:val="-2"/>
        </w:rPr>
        <w:t>按履行相关现时义务所需支出的最佳估计数确认为预计负债。预计负债的确认和计量在很大程度上依赖于管理层的判断。在</w:t>
      </w:r>
      <w:r>
        <w:rPr>
          <w:spacing w:val="-64"/>
        </w:rPr>
        <w:t> </w:t>
      </w:r>
      <w:r>
        <w:rPr>
          <w:spacing w:val="-64"/>
        </w:rPr>
      </w:r>
      <w:r>
        <w:rPr/>
        <w:t>进行判断过程中本公司需评估该等或有事项相关的风险、不确定性及货币时间价值等因素。</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六、税项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102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4"/>
              <w:jc w:val="both"/>
              <w:rPr>
                <w:rFonts w:ascii="宋体" w:hAnsi="宋体" w:cs="宋体" w:eastAsia="宋体" w:hint="default"/>
                <w:sz w:val="18"/>
                <w:szCs w:val="18"/>
              </w:rPr>
            </w:pPr>
            <w:r>
              <w:rPr>
                <w:rFonts w:ascii="宋体" w:hAnsi="宋体" w:cs="宋体" w:eastAsia="宋体" w:hint="default"/>
                <w:sz w:val="18"/>
                <w:szCs w:val="18"/>
              </w:rPr>
              <w:t>一般纳税人按应税收入的税率计算销项 税，并按扣除当期允许抵扣的进项税额 后的差额计缴增值税。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982"/>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北京思特奇信息技术股份有限公司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南昌大众信息技术有限公司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成都思特奇信息技术有限责任公司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太原思特奇信息技术有限责任公司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哈尔滨易位科技有限公司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重庆思特奇信息技术有限公司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北京无限易信科技有限公司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北京易信掌中云科技有限公司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深圳思特奇信息技术有限公司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四川思特奇信息技术有限公司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易信掌中云信息技术有限公司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深圳花儿数据技术有限公司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上海实均信息技术有限公司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成都易信科技有限公司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北京思创立方科技有限公司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安徽思瑞格信息技术有限公司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广州大奇数据科技有限公司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09" w:firstLine="360"/>
        <w:jc w:val="both"/>
      </w:pPr>
      <w:r>
        <w:rPr/>
        <w:t>（</w:t>
      </w:r>
      <w:r>
        <w:rPr>
          <w:rFonts w:ascii="Times New Roman" w:hAnsi="Times New Roman" w:cs="Times New Roman" w:eastAsia="Times New Roman" w:hint="default"/>
        </w:rPr>
        <w:t>1</w:t>
      </w:r>
      <w:r>
        <w:rPr/>
        <w:t>）根据国务院国发</w:t>
      </w:r>
      <w:r>
        <w:rPr>
          <w:rFonts w:ascii="Times New Roman" w:hAnsi="Times New Roman" w:cs="Times New Roman" w:eastAsia="Times New Roman" w:hint="default"/>
        </w:rPr>
        <w:t>[2000]18</w:t>
      </w:r>
      <w:r>
        <w:rPr/>
        <w:t>号文件《国务院关于印发</w:t>
      </w:r>
      <w:r>
        <w:rPr>
          <w:rFonts w:ascii="Times New Roman" w:hAnsi="Times New Roman" w:cs="Times New Roman" w:eastAsia="Times New Roman" w:hint="default"/>
        </w:rPr>
        <w:t>&lt;</w:t>
      </w:r>
      <w:r>
        <w:rPr/>
        <w:t>鼓励软件产业和集成电路产业发展若干政策</w:t>
      </w:r>
      <w:r>
        <w:rPr>
          <w:rFonts w:ascii="Times New Roman" w:hAnsi="Times New Roman" w:cs="Times New Roman" w:eastAsia="Times New Roman" w:hint="default"/>
        </w:rPr>
        <w:t>&gt;</w:t>
      </w:r>
      <w:r>
        <w:rPr/>
        <w:t>的通知》和财政 部、国家税务总局、海关总署下发财税</w:t>
      </w:r>
      <w:r>
        <w:rPr>
          <w:rFonts w:ascii="Times New Roman" w:hAnsi="Times New Roman" w:cs="Times New Roman" w:eastAsia="Times New Roman" w:hint="default"/>
        </w:rPr>
        <w:t>[2000]25</w:t>
      </w:r>
      <w:r>
        <w:rPr/>
        <w:t>号文《关于鼓励软件产业和集成电路产业发展有关税收政策问题的通知》， </w:t>
      </w:r>
      <w:r>
        <w:rPr>
          <w:rFonts w:ascii="Times New Roman" w:hAnsi="Times New Roman" w:cs="Times New Roman" w:eastAsia="Times New Roman" w:hint="default"/>
        </w:rPr>
        <w:t>2010</w:t>
      </w:r>
      <w:r>
        <w:rPr/>
        <w:t>年底以前，公司自行开发研制软件产品销售收入按</w:t>
      </w:r>
      <w:r>
        <w:rPr>
          <w:rFonts w:ascii="Times New Roman" w:hAnsi="Times New Roman" w:cs="Times New Roman" w:eastAsia="Times New Roman" w:hint="default"/>
        </w:rPr>
        <w:t>17%</w:t>
      </w:r>
      <w:r>
        <w:rPr/>
        <w:t>的法定税率计缴增值税，对实际税负超过</w:t>
      </w:r>
      <w:r>
        <w:rPr>
          <w:rFonts w:ascii="Times New Roman" w:hAnsi="Times New Roman" w:cs="Times New Roman" w:eastAsia="Times New Roman" w:hint="default"/>
        </w:rPr>
        <w:t>3%</w:t>
      </w:r>
      <w:r>
        <w:rPr/>
        <w:t>的部分实行即征即</w:t>
      </w:r>
      <w:r>
        <w:rPr>
          <w:spacing w:val="-34"/>
        </w:rPr>
        <w:t> </w:t>
      </w:r>
      <w:r>
        <w:rPr>
          <w:spacing w:val="-34"/>
        </w:rPr>
      </w:r>
      <w:r>
        <w:rPr/>
        <w:t>退政策。</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日，国务院《关于印发进一步鼓励软件产业和集成电路产业发展若干政策的通知》（国发</w:t>
      </w:r>
      <w:r>
        <w:rPr>
          <w:rFonts w:ascii="Times New Roman" w:hAnsi="Times New Roman" w:cs="Times New Roman" w:eastAsia="Times New Roman" w:hint="default"/>
        </w:rPr>
        <w:t>[2011]4</w:t>
      </w:r>
      <w:r>
        <w:rPr/>
        <w:t>号）</w:t>
      </w:r>
      <w:r>
        <w:rPr>
          <w:spacing w:val="-3"/>
        </w:rPr>
        <w:t> </w:t>
      </w:r>
      <w:r>
        <w:rPr/>
        <w:t>继续实施上述软件增值税税收优惠政策。</w:t>
      </w:r>
    </w:p>
    <w:p>
      <w:pPr>
        <w:pStyle w:val="BodyText"/>
        <w:spacing w:line="300" w:lineRule="auto" w:before="31"/>
        <w:ind w:right="1130" w:firstLine="360"/>
        <w:jc w:val="both"/>
      </w:pPr>
      <w:r>
        <w:rPr>
          <w:spacing w:val="-2"/>
        </w:rPr>
        <w:t>（</w:t>
      </w:r>
      <w:r>
        <w:rPr>
          <w:rFonts w:ascii="Times New Roman" w:hAnsi="Times New Roman" w:cs="Times New Roman" w:eastAsia="Times New Roman" w:hint="default"/>
          <w:spacing w:val="-2"/>
        </w:rPr>
        <w:t>2</w:t>
      </w:r>
      <w:r>
        <w:rPr>
          <w:spacing w:val="-2"/>
        </w:rPr>
        <w:t>）本公司于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月和</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月取得国家发展和改革委员会、工业和信息化部、财务部、商务部及国家税务总局</w:t>
      </w:r>
      <w:r>
        <w:rPr/>
        <w:t> 颁发的《国家规划布局内重点软件企业证书》（证书编号：</w:t>
      </w:r>
      <w:r>
        <w:rPr>
          <w:rFonts w:ascii="Times New Roman" w:hAnsi="Times New Roman" w:cs="Times New Roman" w:eastAsia="Times New Roman" w:hint="default"/>
        </w:rPr>
        <w:t>R-2013-050</w:t>
      </w:r>
      <w:r>
        <w:rPr/>
        <w:t>），公司被认定为</w:t>
      </w:r>
      <w:r>
        <w:rPr>
          <w:rFonts w:ascii="Times New Roman" w:hAnsi="Times New Roman" w:cs="Times New Roman" w:eastAsia="Times New Roman" w:hint="default"/>
        </w:rPr>
        <w:t>2011-2012</w:t>
      </w:r>
      <w:r>
        <w:rPr/>
        <w:t>年度和</w:t>
      </w:r>
      <w:r>
        <w:rPr>
          <w:rFonts w:ascii="Times New Roman" w:hAnsi="Times New Roman" w:cs="Times New Roman" w:eastAsia="Times New Roman" w:hint="default"/>
        </w:rPr>
        <w:t>2013-2014</w:t>
      </w:r>
      <w:r>
        <w:rPr/>
        <w:t>年度国</w:t>
      </w:r>
    </w:p>
    <w:p>
      <w:pPr>
        <w:spacing w:after="0" w:line="300" w:lineRule="auto"/>
        <w:jc w:val="both"/>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1127"/>
        <w:jc w:val="both"/>
      </w:pPr>
      <w:r>
        <w:rPr>
          <w:spacing w:val="-1"/>
        </w:rPr>
        <w:t>家规划布局内重点软件企业。根据财政部、国家税务总局下发财税</w:t>
      </w:r>
      <w:r>
        <w:rPr>
          <w:rFonts w:ascii="Times New Roman" w:hAnsi="Times New Roman" w:cs="Times New Roman" w:eastAsia="Times New Roman" w:hint="default"/>
          <w:spacing w:val="-1"/>
        </w:rPr>
        <w:t>[2012]27</w:t>
      </w:r>
      <w:r>
        <w:rPr>
          <w:spacing w:val="-1"/>
        </w:rPr>
        <w:t>号文《关于进一步鼓励软件产业和集成电路产业</w:t>
      </w:r>
      <w:r>
        <w:rPr>
          <w:spacing w:val="-59"/>
        </w:rPr>
        <w:t> </w:t>
      </w:r>
      <w:r>
        <w:rPr>
          <w:spacing w:val="-59"/>
        </w:rPr>
      </w:r>
      <w:r>
        <w:rPr>
          <w:spacing w:val="-1"/>
        </w:rPr>
        <w:t>发展企业所得税政策的通知》，国家规划布局内的重点软件企业和集成电路设计企业，如当年未享受免税优惠的，减按</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的税率征收企业所得税。根据财政部、国家税务总局、发展改革委、工业和信息化部下发的财税</w:t>
      </w:r>
      <w:r>
        <w:rPr>
          <w:spacing w:val="44"/>
        </w:rPr>
        <w:t> </w:t>
      </w:r>
      <w:r>
        <w:rPr>
          <w:rFonts w:ascii="Times New Roman" w:hAnsi="Times New Roman" w:cs="Times New Roman" w:eastAsia="Times New Roman" w:hint="default"/>
        </w:rPr>
        <w:t>[2016]49</w:t>
      </w:r>
      <w:r>
        <w:rPr/>
        <w:t>号文《关于软件</w:t>
      </w:r>
      <w:r>
        <w:rPr>
          <w:spacing w:val="-77"/>
        </w:rPr>
        <w:t> </w:t>
      </w:r>
      <w:r>
        <w:rPr>
          <w:spacing w:val="-77"/>
        </w:rPr>
      </w:r>
      <w:r>
        <w:rPr>
          <w:spacing w:val="-2"/>
        </w:rPr>
        <w:t>和集成电路产业企业所得税优惠政策有关问题的通知》，关于国家规划布局内的重点软件企业和集成电路设计企业的税收优</w:t>
      </w:r>
      <w:r>
        <w:rPr>
          <w:spacing w:val="-64"/>
        </w:rPr>
        <w:t> </w:t>
      </w:r>
      <w:r>
        <w:rPr>
          <w:spacing w:val="-64"/>
        </w:rPr>
      </w:r>
      <w:r>
        <w:rPr>
          <w:spacing w:val="-2"/>
        </w:rPr>
        <w:t>惠资格认定等非行政许可审批已经取消，年度汇算清缴时按照规定向税务局备案后即可享受优惠税率，并由国家发展和改革</w:t>
      </w:r>
      <w:r>
        <w:rPr>
          <w:spacing w:val="-64"/>
        </w:rPr>
        <w:t> </w:t>
      </w:r>
      <w:r>
        <w:rPr>
          <w:spacing w:val="-64"/>
        </w:rPr>
      </w:r>
      <w:r>
        <w:rPr>
          <w:spacing w:val="-2"/>
        </w:rPr>
        <w:t>委员会、工业和信息化部进行核查；考虑到本年度的重点软件企业的认定标准与以前年度没有明显变化，本公司已连续多年</w:t>
      </w:r>
      <w:r>
        <w:rPr>
          <w:spacing w:val="-63"/>
        </w:rPr>
        <w:t> </w:t>
      </w:r>
      <w:r>
        <w:rPr>
          <w:spacing w:val="-63"/>
        </w:rPr>
      </w:r>
      <w:r>
        <w:rPr>
          <w:spacing w:val="-1"/>
        </w:rPr>
        <w:t>获得该项认定，并且在新政策实施的</w:t>
      </w:r>
      <w:r>
        <w:rPr>
          <w:rFonts w:ascii="Times New Roman" w:hAnsi="Times New Roman" w:cs="Times New Roman" w:eastAsia="Times New Roman" w:hint="default"/>
          <w:spacing w:val="-1"/>
        </w:rPr>
        <w:t>2015</w:t>
      </w:r>
      <w:r>
        <w:rPr>
          <w:spacing w:val="-1"/>
        </w:rPr>
        <w:t>年度至</w:t>
      </w:r>
      <w:r>
        <w:rPr>
          <w:rFonts w:ascii="Times New Roman" w:hAnsi="Times New Roman" w:cs="Times New Roman" w:eastAsia="Times New Roman" w:hint="default"/>
          <w:spacing w:val="-1"/>
        </w:rPr>
        <w:t>2017</w:t>
      </w:r>
      <w:r>
        <w:rPr>
          <w:spacing w:val="-1"/>
        </w:rPr>
        <w:t>年度的所得税汇算清缴时按照</w:t>
      </w:r>
      <w:r>
        <w:rPr>
          <w:rFonts w:ascii="Times New Roman" w:hAnsi="Times New Roman" w:cs="Times New Roman" w:eastAsia="Times New Roman" w:hint="default"/>
          <w:spacing w:val="-1"/>
        </w:rPr>
        <w:t>10%</w:t>
      </w:r>
      <w:r>
        <w:rPr>
          <w:spacing w:val="-1"/>
        </w:rPr>
        <w:t>的税率备案缴纳，基本确定本年度满</w:t>
      </w:r>
      <w:r>
        <w:rPr/>
        <w:t> 足该项认定，暂按</w:t>
      </w:r>
      <w:r>
        <w:rPr>
          <w:rFonts w:ascii="Times New Roman" w:hAnsi="Times New Roman" w:cs="Times New Roman" w:eastAsia="Times New Roman" w:hint="default"/>
        </w:rPr>
        <w:t>10%</w:t>
      </w:r>
      <w:r>
        <w:rPr/>
        <w:t>税率计算所得税。</w:t>
      </w:r>
    </w:p>
    <w:p>
      <w:pPr>
        <w:pStyle w:val="BodyText"/>
        <w:spacing w:line="312" w:lineRule="auto" w:before="7"/>
        <w:ind w:right="1130" w:firstLine="360"/>
        <w:jc w:val="both"/>
      </w:pPr>
      <w:r>
        <w:rPr>
          <w:spacing w:val="-1"/>
        </w:rPr>
        <w:t>（</w:t>
      </w:r>
      <w:r>
        <w:rPr>
          <w:rFonts w:ascii="Times New Roman" w:hAnsi="Times New Roman" w:cs="Times New Roman" w:eastAsia="Times New Roman" w:hint="default"/>
          <w:spacing w:val="-1"/>
        </w:rPr>
        <w:t>3</w:t>
      </w:r>
      <w:r>
        <w:rPr>
          <w:spacing w:val="-1"/>
        </w:rPr>
        <w:t>）根据财政部、国家税务总局下发财税字</w:t>
      </w:r>
      <w:r>
        <w:rPr>
          <w:rFonts w:ascii="Times New Roman" w:hAnsi="Times New Roman" w:cs="Times New Roman" w:eastAsia="Times New Roman" w:hint="default"/>
          <w:spacing w:val="-1"/>
        </w:rPr>
        <w:t>[1999]273</w:t>
      </w:r>
      <w:r>
        <w:rPr>
          <w:spacing w:val="-1"/>
        </w:rPr>
        <w:t>号文《关于贯彻落实〈中共中央、国务院关于加强技术创新，发</w:t>
      </w:r>
      <w:r>
        <w:rPr/>
        <w:t> </w:t>
      </w:r>
      <w:r>
        <w:rPr>
          <w:spacing w:val="-2"/>
        </w:rPr>
        <w:t>展高科技，实现产业化的决定〉有关税收问题的通知》，公司从事技术转让、技术开发业务和与之相关的技术咨询、技术服</w:t>
      </w:r>
      <w:r>
        <w:rPr>
          <w:spacing w:val="-69"/>
        </w:rPr>
        <w:t> </w:t>
      </w:r>
      <w:r>
        <w:rPr>
          <w:spacing w:val="-69"/>
        </w:rPr>
      </w:r>
      <w:r>
        <w:rPr>
          <w:spacing w:val="-1"/>
        </w:rPr>
        <w:t>务业务取得的收入，经科技部门认定，税务部门复核后，免征营业税。根据财政部、国家税务总局下发财税财税</w:t>
      </w:r>
      <w:r>
        <w:rPr>
          <w:rFonts w:ascii="Times New Roman" w:hAnsi="Times New Roman" w:cs="Times New Roman" w:eastAsia="Times New Roman" w:hint="default"/>
          <w:spacing w:val="-1"/>
        </w:rPr>
        <w:t>[2016]36</w:t>
      </w:r>
      <w:r>
        <w:rPr>
          <w:spacing w:val="-1"/>
        </w:rPr>
        <w:t>号</w:t>
      </w:r>
      <w:r>
        <w:rPr>
          <w:spacing w:val="-55"/>
        </w:rPr>
        <w:t> </w:t>
      </w:r>
      <w:r>
        <w:rPr/>
        <w:t>文《财政部 国家税务总局关于全面推开营业税改征增值税试点的通知》，试点纳税人提供技术转让、技术开发和与之相关</w:t>
      </w:r>
      <w:r>
        <w:rPr>
          <w:spacing w:val="-85"/>
        </w:rPr>
        <w:t> </w:t>
      </w:r>
      <w:r>
        <w:rPr>
          <w:spacing w:val="-85"/>
        </w:rPr>
      </w:r>
      <w:r>
        <w:rPr>
          <w:spacing w:val="-2"/>
        </w:rPr>
        <w:t>的技术咨询、技术服务，经试点纳税人所在地省级科技主管部门进行认定，并持有关的书面合同和科技主管部门审核意见证</w:t>
      </w:r>
      <w:r>
        <w:rPr>
          <w:spacing w:val="-66"/>
        </w:rPr>
        <w:t> </w:t>
      </w:r>
      <w:r>
        <w:rPr>
          <w:spacing w:val="-66"/>
        </w:rPr>
      </w:r>
      <w:r>
        <w:rPr/>
        <w:t>明文件报主管国家税务局备查后，免征增值税。本公司享受上述优惠政策。</w:t>
      </w:r>
    </w:p>
    <w:p>
      <w:pPr>
        <w:pStyle w:val="BodyText"/>
        <w:spacing w:line="300" w:lineRule="auto" w:before="22"/>
        <w:ind w:right="1131" w:firstLine="360"/>
        <w:jc w:val="both"/>
      </w:pPr>
      <w:r>
        <w:rPr/>
        <w:t>（</w:t>
      </w:r>
      <w:r>
        <w:rPr>
          <w:rFonts w:ascii="Times New Roman" w:hAnsi="Times New Roman" w:cs="Times New Roman" w:eastAsia="Times New Roman" w:hint="default"/>
        </w:rPr>
        <w:t>4</w:t>
      </w:r>
      <w:r>
        <w:rPr/>
        <w:t>）根据财政部、国家税务总局下发财税</w:t>
      </w:r>
      <w:r>
        <w:rPr>
          <w:rFonts w:ascii="Times New Roman" w:hAnsi="Times New Roman" w:cs="Times New Roman" w:eastAsia="Times New Roman" w:hint="default"/>
        </w:rPr>
        <w:t>[2016]12</w:t>
      </w:r>
      <w:r>
        <w:rPr/>
        <w:t>号文《财政部</w:t>
      </w:r>
      <w:r>
        <w:rPr>
          <w:spacing w:val="-28"/>
        </w:rPr>
        <w:t> </w:t>
      </w:r>
      <w:r>
        <w:rPr/>
        <w:t>国家税务总局关于扩大有关政府性基金免征范围的通</w:t>
      </w:r>
      <w:r>
        <w:rPr/>
        <w:t> 知》，将免征教育费附加、地方教育附加、水利建设基金的范围，由现行按月纳税的月销售额或营业额不超过</w:t>
      </w:r>
      <w:r>
        <w:rPr>
          <w:rFonts w:ascii="Times New Roman" w:hAnsi="Times New Roman" w:cs="Times New Roman" w:eastAsia="Times New Roman" w:hint="default"/>
        </w:rPr>
        <w:t>3</w:t>
      </w:r>
      <w:r>
        <w:rPr/>
        <w:t>万元（按季</w:t>
      </w:r>
      <w:r>
        <w:rPr>
          <w:spacing w:val="-82"/>
        </w:rPr>
        <w:t> </w:t>
      </w:r>
      <w:r>
        <w:rPr/>
        <w:t>度纳税的季度销售额或营业额不超过</w:t>
      </w:r>
      <w:r>
        <w:rPr>
          <w:rFonts w:ascii="Times New Roman" w:hAnsi="Times New Roman" w:cs="Times New Roman" w:eastAsia="Times New Roman" w:hint="default"/>
        </w:rPr>
        <w:t>9</w:t>
      </w:r>
      <w:r>
        <w:rPr/>
        <w:t>万元）的缴纳义务人，扩大到按月纳税的月销售额或营业额不超过</w:t>
      </w:r>
      <w:r>
        <w:rPr>
          <w:rFonts w:ascii="Times New Roman" w:hAnsi="Times New Roman" w:cs="Times New Roman" w:eastAsia="Times New Roman" w:hint="default"/>
        </w:rPr>
        <w:t>10</w:t>
      </w:r>
      <w:r>
        <w:rPr/>
        <w:t>万元（按季度纳</w:t>
      </w:r>
      <w:r>
        <w:rPr>
          <w:spacing w:val="-83"/>
        </w:rPr>
        <w:t> </w:t>
      </w:r>
      <w:r>
        <w:rPr/>
        <w:t>税的季度销售额或营业额不超过</w:t>
      </w:r>
      <w:r>
        <w:rPr>
          <w:rFonts w:ascii="Times New Roman" w:hAnsi="Times New Roman" w:cs="Times New Roman" w:eastAsia="Times New Roman" w:hint="default"/>
        </w:rPr>
        <w:t>30</w:t>
      </w:r>
      <w:r>
        <w:rPr/>
        <w:t>万元）的缴纳义务人。子公司南昌大众信息技术有限公司享受上述优惠政策。</w:t>
      </w:r>
    </w:p>
    <w:p>
      <w:pPr>
        <w:pStyle w:val="BodyText"/>
        <w:spacing w:line="240" w:lineRule="auto" w:before="13"/>
        <w:ind w:left="513" w:right="982"/>
        <w:jc w:val="left"/>
      </w:pPr>
      <w:r>
        <w:rPr/>
        <w:t>（</w:t>
      </w:r>
      <w:r>
        <w:rPr>
          <w:rFonts w:ascii="Times New Roman" w:hAnsi="Times New Roman" w:cs="Times New Roman" w:eastAsia="Times New Roman" w:hint="default"/>
        </w:rPr>
        <w:t>5</w:t>
      </w:r>
      <w:r>
        <w:rPr/>
        <w:t>）高新技术优惠</w:t>
      </w:r>
    </w:p>
    <w:p>
      <w:pPr>
        <w:pStyle w:val="BodyText"/>
        <w:spacing w:line="240" w:lineRule="auto" w:before="63"/>
        <w:ind w:left="573" w:right="982"/>
        <w:jc w:val="left"/>
      </w:pPr>
      <w:r>
        <w:rPr/>
        <w:t>上海实均信息技术有限公司高新技术企业证书于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6 </w:t>
      </w:r>
      <w:r>
        <w:rPr/>
        <w:t>日已经完成审批工作，本报告期适用税率按</w:t>
      </w:r>
      <w:r>
        <w:rPr>
          <w:spacing w:val="21"/>
        </w:rPr>
        <w:t> </w:t>
      </w:r>
      <w:r>
        <w:rPr>
          <w:rFonts w:ascii="Times New Roman" w:hAnsi="Times New Roman" w:cs="Times New Roman" w:eastAsia="Times New Roman" w:hint="default"/>
        </w:rPr>
        <w:t>15%</w:t>
      </w:r>
      <w:r>
        <w:rPr/>
        <w:t>执</w:t>
      </w:r>
    </w:p>
    <w:p>
      <w:pPr>
        <w:pStyle w:val="BodyText"/>
        <w:spacing w:line="240" w:lineRule="auto" w:before="63"/>
        <w:ind w:right="982"/>
        <w:jc w:val="left"/>
      </w:pPr>
      <w:r>
        <w:rPr/>
        <w:t>行，优惠期间自 </w:t>
      </w:r>
      <w:r>
        <w:rPr>
          <w:rFonts w:ascii="Times New Roman" w:hAnsi="Times New Roman" w:cs="Times New Roman" w:eastAsia="Times New Roman" w:hint="default"/>
        </w:rPr>
        <w:t>2019 </w:t>
      </w:r>
      <w:r>
        <w:rPr/>
        <w:t>年至 </w:t>
      </w:r>
      <w:r>
        <w:rPr>
          <w:rFonts w:ascii="Times New Roman" w:hAnsi="Times New Roman" w:cs="Times New Roman" w:eastAsia="Times New Roman" w:hint="default"/>
        </w:rPr>
        <w:t>2022</w:t>
      </w:r>
      <w:r>
        <w:rPr>
          <w:rFonts w:ascii="Times New Roman" w:hAnsi="Times New Roman" w:cs="Times New Roman" w:eastAsia="Times New Roman" w:hint="default"/>
          <w:spacing w:val="16"/>
        </w:rPr>
        <w:t> </w:t>
      </w:r>
      <w:r>
        <w:rPr/>
        <w:t>年。</w:t>
      </w:r>
    </w:p>
    <w:p>
      <w:pPr>
        <w:pStyle w:val="BodyText"/>
        <w:spacing w:line="300" w:lineRule="auto" w:before="63"/>
        <w:ind w:right="1037" w:firstLine="420"/>
        <w:jc w:val="both"/>
      </w:pPr>
      <w:r>
        <w:rPr/>
        <w:t>哈尔滨易位科技有限公司高新技术企业证书于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t>月 </w:t>
      </w:r>
      <w:r>
        <w:rPr>
          <w:rFonts w:ascii="Times New Roman" w:hAnsi="Times New Roman" w:cs="Times New Roman" w:eastAsia="Times New Roman" w:hint="default"/>
        </w:rPr>
        <w:t>3 </w:t>
      </w:r>
      <w:r>
        <w:rPr>
          <w:spacing w:val="-5"/>
        </w:rPr>
        <w:t>日已经完成审批工作，本报告期适用税率按</w:t>
      </w:r>
      <w:r>
        <w:rPr>
          <w:spacing w:val="30"/>
        </w:rPr>
        <w:t> </w:t>
      </w:r>
      <w:r>
        <w:rPr>
          <w:rFonts w:ascii="Times New Roman" w:hAnsi="Times New Roman" w:cs="Times New Roman" w:eastAsia="Times New Roman" w:hint="default"/>
        </w:rPr>
        <w:t>15%</w:t>
      </w:r>
      <w:r>
        <w:rPr/>
        <w:t>执行， 优惠期间自 </w:t>
      </w:r>
      <w:r>
        <w:rPr>
          <w:rFonts w:ascii="Times New Roman" w:hAnsi="Times New Roman" w:cs="Times New Roman" w:eastAsia="Times New Roman" w:hint="default"/>
        </w:rPr>
        <w:t>2019</w:t>
      </w:r>
      <w:r>
        <w:rPr/>
        <w:t>年至 </w:t>
      </w:r>
      <w:r>
        <w:rPr>
          <w:rFonts w:ascii="Times New Roman" w:hAnsi="Times New Roman" w:cs="Times New Roman" w:eastAsia="Times New Roman" w:hint="default"/>
        </w:rPr>
        <w:t>2022</w:t>
      </w:r>
      <w:r>
        <w:rPr>
          <w:rFonts w:ascii="Times New Roman" w:hAnsi="Times New Roman" w:cs="Times New Roman" w:eastAsia="Times New Roman" w:hint="default"/>
          <w:spacing w:val="-10"/>
        </w:rPr>
        <w:t> </w:t>
      </w:r>
      <w:r>
        <w:rPr>
          <w:spacing w:val="-3"/>
        </w:rPr>
        <w:t>年。</w:t>
      </w:r>
      <w:r>
        <w:rPr/>
      </w:r>
    </w:p>
    <w:p>
      <w:pPr>
        <w:pStyle w:val="BodyText"/>
        <w:spacing w:line="300" w:lineRule="auto" w:before="13"/>
        <w:ind w:right="1037" w:firstLine="420"/>
        <w:jc w:val="both"/>
      </w:pPr>
      <w:r>
        <w:rPr/>
        <w:t>北京思创立方科技有限公司高新技术企业证书于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10</w:t>
      </w:r>
      <w:r>
        <w:rPr/>
        <w:t>已经完成审批工作。本报告期适用税率按</w:t>
      </w:r>
      <w:r>
        <w:rPr>
          <w:spacing w:val="-21"/>
        </w:rPr>
        <w:t> </w:t>
      </w:r>
      <w:r>
        <w:rPr>
          <w:rFonts w:ascii="Times New Roman" w:hAnsi="Times New Roman" w:cs="Times New Roman" w:eastAsia="Times New Roman" w:hint="default"/>
        </w:rPr>
        <w:t>15%</w:t>
      </w:r>
      <w:r>
        <w:rPr/>
        <w:t>执行， 优惠期间自 </w:t>
      </w:r>
      <w:r>
        <w:rPr>
          <w:rFonts w:ascii="Times New Roman" w:hAnsi="Times New Roman" w:cs="Times New Roman" w:eastAsia="Times New Roman" w:hint="default"/>
        </w:rPr>
        <w:t>2017 </w:t>
      </w:r>
      <w:r>
        <w:rPr/>
        <w:t>年至 </w:t>
      </w:r>
      <w:r>
        <w:rPr>
          <w:rFonts w:ascii="Times New Roman" w:hAnsi="Times New Roman" w:cs="Times New Roman" w:eastAsia="Times New Roman" w:hint="default"/>
        </w:rPr>
        <w:t>2020</w:t>
      </w:r>
      <w:r>
        <w:rPr>
          <w:rFonts w:ascii="Times New Roman" w:hAnsi="Times New Roman" w:cs="Times New Roman" w:eastAsia="Times New Roman" w:hint="default"/>
          <w:spacing w:val="17"/>
        </w:rPr>
        <w:t> </w:t>
      </w:r>
      <w:r>
        <w:rPr>
          <w:spacing w:val="-3"/>
        </w:rPr>
        <w:t>年。</w:t>
      </w:r>
      <w:r>
        <w:rPr/>
      </w:r>
    </w:p>
    <w:p>
      <w:pPr>
        <w:pStyle w:val="BodyText"/>
        <w:spacing w:line="240" w:lineRule="auto" w:before="53"/>
        <w:ind w:right="98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spacing w:line="487" w:lineRule="auto" w:before="0"/>
        <w:ind w:left="153" w:right="78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49,596.77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1,446.77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389,384,873.34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379,339,860.91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3,911,192.44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6,024,127.77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393,345,662.55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385,365,435.45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145,163.98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212,678.94</w:t>
            </w:r>
          </w:p>
        </w:tc>
      </w:tr>
    </w:tbl>
    <w:p>
      <w:pPr>
        <w:pStyle w:val="BodyText"/>
        <w:spacing w:line="240" w:lineRule="auto" w:before="51"/>
        <w:ind w:right="982"/>
        <w:jc w:val="left"/>
      </w:pPr>
      <w:r>
        <w:rPr/>
        <w:t>其他说明</w:t>
      </w:r>
    </w:p>
    <w:p>
      <w:pPr>
        <w:pStyle w:val="BodyText"/>
        <w:spacing w:line="240" w:lineRule="auto" w:before="114"/>
        <w:ind w:left="729" w:right="982"/>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日，本公司所有权受到限制的货币资金为人民币</w:t>
      </w:r>
      <w:r>
        <w:rPr>
          <w:rFonts w:ascii="Times New Roman" w:hAnsi="Times New Roman" w:cs="Times New Roman" w:eastAsia="Times New Roman" w:hint="default"/>
        </w:rPr>
        <w:t>3,908,915.64</w:t>
      </w:r>
      <w:r>
        <w:rPr/>
        <w:t>元，其中</w:t>
      </w:r>
      <w:r>
        <w:rPr>
          <w:rFonts w:ascii="Times New Roman" w:hAnsi="Times New Roman" w:cs="Times New Roman" w:eastAsia="Times New Roman" w:hint="default"/>
        </w:rPr>
        <w:t>3,877,469.88</w:t>
      </w:r>
      <w:r>
        <w:rPr/>
        <w:t>元系本公司向银行申</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3"/>
        <w:jc w:val="left"/>
      </w:pPr>
      <w:r>
        <w:rPr/>
        <w:t>请开具无条件、不可撤销的担保函所存入的保证金，期限为</w:t>
      </w:r>
      <w:r>
        <w:rPr>
          <w:rFonts w:ascii="Times New Roman" w:hAnsi="Times New Roman" w:cs="Times New Roman" w:eastAsia="Times New Roman" w:hint="default"/>
        </w:rPr>
        <w:t>1</w:t>
      </w:r>
      <w:r>
        <w:rPr/>
        <w:t>年以内，</w:t>
      </w:r>
      <w:r>
        <w:rPr>
          <w:rFonts w:ascii="Times New Roman" w:hAnsi="Times New Roman" w:cs="Times New Roman" w:eastAsia="Times New Roman" w:hint="default"/>
        </w:rPr>
        <w:t>31,445.76</w:t>
      </w:r>
      <w:r>
        <w:rPr/>
        <w:t>元系本公司之子公司易信掌中云于香港办理</w:t>
      </w:r>
      <w:r>
        <w:rPr>
          <w:spacing w:val="-84"/>
        </w:rPr>
        <w:t> </w:t>
      </w:r>
      <w:r>
        <w:rPr>
          <w:spacing w:val="-84"/>
        </w:rPr>
      </w:r>
      <w:r>
        <w:rPr/>
        <w:t>信用卡存入的定期存款。</w:t>
      </w:r>
    </w:p>
    <w:p>
      <w:pPr>
        <w:spacing w:line="240" w:lineRule="auto" w:before="7"/>
        <w:rPr>
          <w:rFonts w:ascii="宋体" w:hAnsi="宋体" w:cs="宋体" w:eastAsia="宋体" w:hint="default"/>
          <w:sz w:val="23"/>
          <w:szCs w:val="23"/>
        </w:rPr>
      </w:pPr>
    </w:p>
    <w:p>
      <w:pPr>
        <w:pStyle w:val="Heading4"/>
        <w:spacing w:line="240" w:lineRule="auto"/>
        <w:ind w:right="982"/>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112"/>
        <w:gridCol w:w="2268"/>
        <w:gridCol w:w="3191"/>
      </w:tblGrid>
      <w:tr>
        <w:trPr>
          <w:trHeight w:val="39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0"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17,913,778.80</w:t>
            </w:r>
          </w:p>
        </w:tc>
      </w:tr>
      <w:tr>
        <w:trPr>
          <w:trHeight w:val="39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2268"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17,913,778.80</w:t>
            </w:r>
          </w:p>
        </w:tc>
      </w:tr>
      <w:tr>
        <w:trPr>
          <w:trHeight w:val="399"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17,913,778.80</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5,070,314.65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2,635,321.00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2,323,247.80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5,070,314.65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4,958,568.80</w:t>
            </w:r>
          </w:p>
        </w:tc>
      </w:tr>
    </w:tbl>
    <w:p>
      <w:pPr>
        <w:pStyle w:val="BodyText"/>
        <w:spacing w:line="240" w:lineRule="auto" w:before="51"/>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838"/>
        <w:gridCol w:w="763"/>
        <w:gridCol w:w="761"/>
        <w:gridCol w:w="764"/>
        <w:gridCol w:w="790"/>
        <w:gridCol w:w="775"/>
        <w:gridCol w:w="797"/>
        <w:gridCol w:w="931"/>
        <w:gridCol w:w="797"/>
        <w:gridCol w:w="792"/>
      </w:tblGrid>
      <w:tr>
        <w:trPr>
          <w:trHeight w:val="396"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9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560" w:type="dxa"/>
            <w:vMerge/>
            <w:tcBorders>
              <w:left w:val="single" w:sz="4" w:space="0" w:color="000000"/>
              <w:right w:val="single" w:sz="4" w:space="0" w:color="000000"/>
            </w:tcBorders>
            <w:shd w:val="clear" w:color="auto" w:fill="D2D2D2"/>
          </w:tcPr>
          <w:p>
            <w:pPr/>
          </w:p>
        </w:tc>
        <w:tc>
          <w:tcPr>
            <w:tcW w:w="16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5,070,314.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5,070,314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5,080,845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122,276.20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4,958,568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银行承兑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5,070,314.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5,070,314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2,635,321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51.87%</w:t>
            </w: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2,635,321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商业承兑</w:t>
            </w:r>
          </w:p>
        </w:tc>
        <w:tc>
          <w:tcPr>
            <w:tcW w:w="83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2,445,524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122,276.20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2,323,247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5,070,314.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5,070,314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5,080,845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122,276.20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4,958,568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w:t>
            </w:r>
          </w:p>
        </w:tc>
      </w:tr>
    </w:tbl>
    <w:p>
      <w:pPr>
        <w:pStyle w:val="BodyText"/>
        <w:spacing w:line="240" w:lineRule="auto" w:before="51"/>
        <w:ind w:right="982"/>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0.00</w:t>
      </w:r>
    </w:p>
    <w:p>
      <w:pPr>
        <w:spacing w:after="0" w:line="240" w:lineRule="auto"/>
        <w:jc w:val="left"/>
        <w:rPr>
          <w:rFonts w:ascii="Times New Roman" w:hAnsi="Times New Roman" w:cs="Times New Roman" w:eastAsia="Times New Roman" w:hint="default"/>
        </w:rPr>
        <w:sectPr>
          <w:pgSz w:w="11910" w:h="16840"/>
          <w:pgMar w:header="748" w:footer="974"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5,070,314.65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5,070,314.65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t>如是按照预期信用损失一般模型计提应收票据坏账准备，请参照其他应收款的披露方式披露坏账准备的相关信息：</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3"/>
        <w:gridCol w:w="761"/>
        <w:gridCol w:w="764"/>
        <w:gridCol w:w="790"/>
        <w:gridCol w:w="775"/>
        <w:gridCol w:w="797"/>
        <w:gridCol w:w="799"/>
        <w:gridCol w:w="790"/>
        <w:gridCol w:w="932"/>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7" w:right="0"/>
              <w:jc w:val="left"/>
              <w:rPr>
                <w:rFonts w:ascii="Times New Roman" w:hAnsi="Times New Roman" w:cs="Times New Roman" w:eastAsia="Times New Roman" w:hint="default"/>
                <w:sz w:val="18"/>
                <w:szCs w:val="18"/>
              </w:rPr>
            </w:pPr>
            <w:r>
              <w:rPr>
                <w:rFonts w:ascii="Times New Roman"/>
                <w:sz w:val="18"/>
              </w:rPr>
              <w:t>11,199,6</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52.95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11,199,6</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52.95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11,752,33</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3.91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11,752,33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11,199,6</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52.95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11,199,6</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52.95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11,752,33</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3.91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11,752,33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470,041,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993.88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29,479,7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04.81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440,562,2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89.07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448,281,3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33.52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28,345,11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419,936,21</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6.50</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470,041,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993.88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29,479,7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04.81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440,562,2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89.07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448,281,3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33.52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28,345,11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419,936,21</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6.50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481,241,</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646.83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40,679,3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57.76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440,562,2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89.07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460,033,6</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67.43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40,097,45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419,936,21</w:t>
            </w:r>
          </w:p>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6.50</w:t>
            </w:r>
          </w:p>
        </w:tc>
      </w:tr>
    </w:tbl>
    <w:p>
      <w:pPr>
        <w:pStyle w:val="BodyText"/>
        <w:spacing w:line="240" w:lineRule="auto" w:before="52"/>
        <w:ind w:right="982"/>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11,199,652.95</w:t>
      </w:r>
    </w:p>
    <w:p>
      <w:pPr>
        <w:pStyle w:val="BodyText"/>
        <w:spacing w:line="240" w:lineRule="auto" w:before="101"/>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1,822,057.30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1,822,057.30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1,417,384.61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1,417,384.61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926,153.85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926,153.85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774,007.26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774,007.26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754,598.56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754,598.56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548,882.10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548,882.10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428,522.00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428,522.00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340,287.20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340,287.20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228,062.45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228,062.45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180,030.90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180,030.90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167,148.30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167,148.30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159,513.30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159,513.30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159,221.46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159,221.46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137,500.00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133,854.69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133,854.69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116,239.32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116,239.32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115,223.90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115,223.90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其他汇总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963,965.75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963,965.75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11,199,652.95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11,199,652.95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29,479,704.81</w:t>
      </w:r>
    </w:p>
    <w:p>
      <w:pPr>
        <w:pStyle w:val="BodyText"/>
        <w:spacing w:line="240" w:lineRule="auto" w:before="101"/>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434,669,803.52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21,733,490.17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23,406,352.02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2,340,635.20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8,373,784.62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2,512,135.39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495,397.28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247,698.64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2,254,555.18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1,803,644.15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842,101.26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842,101.26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470,041,993.88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29,479,704.81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t>如是按照预期信用损失一般模型计提应收账款坏账准备，请参照其他应收款的披露方式披露坏账准备的相关信息：</w:t>
      </w:r>
    </w:p>
    <w:p>
      <w:pPr>
        <w:pStyle w:val="BodyText"/>
        <w:spacing w:line="340" w:lineRule="auto" w:before="11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0"/>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434,669,803.51</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434,669,803.51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23,406,352.03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8,585,784.62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14,579,706.67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530,947.28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2,288,486.57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11,760,272.82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18"/>
                <w:szCs w:val="18"/>
              </w:rPr>
            </w:pPr>
            <w:r>
              <w:rPr>
                <w:rFonts w:ascii="Times New Roman"/>
                <w:spacing w:val="-1"/>
                <w:sz w:val="18"/>
              </w:rPr>
              <w:t>481,241,646.83</w:t>
            </w:r>
          </w:p>
        </w:tc>
      </w:tr>
    </w:tbl>
    <w:p>
      <w:pPr>
        <w:pStyle w:val="BodyText"/>
        <w:spacing w:line="240" w:lineRule="auto" w:before="51"/>
        <w:ind w:right="982"/>
        <w:jc w:val="left"/>
      </w:pPr>
      <w:r>
        <w:rPr/>
        <w:t>公司需要遵守《深圳证券交易所行业信息披露指引第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4"/>
        <w:spacing w:line="240" w:lineRule="auto"/>
        <w:ind w:right="98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t>本期计提坏账准备情况：</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40,097,450.93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581,906.83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40,679,357.76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40,097,450.93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3" w:right="0"/>
              <w:jc w:val="left"/>
              <w:rPr>
                <w:rFonts w:ascii="Times New Roman" w:hAnsi="Times New Roman" w:cs="Times New Roman" w:eastAsia="Times New Roman" w:hint="default"/>
                <w:sz w:val="18"/>
                <w:szCs w:val="18"/>
              </w:rPr>
            </w:pPr>
            <w:r>
              <w:rPr>
                <w:rFonts w:ascii="Times New Roman"/>
                <w:sz w:val="18"/>
              </w:rPr>
              <w:t>581,906.83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40,679,357.76</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1"/>
        <w:gridCol w:w="2530"/>
        <w:gridCol w:w="2528"/>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79"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55,365,427.38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3,503,578.27</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53,146,463.14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11.04%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2,808,583.54</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49,492,995.45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2,797,922.61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33,825,344.24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7.03%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4,349,774.09</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24,524,094.13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5.10%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2,957,159.14</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216,354,324.34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44.95%</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5</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应收款项融资本期增减变动及公允价值变动情况</w:t>
      </w:r>
    </w:p>
    <w:p>
      <w:pPr>
        <w:pStyle w:val="BodyText"/>
        <w:spacing w:line="340" w:lineRule="auto" w:before="117"/>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spacing w:after="0" w:line="3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2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left="213"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20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12,463,255.39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10,400,520.73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12,463,255.39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10,400,520.73</w:t>
            </w:r>
          </w:p>
        </w:tc>
      </w:tr>
    </w:tbl>
    <w:p>
      <w:pPr>
        <w:spacing w:line="240" w:lineRule="auto" w:before="3"/>
        <w:rPr>
          <w:rFonts w:ascii="宋体" w:hAnsi="宋体" w:cs="宋体" w:eastAsia="宋体" w:hint="default"/>
          <w:sz w:val="19"/>
          <w:szCs w:val="19"/>
        </w:rPr>
      </w:pPr>
    </w:p>
    <w:p>
      <w:pPr>
        <w:pStyle w:val="Heading4"/>
        <w:spacing w:line="240" w:lineRule="auto" w:before="36"/>
        <w:ind w:left="213"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3"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1,064,079.37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8,248,578.05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4,023,115.14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3,934,631.48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5,423,101.23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4,769,791.80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五险一金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1,500,273.51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1,106,503.91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959,725.07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594,696.79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12,970,294.32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18,654,202.03</w:t>
            </w:r>
          </w:p>
        </w:tc>
      </w:tr>
    </w:tbl>
    <w:p>
      <w:pPr>
        <w:spacing w:line="240" w:lineRule="auto" w:before="3"/>
        <w:rPr>
          <w:rFonts w:ascii="宋体" w:hAnsi="宋体" w:cs="宋体" w:eastAsia="宋体" w:hint="default"/>
          <w:sz w:val="19"/>
          <w:szCs w:val="19"/>
        </w:rPr>
      </w:pPr>
    </w:p>
    <w:p>
      <w:pPr>
        <w:pStyle w:val="Heading4"/>
        <w:spacing w:line="240" w:lineRule="auto" w:before="36"/>
        <w:ind w:left="213"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201"/>
        <w:gridCol w:w="1652"/>
        <w:gridCol w:w="2098"/>
        <w:gridCol w:w="2101"/>
        <w:gridCol w:w="1803"/>
      </w:tblGrid>
      <w:tr>
        <w:trPr>
          <w:trHeight w:val="403" w:hRule="exact"/>
        </w:trPr>
        <w:tc>
          <w:tcPr>
            <w:tcW w:w="2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3"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2201"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8,253,681.30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8,253,681.30</w:t>
            </w:r>
          </w:p>
        </w:tc>
      </w:tr>
      <w:tr>
        <w:trPr>
          <w:trHeight w:val="401" w:hRule="exact"/>
        </w:trPr>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日余额在本期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7,746,642.37</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7,746,642.37</w:t>
            </w:r>
          </w:p>
        </w:tc>
      </w:tr>
      <w:tr>
        <w:trPr>
          <w:trHeight w:val="403" w:hRule="exact"/>
        </w:trPr>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507,038.93</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507,038.93</w:t>
            </w:r>
          </w:p>
        </w:tc>
      </w:tr>
    </w:tbl>
    <w:p>
      <w:pPr>
        <w:pStyle w:val="BodyText"/>
        <w:spacing w:line="240" w:lineRule="auto" w:before="51"/>
        <w:ind w:left="213" w:right="0"/>
        <w:jc w:val="left"/>
      </w:pPr>
      <w:r>
        <w:rPr/>
        <w:t>损失准备本期变动金额重大的账面余额变动情况</w:t>
      </w:r>
    </w:p>
    <w:p>
      <w:pPr>
        <w:pStyle w:val="BodyText"/>
        <w:spacing w:line="240" w:lineRule="auto" w:before="115"/>
        <w:ind w:left="2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306" w:type="dxa"/>
        <w:tblLayout w:type="fixed"/>
        <w:tblCellMar>
          <w:top w:w="0" w:type="dxa"/>
          <w:left w:w="0" w:type="dxa"/>
          <w:bottom w:w="0" w:type="dxa"/>
          <w:right w:w="0" w:type="dxa"/>
        </w:tblCellMar>
        <w:tblLook w:val="01E0"/>
      </w:tblPr>
      <w:tblGrid>
        <w:gridCol w:w="1843"/>
        <w:gridCol w:w="1784"/>
        <w:gridCol w:w="1983"/>
        <w:gridCol w:w="2127"/>
        <w:gridCol w:w="1702"/>
      </w:tblGrid>
      <w:tr>
        <w:trPr>
          <w:trHeight w:val="346" w:hRule="exact"/>
        </w:trPr>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20"/>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26"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98"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60" w:hRule="exact"/>
        </w:trPr>
        <w:tc>
          <w:tcPr>
            <w:tcW w:w="1843" w:type="dxa"/>
            <w:vMerge/>
            <w:tcBorders>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526" w:right="162" w:hanging="272"/>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个月预期</w:t>
            </w:r>
            <w:r>
              <w:rPr>
                <w:rFonts w:ascii="宋体" w:hAnsi="宋体" w:cs="宋体" w:eastAsia="宋体" w:hint="default"/>
                <w:sz w:val="18"/>
                <w:szCs w:val="18"/>
              </w:rPr>
              <w:t> </w:t>
            </w:r>
            <w:r>
              <w:rPr>
                <w:rFonts w:ascii="宋体" w:hAnsi="宋体" w:cs="宋体" w:eastAsia="宋体" w:hint="default"/>
                <w:sz w:val="18"/>
                <w:szCs w:val="18"/>
              </w:rPr>
              <w:t>信用损失</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03" w:right="8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702" w:type="dxa"/>
            <w:vMerge/>
            <w:tcBorders>
              <w:left w:val="single" w:sz="6" w:space="0" w:color="000000"/>
              <w:bottom w:val="single" w:sz="6" w:space="0" w:color="000000"/>
              <w:right w:val="single" w:sz="6" w:space="0" w:color="000000"/>
            </w:tcBorders>
          </w:tcPr>
          <w:p>
            <w:pPr/>
          </w:p>
        </w:tc>
      </w:tr>
      <w:tr>
        <w:trPr>
          <w:trHeight w:val="34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32" w:right="0"/>
              <w:jc w:val="left"/>
              <w:rPr>
                <w:rFonts w:ascii="Times New Roman" w:hAnsi="Times New Roman" w:cs="Times New Roman" w:eastAsia="Times New Roman" w:hint="default"/>
                <w:sz w:val="18"/>
                <w:szCs w:val="18"/>
              </w:rPr>
            </w:pPr>
            <w:r>
              <w:rPr>
                <w:rFonts w:ascii="Times New Roman"/>
                <w:sz w:val="18"/>
              </w:rPr>
              <w:t>10,400,520.73</w:t>
            </w:r>
          </w:p>
        </w:tc>
        <w:tc>
          <w:tcPr>
            <w:tcW w:w="1983"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66" w:right="-1"/>
              <w:jc w:val="left"/>
              <w:rPr>
                <w:rFonts w:ascii="Times New Roman" w:hAnsi="Times New Roman" w:cs="Times New Roman" w:eastAsia="Times New Roman" w:hint="default"/>
                <w:sz w:val="18"/>
                <w:szCs w:val="18"/>
              </w:rPr>
            </w:pPr>
            <w:r>
              <w:rPr>
                <w:rFonts w:ascii="Times New Roman"/>
                <w:sz w:val="18"/>
              </w:rPr>
              <w:t>8,253,681.30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50" w:right="0"/>
              <w:jc w:val="left"/>
              <w:rPr>
                <w:rFonts w:ascii="Times New Roman" w:hAnsi="Times New Roman" w:cs="Times New Roman" w:eastAsia="Times New Roman" w:hint="default"/>
                <w:sz w:val="18"/>
                <w:szCs w:val="18"/>
              </w:rPr>
            </w:pPr>
            <w:r>
              <w:rPr>
                <w:rFonts w:ascii="Times New Roman"/>
                <w:sz w:val="18"/>
              </w:rPr>
              <w:t>18,654,202.03</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年初余额在本期</w:t>
            </w:r>
          </w:p>
        </w:tc>
        <w:tc>
          <w:tcPr>
            <w:tcW w:w="178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8" w:footer="974" w:top="1060" w:bottom="1160" w:left="920" w:right="0"/>
        </w:sectPr>
      </w:pPr>
    </w:p>
    <w:p>
      <w:pPr>
        <w:spacing w:line="240" w:lineRule="auto" w:before="4"/>
        <w:rPr>
          <w:rFonts w:ascii="宋体" w:hAnsi="宋体" w:cs="宋体" w:eastAsia="宋体" w:hint="default"/>
          <w:sz w:val="28"/>
          <w:szCs w:val="28"/>
        </w:rPr>
      </w:pPr>
    </w:p>
    <w:tbl>
      <w:tblPr>
        <w:tblW w:w="0" w:type="auto"/>
        <w:jc w:val="left"/>
        <w:tblInd w:w="246" w:type="dxa"/>
        <w:tblLayout w:type="fixed"/>
        <w:tblCellMar>
          <w:top w:w="0" w:type="dxa"/>
          <w:left w:w="0" w:type="dxa"/>
          <w:bottom w:w="0" w:type="dxa"/>
          <w:right w:w="0" w:type="dxa"/>
        </w:tblCellMar>
        <w:tblLook w:val="01E0"/>
      </w:tblPr>
      <w:tblGrid>
        <w:gridCol w:w="1843"/>
        <w:gridCol w:w="1784"/>
        <w:gridCol w:w="1983"/>
        <w:gridCol w:w="2127"/>
        <w:gridCol w:w="1702"/>
      </w:tblGrid>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78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78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78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78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2,062,734.66</w:t>
            </w:r>
          </w:p>
        </w:tc>
        <w:tc>
          <w:tcPr>
            <w:tcW w:w="1983"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2,062,734.66</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本期直接减记</w:t>
            </w:r>
          </w:p>
        </w:tc>
        <w:tc>
          <w:tcPr>
            <w:tcW w:w="178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本期终止确认</w:t>
            </w:r>
          </w:p>
        </w:tc>
        <w:tc>
          <w:tcPr>
            <w:tcW w:w="178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7,746,642.37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7,746,642.37</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78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12,463,255.39</w:t>
            </w:r>
          </w:p>
        </w:tc>
        <w:tc>
          <w:tcPr>
            <w:tcW w:w="1983"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507,038.93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12,970,294.32</w:t>
            </w:r>
          </w:p>
        </w:tc>
      </w:tr>
    </w:tbl>
    <w:p>
      <w:pPr>
        <w:pStyle w:val="BodyText"/>
        <w:spacing w:line="240" w:lineRule="auto" w:before="51"/>
        <w:ind w:right="982"/>
        <w:jc w:val="left"/>
      </w:pPr>
      <w:r>
        <w:rPr/>
        <w:t>按账龄披露</w:t>
      </w:r>
    </w:p>
    <w:p>
      <w:pPr>
        <w:pStyle w:val="BodyText"/>
        <w:spacing w:line="240" w:lineRule="auto" w:before="115"/>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6,978,710.43</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6,978,710.43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3,080,058.16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525,065.18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2,386,460.55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281,763.52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595,480.50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18"/>
                <w:szCs w:val="18"/>
              </w:rPr>
            </w:pPr>
            <w:r>
              <w:rPr>
                <w:rFonts w:ascii="Times New Roman"/>
                <w:spacing w:val="-1"/>
                <w:sz w:val="18"/>
              </w:rPr>
              <w:t>1,509,216.53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12,970,294.32</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本期计提坏账准备情况：</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39"/>
        <w:gridCol w:w="1332"/>
        <w:gridCol w:w="1332"/>
        <w:gridCol w:w="1325"/>
        <w:gridCol w:w="1726"/>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7" w:right="0"/>
              <w:jc w:val="center"/>
              <w:rPr>
                <w:rFonts w:ascii="Times New Roman" w:hAnsi="Times New Roman" w:cs="Times New Roman" w:eastAsia="Times New Roman" w:hint="default"/>
                <w:sz w:val="18"/>
                <w:szCs w:val="18"/>
              </w:rPr>
            </w:pPr>
            <w:r>
              <w:rPr>
                <w:rFonts w:ascii="Times New Roman"/>
                <w:sz w:val="18"/>
              </w:rPr>
              <w:t>8,253,681.30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7,746,642.37</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507,038.93</w:t>
            </w:r>
          </w:p>
        </w:tc>
      </w:tr>
      <w:tr>
        <w:trPr>
          <w:trHeight w:val="404"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7" w:right="0"/>
              <w:jc w:val="center"/>
              <w:rPr>
                <w:rFonts w:ascii="Times New Roman" w:hAnsi="Times New Roman" w:cs="Times New Roman" w:eastAsia="Times New Roman" w:hint="default"/>
                <w:sz w:val="18"/>
                <w:szCs w:val="18"/>
              </w:rPr>
            </w:pPr>
            <w:r>
              <w:rPr>
                <w:rFonts w:ascii="Times New Roman"/>
                <w:sz w:val="18"/>
              </w:rPr>
              <w:t>8,253,681.30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7,746,642.37</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507,038.93</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实际核销的往来款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7,746,642.37</w:t>
            </w:r>
          </w:p>
        </w:tc>
      </w:tr>
    </w:tbl>
    <w:p>
      <w:pPr>
        <w:pStyle w:val="BodyText"/>
        <w:spacing w:line="240" w:lineRule="auto" w:before="51"/>
        <w:ind w:right="982"/>
        <w:jc w:val="left"/>
      </w:pPr>
      <w:r>
        <w:rPr/>
        <w:t>其中重要的其他应收款核销情况：</w:t>
      </w:r>
    </w:p>
    <w:p>
      <w:pPr>
        <w:pStyle w:val="BodyText"/>
        <w:spacing w:line="240" w:lineRule="auto" w:before="115"/>
        <w:ind w:left="0" w:right="1130"/>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359" w:hRule="exact"/>
        </w:trPr>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w:t>
            </w:r>
          </w:p>
        </w:tc>
        <w:tc>
          <w:tcPr>
            <w:tcW w:w="159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赵小华</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5,458,773.90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十八次会议审议通</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过</w:t>
            </w:r>
          </w:p>
        </w:tc>
        <w:tc>
          <w:tcPr>
            <w:tcW w:w="159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w:t>
            </w:r>
          </w:p>
        </w:tc>
        <w:tc>
          <w:tcPr>
            <w:tcW w:w="159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邓页莲</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2,287,868.47</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十八次会议审议通</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过</w:t>
            </w:r>
          </w:p>
        </w:tc>
        <w:tc>
          <w:tcPr>
            <w:tcW w:w="159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7,746,642.37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安徽合肥公共资源 交易中心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1,439,500.00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7"/>
              <w:jc w:val="left"/>
              <w:rPr>
                <w:rFonts w:ascii="宋体" w:hAnsi="宋体" w:cs="宋体" w:eastAsia="宋体" w:hint="default"/>
                <w:sz w:val="18"/>
                <w:szCs w:val="18"/>
              </w:rPr>
            </w:pPr>
            <w:r>
              <w:rPr>
                <w:rFonts w:ascii="宋体" w:hAnsi="宋体" w:cs="宋体" w:eastAsia="宋体" w:hint="default"/>
                <w:sz w:val="18"/>
                <w:szCs w:val="18"/>
              </w:rPr>
              <w:t>北京牡丹电子集团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1,601,430.00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pacing w:val="-5"/>
                <w:sz w:val="18"/>
                <w:szCs w:val="18"/>
              </w:rPr>
              <w:t>年以内、</w:t>
            </w:r>
            <w:r>
              <w:rPr>
                <w:rFonts w:ascii="Times New Roman" w:hAnsi="Times New Roman" w:cs="Times New Roman" w:eastAsia="Times New Roman" w:hint="default"/>
                <w:spacing w:val="-5"/>
                <w:sz w:val="18"/>
                <w:szCs w:val="18"/>
              </w:rPr>
              <w:t>4-5</w:t>
            </w:r>
            <w:r>
              <w:rPr>
                <w:rFonts w:ascii="Times New Roman" w:hAnsi="Times New Roman" w:cs="Times New Roman" w:eastAsia="Times New Roman" w:hint="default"/>
                <w:spacing w:val="7"/>
                <w:sz w:val="18"/>
                <w:szCs w:val="18"/>
              </w:rPr>
              <w:t> </w:t>
            </w:r>
            <w:r>
              <w:rPr>
                <w:rFonts w:ascii="宋体" w:hAnsi="宋体" w:cs="宋体" w:eastAsia="宋体" w:hint="default"/>
                <w:spacing w:val="-9"/>
                <w:sz w:val="18"/>
                <w:szCs w:val="18"/>
              </w:rPr>
              <w:t>年、</w:t>
            </w:r>
            <w:r>
              <w:rPr>
                <w:rFonts w:ascii="Times New Roman" w:hAnsi="Times New Roman" w:cs="Times New Roman" w:eastAsia="Times New Roman" w:hint="default"/>
                <w:spacing w:val="-9"/>
                <w:sz w:val="18"/>
                <w:szCs w:val="18"/>
              </w:rPr>
              <w:t>5</w:t>
            </w:r>
            <w:r>
              <w:rPr>
                <w:rFonts w:ascii="Times New Roman" w:hAnsi="Times New Roman" w:cs="Times New Roman" w:eastAsia="Times New Roman" w:hint="default"/>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12.35%</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国家广播电视总局</w:t>
            </w: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vMerge w:val="restart"/>
            <w:tcBorders>
              <w:top w:val="single" w:sz="4" w:space="0" w:color="000000"/>
              <w:left w:val="single" w:sz="4" w:space="0" w:color="000000"/>
              <w:right w:val="single" w:sz="4" w:space="0" w:color="000000"/>
            </w:tcBorders>
          </w:tcPr>
          <w:p>
            <w:pPr/>
          </w:p>
        </w:tc>
      </w:tr>
      <w:tr>
        <w:trPr>
          <w:trHeight w:val="317"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广播电视卫星直播</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1,000,368.00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7.71%</w:t>
            </w:r>
          </w:p>
        </w:tc>
        <w:tc>
          <w:tcPr>
            <w:tcW w:w="1596" w:type="dxa"/>
            <w:vMerge/>
            <w:tcBorders>
              <w:left w:val="single" w:sz="4" w:space="0" w:color="000000"/>
              <w:right w:val="single" w:sz="4" w:space="0" w:color="000000"/>
            </w:tcBorders>
          </w:tcPr>
          <w:p>
            <w:pPr/>
          </w:p>
        </w:tc>
      </w:tr>
      <w:tr>
        <w:trPr>
          <w:trHeight w:val="350" w:hRule="exact"/>
        </w:trPr>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管理中心</w:t>
            </w: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r>
      <w:tr>
        <w:trPr>
          <w:trHeight w:val="359" w:hRule="exact"/>
        </w:trPr>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北京中电物业管理</w:t>
            </w: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有限公司中电信息</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255,547.20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1.97%</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255,547.20</w:t>
            </w:r>
          </w:p>
        </w:tc>
      </w:tr>
      <w:tr>
        <w:trPr>
          <w:trHeight w:val="351" w:hRule="exact"/>
        </w:trPr>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大厦分公司</w:t>
            </w: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上海信产管理咨询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4,514,245.20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255,547.20</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是否已执行新收入准则</w:t>
      </w:r>
    </w:p>
    <w:p>
      <w:pPr>
        <w:pStyle w:val="BodyText"/>
        <w:spacing w:line="240" w:lineRule="auto" w:before="115"/>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5" w:right="0"/>
              <w:jc w:val="left"/>
              <w:rPr>
                <w:rFonts w:ascii="Times New Roman" w:hAnsi="Times New Roman" w:cs="Times New Roman" w:eastAsia="Times New Roman" w:hint="default"/>
                <w:sz w:val="18"/>
                <w:szCs w:val="18"/>
              </w:rPr>
            </w:pPr>
            <w:r>
              <w:rPr>
                <w:rFonts w:ascii="Times New Roman"/>
                <w:sz w:val="18"/>
              </w:rPr>
              <w:t>498,772.49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498,772.49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498,772.49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498,772.49</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在施项目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208,073,427.52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7,618,143.26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200,455,284.26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201,091,776.44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9,855,325.99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191,236,450.45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208,572,200.01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7,618,143.26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200,954,056.75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201,590,548.93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9,855,325.99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191,735,222.94</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在施项目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9,855,325.99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4,245,899.28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6,483,082.01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7,618,143.26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9,855,325.99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4,245,899.28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6,483,082.01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7,618,143.26</w:t>
            </w:r>
          </w:p>
        </w:tc>
      </w:tr>
    </w:tbl>
    <w:p>
      <w:pPr>
        <w:pStyle w:val="BodyText"/>
        <w:spacing w:line="240" w:lineRule="auto" w:before="11"/>
        <w:ind w:left="513" w:right="982"/>
        <w:jc w:val="left"/>
      </w:pPr>
      <w:r>
        <w:rPr/>
        <w:t>存货跌价准备计提依据及本年转回或转销原因</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433"/>
        <w:gridCol w:w="5373"/>
        <w:gridCol w:w="2696"/>
      </w:tblGrid>
      <w:tr>
        <w:trPr>
          <w:trHeight w:val="346"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r>
              <w:rPr>
                <w:rFonts w:ascii="宋体" w:hAnsi="宋体" w:cs="宋体" w:eastAsia="宋体" w:hint="default"/>
                <w:sz w:val="18"/>
                <w:szCs w:val="18"/>
              </w:rPr>
              <w:t> </w:t>
            </w:r>
          </w:p>
        </w:tc>
        <w:tc>
          <w:tcPr>
            <w:tcW w:w="5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510"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0" w:right="0"/>
              <w:jc w:val="left"/>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660"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在施项目</w:t>
            </w:r>
          </w:p>
        </w:tc>
        <w:tc>
          <w:tcPr>
            <w:tcW w:w="537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4" w:right="1"/>
              <w:jc w:val="left"/>
              <w:rPr>
                <w:rFonts w:ascii="宋体" w:hAnsi="宋体" w:cs="宋体" w:eastAsia="宋体" w:hint="default"/>
                <w:sz w:val="18"/>
                <w:szCs w:val="18"/>
              </w:rPr>
            </w:pPr>
            <w:r>
              <w:rPr>
                <w:rFonts w:ascii="宋体" w:hAnsi="宋体" w:cs="宋体" w:eastAsia="宋体" w:hint="default"/>
                <w:sz w:val="18"/>
                <w:szCs w:val="18"/>
              </w:rPr>
              <w:t>详见附注五、</w:t>
            </w:r>
            <w:r>
              <w:rPr>
                <w:rFonts w:ascii="Times New Roman" w:hAnsi="Times New Roman" w:cs="Times New Roman" w:eastAsia="Times New Roman" w:hint="default"/>
                <w:sz w:val="18"/>
                <w:szCs w:val="18"/>
              </w:rPr>
              <w:t>11</w:t>
            </w:r>
            <w:r>
              <w:rPr>
                <w:rFonts w:ascii="宋体" w:hAnsi="宋体" w:cs="宋体" w:eastAsia="宋体" w:hint="default"/>
                <w:sz w:val="18"/>
                <w:szCs w:val="18"/>
              </w:rPr>
              <w:t>、存货（</w:t>
            </w:r>
            <w:r>
              <w:rPr>
                <w:rFonts w:ascii="Times New Roman" w:hAnsi="Times New Roman" w:cs="Times New Roman" w:eastAsia="Times New Roman" w:hint="default"/>
                <w:sz w:val="18"/>
                <w:szCs w:val="18"/>
              </w:rPr>
              <w:t>3</w:t>
            </w:r>
            <w:r>
              <w:rPr>
                <w:rFonts w:ascii="宋体" w:hAnsi="宋体" w:cs="宋体" w:eastAsia="宋体" w:hint="default"/>
                <w:sz w:val="18"/>
                <w:szCs w:val="18"/>
              </w:rPr>
              <w:t>）存货可变现净值的确认和跌价准备的计</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提方法</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报告期内出售而转销</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4,060,973.33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4,008,232.14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待摊租金及物业费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2,062,455.13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1,808,725.39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178,000.85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715,033.98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6,301,429.31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6,531,991.51</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800"/>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1"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9"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北京丹枫</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信通信息</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861,387.4</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861,387.4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861,387.4</w:t>
            </w:r>
          </w:p>
        </w:tc>
      </w:tr>
      <w:tr>
        <w:trPr>
          <w:trHeight w:val="311"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技术有限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w:t>
            </w: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北京方信 求真投资 管理中心</w:t>
            </w:r>
          </w:p>
          <w:p>
            <w:pPr>
              <w:pStyle w:val="TableParagraph"/>
              <w:spacing w:line="316" w:lineRule="auto" w:before="17"/>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11,884,61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158,631.3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12,043,24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北京欧拉 认知智能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919,233.5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1,119,233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四川好爱 家电子商 务股份有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-637,338.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442,661.8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12,745,99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440,526.7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14,466,52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12,745,99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440,526.7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14,466,52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982"/>
        <w:jc w:val="left"/>
      </w:pPr>
      <w:r>
        <w:rPr/>
        <w:t>其他说明</w:t>
      </w:r>
    </w:p>
    <w:p>
      <w:pPr>
        <w:pStyle w:val="BodyText"/>
        <w:spacing w:line="300" w:lineRule="auto" w:before="115"/>
        <w:ind w:right="982"/>
        <w:jc w:val="left"/>
      </w:pPr>
      <w:r>
        <w:rPr>
          <w:spacing w:val="-3"/>
        </w:rPr>
        <w:t>（</w:t>
      </w:r>
      <w:r>
        <w:rPr>
          <w:rFonts w:ascii="Times New Roman" w:hAnsi="Times New Roman" w:cs="Times New Roman" w:eastAsia="Times New Roman" w:hint="default"/>
          <w:spacing w:val="-3"/>
        </w:rPr>
        <w:t>1</w:t>
      </w:r>
      <w:r>
        <w:rPr>
          <w:spacing w:val="-3"/>
        </w:rPr>
        <w:t>）北京方信求真投资管理中心（有限合伙）系</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22</w:t>
      </w:r>
      <w:r>
        <w:rPr>
          <w:spacing w:val="-3"/>
        </w:rPr>
        <w:t>日注册成立，注册资本</w:t>
      </w:r>
      <w:r>
        <w:rPr>
          <w:rFonts w:ascii="Times New Roman" w:hAnsi="Times New Roman" w:cs="Times New Roman" w:eastAsia="Times New Roman" w:hint="default"/>
          <w:spacing w:val="-3"/>
        </w:rPr>
        <w:t>15040</w:t>
      </w:r>
      <w:r>
        <w:rPr>
          <w:spacing w:val="-3"/>
        </w:rPr>
        <w:t>万元，本公司认缴出资</w:t>
      </w:r>
      <w:r>
        <w:rPr>
          <w:rFonts w:ascii="Times New Roman" w:hAnsi="Times New Roman" w:cs="Times New Roman" w:eastAsia="Times New Roman" w:hint="default"/>
          <w:spacing w:val="-3"/>
        </w:rPr>
        <w:t>3000</w:t>
      </w:r>
      <w:r>
        <w:rPr>
          <w:spacing w:val="-3"/>
        </w:rPr>
        <w:t>万元，</w:t>
      </w:r>
      <w:r>
        <w:rPr>
          <w:spacing w:val="-80"/>
        </w:rPr>
        <w:t> </w:t>
      </w:r>
      <w:r>
        <w:rPr/>
        <w:t>持股比例</w:t>
      </w:r>
      <w:r>
        <w:rPr>
          <w:rFonts w:ascii="Times New Roman" w:hAnsi="Times New Roman" w:cs="Times New Roman" w:eastAsia="Times New Roman" w:hint="default"/>
        </w:rPr>
        <w:t>19.95%</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日，本公司实际出资</w:t>
      </w:r>
      <w:r>
        <w:rPr>
          <w:rFonts w:ascii="Times New Roman" w:hAnsi="Times New Roman" w:cs="Times New Roman" w:eastAsia="Times New Roman" w:hint="default"/>
        </w:rPr>
        <w:t>1200</w:t>
      </w:r>
      <w:r>
        <w:rPr/>
        <w:t>万元。</w:t>
      </w:r>
    </w:p>
    <w:p>
      <w:pPr>
        <w:pStyle w:val="BodyText"/>
        <w:spacing w:line="300" w:lineRule="auto" w:before="13"/>
        <w:ind w:right="982"/>
        <w:jc w:val="left"/>
      </w:pPr>
      <w:r>
        <w:rPr>
          <w:spacing w:val="-3"/>
        </w:rPr>
        <w:t>（</w:t>
      </w:r>
      <w:r>
        <w:rPr>
          <w:rFonts w:ascii="Times New Roman" w:hAnsi="Times New Roman" w:cs="Times New Roman" w:eastAsia="Times New Roman" w:hint="default"/>
          <w:spacing w:val="-3"/>
        </w:rPr>
        <w:t>2</w:t>
      </w:r>
      <w:r>
        <w:rPr>
          <w:spacing w:val="-3"/>
        </w:rPr>
        <w:t>）北京欧拉认知智能科技有限公司系</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w:t>
      </w:r>
      <w:r>
        <w:rPr>
          <w:spacing w:val="-3"/>
        </w:rPr>
        <w:t>日注册成立，注册资本</w:t>
      </w:r>
      <w:r>
        <w:rPr>
          <w:rFonts w:ascii="Times New Roman" w:hAnsi="Times New Roman" w:cs="Times New Roman" w:eastAsia="Times New Roman" w:hint="default"/>
          <w:spacing w:val="-3"/>
        </w:rPr>
        <w:t>100</w:t>
      </w:r>
      <w:r>
        <w:rPr>
          <w:spacing w:val="-3"/>
        </w:rPr>
        <w:t>万元，本公司认缴出资</w:t>
      </w:r>
      <w:r>
        <w:rPr>
          <w:rFonts w:ascii="Times New Roman" w:hAnsi="Times New Roman" w:cs="Times New Roman" w:eastAsia="Times New Roman" w:hint="default"/>
          <w:spacing w:val="-3"/>
        </w:rPr>
        <w:t>20</w:t>
      </w:r>
      <w:r>
        <w:rPr>
          <w:spacing w:val="-3"/>
        </w:rPr>
        <w:t>万元，持股比例</w:t>
      </w:r>
      <w:r>
        <w:rPr>
          <w:rFonts w:ascii="Times New Roman" w:hAnsi="Times New Roman" w:cs="Times New Roman" w:eastAsia="Times New Roman" w:hint="default"/>
          <w:spacing w:val="-3"/>
        </w:rPr>
        <w:t>20%</w:t>
      </w:r>
      <w:r>
        <w:rPr>
          <w:spacing w:val="-3"/>
        </w:rPr>
        <w:t>，</w:t>
      </w:r>
      <w:r>
        <w:rPr>
          <w:spacing w:val="-50"/>
        </w:rPr>
        <w:t> </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日本公司实际出资</w:t>
      </w:r>
      <w:r>
        <w:rPr>
          <w:rFonts w:ascii="Times New Roman" w:hAnsi="Times New Roman" w:cs="Times New Roman" w:eastAsia="Times New Roman" w:hint="default"/>
        </w:rPr>
        <w:t>20</w:t>
      </w:r>
      <w:r>
        <w:rPr/>
        <w:t>万元。</w:t>
      </w:r>
    </w:p>
    <w:p>
      <w:pPr>
        <w:pStyle w:val="BodyText"/>
        <w:spacing w:line="300" w:lineRule="auto" w:before="13"/>
        <w:ind w:right="1123"/>
        <w:jc w:val="left"/>
      </w:pPr>
      <w:r>
        <w:rPr/>
        <w:t>（</w:t>
      </w:r>
      <w:r>
        <w:rPr>
          <w:rFonts w:ascii="Times New Roman" w:hAnsi="Times New Roman" w:cs="Times New Roman" w:eastAsia="Times New Roman" w:hint="default"/>
        </w:rPr>
        <w:t>3</w:t>
      </w:r>
      <w:r>
        <w:rPr/>
        <w:t>）四川好爱家电子商务股份有限公司系</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日注册成立，注册资本</w:t>
      </w:r>
      <w:r>
        <w:rPr>
          <w:rFonts w:ascii="Times New Roman" w:hAnsi="Times New Roman" w:cs="Times New Roman" w:eastAsia="Times New Roman" w:hint="default"/>
        </w:rPr>
        <w:t>1000</w:t>
      </w:r>
      <w:r>
        <w:rPr/>
        <w:t>万元，本公司认缴出资</w:t>
      </w:r>
      <w:r>
        <w:rPr>
          <w:rFonts w:ascii="Times New Roman" w:hAnsi="Times New Roman" w:cs="Times New Roman" w:eastAsia="Times New Roman" w:hint="default"/>
        </w:rPr>
        <w:t>300</w:t>
      </w:r>
      <w:r>
        <w:rPr/>
        <w:t>万元，持股比</w:t>
      </w:r>
      <w:r>
        <w:rPr>
          <w:spacing w:val="-85"/>
        </w:rPr>
        <w:t> </w:t>
      </w:r>
      <w:r>
        <w:rPr/>
        <w:t>例</w:t>
      </w:r>
      <w:r>
        <w:rPr>
          <w:rFonts w:ascii="Times New Roman" w:hAnsi="Times New Roman" w:cs="Times New Roman" w:eastAsia="Times New Roman" w:hint="default"/>
        </w:rPr>
        <w:t>30%</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日，本公司实际出资</w:t>
      </w:r>
      <w:r>
        <w:rPr>
          <w:rFonts w:ascii="Times New Roman" w:hAnsi="Times New Roman" w:cs="Times New Roman" w:eastAsia="Times New Roman" w:hint="default"/>
        </w:rPr>
        <w:t>108</w:t>
      </w:r>
      <w:r>
        <w:rPr/>
        <w:t>万元。</w:t>
      </w:r>
    </w:p>
    <w:p>
      <w:pPr>
        <w:spacing w:line="240" w:lineRule="auto" w:before="2"/>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10</w:t>
      </w:r>
      <w:r>
        <w:rPr/>
        <w:t>、其他非流动金融资产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r>
    </w:tbl>
    <w:p>
      <w:pPr>
        <w:pStyle w:val="BodyText"/>
        <w:spacing w:line="240" w:lineRule="auto" w:before="51"/>
        <w:ind w:right="982"/>
        <w:jc w:val="left"/>
      </w:pPr>
      <w:r>
        <w:rPr/>
        <w:t>其他说明：</w:t>
      </w:r>
    </w:p>
    <w:p>
      <w:pPr>
        <w:pStyle w:val="BodyText"/>
        <w:spacing w:line="240" w:lineRule="auto" w:before="115"/>
        <w:ind w:right="982"/>
        <w:jc w:val="left"/>
      </w:pPr>
      <w:r>
        <w:rPr/>
        <w:t>（</w:t>
      </w:r>
      <w:r>
        <w:rPr>
          <w:rFonts w:ascii="Times New Roman" w:hAnsi="Times New Roman" w:cs="Times New Roman" w:eastAsia="Times New Roman" w:hint="default"/>
        </w:rPr>
        <w:t>1</w:t>
      </w:r>
      <w:r>
        <w:rPr/>
        <w:t>）重庆博端科技有限公司系</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日注册成立，注册资本</w:t>
      </w:r>
      <w:r>
        <w:rPr>
          <w:rFonts w:ascii="Times New Roman" w:hAnsi="Times New Roman" w:cs="Times New Roman" w:eastAsia="Times New Roman" w:hint="default"/>
        </w:rPr>
        <w:t>5000</w:t>
      </w:r>
      <w:r>
        <w:rPr/>
        <w:t>万元，本公司以现金认缴出资</w:t>
      </w:r>
      <w:r>
        <w:rPr>
          <w:rFonts w:ascii="Times New Roman" w:hAnsi="Times New Roman" w:cs="Times New Roman" w:eastAsia="Times New Roman" w:hint="default"/>
        </w:rPr>
        <w:t>750</w:t>
      </w:r>
      <w:r>
        <w:rPr/>
        <w:t>万元，持股比例为</w:t>
      </w:r>
    </w:p>
    <w:p>
      <w:pPr>
        <w:pStyle w:val="BodyText"/>
        <w:spacing w:line="240" w:lineRule="auto" w:before="63"/>
        <w:ind w:right="982"/>
        <w:jc w:val="left"/>
      </w:pPr>
      <w:r>
        <w:rPr>
          <w:rFonts w:ascii="Times New Roman" w:hAnsi="Times New Roman" w:cs="Times New Roman" w:eastAsia="Times New Roman" w:hint="default"/>
        </w:rPr>
        <w:t>15%</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日，本公司实缴出资</w:t>
      </w:r>
      <w:r>
        <w:rPr>
          <w:rFonts w:ascii="Times New Roman" w:hAnsi="Times New Roman" w:cs="Times New Roman" w:eastAsia="Times New Roman" w:hint="default"/>
        </w:rPr>
        <w:t>300</w:t>
      </w:r>
      <w:r>
        <w:rPr/>
        <w:t>万元。</w:t>
      </w:r>
    </w:p>
    <w:p>
      <w:pPr>
        <w:pStyle w:val="BodyText"/>
        <w:spacing w:line="300" w:lineRule="auto" w:before="63"/>
        <w:ind w:right="982"/>
        <w:jc w:val="left"/>
      </w:pPr>
      <w:r>
        <w:rPr>
          <w:spacing w:val="-3"/>
        </w:rPr>
        <w:t>（</w:t>
      </w:r>
      <w:r>
        <w:rPr>
          <w:rFonts w:ascii="Times New Roman" w:hAnsi="Times New Roman" w:cs="Times New Roman" w:eastAsia="Times New Roman" w:hint="default"/>
          <w:spacing w:val="-3"/>
        </w:rPr>
        <w:t>2</w:t>
      </w:r>
      <w:r>
        <w:rPr>
          <w:spacing w:val="-3"/>
        </w:rPr>
        <w:t>）中诚科创科技有限公司系</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30</w:t>
      </w:r>
      <w:r>
        <w:rPr>
          <w:spacing w:val="-3"/>
        </w:rPr>
        <w:t>日注册成立，注册资本</w:t>
      </w:r>
      <w:r>
        <w:rPr>
          <w:rFonts w:ascii="Times New Roman" w:hAnsi="Times New Roman" w:cs="Times New Roman" w:eastAsia="Times New Roman" w:hint="default"/>
          <w:spacing w:val="-3"/>
        </w:rPr>
        <w:t>5000</w:t>
      </w:r>
      <w:r>
        <w:rPr>
          <w:spacing w:val="-3"/>
        </w:rPr>
        <w:t>万元，本公司认缴</w:t>
      </w:r>
      <w:r>
        <w:rPr>
          <w:rFonts w:ascii="Times New Roman" w:hAnsi="Times New Roman" w:cs="Times New Roman" w:eastAsia="Times New Roman" w:hint="default"/>
          <w:spacing w:val="-3"/>
        </w:rPr>
        <w:t>500</w:t>
      </w:r>
      <w:r>
        <w:rPr>
          <w:spacing w:val="-3"/>
        </w:rPr>
        <w:t>万元，持股比例</w:t>
      </w:r>
      <w:r>
        <w:rPr>
          <w:rFonts w:ascii="Times New Roman" w:hAnsi="Times New Roman" w:cs="Times New Roman" w:eastAsia="Times New Roman" w:hint="default"/>
          <w:spacing w:val="-3"/>
        </w:rPr>
        <w:t>10%</w:t>
      </w:r>
      <w:r>
        <w:rPr>
          <w:spacing w:val="-3"/>
        </w:rPr>
        <w:t>，截止</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日，本公司实缴出资</w:t>
      </w:r>
      <w:r>
        <w:rPr>
          <w:rFonts w:ascii="Times New Roman" w:hAnsi="Times New Roman" w:cs="Times New Roman" w:eastAsia="Times New Roman" w:hint="default"/>
        </w:rPr>
        <w:t>200</w:t>
      </w:r>
      <w:r>
        <w:rPr/>
        <w:t>万元。</w:t>
      </w:r>
    </w:p>
    <w:p>
      <w:pPr>
        <w:pStyle w:val="BodyText"/>
        <w:spacing w:line="300" w:lineRule="auto" w:before="13"/>
        <w:ind w:right="982"/>
        <w:jc w:val="left"/>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月，本公司向考拉悠然投资人民币</w:t>
      </w:r>
      <w:r>
        <w:rPr>
          <w:rFonts w:ascii="Times New Roman" w:hAnsi="Times New Roman" w:cs="Times New Roman" w:eastAsia="Times New Roman" w:hint="default"/>
          <w:spacing w:val="-3"/>
        </w:rPr>
        <w:t>3000</w:t>
      </w:r>
      <w:r>
        <w:rPr>
          <w:spacing w:val="-3"/>
        </w:rPr>
        <w:t>万元，其中增加注册资本</w:t>
      </w:r>
      <w:r>
        <w:rPr>
          <w:rFonts w:ascii="Times New Roman" w:hAnsi="Times New Roman" w:cs="Times New Roman" w:eastAsia="Times New Roman" w:hint="default"/>
          <w:spacing w:val="-3"/>
        </w:rPr>
        <w:t>340.28</w:t>
      </w:r>
      <w:r>
        <w:rPr>
          <w:spacing w:val="-3"/>
        </w:rPr>
        <w:t>万元，增资后本公司持有考拉悠然</w:t>
      </w:r>
      <w:r>
        <w:rPr>
          <w:rFonts w:ascii="Times New Roman" w:hAnsi="Times New Roman" w:cs="Times New Roman" w:eastAsia="Times New Roman" w:hint="default"/>
          <w:spacing w:val="-3"/>
        </w:rPr>
        <w:t>9.84%</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的股权。截止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日本公司已实缴投资款</w:t>
      </w:r>
      <w:r>
        <w:rPr>
          <w:rFonts w:ascii="Times New Roman" w:hAnsi="Times New Roman" w:cs="Times New Roman" w:eastAsia="Times New Roman" w:hint="default"/>
        </w:rPr>
        <w:t>1500</w:t>
      </w:r>
      <w:r>
        <w:rPr/>
        <w:t>万元。</w:t>
      </w:r>
    </w:p>
    <w:p>
      <w:pPr>
        <w:spacing w:after="0" w:line="30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left="373" w:right="107"/>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373" w:right="107"/>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73" w:right="1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left="373" w:right="107"/>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73" w:right="1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left="373" w:right="107"/>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36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158,061,924.05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66,960,502.19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158,061,924.05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66,960,502.19</w:t>
            </w:r>
          </w:p>
        </w:tc>
      </w:tr>
    </w:tbl>
    <w:p>
      <w:pPr>
        <w:spacing w:line="240" w:lineRule="auto" w:before="3"/>
        <w:rPr>
          <w:rFonts w:ascii="宋体" w:hAnsi="宋体" w:cs="宋体" w:eastAsia="宋体" w:hint="default"/>
          <w:sz w:val="19"/>
          <w:szCs w:val="19"/>
        </w:rPr>
      </w:pPr>
    </w:p>
    <w:p>
      <w:pPr>
        <w:pStyle w:val="Heading4"/>
        <w:spacing w:line="240" w:lineRule="auto" w:before="36"/>
        <w:ind w:left="373" w:right="107"/>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35"/>
        <w:gridCol w:w="1369"/>
        <w:gridCol w:w="1366"/>
        <w:gridCol w:w="1368"/>
        <w:gridCol w:w="1366"/>
        <w:gridCol w:w="1368"/>
        <w:gridCol w:w="1368"/>
      </w:tblGrid>
      <w:tr>
        <w:trPr>
          <w:trHeight w:val="401"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自有资产装修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55,401,865.17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8,921,356.98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19,438,866.12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5,320,133.12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8,347,379.54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97,429,600.93</w:t>
            </w:r>
          </w:p>
        </w:tc>
      </w:tr>
      <w:tr>
        <w:trPr>
          <w:trHeight w:val="403"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58,255,002.43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2,802,923.46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6,627,853.56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408,268.34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29,588,690.82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97,682,738.61</w:t>
            </w:r>
          </w:p>
        </w:tc>
      </w:tr>
      <w:tr>
        <w:trPr>
          <w:trHeight w:val="401"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22,789,292.89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1,739,750.82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6,627,853.56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408,268.34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1,972.83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31,567,138.44</w:t>
            </w:r>
          </w:p>
        </w:tc>
      </w:tr>
      <w:tr>
        <w:trPr>
          <w:trHeight w:val="403"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35,465,709.54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1,063,172.64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29,586,717.99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66,115,600.17</w:t>
            </w:r>
          </w:p>
        </w:tc>
      </w:tr>
      <w:tr>
        <w:trPr>
          <w:trHeight w:val="401"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303,958.34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309,825.01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613,783.35</w:t>
            </w:r>
          </w:p>
        </w:tc>
      </w:tr>
      <w:tr>
        <w:trPr>
          <w:trHeight w:val="403"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303,958.34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309,825.01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613,783.35</w:t>
            </w:r>
          </w:p>
        </w:tc>
      </w:tr>
      <w:tr>
        <w:trPr>
          <w:trHeight w:val="401"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113,656,867.60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11,420,322.10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25,756,894.67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5,728,401.46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37,936,070.36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194,498,556.19</w:t>
            </w:r>
          </w:p>
        </w:tc>
      </w:tr>
      <w:tr>
        <w:trPr>
          <w:trHeight w:val="401"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10,254,961.69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5,818,985.81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12,237,360.81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1,601,298.48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556,491.95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30,469,098.74</w:t>
            </w:r>
          </w:p>
        </w:tc>
      </w:tr>
      <w:tr>
        <w:trPr>
          <w:trHeight w:val="401"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1,365,410.31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932,286.82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2,536,015.62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814,378.02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893,209.37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6,541,300.14</w:t>
            </w:r>
          </w:p>
        </w:tc>
      </w:tr>
      <w:tr>
        <w:trPr>
          <w:trHeight w:val="403"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1,365,410.31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932,286.82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2,536,015.62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814,378.02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893,209.37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6,541,300.14</w:t>
            </w:r>
          </w:p>
        </w:tc>
      </w:tr>
      <w:tr>
        <w:trPr>
          <w:trHeight w:val="401"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292,698.25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281,068.49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573,766.74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760" w:right="0"/>
        </w:sectPr>
      </w:pPr>
    </w:p>
    <w:p>
      <w:pPr>
        <w:spacing w:line="240" w:lineRule="auto" w:before="4"/>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934"/>
        <w:gridCol w:w="1369"/>
        <w:gridCol w:w="1366"/>
        <w:gridCol w:w="1368"/>
        <w:gridCol w:w="1366"/>
        <w:gridCol w:w="1368"/>
        <w:gridCol w:w="1368"/>
      </w:tblGrid>
      <w:tr>
        <w:trPr>
          <w:trHeight w:val="401"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292,698.25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281,068.49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573,766.74</w:t>
            </w:r>
          </w:p>
        </w:tc>
      </w:tr>
      <w:tr>
        <w:trPr>
          <w:trHeight w:val="403"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11,620,372.00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6,458,574.38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14,492,307.94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2,415,676.50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1,449,701.32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36,436,632.14</w:t>
            </w:r>
          </w:p>
        </w:tc>
      </w:tr>
      <w:tr>
        <w:trPr>
          <w:trHeight w:val="403"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102,036,495.60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4,961,747.72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11,264,586.73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3,312,724.96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36,486,369.04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158,061,924.05</w:t>
            </w:r>
          </w:p>
        </w:tc>
      </w:tr>
      <w:tr>
        <w:trPr>
          <w:trHeight w:val="403" w:hRule="exact"/>
        </w:trPr>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45,146,903.48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3,102,371.17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7,201,505.31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3,718,834.64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7,790,887.59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66,960,502.19</w:t>
            </w:r>
          </w:p>
        </w:tc>
      </w:tr>
    </w:tbl>
    <w:p>
      <w:pPr>
        <w:spacing w:line="240" w:lineRule="auto" w:before="3"/>
        <w:rPr>
          <w:rFonts w:ascii="宋体" w:hAnsi="宋体" w:cs="宋体" w:eastAsia="宋体" w:hint="default"/>
          <w:sz w:val="19"/>
          <w:szCs w:val="19"/>
        </w:rPr>
      </w:pPr>
    </w:p>
    <w:p>
      <w:pPr>
        <w:pStyle w:val="Heading4"/>
        <w:spacing w:line="240" w:lineRule="auto" w:before="36"/>
        <w:ind w:left="373" w:right="107"/>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36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上海实均的办公楼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35,561,013.15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成都易信科技园办公楼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35,465,709.54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公司暂未办理权证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71,026,722.69</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373" w:right="107"/>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36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35,465,709.54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35,465,709.54</w:t>
            </w:r>
          </w:p>
        </w:tc>
      </w:tr>
    </w:tbl>
    <w:p>
      <w:pPr>
        <w:spacing w:line="240" w:lineRule="auto" w:before="3"/>
        <w:rPr>
          <w:rFonts w:ascii="宋体" w:hAnsi="宋体" w:cs="宋体" w:eastAsia="宋体" w:hint="default"/>
          <w:sz w:val="19"/>
          <w:szCs w:val="19"/>
        </w:rPr>
      </w:pPr>
    </w:p>
    <w:p>
      <w:pPr>
        <w:pStyle w:val="Heading4"/>
        <w:spacing w:line="240" w:lineRule="auto" w:before="36"/>
        <w:ind w:left="373" w:right="107"/>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36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成都易信科技园</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35,465,709.54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35,465,709.54</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760" w:right="0"/>
        </w:sectPr>
      </w:pPr>
    </w:p>
    <w:p>
      <w:pPr>
        <w:spacing w:line="240" w:lineRule="auto" w:before="4"/>
        <w:rPr>
          <w:rFonts w:ascii="宋体" w:hAnsi="宋体" w:cs="宋体" w:eastAsia="宋体" w:hint="default"/>
          <w:sz w:val="28"/>
          <w:szCs w:val="28"/>
        </w:rPr>
      </w:pPr>
    </w:p>
    <w:tbl>
      <w:tblPr>
        <w:tblW w:w="0" w:type="auto"/>
        <w:jc w:val="left"/>
        <w:tblInd w:w="3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35,465,709.54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35,465,709.54</w:t>
            </w:r>
          </w:p>
        </w:tc>
      </w:tr>
    </w:tbl>
    <w:p>
      <w:pPr>
        <w:spacing w:line="240" w:lineRule="auto" w:before="3"/>
        <w:rPr>
          <w:rFonts w:ascii="宋体" w:hAnsi="宋体" w:cs="宋体" w:eastAsia="宋体" w:hint="default"/>
          <w:sz w:val="19"/>
          <w:szCs w:val="19"/>
        </w:rPr>
      </w:pPr>
    </w:p>
    <w:p>
      <w:pPr>
        <w:pStyle w:val="Heading4"/>
        <w:spacing w:line="240" w:lineRule="auto" w:before="36"/>
        <w:ind w:left="353"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1016"/>
        <w:gridCol w:w="737"/>
        <w:gridCol w:w="735"/>
        <w:gridCol w:w="737"/>
        <w:gridCol w:w="737"/>
        <w:gridCol w:w="735"/>
        <w:gridCol w:w="737"/>
        <w:gridCol w:w="737"/>
        <w:gridCol w:w="735"/>
        <w:gridCol w:w="737"/>
        <w:gridCol w:w="737"/>
        <w:gridCol w:w="735"/>
        <w:gridCol w:w="917"/>
      </w:tblGrid>
      <w:tr>
        <w:trPr>
          <w:trHeight w:val="1337" w:hRule="exact"/>
        </w:trPr>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5" w:right="89"/>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6" w:right="89"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89"/>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6"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0"/>
              <w:jc w:val="left"/>
              <w:rPr>
                <w:rFonts w:ascii="宋体" w:hAnsi="宋体" w:cs="宋体" w:eastAsia="宋体" w:hint="default"/>
                <w:sz w:val="18"/>
                <w:szCs w:val="18"/>
              </w:rPr>
            </w:pPr>
            <w:r>
              <w:rPr>
                <w:rFonts w:ascii="宋体" w:hAnsi="宋体" w:cs="宋体" w:eastAsia="宋体" w:hint="default"/>
                <w:sz w:val="18"/>
                <w:szCs w:val="18"/>
              </w:rPr>
              <w:t>成都易信科 技园办公楼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85,131,4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35,465,7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29,824,2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02.55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65,289,9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12.09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5"/>
              <w:jc w:val="center"/>
              <w:rPr>
                <w:rFonts w:ascii="宋体" w:hAnsi="宋体" w:cs="宋体" w:eastAsia="宋体" w:hint="default"/>
                <w:sz w:val="18"/>
                <w:szCs w:val="18"/>
              </w:rPr>
            </w:pPr>
            <w:r>
              <w:rPr>
                <w:rFonts w:ascii="宋体" w:hAnsi="宋体" w:cs="宋体" w:eastAsia="宋体" w:hint="default"/>
                <w:sz w:val="18"/>
                <w:szCs w:val="18"/>
              </w:rPr>
              <w:t>已完工</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募股资金</w:t>
            </w:r>
          </w:p>
        </w:tc>
      </w:tr>
      <w:tr>
        <w:trPr>
          <w:trHeight w:val="102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0"/>
              <w:jc w:val="both"/>
              <w:rPr>
                <w:rFonts w:ascii="宋体" w:hAnsi="宋体" w:cs="宋体" w:eastAsia="宋体" w:hint="default"/>
                <w:sz w:val="18"/>
                <w:szCs w:val="18"/>
              </w:rPr>
            </w:pPr>
            <w:r>
              <w:rPr>
                <w:rFonts w:ascii="宋体" w:hAnsi="宋体" w:cs="宋体" w:eastAsia="宋体" w:hint="default"/>
                <w:sz w:val="18"/>
                <w:szCs w:val="18"/>
              </w:rPr>
              <w:t>成都易信喜 年广场办公 楼装修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2,650,00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825,688.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825,688.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5"/>
              <w:jc w:val="center"/>
              <w:rPr>
                <w:rFonts w:ascii="宋体" w:hAnsi="宋体" w:cs="宋体" w:eastAsia="宋体" w:hint="default"/>
                <w:sz w:val="18"/>
                <w:szCs w:val="18"/>
              </w:rPr>
            </w:pPr>
            <w:r>
              <w:rPr>
                <w:rFonts w:ascii="宋体" w:hAnsi="宋体" w:cs="宋体" w:eastAsia="宋体" w:hint="default"/>
                <w:sz w:val="18"/>
                <w:szCs w:val="18"/>
              </w:rPr>
              <w:t>已完工</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87,781,4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35,465,7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30,649,8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90.63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66,115,6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00.17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left="353"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3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163"/>
        <w:gridCol w:w="1594"/>
        <w:gridCol w:w="1594"/>
        <w:gridCol w:w="1594"/>
        <w:gridCol w:w="1594"/>
        <w:gridCol w:w="1594"/>
      </w:tblGrid>
      <w:tr>
        <w:trPr>
          <w:trHeight w:val="401"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10,216,130.59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10,216,130.59</w:t>
            </w:r>
          </w:p>
        </w:tc>
      </w:tr>
      <w:tr>
        <w:trPr>
          <w:trHeight w:val="403"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11,312,539.05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11,312,539.05</w:t>
            </w:r>
          </w:p>
        </w:tc>
      </w:tr>
      <w:tr>
        <w:trPr>
          <w:trHeight w:val="401"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7,881,351.55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7,881,351.55</w:t>
            </w:r>
          </w:p>
        </w:tc>
      </w:tr>
      <w:tr>
        <w:trPr>
          <w:trHeight w:val="403"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3,431,187.50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3,431,187.50</w:t>
            </w:r>
          </w:p>
        </w:tc>
      </w:tr>
      <w:tr>
        <w:trPr>
          <w:trHeight w:val="401"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21,528,669.64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21,528,669.64</w:t>
            </w:r>
          </w:p>
        </w:tc>
      </w:tr>
      <w:tr>
        <w:trPr>
          <w:trHeight w:val="401"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1,549,601.07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1,549,601.07</w:t>
            </w:r>
          </w:p>
        </w:tc>
      </w:tr>
      <w:tr>
        <w:trPr>
          <w:trHeight w:val="401" w:hRule="exact"/>
        </w:trPr>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2,561,733.37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2,561,733.37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780" w:right="0"/>
        </w:sectPr>
      </w:pPr>
    </w:p>
    <w:p>
      <w:pPr>
        <w:spacing w:line="240" w:lineRule="auto" w:before="4"/>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162"/>
        <w:gridCol w:w="1594"/>
        <w:gridCol w:w="1594"/>
        <w:gridCol w:w="1594"/>
        <w:gridCol w:w="1594"/>
        <w:gridCol w:w="1594"/>
      </w:tblGrid>
      <w:tr>
        <w:trPr>
          <w:trHeight w:val="401"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2,561,733.37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2,561,733.37</w:t>
            </w:r>
          </w:p>
        </w:tc>
      </w:tr>
      <w:tr>
        <w:trPr>
          <w:trHeight w:val="403"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4,111,334.44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4,111,334.44</w:t>
            </w:r>
          </w:p>
        </w:tc>
      </w:tr>
      <w:tr>
        <w:trPr>
          <w:trHeight w:val="401"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17,417,335.20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17,417,335.20</w:t>
            </w:r>
          </w:p>
        </w:tc>
      </w:tr>
      <w:tr>
        <w:trPr>
          <w:trHeight w:val="403" w:hRule="exact"/>
        </w:trPr>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8,666,529.52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8,666,529.52</w:t>
            </w:r>
          </w:p>
        </w:tc>
      </w:tr>
    </w:tbl>
    <w:p>
      <w:pPr>
        <w:pStyle w:val="BodyText"/>
        <w:spacing w:line="240" w:lineRule="auto" w:before="51"/>
        <w:ind w:left="353" w:right="0"/>
        <w:jc w:val="left"/>
      </w:pPr>
      <w:r>
        <w:rPr/>
        <w:t>本期末通过公司内部研发形成的无形资产占无形资产余额的比例</w:t>
      </w:r>
      <w:r>
        <w:rPr>
          <w:spacing w:val="-44"/>
        </w:rPr>
        <w:t> </w:t>
      </w:r>
      <w:r>
        <w:rPr>
          <w:rFonts w:ascii="Times New Roman" w:hAnsi="Times New Roman" w:cs="Times New Roman" w:eastAsia="Times New Roman" w:hint="default"/>
        </w:rPr>
        <w:t>20.57%</w:t>
      </w:r>
      <w:r>
        <w:rPr/>
        <w:t>。</w:t>
      </w:r>
    </w:p>
    <w:p>
      <w:pPr>
        <w:spacing w:line="240" w:lineRule="auto" w:before="10"/>
        <w:rPr>
          <w:rFonts w:ascii="宋体" w:hAnsi="宋体" w:cs="宋体" w:eastAsia="宋体" w:hint="default"/>
          <w:sz w:val="25"/>
          <w:szCs w:val="25"/>
        </w:rPr>
      </w:pPr>
    </w:p>
    <w:p>
      <w:pPr>
        <w:pStyle w:val="Heading4"/>
        <w:spacing w:line="240" w:lineRule="auto"/>
        <w:ind w:left="353" w:right="0"/>
        <w:jc w:val="left"/>
        <w:rPr>
          <w:b w:val="0"/>
          <w:bCs w:val="0"/>
        </w:rPr>
      </w:pPr>
      <w:r>
        <w:rPr>
          <w:rFonts w:ascii="Times New Roman" w:hAnsi="Times New Roman" w:cs="Times New Roman" w:eastAsia="Times New Roman" w:hint="default"/>
        </w:rPr>
        <w:t>15</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76" w:type="dxa"/>
        <w:tblLayout w:type="fixed"/>
        <w:tblCellMar>
          <w:top w:w="0" w:type="dxa"/>
          <w:left w:w="0" w:type="dxa"/>
          <w:bottom w:w="0" w:type="dxa"/>
          <w:right w:w="0" w:type="dxa"/>
        </w:tblCellMar>
        <w:tblLook w:val="01E0"/>
      </w:tblPr>
      <w:tblGrid>
        <w:gridCol w:w="1064"/>
        <w:gridCol w:w="1063"/>
        <w:gridCol w:w="1277"/>
        <w:gridCol w:w="850"/>
        <w:gridCol w:w="1064"/>
        <w:gridCol w:w="1063"/>
        <w:gridCol w:w="1277"/>
        <w:gridCol w:w="847"/>
        <w:gridCol w:w="1277"/>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4,745,292.00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13,276,677.29</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3,431,187.50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14,590,781.79</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4,745,292.00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13,276,677.29</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3,431,187.50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14,590,781.79</w:t>
            </w:r>
          </w:p>
        </w:tc>
      </w:tr>
    </w:tbl>
    <w:p>
      <w:pPr>
        <w:spacing w:line="240" w:lineRule="auto" w:before="3"/>
        <w:rPr>
          <w:rFonts w:ascii="宋体" w:hAnsi="宋体" w:cs="宋体" w:eastAsia="宋体" w:hint="default"/>
          <w:sz w:val="19"/>
          <w:szCs w:val="19"/>
        </w:rPr>
      </w:pPr>
    </w:p>
    <w:p>
      <w:pPr>
        <w:pStyle w:val="Heading4"/>
        <w:spacing w:line="240" w:lineRule="auto" w:before="36"/>
        <w:ind w:left="353" w:right="0"/>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3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312" w:type="dxa"/>
        <w:tblLayout w:type="fixed"/>
        <w:tblCellMar>
          <w:top w:w="0" w:type="dxa"/>
          <w:left w:w="0" w:type="dxa"/>
          <w:bottom w:w="0" w:type="dxa"/>
          <w:right w:w="0" w:type="dxa"/>
        </w:tblCellMar>
        <w:tblLook w:val="01E0"/>
      </w:tblPr>
      <w:tblGrid>
        <w:gridCol w:w="1508"/>
        <w:gridCol w:w="1369"/>
        <w:gridCol w:w="1368"/>
        <w:gridCol w:w="1366"/>
        <w:gridCol w:w="1369"/>
        <w:gridCol w:w="1367"/>
        <w:gridCol w:w="1367"/>
      </w:tblGrid>
      <w:tr>
        <w:trPr>
          <w:trHeight w:val="402" w:hRule="exact"/>
        </w:trPr>
        <w:tc>
          <w:tcPr>
            <w:tcW w:w="15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20" w:right="26" w:hanging="92"/>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0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北京思创立方科技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4" w:right="0"/>
              <w:jc w:val="left"/>
              <w:rPr>
                <w:rFonts w:ascii="Times New Roman" w:hAnsi="Times New Roman" w:cs="Times New Roman" w:eastAsia="Times New Roman" w:hint="default"/>
                <w:sz w:val="18"/>
                <w:szCs w:val="18"/>
              </w:rPr>
            </w:pPr>
            <w:r>
              <w:rPr>
                <w:rFonts w:ascii="Times New Roman"/>
                <w:sz w:val="18"/>
              </w:rPr>
              <w:t>11,560,469.12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3" w:right="0"/>
              <w:jc w:val="left"/>
              <w:rPr>
                <w:rFonts w:ascii="Times New Roman" w:hAnsi="Times New Roman" w:cs="Times New Roman" w:eastAsia="Times New Roman" w:hint="default"/>
                <w:sz w:val="18"/>
                <w:szCs w:val="18"/>
              </w:rPr>
            </w:pPr>
            <w:r>
              <w:rPr>
                <w:rFonts w:ascii="Times New Roman"/>
                <w:sz w:val="18"/>
              </w:rPr>
              <w:t>11,560,469.12</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780" w:right="0"/>
        </w:sectPr>
      </w:pPr>
    </w:p>
    <w:p>
      <w:pPr>
        <w:spacing w:line="240" w:lineRule="auto" w:before="4"/>
        <w:rPr>
          <w:rFonts w:ascii="宋体" w:hAnsi="宋体" w:cs="宋体" w:eastAsia="宋体" w:hint="default"/>
          <w:sz w:val="28"/>
          <w:szCs w:val="28"/>
        </w:rPr>
      </w:pPr>
    </w:p>
    <w:tbl>
      <w:tblPr>
        <w:tblW w:w="0" w:type="auto"/>
        <w:jc w:val="left"/>
        <w:tblInd w:w="212" w:type="dxa"/>
        <w:tblLayout w:type="fixed"/>
        <w:tblCellMar>
          <w:top w:w="0" w:type="dxa"/>
          <w:left w:w="0" w:type="dxa"/>
          <w:bottom w:w="0" w:type="dxa"/>
          <w:right w:w="0" w:type="dxa"/>
        </w:tblCellMar>
        <w:tblLook w:val="01E0"/>
      </w:tblPr>
      <w:tblGrid>
        <w:gridCol w:w="1508"/>
        <w:gridCol w:w="1369"/>
        <w:gridCol w:w="1368"/>
        <w:gridCol w:w="1366"/>
        <w:gridCol w:w="1369"/>
        <w:gridCol w:w="1366"/>
        <w:gridCol w:w="1368"/>
      </w:tblGrid>
      <w:tr>
        <w:trPr>
          <w:trHeight w:val="363"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4" w:right="0"/>
              <w:jc w:val="left"/>
              <w:rPr>
                <w:rFonts w:ascii="Times New Roman" w:hAnsi="Times New Roman" w:cs="Times New Roman" w:eastAsia="Times New Roman" w:hint="default"/>
                <w:sz w:val="18"/>
                <w:szCs w:val="18"/>
              </w:rPr>
            </w:pPr>
            <w:r>
              <w:rPr>
                <w:rFonts w:ascii="Times New Roman"/>
                <w:sz w:val="18"/>
              </w:rPr>
              <w:t>11,560,469.12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4" w:right="0"/>
              <w:jc w:val="left"/>
              <w:rPr>
                <w:rFonts w:ascii="Times New Roman" w:hAnsi="Times New Roman" w:cs="Times New Roman" w:eastAsia="Times New Roman" w:hint="default"/>
                <w:sz w:val="18"/>
                <w:szCs w:val="18"/>
              </w:rPr>
            </w:pPr>
            <w:r>
              <w:rPr>
                <w:rFonts w:ascii="Times New Roman"/>
                <w:sz w:val="18"/>
              </w:rPr>
              <w:t>11,560,469.12</w:t>
            </w:r>
          </w:p>
        </w:tc>
      </w:tr>
    </w:tbl>
    <w:p>
      <w:pPr>
        <w:spacing w:line="240" w:lineRule="auto" w:before="3"/>
        <w:rPr>
          <w:rFonts w:ascii="宋体" w:hAnsi="宋体" w:cs="宋体" w:eastAsia="宋体" w:hint="default"/>
          <w:sz w:val="19"/>
          <w:szCs w:val="19"/>
        </w:rPr>
      </w:pPr>
    </w:p>
    <w:p>
      <w:pPr>
        <w:pStyle w:val="Heading4"/>
        <w:spacing w:line="240" w:lineRule="auto" w:before="36"/>
        <w:ind w:left="253"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10"/>
        <w:gridCol w:w="1366"/>
        <w:gridCol w:w="1368"/>
        <w:gridCol w:w="1366"/>
        <w:gridCol w:w="1369"/>
        <w:gridCol w:w="1368"/>
        <w:gridCol w:w="1366"/>
      </w:tblGrid>
      <w:tr>
        <w:trPr>
          <w:trHeight w:val="401" w:hRule="exact"/>
        </w:trPr>
        <w:tc>
          <w:tcPr>
            <w:tcW w:w="151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20" w:right="29" w:hanging="92"/>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10"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北京思创立方科技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2,145,159.45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2,145,159.45</w:t>
            </w:r>
          </w:p>
        </w:tc>
      </w:tr>
      <w:tr>
        <w:trPr>
          <w:trHeight w:val="404"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2,145,159.45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2,145,159.45</w:t>
            </w:r>
          </w:p>
        </w:tc>
      </w:tr>
    </w:tbl>
    <w:p>
      <w:pPr>
        <w:pStyle w:val="BodyText"/>
        <w:spacing w:line="240" w:lineRule="auto" w:before="51"/>
        <w:ind w:left="253" w:right="0"/>
        <w:jc w:val="left"/>
      </w:pPr>
      <w:r>
        <w:rPr/>
        <w:t>商誉所在资产组或资产组组合的相关信息</w:t>
      </w:r>
    </w:p>
    <w:p>
      <w:pPr>
        <w:pStyle w:val="BodyText"/>
        <w:spacing w:line="304" w:lineRule="auto" w:before="115"/>
        <w:ind w:left="253" w:right="1109" w:firstLine="648"/>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日，本公司通过非同一控制下企业合同取得子公司思创立方</w:t>
      </w:r>
      <w:r>
        <w:rPr>
          <w:rFonts w:ascii="Times New Roman" w:hAnsi="Times New Roman" w:cs="Times New Roman" w:eastAsia="Times New Roman" w:hint="default"/>
          <w:spacing w:val="-1"/>
        </w:rPr>
        <w:t>65%</w:t>
      </w:r>
      <w:r>
        <w:rPr>
          <w:spacing w:val="-1"/>
        </w:rPr>
        <w:t>股权，形成商誉</w:t>
      </w:r>
      <w:r>
        <w:rPr>
          <w:rFonts w:ascii="Times New Roman" w:hAnsi="Times New Roman" w:cs="Times New Roman" w:eastAsia="Times New Roman" w:hint="default"/>
          <w:spacing w:val="-1"/>
        </w:rPr>
        <w:t>11,560,469.12</w:t>
      </w:r>
      <w:r>
        <w:rPr>
          <w:spacing w:val="-1"/>
        </w:rPr>
        <w:t>元，本公</w:t>
      </w:r>
      <w:r>
        <w:rPr/>
        <w:t> 司已聘请中发国际资产评估有限公司对商誉进行评估，评估对象是思创立方相关资产组</w:t>
      </w:r>
      <w:r>
        <w:rPr>
          <w:rFonts w:ascii="Times New Roman" w:hAnsi="Times New Roman" w:cs="Times New Roman" w:eastAsia="Times New Roman" w:hint="default"/>
        </w:rPr>
        <w:t>(</w:t>
      </w:r>
      <w:r>
        <w:rPr/>
        <w:t>包含商誉</w:t>
      </w:r>
      <w:r>
        <w:rPr>
          <w:rFonts w:ascii="Times New Roman" w:hAnsi="Times New Roman" w:cs="Times New Roman" w:eastAsia="Times New Roman" w:hint="default"/>
        </w:rPr>
        <w:t>)</w:t>
      </w:r>
      <w:r>
        <w:rPr/>
        <w:t>，具体包括设备类资产、 计算机软件著作权类无形资产和商誉等，账面值为</w:t>
      </w:r>
      <w:r>
        <w:rPr>
          <w:rFonts w:ascii="Times New Roman" w:hAnsi="Times New Roman" w:cs="Times New Roman" w:eastAsia="Times New Roman" w:hint="default"/>
        </w:rPr>
        <w:t>2,330.97</w:t>
      </w:r>
      <w:r>
        <w:rPr/>
        <w:t>万元，由于较难直接获得包含商誉的资产组的公允市场价值，因</w:t>
      </w:r>
      <w:r>
        <w:rPr>
          <w:spacing w:val="-86"/>
        </w:rPr>
        <w:t> </w:t>
      </w:r>
      <w:r>
        <w:rPr>
          <w:spacing w:val="-86"/>
        </w:rPr>
      </w:r>
      <w:r>
        <w:rPr/>
        <w:t>此采用预计未来现金流现值的方法计算资产组的可收回金额。其预计现金流量根据本公司</w:t>
      </w:r>
      <w:r>
        <w:rPr>
          <w:rFonts w:ascii="Times New Roman" w:hAnsi="Times New Roman" w:cs="Times New Roman" w:eastAsia="Times New Roman" w:hint="default"/>
        </w:rPr>
        <w:t>5</w:t>
      </w:r>
      <w:r>
        <w:rPr/>
        <w:t>年期现金流量预测为基础，根据</w:t>
      </w:r>
      <w:r>
        <w:rPr>
          <w:spacing w:val="-82"/>
        </w:rPr>
        <w:t> </w:t>
      </w:r>
      <w:r>
        <w:rPr>
          <w:spacing w:val="-82"/>
        </w:rPr>
      </w:r>
      <w:r>
        <w:rPr/>
        <w:t>历史实际经营数据、行业发展趋势、预期收入增长率、毛利率等指标编制预测未来</w:t>
      </w:r>
      <w:r>
        <w:rPr>
          <w:rFonts w:ascii="Times New Roman" w:hAnsi="Times New Roman" w:cs="Times New Roman" w:eastAsia="Times New Roman" w:hint="default"/>
        </w:rPr>
        <w:t>5</w:t>
      </w:r>
      <w:r>
        <w:rPr/>
        <w:t>年现金流量，预测期以后的现金流量维</w:t>
      </w:r>
      <w:r>
        <w:rPr>
          <w:spacing w:val="-84"/>
        </w:rPr>
        <w:t> </w:t>
      </w:r>
      <w:r>
        <w:rPr>
          <w:spacing w:val="-84"/>
        </w:rPr>
      </w:r>
      <w:r>
        <w:rPr>
          <w:spacing w:val="-2"/>
        </w:rPr>
        <w:t>持不变。减值测试中采用的其他关键数据包括：产品预计销售收入、生产成本及其他相关费用。公司以历史经验及对市场发</w:t>
      </w:r>
      <w:r>
        <w:rPr>
          <w:spacing w:val="-65"/>
        </w:rPr>
        <w:t> </w:t>
      </w:r>
      <w:r>
        <w:rPr>
          <w:spacing w:val="-65"/>
        </w:rPr>
      </w:r>
      <w:r>
        <w:rPr>
          <w:spacing w:val="-2"/>
        </w:rPr>
        <w:t>展的预测确定上述关键数据。公司采用的折现率是反映当前市场货币时间价值和相关资产组特定风险的税前利率。该包含商</w:t>
      </w:r>
      <w:r>
        <w:rPr>
          <w:spacing w:val="-64"/>
        </w:rPr>
        <w:t> </w:t>
      </w:r>
      <w:r>
        <w:rPr>
          <w:spacing w:val="-64"/>
        </w:rPr>
      </w:r>
      <w:r>
        <w:rPr/>
        <w:t>誉的资产组于评估基准日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日按照收益法估值的评估价值为人民币</w:t>
      </w:r>
      <w:r>
        <w:rPr>
          <w:rFonts w:ascii="Times New Roman" w:hAnsi="Times New Roman" w:cs="Times New Roman" w:eastAsia="Times New Roman" w:hint="default"/>
        </w:rPr>
        <w:t>2,000.95</w:t>
      </w:r>
      <w:r>
        <w:rPr/>
        <w:t>万元，评估结果表明包含商誉的资产 </w:t>
      </w:r>
      <w:r>
        <w:rPr>
          <w:spacing w:val="-1"/>
        </w:rPr>
        <w:t>组的可收回金额低于其账面价值的，商誉存在减值损失</w:t>
      </w:r>
      <w:r>
        <w:rPr>
          <w:rFonts w:ascii="Times New Roman" w:hAnsi="Times New Roman" w:cs="Times New Roman" w:eastAsia="Times New Roman" w:hint="default"/>
          <w:spacing w:val="-1"/>
        </w:rPr>
        <w:t>330.02</w:t>
      </w:r>
      <w:r>
        <w:rPr>
          <w:spacing w:val="-1"/>
        </w:rPr>
        <w:t>万元，减值损失金额全部抵减商誉的账面价值，公司将该减值</w:t>
      </w:r>
      <w:r>
        <w:rPr>
          <w:spacing w:val="-75"/>
        </w:rPr>
        <w:t> </w:t>
      </w:r>
      <w:r>
        <w:rPr>
          <w:spacing w:val="-75"/>
        </w:rPr>
      </w:r>
      <w:r>
        <w:rPr/>
        <w:t>损失按持股比例</w:t>
      </w:r>
      <w:r>
        <w:rPr>
          <w:rFonts w:ascii="Times New Roman" w:hAnsi="Times New Roman" w:cs="Times New Roman" w:eastAsia="Times New Roman" w:hint="default"/>
        </w:rPr>
        <w:t>65%</w:t>
      </w:r>
      <w:r>
        <w:rPr/>
        <w:t>计算归属于母公司的商誉减值损失，最终本公司计提商誉减值准备</w:t>
      </w:r>
      <w:r>
        <w:rPr>
          <w:rFonts w:ascii="Times New Roman" w:hAnsi="Times New Roman" w:cs="Times New Roman" w:eastAsia="Times New Roman" w:hint="default"/>
        </w:rPr>
        <w:t>214.52</w:t>
      </w:r>
      <w:r>
        <w:rPr/>
        <w:t>万元。</w:t>
      </w:r>
    </w:p>
    <w:p>
      <w:pPr>
        <w:spacing w:line="240" w:lineRule="auto" w:before="11"/>
        <w:rPr>
          <w:rFonts w:ascii="宋体" w:hAnsi="宋体" w:cs="宋体" w:eastAsia="宋体" w:hint="default"/>
          <w:sz w:val="21"/>
          <w:szCs w:val="21"/>
        </w:rPr>
      </w:pPr>
    </w:p>
    <w:p>
      <w:pPr>
        <w:pStyle w:val="Heading4"/>
        <w:spacing w:line="240" w:lineRule="auto"/>
        <w:ind w:left="253"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2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3,351,172.78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1,584,375.47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2,324,954.68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2,610,593.57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3,351,172.78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1,584,375.47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2,324,954.68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2,610,593.57</w:t>
            </w:r>
          </w:p>
        </w:tc>
      </w:tr>
    </w:tbl>
    <w:p>
      <w:pPr>
        <w:spacing w:line="240" w:lineRule="auto" w:before="3"/>
        <w:rPr>
          <w:rFonts w:ascii="宋体" w:hAnsi="宋体" w:cs="宋体" w:eastAsia="宋体" w:hint="default"/>
          <w:sz w:val="19"/>
          <w:szCs w:val="19"/>
        </w:rPr>
      </w:pPr>
    </w:p>
    <w:p>
      <w:pPr>
        <w:pStyle w:val="Heading4"/>
        <w:spacing w:line="240" w:lineRule="auto" w:before="36"/>
        <w:ind w:left="253" w:right="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53"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47,456,649.55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4,745,664.96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49,192,154.05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4,919,215.40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4,286,576.05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428,657.60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2,608,150.46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260,815.05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1,216,238.10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121,623.81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340,635.68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34,063.57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8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0" w:right="0"/>
              <w:jc w:val="left"/>
              <w:rPr>
                <w:rFonts w:ascii="Times New Roman" w:hAnsi="Times New Roman" w:cs="Times New Roman" w:eastAsia="Times New Roman" w:hint="default"/>
                <w:sz w:val="18"/>
                <w:szCs w:val="18"/>
              </w:rPr>
            </w:pPr>
            <w:r>
              <w:rPr>
                <w:rFonts w:ascii="Times New Roman"/>
                <w:sz w:val="18"/>
              </w:rPr>
              <w:t>52,959,463.70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5,295,946.37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52,140,940.19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5" w:right="0"/>
              <w:jc w:val="left"/>
              <w:rPr>
                <w:rFonts w:ascii="Times New Roman" w:hAnsi="Times New Roman" w:cs="Times New Roman" w:eastAsia="Times New Roman" w:hint="default"/>
                <w:sz w:val="18"/>
                <w:szCs w:val="18"/>
              </w:rPr>
            </w:pPr>
            <w:r>
              <w:rPr>
                <w:rFonts w:ascii="Times New Roman"/>
                <w:sz w:val="18"/>
              </w:rPr>
              <w:t>5,214,094.02</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5,238,207.37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1,309,551.84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6,935,463.92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1,733,865.98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5,238,207.37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1,309,551.84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6,935,463.92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1,733,865.98</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5,295,946.37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5,214,094.02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1,309,551.84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1,733,865.98</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72,144,574.54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84,963,837.19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21,217,410.23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16,192,989.48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93,361,984.77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101,156,826.67</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320,616.78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599,250.70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2,870,819.02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4,140,436.93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4,870,683.74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6,169,962.91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4,602,949.34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5,283,338.94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8,552,341.35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21,217,410.23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16,192,989.48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2"/>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724,543.48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310,119,250.00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预付机房基础建设款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6,308,906.42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310,843,793.48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6,308,906.42</w:t>
            </w:r>
          </w:p>
        </w:tc>
      </w:tr>
    </w:tbl>
    <w:p>
      <w:pPr>
        <w:pStyle w:val="BodyText"/>
        <w:spacing w:line="240" w:lineRule="auto" w:before="52"/>
        <w:ind w:right="982"/>
        <w:jc w:val="left"/>
      </w:pPr>
      <w:r>
        <w:rPr/>
        <w:t>其他说明：</w:t>
      </w:r>
    </w:p>
    <w:p>
      <w:pPr>
        <w:pStyle w:val="BodyText"/>
        <w:spacing w:line="300" w:lineRule="auto" w:before="117"/>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日，公司召开第三届董事会第二次会议审议通过了《关于公司购买办公楼的议案》，公司与北京万毓房地 产开发有限公司签署《购房协议》，购置位于北京市海淀区万科翠湖国际南区</w:t>
      </w:r>
      <w:r>
        <w:rPr>
          <w:rFonts w:ascii="Times New Roman" w:hAnsi="Times New Roman" w:cs="Times New Roman" w:eastAsia="Times New Roman" w:hint="default"/>
        </w:rPr>
        <w:t>0062</w:t>
      </w:r>
      <w:r>
        <w:rPr/>
        <w:t>地块</w:t>
      </w:r>
      <w:r>
        <w:rPr>
          <w:rFonts w:ascii="Times New Roman" w:hAnsi="Times New Roman" w:cs="Times New Roman" w:eastAsia="Times New Roman" w:hint="default"/>
        </w:rPr>
        <w:t>7</w:t>
      </w:r>
      <w:r>
        <w:rPr/>
        <w:t>号楼的房产作为公司北京总部办公</w:t>
      </w:r>
      <w:r>
        <w:rPr>
          <w:spacing w:val="-84"/>
        </w:rPr>
        <w:t> </w:t>
      </w:r>
      <w:r>
        <w:rPr>
          <w:spacing w:val="-84"/>
        </w:rPr>
      </w:r>
      <w:r>
        <w:rPr/>
        <w:t>楼，交易价格为人民币</w:t>
      </w:r>
      <w:r>
        <w:rPr>
          <w:rFonts w:ascii="Times New Roman" w:hAnsi="Times New Roman" w:cs="Times New Roman" w:eastAsia="Times New Roman" w:hint="default"/>
        </w:rPr>
        <w:t>310,119,250</w:t>
      </w:r>
      <w:r>
        <w:rPr/>
        <w:t>元</w:t>
      </w:r>
      <w:r>
        <w:rPr>
          <w:rFonts w:ascii="Times New Roman" w:hAnsi="Times New Roman" w:cs="Times New Roman" w:eastAsia="Times New Roman" w:hint="default"/>
        </w:rPr>
        <w:t>,</w:t>
      </w:r>
      <w:r>
        <w:rPr/>
        <w:t>预计</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月完成房产交付。</w:t>
      </w:r>
    </w:p>
    <w:p>
      <w:pPr>
        <w:spacing w:line="240" w:lineRule="auto" w:before="2"/>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247,000,000.00</w:t>
            </w:r>
          </w:p>
        </w:tc>
      </w:tr>
    </w:tbl>
    <w:p>
      <w:pPr>
        <w:pStyle w:val="BodyText"/>
        <w:spacing w:line="240" w:lineRule="auto" w:before="51"/>
        <w:ind w:right="982"/>
        <w:jc w:val="left"/>
      </w:pPr>
      <w:r>
        <w:rPr/>
        <w:t>短期借款分类的说明：</w:t>
      </w:r>
    </w:p>
    <w:p>
      <w:pPr>
        <w:pStyle w:val="BodyText"/>
        <w:spacing w:line="300" w:lineRule="auto" w:before="115"/>
        <w:ind w:right="1129" w:firstLine="360"/>
        <w:jc w:val="both"/>
      </w:pPr>
      <w:r>
        <w:rPr/>
        <w:t>（</w:t>
      </w:r>
      <w:r>
        <w:rPr>
          <w:rFonts w:ascii="Times New Roman" w:hAnsi="Times New Roman" w:cs="Times New Roman" w:eastAsia="Times New Roman" w:hint="default"/>
        </w:rPr>
        <w:t>1</w:t>
      </w:r>
      <w:r>
        <w:rPr/>
        <w:t>）本公司与北京银行中关村海淀园支行签订编号分别为</w:t>
      </w:r>
      <w:r>
        <w:rPr>
          <w:rFonts w:ascii="Times New Roman" w:hAnsi="Times New Roman" w:cs="Times New Roman" w:eastAsia="Times New Roman" w:hint="default"/>
        </w:rPr>
        <w:t>0535524</w:t>
      </w:r>
      <w:r>
        <w:rPr/>
        <w:t>、</w:t>
      </w:r>
      <w:r>
        <w:rPr>
          <w:rFonts w:ascii="Times New Roman" w:hAnsi="Times New Roman" w:cs="Times New Roman" w:eastAsia="Times New Roman" w:hint="default"/>
        </w:rPr>
        <w:t>0581572</w:t>
      </w:r>
      <w:r>
        <w:rPr/>
        <w:t>、</w:t>
      </w:r>
      <w:r>
        <w:rPr>
          <w:rFonts w:ascii="Times New Roman" w:hAnsi="Times New Roman" w:cs="Times New Roman" w:eastAsia="Times New Roman" w:hint="default"/>
        </w:rPr>
        <w:t>0558190</w:t>
      </w:r>
      <w:r>
        <w:rPr/>
        <w:t>的借款合同，借款金额分别为 </w:t>
      </w:r>
      <w:r>
        <w:rPr>
          <w:rFonts w:ascii="Times New Roman" w:hAnsi="Times New Roman" w:cs="Times New Roman" w:eastAsia="Times New Roman" w:hint="default"/>
        </w:rPr>
        <w:t>30,000,000.00</w:t>
      </w:r>
      <w:r>
        <w:rPr/>
        <w:t>元、</w:t>
      </w:r>
      <w:r>
        <w:rPr>
          <w:rFonts w:ascii="Times New Roman" w:hAnsi="Times New Roman" w:cs="Times New Roman" w:eastAsia="Times New Roman" w:hint="default"/>
        </w:rPr>
        <w:t>30,000,000.00</w:t>
      </w:r>
      <w:r>
        <w:rPr/>
        <w:t>元、</w:t>
      </w:r>
      <w:r>
        <w:rPr>
          <w:rFonts w:ascii="Times New Roman" w:hAnsi="Times New Roman" w:cs="Times New Roman" w:eastAsia="Times New Roman" w:hint="default"/>
        </w:rPr>
        <w:t>38,000,000.00</w:t>
      </w:r>
      <w:r>
        <w:rPr/>
        <w:t>元，借款条件为保证借款，借款期限分别为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19"/>
        </w:rPr>
        <w:t> </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日；上述保证借款由吴飞舟及配偶提供全额担保，保证</w:t>
      </w:r>
      <w:r>
        <w:rPr>
          <w:spacing w:val="-48"/>
        </w:rPr>
        <w:t> </w:t>
      </w:r>
      <w:r>
        <w:rPr>
          <w:spacing w:val="-48"/>
        </w:rPr>
      </w:r>
      <w:r>
        <w:rPr>
          <w:spacing w:val="-1"/>
        </w:rPr>
        <w:t>方式为连带责任保证，担保合同编号为</w:t>
      </w:r>
      <w:r>
        <w:rPr>
          <w:rFonts w:ascii="Times New Roman" w:hAnsi="Times New Roman" w:cs="Times New Roman" w:eastAsia="Times New Roman" w:hint="default"/>
          <w:spacing w:val="-1"/>
        </w:rPr>
        <w:t>0558078-001/0558078-002</w:t>
      </w:r>
      <w:r>
        <w:rPr>
          <w:spacing w:val="-1"/>
        </w:rPr>
        <w:t>，担保金额为</w:t>
      </w:r>
      <w:r>
        <w:rPr>
          <w:rFonts w:ascii="Times New Roman" w:hAnsi="Times New Roman" w:cs="Times New Roman" w:eastAsia="Times New Roman" w:hint="default"/>
          <w:spacing w:val="-1"/>
        </w:rPr>
        <w:t>98,000,000.00</w:t>
      </w:r>
      <w:r>
        <w:rPr>
          <w:spacing w:val="-1"/>
        </w:rPr>
        <w:t>元，资金主要用于支付员工工资</w:t>
      </w:r>
      <w:r>
        <w:rPr>
          <w:spacing w:val="-59"/>
        </w:rPr>
        <w:t> </w:t>
      </w:r>
      <w:r>
        <w:rPr>
          <w:spacing w:val="-59"/>
        </w:rPr>
      </w:r>
      <w:r>
        <w:rPr/>
        <w:t>以及采购等日常经营周转。</w:t>
      </w:r>
    </w:p>
    <w:p>
      <w:pPr>
        <w:pStyle w:val="BodyText"/>
        <w:spacing w:line="300" w:lineRule="auto" w:before="31"/>
        <w:ind w:right="1128" w:firstLine="360"/>
        <w:jc w:val="both"/>
      </w:pPr>
      <w:r>
        <w:rPr>
          <w:spacing w:val="-1"/>
        </w:rPr>
        <w:t>（</w:t>
      </w:r>
      <w:r>
        <w:rPr>
          <w:rFonts w:ascii="Times New Roman" w:hAnsi="Times New Roman" w:cs="Times New Roman" w:eastAsia="Times New Roman" w:hint="default"/>
          <w:spacing w:val="-1"/>
        </w:rPr>
        <w:t>2</w:t>
      </w:r>
      <w:r>
        <w:rPr>
          <w:spacing w:val="-1"/>
        </w:rPr>
        <w:t>）本公司与北京银行中关村海淀园支行签订编号</w:t>
      </w:r>
      <w:r>
        <w:rPr>
          <w:rFonts w:ascii="Times New Roman" w:hAnsi="Times New Roman" w:cs="Times New Roman" w:eastAsia="Times New Roman" w:hint="default"/>
          <w:spacing w:val="-1"/>
        </w:rPr>
        <w:t>0584299</w:t>
      </w:r>
      <w:r>
        <w:rPr>
          <w:spacing w:val="-1"/>
        </w:rPr>
        <w:t>的借款合同，借款金额为</w:t>
      </w:r>
      <w:r>
        <w:rPr>
          <w:rFonts w:ascii="Times New Roman" w:hAnsi="Times New Roman" w:cs="Times New Roman" w:eastAsia="Times New Roman" w:hint="default"/>
          <w:spacing w:val="-1"/>
        </w:rPr>
        <w:t>90,000,000.00</w:t>
      </w:r>
      <w:r>
        <w:rPr>
          <w:spacing w:val="-1"/>
        </w:rPr>
        <w:t>元，借款条件为保证</w:t>
      </w:r>
      <w:r>
        <w:rPr/>
        <w:t> 借款，借款期限为自合同签订起</w:t>
      </w:r>
      <w:r>
        <w:rPr>
          <w:rFonts w:ascii="Times New Roman" w:hAnsi="Times New Roman" w:cs="Times New Roman" w:eastAsia="Times New Roman" w:hint="default"/>
        </w:rPr>
        <w:t>6</w:t>
      </w:r>
      <w:r>
        <w:rPr/>
        <w:t>个月；上述保证借款由北京中关村科技融资担保有限公司提供担保，委托保证合同编号为</w:t>
      </w:r>
      <w:r>
        <w:rPr>
          <w:spacing w:val="-84"/>
        </w:rPr>
        <w:t> </w:t>
      </w:r>
      <w:r>
        <w:rPr>
          <w:spacing w:val="-84"/>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WT2001</w:t>
      </w:r>
      <w:r>
        <w:rPr/>
        <w:t>号，担保金额为</w:t>
      </w:r>
      <w:r>
        <w:rPr>
          <w:rFonts w:ascii="Times New Roman" w:hAnsi="Times New Roman" w:cs="Times New Roman" w:eastAsia="Times New Roman" w:hint="default"/>
        </w:rPr>
        <w:t>90,000,000.00</w:t>
      </w:r>
      <w:r>
        <w:rPr/>
        <w:t>元，资金用于支付采购款、员工工资及其他日常经营所需费用。</w:t>
      </w:r>
    </w:p>
    <w:p>
      <w:pPr>
        <w:pStyle w:val="BodyText"/>
        <w:spacing w:line="300" w:lineRule="auto" w:before="13"/>
        <w:ind w:right="1126" w:firstLine="360"/>
        <w:jc w:val="both"/>
      </w:pPr>
      <w:r>
        <w:rPr/>
        <w:t>（</w:t>
      </w:r>
      <w:r>
        <w:rPr>
          <w:rFonts w:ascii="Times New Roman" w:hAnsi="Times New Roman" w:cs="Times New Roman" w:eastAsia="Times New Roman" w:hint="default"/>
        </w:rPr>
        <w:t>3</w:t>
      </w:r>
      <w:r>
        <w:rPr/>
        <w:t>）本公司与华夏银行紫竹桥支行签订编号</w:t>
      </w:r>
      <w:r>
        <w:rPr>
          <w:rFonts w:ascii="Times New Roman" w:hAnsi="Times New Roman" w:cs="Times New Roman" w:eastAsia="Times New Roman" w:hint="default"/>
        </w:rPr>
        <w:t>BJZX2810120190595</w:t>
      </w:r>
      <w:r>
        <w:rPr/>
        <w:t>的借款合同，借款金额为</w:t>
      </w:r>
      <w:r>
        <w:rPr>
          <w:rFonts w:ascii="Times New Roman" w:hAnsi="Times New Roman" w:cs="Times New Roman" w:eastAsia="Times New Roman" w:hint="default"/>
        </w:rPr>
        <w:t>20,000,000.00</w:t>
      </w:r>
      <w:r>
        <w:rPr/>
        <w:t>元，借款条件 </w:t>
      </w:r>
      <w:r>
        <w:rPr>
          <w:spacing w:val="-2"/>
        </w:rPr>
        <w:t>为保证借款，借款期限为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日；上述保证借款由吴飞舟及配偶提供全额担保，保证方式为连带责</w:t>
      </w:r>
      <w:r>
        <w:rPr>
          <w:spacing w:val="-55"/>
        </w:rPr>
        <w:t> </w:t>
      </w:r>
      <w:r>
        <w:rPr>
          <w:spacing w:val="-55"/>
        </w:rPr>
      </w:r>
      <w:r>
        <w:rPr>
          <w:spacing w:val="-1"/>
        </w:rPr>
        <w:t>任保证，担保合同编号为</w:t>
      </w:r>
      <w:r>
        <w:rPr>
          <w:rFonts w:ascii="Times New Roman" w:hAnsi="Times New Roman" w:cs="Times New Roman" w:eastAsia="Times New Roman" w:hint="default"/>
          <w:spacing w:val="-1"/>
        </w:rPr>
        <w:t>YYB29(</w:t>
      </w:r>
      <w:r>
        <w:rPr>
          <w:spacing w:val="-1"/>
        </w:rPr>
        <w:t>高保</w:t>
      </w:r>
      <w:r>
        <w:rPr>
          <w:rFonts w:ascii="Times New Roman" w:hAnsi="Times New Roman" w:cs="Times New Roman" w:eastAsia="Times New Roman" w:hint="default"/>
          <w:spacing w:val="-1"/>
        </w:rPr>
        <w:t>)20190087/YYB29(</w:t>
      </w:r>
      <w:r>
        <w:rPr>
          <w:spacing w:val="-1"/>
        </w:rPr>
        <w:t>高保</w:t>
      </w:r>
      <w:r>
        <w:rPr>
          <w:rFonts w:ascii="Times New Roman" w:hAnsi="Times New Roman" w:cs="Times New Roman" w:eastAsia="Times New Roman" w:hint="default"/>
          <w:spacing w:val="-1"/>
        </w:rPr>
        <w:t>)20190088</w:t>
      </w:r>
      <w:r>
        <w:rPr>
          <w:spacing w:val="-1"/>
        </w:rPr>
        <w:t>，担保金额为</w:t>
      </w:r>
      <w:r>
        <w:rPr>
          <w:rFonts w:ascii="Times New Roman" w:hAnsi="Times New Roman" w:cs="Times New Roman" w:eastAsia="Times New Roman" w:hint="default"/>
          <w:spacing w:val="-1"/>
        </w:rPr>
        <w:t>20,000,000.00</w:t>
      </w:r>
      <w:r>
        <w:rPr>
          <w:spacing w:val="-1"/>
        </w:rPr>
        <w:t>元，资金主要用于日常经</w:t>
      </w:r>
      <w:r>
        <w:rPr>
          <w:spacing w:val="-32"/>
        </w:rPr>
        <w:t> </w:t>
      </w:r>
      <w:r>
        <w:rPr>
          <w:spacing w:val="-32"/>
        </w:rPr>
      </w:r>
      <w:r>
        <w:rPr/>
        <w:t>营。</w:t>
      </w:r>
    </w:p>
    <w:p>
      <w:pPr>
        <w:pStyle w:val="BodyText"/>
        <w:spacing w:line="307" w:lineRule="auto" w:before="31"/>
        <w:ind w:right="1126" w:firstLine="360"/>
        <w:jc w:val="both"/>
      </w:pPr>
      <w:r>
        <w:rPr/>
        <w:t>（</w:t>
      </w:r>
      <w:r>
        <w:rPr>
          <w:rFonts w:ascii="Times New Roman" w:hAnsi="Times New Roman" w:cs="Times New Roman" w:eastAsia="Times New Roman" w:hint="default"/>
        </w:rPr>
        <w:t>4</w:t>
      </w:r>
      <w:r>
        <w:rPr/>
        <w:t>）本公司与招商银行股份有限公司北京东三环支行签订编号为</w:t>
      </w:r>
      <w:r>
        <w:rPr>
          <w:rFonts w:ascii="Times New Roman" w:hAnsi="Times New Roman" w:cs="Times New Roman" w:eastAsia="Times New Roman" w:hint="default"/>
        </w:rPr>
        <w:t>2019</w:t>
      </w:r>
      <w:r>
        <w:rPr/>
        <w:t>年东授字第</w:t>
      </w:r>
      <w:r>
        <w:rPr>
          <w:rFonts w:ascii="Times New Roman" w:hAnsi="Times New Roman" w:cs="Times New Roman" w:eastAsia="Times New Roman" w:hint="default"/>
        </w:rPr>
        <w:t>002</w:t>
      </w:r>
      <w:r>
        <w:rPr/>
        <w:t>号的授信协议，授信期限为</w:t>
      </w:r>
      <w:r>
        <w:rPr>
          <w:rFonts w:ascii="Times New Roman" w:hAnsi="Times New Roman" w:cs="Times New Roman" w:eastAsia="Times New Roman" w:hint="default"/>
        </w:rPr>
        <w:t>1</w:t>
      </w:r>
      <w:r>
        <w:rPr/>
        <w:t>年， </w:t>
      </w:r>
      <w:r>
        <w:rPr>
          <w:spacing w:val="-1"/>
        </w:rPr>
        <w:t>授信期间为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8</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7</w:t>
      </w:r>
      <w:r>
        <w:rPr>
          <w:spacing w:val="-1"/>
        </w:rPr>
        <w:t>日，在此授信协议下循环授信额度为人民币</w:t>
      </w:r>
      <w:r>
        <w:rPr>
          <w:rFonts w:ascii="Times New Roman" w:hAnsi="Times New Roman" w:cs="Times New Roman" w:eastAsia="Times New Roman" w:hint="default"/>
          <w:spacing w:val="-1"/>
        </w:rPr>
        <w:t>20,000,000.00</w:t>
      </w:r>
      <w:r>
        <w:rPr>
          <w:spacing w:val="-1"/>
        </w:rPr>
        <w:t>元，此授信协议为循环额度</w:t>
      </w:r>
      <w:r>
        <w:rPr>
          <w:spacing w:val="-65"/>
        </w:rPr>
        <w:t> </w:t>
      </w:r>
      <w:r>
        <w:rPr>
          <w:spacing w:val="-65"/>
        </w:rPr>
      </w:r>
      <w:r>
        <w:rPr>
          <w:spacing w:val="-2"/>
        </w:rPr>
        <w:t>贷款，无需另签借款合同。上述保证借款由吴飞舟及配偶作为连带责任保证人进行担保，并在此授信协议下出具最高额不可</w:t>
      </w:r>
      <w:r>
        <w:rPr>
          <w:spacing w:val="-66"/>
        </w:rPr>
        <w:t> </w:t>
      </w:r>
      <w:r>
        <w:rPr>
          <w:spacing w:val="-66"/>
        </w:rPr>
      </w:r>
      <w:r>
        <w:rPr/>
        <w:t>撤销担保书，资金主要用于日常经营周转。</w:t>
      </w:r>
    </w:p>
    <w:p>
      <w:pPr>
        <w:pStyle w:val="BodyText"/>
        <w:spacing w:line="240" w:lineRule="auto" w:before="26"/>
        <w:ind w:left="513" w:right="982"/>
        <w:jc w:val="left"/>
      </w:pPr>
      <w:r>
        <w:rPr>
          <w:spacing w:val="4"/>
        </w:rPr>
        <w:t>（</w:t>
      </w:r>
      <w:r>
        <w:rPr>
          <w:rFonts w:ascii="Times New Roman" w:hAnsi="Times New Roman" w:cs="Times New Roman" w:eastAsia="Times New Roman" w:hint="default"/>
          <w:spacing w:val="4"/>
        </w:rPr>
        <w:t>5</w:t>
      </w:r>
      <w:r>
        <w:rPr>
          <w:spacing w:val="4"/>
        </w:rPr>
        <w:t>）本公司与浦发银行北京分行签订编号分别为</w:t>
      </w:r>
      <w:r>
        <w:rPr>
          <w:rFonts w:ascii="Times New Roman" w:hAnsi="Times New Roman" w:cs="Times New Roman" w:eastAsia="Times New Roman" w:hint="default"/>
          <w:spacing w:val="4"/>
        </w:rPr>
        <w:t>91122019280055</w:t>
      </w:r>
      <w:r>
        <w:rPr>
          <w:spacing w:val="4"/>
        </w:rPr>
        <w:t>、</w:t>
      </w:r>
      <w:r>
        <w:rPr>
          <w:spacing w:val="30"/>
        </w:rPr>
        <w:t> </w:t>
      </w:r>
      <w:r>
        <w:rPr>
          <w:rFonts w:ascii="Times New Roman" w:hAnsi="Times New Roman" w:cs="Times New Roman" w:eastAsia="Times New Roman" w:hint="default"/>
          <w:spacing w:val="3"/>
        </w:rPr>
        <w:t>91122019280039</w:t>
      </w:r>
      <w:r>
        <w:rPr>
          <w:spacing w:val="3"/>
        </w:rPr>
        <w:t>的借款合同，借款金额分别为</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0"/>
        <w:jc w:val="both"/>
      </w:pPr>
      <w:r>
        <w:rPr>
          <w:rFonts w:ascii="Times New Roman" w:hAnsi="Times New Roman" w:cs="Times New Roman" w:eastAsia="Times New Roman" w:hint="default"/>
        </w:rPr>
        <w:t>13,240,000.00</w:t>
      </w:r>
      <w:r>
        <w:rPr/>
        <w:t>元、</w:t>
      </w:r>
      <w:r>
        <w:rPr>
          <w:rFonts w:ascii="Times New Roman" w:hAnsi="Times New Roman" w:cs="Times New Roman" w:eastAsia="Times New Roman" w:hint="default"/>
        </w:rPr>
        <w:t>26,760,000.00</w:t>
      </w:r>
      <w:r>
        <w:rPr/>
        <w:t>元，借款条件为保证借款，借款期限分别为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spacing w:val="-11"/>
        </w:rPr>
        <w:t> </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43"/>
        </w:rPr>
        <w:t> </w:t>
      </w:r>
      <w:r>
        <w:rPr>
          <w:spacing w:val="9"/>
        </w:rPr>
        <w:t>日至</w:t>
      </w:r>
      <w:r>
        <w:rPr>
          <w:spacing w:val="-7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4"/>
        </w:rPr>
        <w:t> </w:t>
      </w:r>
      <w:r>
        <w:rPr/>
        <w:t>年</w:t>
      </w:r>
      <w:r>
        <w:rPr>
          <w:spacing w:val="-70"/>
        </w:rPr>
        <w:t> </w:t>
      </w:r>
      <w:r>
        <w:rPr>
          <w:rFonts w:ascii="Times New Roman" w:hAnsi="Times New Roman" w:cs="Times New Roman" w:eastAsia="Times New Roman" w:hint="default"/>
        </w:rPr>
        <w:t>9</w:t>
      </w:r>
      <w:r>
        <w:rPr>
          <w:rFonts w:ascii="Times New Roman" w:hAnsi="Times New Roman" w:cs="Times New Roman" w:eastAsia="Times New Roman" w:hint="default"/>
          <w:spacing w:val="-24"/>
        </w:rPr>
        <w:t> </w:t>
      </w:r>
      <w:r>
        <w:rPr/>
        <w:t>月</w:t>
      </w:r>
      <w:r>
        <w:rPr>
          <w:spacing w:val="-73"/>
        </w:rPr>
        <w:t> </w:t>
      </w:r>
      <w:r>
        <w:rPr>
          <w:rFonts w:ascii="Times New Roman" w:hAnsi="Times New Roman" w:cs="Times New Roman" w:eastAsia="Times New Roman" w:hint="default"/>
        </w:rPr>
        <w:t>19</w:t>
      </w:r>
      <w:r>
        <w:rPr>
          <w:rFonts w:ascii="Times New Roman" w:hAnsi="Times New Roman" w:cs="Times New Roman" w:eastAsia="Times New Roman" w:hint="default"/>
          <w:spacing w:val="-24"/>
        </w:rPr>
        <w:t> </w:t>
      </w:r>
      <w:r>
        <w:rPr>
          <w:spacing w:val="9"/>
        </w:rPr>
        <w:t>日；</w:t>
      </w:r>
      <w:r>
        <w:rPr>
          <w:spacing w:val="-70"/>
        </w:rPr>
        <w:t> </w:t>
      </w:r>
      <w:r>
        <w:rPr>
          <w:spacing w:val="18"/>
        </w:rPr>
        <w:t>上述保证借款由吴飞舟及配偶提供全额担保，</w:t>
      </w:r>
      <w:r>
        <w:rPr>
          <w:spacing w:val="-70"/>
        </w:rPr>
        <w:t> </w:t>
      </w:r>
      <w:r>
        <w:rPr>
          <w:spacing w:val="17"/>
        </w:rPr>
        <w:t>保证方式为连带责任保证，</w:t>
      </w:r>
      <w:r>
        <w:rPr>
          <w:spacing w:val="-70"/>
        </w:rPr>
        <w:t> </w:t>
      </w:r>
      <w:r>
        <w:rPr>
          <w:spacing w:val="16"/>
        </w:rPr>
        <w:t>担保合同编号为</w:t>
      </w:r>
      <w:r>
        <w:rPr/>
        <w:t> </w:t>
      </w:r>
      <w:r>
        <w:rPr>
          <w:rFonts w:ascii="Times New Roman" w:hAnsi="Times New Roman" w:cs="Times New Roman" w:eastAsia="Times New Roman" w:hint="default"/>
        </w:rPr>
        <w:t>ZB9112201900000002</w:t>
      </w:r>
      <w:r>
        <w:rPr/>
        <w:t>号，担保额度为</w:t>
      </w:r>
      <w:r>
        <w:rPr>
          <w:rFonts w:ascii="Times New Roman" w:hAnsi="Times New Roman" w:cs="Times New Roman" w:eastAsia="Times New Roman" w:hint="default"/>
        </w:rPr>
        <w:t>50,000,000.00</w:t>
      </w:r>
      <w:r>
        <w:rPr/>
        <w:t>元，资金主要用于支付工资。</w:t>
      </w:r>
    </w:p>
    <w:p>
      <w:pPr>
        <w:pStyle w:val="BodyText"/>
        <w:spacing w:line="300" w:lineRule="auto" w:before="13"/>
        <w:ind w:right="1116" w:firstLine="360"/>
        <w:jc w:val="both"/>
      </w:pPr>
      <w:r>
        <w:rPr>
          <w:spacing w:val="2"/>
        </w:rPr>
        <w:t>（</w:t>
      </w:r>
      <w:r>
        <w:rPr>
          <w:rFonts w:ascii="Times New Roman" w:hAnsi="Times New Roman" w:cs="Times New Roman" w:eastAsia="Times New Roman" w:hint="default"/>
          <w:spacing w:val="2"/>
        </w:rPr>
        <w:t>6</w:t>
      </w:r>
      <w:r>
        <w:rPr>
          <w:spacing w:val="2"/>
        </w:rPr>
        <w:t>）本公司与宁波银行北京分行签订编号分别为</w:t>
      </w:r>
      <w:r>
        <w:rPr>
          <w:rFonts w:ascii="Times New Roman" w:hAnsi="Times New Roman" w:cs="Times New Roman" w:eastAsia="Times New Roman" w:hint="default"/>
          <w:spacing w:val="2"/>
        </w:rPr>
        <w:t>07700LK199HA4I6</w:t>
      </w:r>
      <w:r>
        <w:rPr>
          <w:spacing w:val="2"/>
        </w:rPr>
        <w:t>、</w:t>
      </w:r>
      <w:r>
        <w:rPr>
          <w:rFonts w:ascii="Times New Roman" w:hAnsi="Times New Roman" w:cs="Times New Roman" w:eastAsia="Times New Roman" w:hint="default"/>
          <w:spacing w:val="2"/>
        </w:rPr>
        <w:t>07700LK20198026</w:t>
      </w:r>
      <w:r>
        <w:rPr>
          <w:spacing w:val="2"/>
        </w:rPr>
        <w:t>借款合同，借款金额分别为</w:t>
      </w:r>
      <w:r>
        <w:rPr/>
        <w:t> </w:t>
      </w:r>
      <w:r>
        <w:rPr>
          <w:rFonts w:ascii="Times New Roman" w:hAnsi="Times New Roman" w:cs="Times New Roman" w:eastAsia="Times New Roman" w:hint="default"/>
        </w:rPr>
        <w:t>20,000,000.00</w:t>
      </w:r>
      <w:r>
        <w:rPr/>
        <w:t>元、</w:t>
      </w:r>
      <w:r>
        <w:rPr>
          <w:rFonts w:ascii="Times New Roman" w:hAnsi="Times New Roman" w:cs="Times New Roman" w:eastAsia="Times New Roman" w:hint="default"/>
        </w:rPr>
        <w:t>30,000,000.00</w:t>
      </w:r>
      <w:r>
        <w:rPr/>
        <w:t>元，借款期限分别为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日；上 述保证借款由提供全额担保，保证方式为连带责任保证，担保合同编号为</w:t>
      </w:r>
      <w:r>
        <w:rPr>
          <w:rFonts w:ascii="Times New Roman" w:hAnsi="Times New Roman" w:cs="Times New Roman" w:eastAsia="Times New Roman" w:hint="default"/>
        </w:rPr>
        <w:t>07700KB20188082</w:t>
      </w:r>
      <w:r>
        <w:rPr/>
        <w:t>，担保额度为</w:t>
      </w:r>
      <w:r>
        <w:rPr>
          <w:rFonts w:ascii="Times New Roman" w:hAnsi="Times New Roman" w:cs="Times New Roman" w:eastAsia="Times New Roman" w:hint="default"/>
        </w:rPr>
        <w:t>50,000,000.00</w:t>
      </w:r>
      <w:r>
        <w:rPr/>
        <w:t>元，</w:t>
      </w:r>
      <w:r>
        <w:rPr>
          <w:spacing w:val="-3"/>
        </w:rPr>
        <w:t> </w:t>
      </w:r>
      <w:r>
        <w:rPr/>
        <w:t>资金主要用于补充流动资金。</w:t>
      </w:r>
    </w:p>
    <w:p>
      <w:pPr>
        <w:pStyle w:val="BodyText"/>
        <w:spacing w:line="300" w:lineRule="auto" w:before="31"/>
        <w:ind w:right="1126" w:firstLine="360"/>
        <w:jc w:val="both"/>
      </w:pPr>
      <w:r>
        <w:rPr/>
        <w:t>（</w:t>
      </w:r>
      <w:r>
        <w:rPr>
          <w:rFonts w:ascii="Times New Roman" w:hAnsi="Times New Roman" w:cs="Times New Roman" w:eastAsia="Times New Roman" w:hint="default"/>
        </w:rPr>
        <w:t>7</w:t>
      </w:r>
      <w:r>
        <w:rPr/>
        <w:t>）本公司与中信银行北京知春路支行签订编号分别为（</w:t>
      </w:r>
      <w:r>
        <w:rPr>
          <w:rFonts w:ascii="Times New Roman" w:hAnsi="Times New Roman" w:cs="Times New Roman" w:eastAsia="Times New Roman" w:hint="default"/>
        </w:rPr>
        <w:t>2018</w:t>
      </w:r>
      <w:r>
        <w:rPr/>
        <w:t>）信银营贷字第</w:t>
      </w:r>
      <w:r>
        <w:rPr>
          <w:rFonts w:ascii="Times New Roman" w:hAnsi="Times New Roman" w:cs="Times New Roman" w:eastAsia="Times New Roman" w:hint="default"/>
        </w:rPr>
        <w:t>071604</w:t>
      </w:r>
      <w:r>
        <w:rPr/>
        <w:t>号、（</w:t>
      </w:r>
      <w:r>
        <w:rPr>
          <w:rFonts w:ascii="Times New Roman" w:hAnsi="Times New Roman" w:cs="Times New Roman" w:eastAsia="Times New Roman" w:hint="default"/>
        </w:rPr>
        <w:t>2019</w:t>
      </w:r>
      <w:r>
        <w:rPr/>
        <w:t>）信银贷字第</w:t>
      </w:r>
      <w:r>
        <w:rPr>
          <w:rFonts w:ascii="Times New Roman" w:hAnsi="Times New Roman" w:cs="Times New Roman" w:eastAsia="Times New Roman" w:hint="default"/>
        </w:rPr>
        <w:t>083676 </w:t>
      </w:r>
      <w:r>
        <w:rPr/>
        <w:t>号贷款合同，借款金额分别为</w:t>
      </w:r>
      <w:r>
        <w:rPr>
          <w:rFonts w:ascii="Times New Roman" w:hAnsi="Times New Roman" w:cs="Times New Roman" w:eastAsia="Times New Roman" w:hint="default"/>
        </w:rPr>
        <w:t>30,000,000.00</w:t>
      </w:r>
      <w:r>
        <w:rPr/>
        <w:t>元、</w:t>
      </w:r>
      <w:r>
        <w:rPr>
          <w:rFonts w:ascii="Times New Roman" w:hAnsi="Times New Roman" w:cs="Times New Roman" w:eastAsia="Times New Roman" w:hint="default"/>
        </w:rPr>
        <w:t>30,000,000.00</w:t>
      </w:r>
      <w:r>
        <w:rPr/>
        <w:t>元、</w:t>
      </w:r>
      <w:r>
        <w:rPr>
          <w:rFonts w:ascii="Times New Roman" w:hAnsi="Times New Roman" w:cs="Times New Roman" w:eastAsia="Times New Roman" w:hint="default"/>
        </w:rPr>
        <w:t>15,000,000.00</w:t>
      </w:r>
      <w:r>
        <w:rPr/>
        <w:t>元、</w:t>
      </w:r>
      <w:r>
        <w:rPr>
          <w:rFonts w:ascii="Times New Roman" w:hAnsi="Times New Roman" w:cs="Times New Roman" w:eastAsia="Times New Roman" w:hint="default"/>
        </w:rPr>
        <w:t>5,000,000.00</w:t>
      </w:r>
      <w:r>
        <w:rPr/>
        <w:t>元、</w:t>
      </w:r>
      <w:r>
        <w:rPr>
          <w:rFonts w:ascii="Times New Roman" w:hAnsi="Times New Roman" w:cs="Times New Roman" w:eastAsia="Times New Roman" w:hint="default"/>
        </w:rPr>
        <w:t>20,000,000.00</w:t>
      </w:r>
      <w:r>
        <w:rPr/>
        <w:t>元，借款</w:t>
      </w:r>
    </w:p>
    <w:p>
      <w:pPr>
        <w:pStyle w:val="BodyText"/>
        <w:spacing w:line="300" w:lineRule="auto" w:before="13"/>
        <w:ind w:right="1128"/>
        <w:jc w:val="both"/>
      </w:pPr>
      <w:r>
        <w:rPr>
          <w:spacing w:val="-2"/>
        </w:rPr>
        <w:t>条件为保证借款，借款期限分别为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26</w:t>
      </w:r>
      <w:r>
        <w:rPr>
          <w:spacing w:val="-2"/>
        </w:rPr>
        <w:t>日至</w:t>
      </w:r>
      <w:r>
        <w:rPr>
          <w:rFonts w:ascii="Times New Roman" w:hAnsi="Times New Roman" w:cs="Times New Roman" w:eastAsia="Times New Roman" w:hint="default"/>
          <w:spacing w:val="-2"/>
        </w:rPr>
        <w:t>2020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日；上述保证借款由吴飞舟及配偶提供全额</w:t>
      </w:r>
      <w:r>
        <w:rPr>
          <w:spacing w:val="-43"/>
        </w:rPr>
        <w:t> </w:t>
      </w:r>
      <w:r>
        <w:rPr>
          <w:spacing w:val="-43"/>
        </w:rPr>
      </w:r>
      <w:r>
        <w:rPr/>
        <w:t>担保，保证方式为连带责任保证，担保合同编号分别为（</w:t>
      </w:r>
      <w:r>
        <w:rPr>
          <w:rFonts w:ascii="Times New Roman" w:hAnsi="Times New Roman" w:cs="Times New Roman" w:eastAsia="Times New Roman" w:hint="default"/>
        </w:rPr>
        <w:t>2018</w:t>
      </w:r>
      <w:r>
        <w:rPr/>
        <w:t>）信银营最保字第</w:t>
      </w:r>
      <w:r>
        <w:rPr>
          <w:rFonts w:ascii="Times New Roman" w:hAnsi="Times New Roman" w:cs="Times New Roman" w:eastAsia="Times New Roman" w:hint="default"/>
        </w:rPr>
        <w:t>000200</w:t>
      </w:r>
      <w:r>
        <w:rPr/>
        <w:t>号</w:t>
      </w:r>
      <w:r>
        <w:rPr>
          <w:rFonts w:ascii="Times New Roman" w:hAnsi="Times New Roman" w:cs="Times New Roman" w:eastAsia="Times New Roman" w:hint="default"/>
        </w:rPr>
        <w:t>/</w:t>
      </w:r>
      <w:r>
        <w:rPr/>
        <w:t>第</w:t>
      </w:r>
      <w:r>
        <w:rPr>
          <w:rFonts w:ascii="Times New Roman" w:hAnsi="Times New Roman" w:cs="Times New Roman" w:eastAsia="Times New Roman" w:hint="default"/>
        </w:rPr>
        <w:t>000201</w:t>
      </w:r>
      <w:r>
        <w:rPr/>
        <w:t>号、（</w:t>
      </w:r>
      <w:r>
        <w:rPr>
          <w:rFonts w:ascii="Times New Roman" w:hAnsi="Times New Roman" w:cs="Times New Roman" w:eastAsia="Times New Roman" w:hint="default"/>
        </w:rPr>
        <w:t>2019</w:t>
      </w:r>
      <w:r>
        <w:rPr/>
        <w:t>）信银京保</w:t>
      </w:r>
      <w:r>
        <w:rPr>
          <w:spacing w:val="-47"/>
        </w:rPr>
        <w:t> </w:t>
      </w:r>
      <w:r>
        <w:rPr/>
        <w:t>字第</w:t>
      </w:r>
      <w:r>
        <w:rPr>
          <w:rFonts w:ascii="Times New Roman" w:hAnsi="Times New Roman" w:cs="Times New Roman" w:eastAsia="Times New Roman" w:hint="default"/>
        </w:rPr>
        <w:t>000012</w:t>
      </w:r>
      <w:r>
        <w:rPr/>
        <w:t>号</w:t>
      </w:r>
      <w:r>
        <w:rPr>
          <w:rFonts w:ascii="Times New Roman" w:hAnsi="Times New Roman" w:cs="Times New Roman" w:eastAsia="Times New Roman" w:hint="default"/>
        </w:rPr>
        <w:t>/</w:t>
      </w:r>
      <w:r>
        <w:rPr/>
        <w:t>第</w:t>
      </w:r>
      <w:r>
        <w:rPr>
          <w:rFonts w:ascii="Times New Roman" w:hAnsi="Times New Roman" w:cs="Times New Roman" w:eastAsia="Times New Roman" w:hint="default"/>
        </w:rPr>
        <w:t>000011</w:t>
      </w:r>
      <w:r>
        <w:rPr/>
        <w:t>号，担保额度分为</w:t>
      </w:r>
      <w:r>
        <w:rPr>
          <w:rFonts w:ascii="Times New Roman" w:hAnsi="Times New Roman" w:cs="Times New Roman" w:eastAsia="Times New Roman" w:hint="default"/>
        </w:rPr>
        <w:t>70,000,000.00</w:t>
      </w:r>
      <w:r>
        <w:rPr/>
        <w:t>元、</w:t>
      </w:r>
      <w:r>
        <w:rPr>
          <w:rFonts w:ascii="Times New Roman" w:hAnsi="Times New Roman" w:cs="Times New Roman" w:eastAsia="Times New Roman" w:hint="default"/>
        </w:rPr>
        <w:t>100,000,000.00</w:t>
      </w:r>
      <w:r>
        <w:rPr/>
        <w:t>元，资金用于日常经营周转及偿还其他金融机构</w:t>
      </w:r>
      <w:r>
        <w:rPr>
          <w:spacing w:val="-65"/>
        </w:rPr>
        <w:t> </w:t>
      </w:r>
      <w:r>
        <w:rPr>
          <w:spacing w:val="-65"/>
        </w:rPr>
      </w:r>
      <w:r>
        <w:rPr/>
        <w:t>债务。</w:t>
      </w:r>
    </w:p>
    <w:p>
      <w:pPr>
        <w:pStyle w:val="BodyText"/>
        <w:spacing w:line="300" w:lineRule="auto" w:before="31"/>
        <w:ind w:right="1131" w:firstLine="360"/>
        <w:jc w:val="both"/>
      </w:pPr>
      <w:r>
        <w:rPr/>
        <w:t>（</w:t>
      </w:r>
      <w:r>
        <w:rPr>
          <w:rFonts w:ascii="Times New Roman" w:hAnsi="Times New Roman" w:cs="Times New Roman" w:eastAsia="Times New Roman" w:hint="default"/>
        </w:rPr>
        <w:t>8</w:t>
      </w:r>
      <w:r>
        <w:rPr/>
        <w:t>）本公司与中国工商银行股份有限公司北京翠微路支行签订编号</w:t>
      </w:r>
      <w:r>
        <w:rPr>
          <w:rFonts w:ascii="Times New Roman" w:hAnsi="Times New Roman" w:cs="Times New Roman" w:eastAsia="Times New Roman" w:hint="default"/>
        </w:rPr>
        <w:t>0020000086-2019</w:t>
      </w:r>
      <w:r>
        <w:rPr/>
        <w:t>年（翠微）字</w:t>
      </w:r>
      <w:r>
        <w:rPr>
          <w:rFonts w:ascii="Times New Roman" w:hAnsi="Times New Roman" w:cs="Times New Roman" w:eastAsia="Times New Roman" w:hint="default"/>
        </w:rPr>
        <w:t>00241</w:t>
      </w:r>
      <w:r>
        <w:rPr/>
        <w:t>号合同，借款 </w:t>
      </w:r>
      <w:r>
        <w:rPr>
          <w:spacing w:val="-1"/>
        </w:rPr>
        <w:t>金额为</w:t>
      </w:r>
      <w:r>
        <w:rPr>
          <w:rFonts w:ascii="Times New Roman" w:hAnsi="Times New Roman" w:cs="Times New Roman" w:eastAsia="Times New Roman" w:hint="default"/>
          <w:spacing w:val="-1"/>
        </w:rPr>
        <w:t>30,000,000.00</w:t>
      </w:r>
      <w:r>
        <w:rPr>
          <w:spacing w:val="-1"/>
        </w:rPr>
        <w:t>元，借款期限为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27</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26</w:t>
      </w:r>
      <w:r>
        <w:rPr>
          <w:spacing w:val="-1"/>
        </w:rPr>
        <w:t>日；上述保证借款由吴飞舟及配偶提供连带责任担保，担</w:t>
      </w:r>
      <w:r>
        <w:rPr>
          <w:spacing w:val="-74"/>
        </w:rPr>
        <w:t> </w:t>
      </w:r>
      <w:r>
        <w:rPr>
          <w:spacing w:val="-74"/>
        </w:rPr>
      </w:r>
      <w:r>
        <w:rPr/>
        <w:t>保合同编号为工银京翠微</w:t>
      </w:r>
      <w:r>
        <w:rPr>
          <w:rFonts w:ascii="Times New Roman" w:hAnsi="Times New Roman" w:cs="Times New Roman" w:eastAsia="Times New Roman" w:hint="default"/>
        </w:rPr>
        <w:t>[2017]</w:t>
      </w:r>
      <w:r>
        <w:rPr/>
        <w:t>保证</w:t>
      </w:r>
      <w:r>
        <w:rPr>
          <w:rFonts w:ascii="Times New Roman" w:hAnsi="Times New Roman" w:cs="Times New Roman" w:eastAsia="Times New Roman" w:hint="default"/>
        </w:rPr>
        <w:t>0004</w:t>
      </w:r>
      <w:r>
        <w:rPr/>
        <w:t>号，担保金额</w:t>
      </w:r>
      <w:r>
        <w:rPr>
          <w:rFonts w:ascii="Times New Roman" w:hAnsi="Times New Roman" w:cs="Times New Roman" w:eastAsia="Times New Roman" w:hint="default"/>
        </w:rPr>
        <w:t>30,000,000.00</w:t>
      </w:r>
      <w:r>
        <w:rPr/>
        <w:t>元，资金主要用于支付员工工资等日常经营周转。</w:t>
      </w:r>
    </w:p>
    <w:p>
      <w:pPr>
        <w:pStyle w:val="BodyText"/>
        <w:spacing w:line="300" w:lineRule="auto" w:before="13"/>
        <w:ind w:right="1128" w:firstLine="360"/>
        <w:jc w:val="both"/>
      </w:pPr>
      <w:r>
        <w:rPr>
          <w:spacing w:val="-1"/>
        </w:rPr>
        <w:t>（</w:t>
      </w:r>
      <w:r>
        <w:rPr>
          <w:rFonts w:ascii="Times New Roman" w:hAnsi="Times New Roman" w:cs="Times New Roman" w:eastAsia="Times New Roman" w:hint="default"/>
          <w:spacing w:val="-1"/>
        </w:rPr>
        <w:t>9</w:t>
      </w:r>
      <w:r>
        <w:rPr>
          <w:spacing w:val="-1"/>
        </w:rPr>
        <w:t>）本公司与南京银行北京中关村支行签订编号</w:t>
      </w:r>
      <w:r>
        <w:rPr>
          <w:rFonts w:ascii="Times New Roman" w:hAnsi="Times New Roman" w:cs="Times New Roman" w:eastAsia="Times New Roman" w:hint="default"/>
          <w:spacing w:val="-1"/>
        </w:rPr>
        <w:t>Ba155191906270043</w:t>
      </w:r>
      <w:r>
        <w:rPr>
          <w:spacing w:val="-1"/>
        </w:rPr>
        <w:t>号借款合同，借款金额为</w:t>
      </w:r>
      <w:r>
        <w:rPr>
          <w:rFonts w:ascii="Times New Roman" w:hAnsi="Times New Roman" w:cs="Times New Roman" w:eastAsia="Times New Roman" w:hint="default"/>
          <w:spacing w:val="-1"/>
        </w:rPr>
        <w:t>50,000,000.00</w:t>
      </w:r>
      <w:r>
        <w:rPr>
          <w:spacing w:val="-1"/>
        </w:rPr>
        <w:t>元，借款期</w:t>
      </w:r>
      <w:r>
        <w:rPr/>
        <w:t> </w:t>
      </w:r>
      <w:r>
        <w:rPr>
          <w:spacing w:val="-2"/>
        </w:rPr>
        <w:t>限为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28</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28</w:t>
      </w:r>
      <w:r>
        <w:rPr>
          <w:spacing w:val="-2"/>
        </w:rPr>
        <w:t>日；上述保证借款由北京海淀科技企业融资担保有限公司提供担保，吴飞舟提供连带责任</w:t>
      </w:r>
      <w:r>
        <w:rPr>
          <w:spacing w:val="-57"/>
        </w:rPr>
        <w:t> </w:t>
      </w:r>
      <w:r>
        <w:rPr>
          <w:spacing w:val="-57"/>
        </w:rPr>
      </w:r>
      <w:r>
        <w:rPr/>
        <w:t>担保，担保金额</w:t>
      </w:r>
      <w:r>
        <w:rPr>
          <w:rFonts w:ascii="Times New Roman" w:hAnsi="Times New Roman" w:cs="Times New Roman" w:eastAsia="Times New Roman" w:hint="default"/>
        </w:rPr>
        <w:t>50,000,000.00</w:t>
      </w:r>
      <w:r>
        <w:rPr/>
        <w:t>元，资金主要用于支付员工工资等日常经营周转。</w:t>
      </w:r>
    </w:p>
    <w:p>
      <w:pPr>
        <w:pStyle w:val="BodyText"/>
        <w:spacing w:line="300" w:lineRule="auto" w:before="13"/>
        <w:ind w:right="1128" w:firstLine="360"/>
        <w:jc w:val="both"/>
      </w:pPr>
      <w:r>
        <w:rPr/>
        <w:t>（</w:t>
      </w:r>
      <w:r>
        <w:rPr>
          <w:rFonts w:ascii="Times New Roman" w:hAnsi="Times New Roman" w:cs="Times New Roman" w:eastAsia="Times New Roman" w:hint="default"/>
        </w:rPr>
        <w:t>10</w:t>
      </w:r>
      <w:r>
        <w:rPr/>
        <w:t>）子公司上海实均信息技术有限公司与北京银行股份有限公司中关村海淀园支行签订编号为</w:t>
      </w:r>
      <w:r>
        <w:rPr>
          <w:rFonts w:ascii="Times New Roman" w:hAnsi="Times New Roman" w:cs="Times New Roman" w:eastAsia="Times New Roman" w:hint="default"/>
        </w:rPr>
        <w:t>0559909</w:t>
      </w:r>
      <w:r>
        <w:rPr/>
        <w:t>的借款合同， 借款金额为</w:t>
      </w:r>
      <w:r>
        <w:rPr>
          <w:rFonts w:ascii="Times New Roman" w:hAnsi="Times New Roman" w:cs="Times New Roman" w:eastAsia="Times New Roman" w:hint="default"/>
        </w:rPr>
        <w:t>4,500,000.00</w:t>
      </w:r>
      <w:r>
        <w:rPr/>
        <w:t>元，借款期限为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日；上述保证借款由北京思特奇信息技术股份有限公</w:t>
      </w:r>
      <w:r>
        <w:rPr>
          <w:spacing w:val="-51"/>
        </w:rPr>
        <w:t> </w:t>
      </w:r>
      <w:r>
        <w:rPr>
          <w:spacing w:val="-51"/>
        </w:rPr>
      </w:r>
      <w:r>
        <w:rPr>
          <w:spacing w:val="14"/>
        </w:rPr>
        <w:t>司提供担保，吴飞舟及配偶提供连带责任担保，</w:t>
      </w:r>
      <w:r>
        <w:rPr>
          <w:spacing w:val="-73"/>
        </w:rPr>
        <w:t> </w:t>
      </w:r>
      <w:r>
        <w:rPr>
          <w:spacing w:val="12"/>
        </w:rPr>
        <w:t>担保合同编号为</w:t>
      </w:r>
      <w:r>
        <w:rPr>
          <w:spacing w:val="-66"/>
        </w:rPr>
        <w:t> </w:t>
      </w:r>
      <w:r>
        <w:rPr>
          <w:rFonts w:ascii="Times New Roman" w:hAnsi="Times New Roman" w:cs="Times New Roman" w:eastAsia="Times New Roman" w:hint="default"/>
        </w:rPr>
        <w:t>0559853-001/0559853-002/0559853-003</w:t>
      </w:r>
      <w:r>
        <w:rPr>
          <w:rFonts w:ascii="Times New Roman" w:hAnsi="Times New Roman" w:cs="Times New Roman" w:eastAsia="Times New Roman" w:hint="default"/>
          <w:spacing w:val="-26"/>
        </w:rPr>
        <w:t> </w:t>
      </w:r>
      <w:r>
        <w:rPr>
          <w:spacing w:val="12"/>
        </w:rPr>
        <w:t>，担保金额为</w:t>
      </w:r>
      <w:r>
        <w:rPr>
          <w:spacing w:val="-88"/>
        </w:rPr>
        <w:t> </w:t>
      </w:r>
      <w:r>
        <w:rPr>
          <w:spacing w:val="-88"/>
        </w:rPr>
      </w:r>
      <w:r>
        <w:rPr>
          <w:rFonts w:ascii="Times New Roman" w:hAnsi="Times New Roman" w:cs="Times New Roman" w:eastAsia="Times New Roman" w:hint="default"/>
        </w:rPr>
        <w:t>4,500,000.00</w:t>
      </w:r>
      <w:r>
        <w:rPr/>
        <w:t>元，资金主要用于支付员工工资以及采购等日常经营周转。</w:t>
      </w:r>
    </w:p>
    <w:p>
      <w:pPr>
        <w:pStyle w:val="BodyText"/>
        <w:spacing w:line="300" w:lineRule="auto" w:before="13"/>
        <w:ind w:right="982" w:firstLine="360"/>
        <w:jc w:val="left"/>
      </w:pPr>
      <w:r>
        <w:rPr>
          <w:spacing w:val="-2"/>
        </w:rPr>
        <w:t>（</w:t>
      </w:r>
      <w:r>
        <w:rPr>
          <w:rFonts w:ascii="Times New Roman" w:hAnsi="Times New Roman" w:cs="Times New Roman" w:eastAsia="Times New Roman" w:hint="default"/>
          <w:spacing w:val="-2"/>
        </w:rPr>
        <w:t>11</w:t>
      </w:r>
      <w:r>
        <w:rPr>
          <w:spacing w:val="-2"/>
        </w:rPr>
        <w:t>）子公司深圳思特奇信息技术有限公司与北京银行股份有限公司中关村海淀园支行签订编号为</w:t>
      </w:r>
      <w:r>
        <w:rPr>
          <w:rFonts w:ascii="Times New Roman" w:hAnsi="Times New Roman" w:cs="Times New Roman" w:eastAsia="Times New Roman" w:hint="default"/>
          <w:spacing w:val="-2"/>
        </w:rPr>
        <w:t>0559899</w:t>
      </w:r>
      <w:r>
        <w:rPr>
          <w:spacing w:val="-2"/>
        </w:rPr>
        <w:t>的借款合同，</w:t>
      </w:r>
      <w:r>
        <w:rPr/>
        <w:t> 借款金额为</w:t>
      </w:r>
      <w:r>
        <w:rPr>
          <w:rFonts w:ascii="Times New Roman" w:hAnsi="Times New Roman" w:cs="Times New Roman" w:eastAsia="Times New Roman" w:hint="default"/>
        </w:rPr>
        <w:t>3,000,000.00</w:t>
      </w:r>
      <w:r>
        <w:rPr/>
        <w:t>元，借款期限为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日；上述保证借款由北京思特奇信息技术股份有限公</w:t>
      </w:r>
      <w:r>
        <w:rPr>
          <w:spacing w:val="-50"/>
        </w:rPr>
        <w:t> </w:t>
      </w:r>
      <w:r>
        <w:rPr>
          <w:spacing w:val="-50"/>
        </w:rPr>
      </w:r>
      <w:r>
        <w:rPr>
          <w:spacing w:val="14"/>
        </w:rPr>
        <w:t>司提供担保，吴飞舟及配偶提供连带责任担保，</w:t>
      </w:r>
      <w:r>
        <w:rPr>
          <w:spacing w:val="-74"/>
        </w:rPr>
        <w:t> </w:t>
      </w:r>
      <w:r>
        <w:rPr>
          <w:spacing w:val="12"/>
        </w:rPr>
        <w:t>担保合同编号为</w:t>
      </w:r>
      <w:r>
        <w:rPr>
          <w:spacing w:val="-67"/>
        </w:rPr>
        <w:t> </w:t>
      </w:r>
      <w:r>
        <w:rPr>
          <w:rFonts w:ascii="Times New Roman" w:hAnsi="Times New Roman" w:cs="Times New Roman" w:eastAsia="Times New Roman" w:hint="default"/>
        </w:rPr>
        <w:t>0559843-001/0559843-002/0559843-003</w:t>
      </w:r>
      <w:r>
        <w:rPr>
          <w:rFonts w:ascii="Times New Roman" w:hAnsi="Times New Roman" w:cs="Times New Roman" w:eastAsia="Times New Roman" w:hint="default"/>
          <w:spacing w:val="-27"/>
        </w:rPr>
        <w:t> </w:t>
      </w:r>
      <w:r>
        <w:rPr>
          <w:spacing w:val="12"/>
        </w:rPr>
        <w:t>，担保金额为</w:t>
      </w:r>
      <w:r>
        <w:rPr>
          <w:spacing w:val="-86"/>
        </w:rPr>
        <w:t> </w:t>
      </w:r>
      <w:r>
        <w:rPr>
          <w:spacing w:val="-86"/>
        </w:rPr>
      </w:r>
      <w:r>
        <w:rPr>
          <w:rFonts w:ascii="Times New Roman" w:hAnsi="Times New Roman" w:cs="Times New Roman" w:eastAsia="Times New Roman" w:hint="default"/>
        </w:rPr>
        <w:t>3,000,000.00</w:t>
      </w:r>
      <w:r>
        <w:rPr/>
        <w:t>元，资金主要用于支付员工工资以及采购等日常经营周转。</w:t>
      </w:r>
    </w:p>
    <w:p>
      <w:pPr>
        <w:pStyle w:val="BodyText"/>
        <w:spacing w:line="300" w:lineRule="auto" w:before="13"/>
        <w:ind w:right="1128" w:firstLine="360"/>
        <w:jc w:val="both"/>
      </w:pPr>
      <w:r>
        <w:rPr/>
        <w:t>（</w:t>
      </w:r>
      <w:r>
        <w:rPr>
          <w:rFonts w:ascii="Times New Roman" w:hAnsi="Times New Roman" w:cs="Times New Roman" w:eastAsia="Times New Roman" w:hint="default"/>
        </w:rPr>
        <w:t>12</w:t>
      </w:r>
      <w:r>
        <w:rPr/>
        <w:t>）子公司北京无限易信科技有限公司与北京银行股份有限公司中关村海淀园支行签订编号</w:t>
      </w:r>
      <w:r>
        <w:rPr>
          <w:rFonts w:ascii="Times New Roman" w:hAnsi="Times New Roman" w:cs="Times New Roman" w:eastAsia="Times New Roman" w:hint="default"/>
        </w:rPr>
        <w:t>0559813</w:t>
      </w:r>
      <w:r>
        <w:rPr/>
        <w:t>的借款合同，借 款金额为</w:t>
      </w:r>
      <w:r>
        <w:rPr>
          <w:rFonts w:ascii="Times New Roman" w:hAnsi="Times New Roman" w:cs="Times New Roman" w:eastAsia="Times New Roman" w:hint="default"/>
        </w:rPr>
        <w:t>500,000.00</w:t>
      </w:r>
      <w:r>
        <w:rPr/>
        <w:t>元，借款期限为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日；上述保证借款由北京思特奇信息技术股份有限公司提 供担保，吴飞舟及配偶提供连带责任担保，担保合同编号为</w:t>
      </w:r>
      <w:r>
        <w:rPr>
          <w:rFonts w:ascii="Times New Roman" w:hAnsi="Times New Roman" w:cs="Times New Roman" w:eastAsia="Times New Roman" w:hint="default"/>
        </w:rPr>
        <w:t>0559629-001/0559629-002/0559629-003</w:t>
      </w:r>
      <w:r>
        <w:rPr/>
        <w:t>，担保金额为</w:t>
      </w:r>
      <w:r>
        <w:rPr>
          <w:rFonts w:ascii="Times New Roman" w:hAnsi="Times New Roman" w:cs="Times New Roman" w:eastAsia="Times New Roman" w:hint="default"/>
        </w:rPr>
        <w:t>500,000.00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元，资金主要用于支付员工工资以及采购等日常经营周转。</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12,741,218.47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840,732.78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16,323,222.31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8,680,780.11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存货暂估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1,771,084.95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11,752,323.92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30,835,525.73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21,273,836.81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left="373" w:right="107"/>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36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双方未结算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1,320,000.00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left="373" w:right="107"/>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73" w:right="107"/>
        <w:jc w:val="left"/>
      </w:pPr>
      <w:r>
        <w:rPr/>
        <w:t>是否已执行新收入准则</w:t>
      </w:r>
    </w:p>
    <w:p>
      <w:pPr>
        <w:pStyle w:val="BodyText"/>
        <w:spacing w:line="240" w:lineRule="auto" w:before="117"/>
        <w:ind w:left="373" w:right="10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6"/>
          <w:szCs w:val="26"/>
        </w:rPr>
      </w:pPr>
    </w:p>
    <w:p>
      <w:pPr>
        <w:pStyle w:val="Heading4"/>
        <w:spacing w:line="240" w:lineRule="auto"/>
        <w:ind w:left="373" w:right="107"/>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36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42,400,387.61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41,145,844.70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42,400,387.61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41,145,844.70</w:t>
            </w:r>
          </w:p>
        </w:tc>
      </w:tr>
    </w:tbl>
    <w:p>
      <w:pPr>
        <w:spacing w:line="240" w:lineRule="auto" w:before="3"/>
        <w:rPr>
          <w:rFonts w:ascii="宋体" w:hAnsi="宋体" w:cs="宋体" w:eastAsia="宋体" w:hint="default"/>
          <w:sz w:val="19"/>
          <w:szCs w:val="19"/>
        </w:rPr>
      </w:pPr>
    </w:p>
    <w:p>
      <w:pPr>
        <w:pStyle w:val="Heading4"/>
        <w:spacing w:line="240" w:lineRule="auto" w:before="36"/>
        <w:ind w:left="373" w:right="107"/>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73" w:right="107"/>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480"/>
        <w:gridCol w:w="1915"/>
        <w:gridCol w:w="1916"/>
        <w:gridCol w:w="1913"/>
        <w:gridCol w:w="1916"/>
      </w:tblGrid>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95,981,789.96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516,713,112.40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521,982,024.24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90,712,878.12</w:t>
            </w: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35,208,380.74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35,208,380.74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2,143,279.33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2,143,279.33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95,981,789.96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554,064,772.47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559,333,684.31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90,712,878.12</w:t>
            </w:r>
          </w:p>
        </w:tc>
      </w:tr>
    </w:tbl>
    <w:p>
      <w:pPr>
        <w:spacing w:line="240" w:lineRule="auto" w:before="3"/>
        <w:rPr>
          <w:rFonts w:ascii="宋体" w:hAnsi="宋体" w:cs="宋体" w:eastAsia="宋体" w:hint="default"/>
          <w:sz w:val="19"/>
          <w:szCs w:val="19"/>
        </w:rPr>
      </w:pPr>
    </w:p>
    <w:p>
      <w:pPr>
        <w:pStyle w:val="Heading4"/>
        <w:spacing w:line="240" w:lineRule="auto" w:before="36"/>
        <w:ind w:left="373" w:right="107"/>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7" w:type="dxa"/>
        <w:tblLayout w:type="fixed"/>
        <w:tblCellMar>
          <w:top w:w="0" w:type="dxa"/>
          <w:left w:w="0" w:type="dxa"/>
          <w:bottom w:w="0" w:type="dxa"/>
          <w:right w:w="0" w:type="dxa"/>
        </w:tblCellMar>
        <w:tblLook w:val="01E0"/>
      </w:tblPr>
      <w:tblGrid>
        <w:gridCol w:w="2340"/>
        <w:gridCol w:w="1916"/>
        <w:gridCol w:w="1913"/>
        <w:gridCol w:w="1916"/>
        <w:gridCol w:w="1913"/>
      </w:tblGrid>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0" w:right="0"/>
              <w:jc w:val="left"/>
              <w:rPr>
                <w:rFonts w:ascii="Times New Roman" w:hAnsi="Times New Roman" w:cs="Times New Roman" w:eastAsia="Times New Roman" w:hint="default"/>
                <w:sz w:val="18"/>
                <w:szCs w:val="18"/>
              </w:rPr>
            </w:pPr>
            <w:r>
              <w:rPr>
                <w:rFonts w:ascii="Times New Roman"/>
                <w:sz w:val="18"/>
              </w:rPr>
              <w:t>95,981,789.96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460,338,736.74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465,607,648.58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90,712,878.12</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9,636,909.02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9,636,909.02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19,577,831.67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19,577,831.67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17,623,703.87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17,623,703.87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509,513.70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509,513.70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760" w:right="0"/>
        </w:sectPr>
      </w:pPr>
    </w:p>
    <w:p>
      <w:pPr>
        <w:spacing w:line="240" w:lineRule="auto" w:before="4"/>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39"/>
        <w:gridCol w:w="1916"/>
        <w:gridCol w:w="1913"/>
        <w:gridCol w:w="1916"/>
        <w:gridCol w:w="1913"/>
      </w:tblGrid>
      <w:tr>
        <w:trPr>
          <w:trHeight w:val="401"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1,444,614.10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1,444,614.10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9,649,285.64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9,649,285.64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18,450.36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18,450.36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17,491,898.97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17,491,898.97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0" w:right="0"/>
              <w:jc w:val="left"/>
              <w:rPr>
                <w:rFonts w:ascii="Times New Roman" w:hAnsi="Times New Roman" w:cs="Times New Roman" w:eastAsia="Times New Roman" w:hint="default"/>
                <w:sz w:val="18"/>
                <w:szCs w:val="18"/>
              </w:rPr>
            </w:pPr>
            <w:r>
              <w:rPr>
                <w:rFonts w:ascii="Times New Roman"/>
                <w:sz w:val="18"/>
              </w:rPr>
              <w:t>95,981,789.96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516,713,112.40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521,982,024.24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90,712,878.12</w:t>
            </w:r>
          </w:p>
        </w:tc>
      </w:tr>
    </w:tbl>
    <w:p>
      <w:pPr>
        <w:spacing w:line="240" w:lineRule="auto" w:before="3"/>
        <w:rPr>
          <w:rFonts w:ascii="宋体" w:hAnsi="宋体" w:cs="宋体" w:eastAsia="宋体" w:hint="default"/>
          <w:sz w:val="19"/>
          <w:szCs w:val="19"/>
        </w:rPr>
      </w:pPr>
    </w:p>
    <w:p>
      <w:pPr>
        <w:pStyle w:val="Heading4"/>
        <w:spacing w:line="240" w:lineRule="auto" w:before="36"/>
        <w:ind w:left="293"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8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33,948,992.71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33,948,992.71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1,259,388.03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1,259,388.03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35,208,380.74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35,208,380.74</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293" w:right="0"/>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28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15,222,880.45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17,670,971.74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3,159,568.06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7,518,439.39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1,560,605.87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1,545,391.94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962,873.33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1,625,702.83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695,437.54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534,360.57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230,106.40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17,087.00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残障金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667,570.82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1,222.87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22,500,265.34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28,911,953.47</w:t>
            </w:r>
          </w:p>
        </w:tc>
      </w:tr>
    </w:tbl>
    <w:p>
      <w:pPr>
        <w:spacing w:line="240" w:lineRule="auto" w:before="3"/>
        <w:rPr>
          <w:rFonts w:ascii="宋体" w:hAnsi="宋体" w:cs="宋体" w:eastAsia="宋体" w:hint="default"/>
          <w:sz w:val="19"/>
          <w:szCs w:val="19"/>
        </w:rPr>
      </w:pPr>
    </w:p>
    <w:p>
      <w:pPr>
        <w:pStyle w:val="Heading4"/>
        <w:spacing w:line="240" w:lineRule="auto" w:before="36"/>
        <w:ind w:left="293" w:right="0"/>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8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862,322.50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373,302.50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15,597,274.22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40,719,298.66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16,459,596.72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41,092,601.16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840" w:right="0"/>
        </w:sectPr>
      </w:pPr>
    </w:p>
    <w:p>
      <w:pPr>
        <w:spacing w:line="240" w:lineRule="auto" w:before="8"/>
        <w:rPr>
          <w:rFonts w:ascii="宋体" w:hAnsi="宋体" w:cs="宋体" w:eastAsia="宋体" w:hint="default"/>
          <w:sz w:val="24"/>
          <w:szCs w:val="24"/>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140,875.00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721,447.50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373,302.50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862,322.50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373,302.50</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4,341,269.06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3,129,302.43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1,667,320.02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1,557,830.02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1,596,430.17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9,579,602.34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1,509,280.33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2,950,738.93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21,208,500.00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1,340,159.96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5,142,814.68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2,293,324.94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15,597,274.22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40,719,298.66</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26</w:t>
      </w:r>
      <w:r>
        <w:rPr/>
        <w:t>、其他流动负债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是否已执行新收入准则</w:t>
      </w:r>
    </w:p>
    <w:p>
      <w:pPr>
        <w:pStyle w:val="BodyText"/>
        <w:spacing w:line="240" w:lineRule="auto" w:before="117"/>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27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28</w:t>
      </w:r>
      <w:r>
        <w:rPr/>
        <w:t>、预计负债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2"/>
        <w:jc w:val="left"/>
      </w:pPr>
      <w:r>
        <w:rPr/>
        <w:t>是否已执行新收入准则</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1,216,238.10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340,635.68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1,216,238.10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340,635.68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3" w:right="982" w:hanging="360"/>
        <w:jc w:val="left"/>
      </w:pPr>
      <w:r>
        <w:rPr/>
        <w:t>其他说明，包括重要预计负债的相关重要假设、估计说明： </w:t>
      </w:r>
      <w:r>
        <w:rPr>
          <w:spacing w:val="-2"/>
        </w:rPr>
        <w:t>注：通过比较合同的工程计划收入（即不含增值税金额和商品销售收入）与对应的工程预算（即不含采购成本和外包成</w:t>
      </w:r>
    </w:p>
    <w:p>
      <w:pPr>
        <w:pStyle w:val="BodyText"/>
        <w:spacing w:line="224" w:lineRule="exact"/>
        <w:ind w:right="982"/>
        <w:jc w:val="left"/>
      </w:pPr>
      <w:r>
        <w:rPr/>
        <w:t>本）之间的差异，计划收入小于工程预算的，即为亏损合同。企业待执行合同变成亏损合同时，企业拥有合同标的资产的，</w:t>
      </w:r>
    </w:p>
    <w:p>
      <w:pPr>
        <w:pStyle w:val="BodyText"/>
        <w:spacing w:line="316" w:lineRule="auto" w:before="76"/>
        <w:ind w:right="982"/>
        <w:jc w:val="left"/>
      </w:pPr>
      <w:r>
        <w:rPr>
          <w:spacing w:val="-2"/>
        </w:rPr>
        <w:t>先对标的资产进行减值测试并按规定确认减值损失，如预计亏损超过该减值损失，将超过部分确认为预计负债。无合同标的</w:t>
      </w:r>
      <w:r>
        <w:rPr>
          <w:spacing w:val="-63"/>
        </w:rPr>
        <w:t> </w:t>
      </w:r>
      <w:r>
        <w:rPr>
          <w:spacing w:val="-63"/>
        </w:rPr>
      </w:r>
      <w:r>
        <w:rPr/>
        <w:t>资产的，亏损合同相关义务满足预计负债确认条件时，确认为预计负债。</w:t>
      </w:r>
    </w:p>
    <w:p>
      <w:pPr>
        <w:spacing w:line="240" w:lineRule="auto" w:before="9"/>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29</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是否已执行新收入准则</w:t>
      </w:r>
    </w:p>
    <w:p>
      <w:pPr>
        <w:pStyle w:val="BodyText"/>
        <w:spacing w:line="240" w:lineRule="auto" w:before="117"/>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30</w:t>
      </w:r>
      <w:r>
        <w:rPr/>
        <w:t>、股本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6"/>
        <w:gridCol w:w="1197"/>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106,117,800.00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 w:right="0"/>
              <w:jc w:val="left"/>
              <w:rPr>
                <w:rFonts w:ascii="Times New Roman" w:hAnsi="Times New Roman" w:cs="Times New Roman" w:eastAsia="Times New Roman" w:hint="default"/>
                <w:sz w:val="18"/>
                <w:szCs w:val="18"/>
              </w:rPr>
            </w:pPr>
            <w:r>
              <w:rPr>
                <w:rFonts w:ascii="Times New Roman"/>
                <w:sz w:val="18"/>
              </w:rPr>
              <w:t>52,476,512.00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2" w:right="0"/>
              <w:jc w:val="left"/>
              <w:rPr>
                <w:rFonts w:ascii="Times New Roman" w:hAnsi="Times New Roman" w:cs="Times New Roman" w:eastAsia="Times New Roman" w:hint="default"/>
                <w:sz w:val="18"/>
                <w:szCs w:val="18"/>
              </w:rPr>
            </w:pPr>
            <w:r>
              <w:rPr>
                <w:rFonts w:ascii="Times New Roman"/>
                <w:sz w:val="18"/>
              </w:rPr>
              <w:t>-942,600.00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 w:right="0"/>
              <w:jc w:val="left"/>
              <w:rPr>
                <w:rFonts w:ascii="Times New Roman" w:hAnsi="Times New Roman" w:cs="Times New Roman" w:eastAsia="Times New Roman" w:hint="default"/>
                <w:sz w:val="18"/>
                <w:szCs w:val="18"/>
              </w:rPr>
            </w:pPr>
            <w:r>
              <w:rPr>
                <w:rFonts w:ascii="Times New Roman"/>
                <w:sz w:val="18"/>
              </w:rPr>
              <w:t>51,533,912.00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7" w:right="0"/>
              <w:jc w:val="left"/>
              <w:rPr>
                <w:rFonts w:ascii="Times New Roman" w:hAnsi="Times New Roman" w:cs="Times New Roman" w:eastAsia="Times New Roman" w:hint="default"/>
                <w:sz w:val="18"/>
                <w:szCs w:val="18"/>
              </w:rPr>
            </w:pPr>
            <w:r>
              <w:rPr>
                <w:rFonts w:ascii="Times New Roman"/>
                <w:sz w:val="18"/>
              </w:rPr>
              <w:t>157,651,712.00</w:t>
            </w:r>
          </w:p>
        </w:tc>
      </w:tr>
    </w:tbl>
    <w:p>
      <w:pPr>
        <w:pStyle w:val="BodyText"/>
        <w:spacing w:line="240" w:lineRule="auto" w:before="51"/>
        <w:ind w:right="982"/>
        <w:jc w:val="left"/>
      </w:pPr>
      <w:r>
        <w:rPr/>
        <w:t>其他说明：</w:t>
      </w:r>
    </w:p>
    <w:p>
      <w:pPr>
        <w:pStyle w:val="BodyText"/>
        <w:spacing w:line="300" w:lineRule="auto" w:before="117"/>
        <w:ind w:right="1128"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日，公司召开了</w:t>
      </w:r>
      <w:r>
        <w:rPr>
          <w:rFonts w:ascii="Times New Roman" w:hAnsi="Times New Roman" w:cs="Times New Roman" w:eastAsia="Times New Roman" w:hint="default"/>
        </w:rPr>
        <w:t>2018 </w:t>
      </w:r>
      <w:r>
        <w:rPr/>
        <w:t>年第四次临时股东大会，审议通过了《关于终止实施</w:t>
      </w:r>
      <w:r>
        <w:rPr>
          <w:rFonts w:ascii="Times New Roman" w:hAnsi="Times New Roman" w:cs="Times New Roman" w:eastAsia="Times New Roman" w:hint="default"/>
        </w:rPr>
        <w:t>&lt;2017</w:t>
      </w:r>
      <w:r>
        <w:rPr>
          <w:rFonts w:ascii="Times New Roman" w:hAnsi="Times New Roman" w:cs="Times New Roman" w:eastAsia="Times New Roman" w:hint="default"/>
          <w:spacing w:val="-4"/>
        </w:rPr>
        <w:t> </w:t>
      </w:r>
      <w:r>
        <w:rPr/>
        <w:t>年限制性股票激励 </w:t>
      </w:r>
      <w:r>
        <w:rPr>
          <w:spacing w:val="-1"/>
        </w:rPr>
        <w:t>计划</w:t>
      </w:r>
      <w:r>
        <w:rPr>
          <w:rFonts w:ascii="Times New Roman" w:hAnsi="Times New Roman" w:cs="Times New Roman" w:eastAsia="Times New Roman" w:hint="default"/>
          <w:spacing w:val="-1"/>
        </w:rPr>
        <w:t>&gt;</w:t>
      </w:r>
      <w:r>
        <w:rPr>
          <w:spacing w:val="-1"/>
        </w:rPr>
        <w:t>暨回购注销已授予尚未解除限售的全部限制性股票的议案》，回购数量为</w:t>
      </w:r>
      <w:r>
        <w:rPr>
          <w:rFonts w:ascii="Times New Roman" w:hAnsi="Times New Roman" w:cs="Times New Roman" w:eastAsia="Times New Roman" w:hint="default"/>
          <w:spacing w:val="-1"/>
        </w:rPr>
        <w:t>94.26</w:t>
      </w:r>
      <w:r>
        <w:rPr>
          <w:spacing w:val="-1"/>
        </w:rPr>
        <w:t>万股，回购价格为</w:t>
      </w:r>
      <w:r>
        <w:rPr>
          <w:rFonts w:ascii="Times New Roman" w:hAnsi="Times New Roman" w:cs="Times New Roman" w:eastAsia="Times New Roman" w:hint="default"/>
          <w:spacing w:val="-1"/>
        </w:rPr>
        <w:t>22.5</w:t>
      </w:r>
      <w:r>
        <w:rPr>
          <w:spacing w:val="-1"/>
        </w:rPr>
        <w:t>元</w:t>
      </w:r>
      <w:r>
        <w:rPr>
          <w:rFonts w:ascii="Times New Roman" w:hAnsi="Times New Roman" w:cs="Times New Roman" w:eastAsia="Times New Roman" w:hint="default"/>
          <w:spacing w:val="-1"/>
        </w:rPr>
        <w:t>/</w:t>
      </w:r>
      <w:r>
        <w:rPr>
          <w:spacing w:val="-1"/>
        </w:rPr>
        <w:t>股，截至</w:t>
      </w:r>
      <w:r>
        <w:rPr>
          <w:rFonts w:ascii="Times New Roman" w:hAnsi="Times New Roman" w:cs="Times New Roman" w:eastAsia="Times New Roman" w:hint="default"/>
          <w:spacing w:val="-1"/>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日，公司已归还</w:t>
      </w:r>
      <w:r>
        <w:rPr>
          <w:rFonts w:ascii="Times New Roman" w:hAnsi="Times New Roman" w:cs="Times New Roman" w:eastAsia="Times New Roman" w:hint="default"/>
        </w:rPr>
        <w:t>408</w:t>
      </w:r>
      <w:r>
        <w:rPr/>
        <w:t>名激励对象的出资，本次限制性股票回购事项业经瑞华会计师事务所（特殊普通合伙）验证并出</w:t>
      </w:r>
      <w:r>
        <w:rPr>
          <w:spacing w:val="-85"/>
        </w:rPr>
        <w:t> </w:t>
      </w:r>
      <w:r>
        <w:rPr>
          <w:spacing w:val="-85"/>
        </w:rPr>
      </w:r>
      <w:r>
        <w:rPr/>
        <w:t>具瑞华验字【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02300001</w:t>
      </w:r>
      <w:r>
        <w:rPr/>
        <w:t>号验资报告。</w:t>
      </w:r>
    </w:p>
    <w:p>
      <w:pPr>
        <w:pStyle w:val="BodyText"/>
        <w:spacing w:line="300" w:lineRule="auto" w:before="13"/>
        <w:ind w:right="1128"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日，公司召开了</w:t>
      </w:r>
      <w:r>
        <w:rPr>
          <w:rFonts w:ascii="Times New Roman" w:hAnsi="Times New Roman" w:cs="Times New Roman" w:eastAsia="Times New Roman" w:hint="default"/>
          <w:spacing w:val="-2"/>
        </w:rPr>
        <w:t>2018</w:t>
      </w:r>
      <w:r>
        <w:rPr>
          <w:spacing w:val="-2"/>
        </w:rPr>
        <w:t>年年度股东大会，审议通过了《关于</w:t>
      </w:r>
      <w:r>
        <w:rPr>
          <w:rFonts w:ascii="Times New Roman" w:hAnsi="Times New Roman" w:cs="Times New Roman" w:eastAsia="Times New Roman" w:hint="default"/>
          <w:spacing w:val="-2"/>
        </w:rPr>
        <w:t>2018</w:t>
      </w:r>
      <w:r>
        <w:rPr>
          <w:spacing w:val="-2"/>
        </w:rPr>
        <w:t>年度利润分配方案的议案》，以公司总</w:t>
      </w:r>
      <w:r>
        <w:rPr/>
        <w:t> 股本</w:t>
      </w:r>
      <w:r>
        <w:rPr>
          <w:rFonts w:ascii="Times New Roman" w:hAnsi="Times New Roman" w:cs="Times New Roman" w:eastAsia="Times New Roman" w:hint="default"/>
        </w:rPr>
        <w:t>10,517.52</w:t>
      </w:r>
      <w:r>
        <w:rPr/>
        <w:t>万股扣除公司从二级市场回购的</w:t>
      </w:r>
      <w:r>
        <w:rPr>
          <w:rFonts w:ascii="Times New Roman" w:hAnsi="Times New Roman" w:cs="Times New Roman" w:eastAsia="Times New Roman" w:hint="default"/>
        </w:rPr>
        <w:t>222,176</w:t>
      </w:r>
      <w:r>
        <w:rPr/>
        <w:t>股后的股本</w:t>
      </w:r>
      <w:r>
        <w:rPr>
          <w:rFonts w:ascii="Times New Roman" w:hAnsi="Times New Roman" w:cs="Times New Roman" w:eastAsia="Times New Roman" w:hint="default"/>
        </w:rPr>
        <w:t>104,953,024</w:t>
      </w:r>
      <w:r>
        <w:rPr/>
        <w:t>股为基数</w:t>
      </w:r>
      <w:r>
        <w:rPr>
          <w:rFonts w:ascii="Times New Roman" w:hAnsi="Times New Roman" w:cs="Times New Roman" w:eastAsia="Times New Roman" w:hint="default"/>
        </w:rPr>
        <w:t>,</w:t>
      </w:r>
      <w:r>
        <w:rPr/>
        <w:t>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r>
        <w:rPr>
          <w:rFonts w:ascii="Times New Roman" w:hAnsi="Times New Roman" w:cs="Times New Roman" w:eastAsia="Times New Roman" w:hint="default"/>
        </w:rPr>
        <w:t>, </w:t>
      </w:r>
      <w:r>
        <w:rPr>
          <w:spacing w:val="2"/>
        </w:rPr>
        <w:t>分配后</w:t>
      </w:r>
      <w:r>
        <w:rPr>
          <w:spacing w:val="-69"/>
        </w:rPr>
        <w:t> </w:t>
      </w:r>
      <w:r>
        <w:rPr>
          <w:spacing w:val="-69"/>
        </w:rPr>
      </w:r>
      <w:r>
        <w:rPr/>
        <w:t>总股本增至</w:t>
      </w:r>
      <w:r>
        <w:rPr>
          <w:rFonts w:ascii="Times New Roman" w:hAnsi="Times New Roman" w:cs="Times New Roman" w:eastAsia="Times New Roman" w:hint="default"/>
        </w:rPr>
        <w:t>157,651,712</w:t>
      </w:r>
      <w:r>
        <w:rPr/>
        <w:t>股。</w:t>
      </w:r>
    </w:p>
    <w:p>
      <w:pPr>
        <w:spacing w:line="240" w:lineRule="auto" w:before="2"/>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31</w:t>
      </w:r>
      <w:r>
        <w:rPr/>
        <w:t>、资本公积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295,914,784.55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69,179,955.96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226,734,828.59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4,592,196.00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4,592,196.00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300,506,980.55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69,179,955.96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231,327,024.59</w:t>
            </w:r>
          </w:p>
        </w:tc>
      </w:tr>
    </w:tbl>
    <w:p>
      <w:pPr>
        <w:pStyle w:val="BodyText"/>
        <w:spacing w:line="240" w:lineRule="auto" w:before="51"/>
        <w:ind w:right="982"/>
        <w:jc w:val="left"/>
      </w:pPr>
      <w:r>
        <w:rPr/>
        <w:t>其他说明，包括本期增减变动情况、变动原因说明：</w:t>
      </w:r>
    </w:p>
    <w:p>
      <w:pPr>
        <w:pStyle w:val="BodyText"/>
        <w:spacing w:line="240" w:lineRule="auto" w:before="114"/>
        <w:ind w:left="513" w:right="98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日，公司召开了</w:t>
      </w:r>
      <w:r>
        <w:rPr>
          <w:rFonts w:ascii="Times New Roman" w:hAnsi="Times New Roman" w:cs="Times New Roman" w:eastAsia="Times New Roman" w:hint="default"/>
        </w:rPr>
        <w:t>2018 </w:t>
      </w:r>
      <w:r>
        <w:rPr/>
        <w:t>年第四次临时股东大会，审议通过了《关于终止实施</w:t>
      </w:r>
      <w:r>
        <w:rPr>
          <w:rFonts w:ascii="Times New Roman" w:hAnsi="Times New Roman" w:cs="Times New Roman" w:eastAsia="Times New Roman" w:hint="default"/>
        </w:rPr>
        <w:t>&lt;2017</w:t>
      </w:r>
      <w:r>
        <w:rPr>
          <w:rFonts w:ascii="Times New Roman" w:hAnsi="Times New Roman" w:cs="Times New Roman" w:eastAsia="Times New Roman" w:hint="default"/>
          <w:spacing w:val="-11"/>
        </w:rPr>
        <w:t> </w:t>
      </w:r>
      <w:r>
        <w:rPr/>
        <w:t>年限制性股票激励</w:t>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333" w:right="401"/>
        <w:jc w:val="left"/>
      </w:pPr>
      <w:r>
        <w:rPr/>
        <w:t>计划</w:t>
      </w:r>
      <w:r>
        <w:rPr>
          <w:rFonts w:ascii="Times New Roman" w:hAnsi="Times New Roman" w:cs="Times New Roman" w:eastAsia="Times New Roman" w:hint="default"/>
        </w:rPr>
        <w:t>&gt;</w:t>
      </w:r>
      <w:r>
        <w:rPr/>
        <w:t>暨回购注销已授予尚未解除限售的全部限制性股票的议案》，回购数量为</w:t>
      </w:r>
      <w:r>
        <w:rPr>
          <w:rFonts w:ascii="Times New Roman" w:hAnsi="Times New Roman" w:cs="Times New Roman" w:eastAsia="Times New Roman" w:hint="default"/>
        </w:rPr>
        <w:t>94.26</w:t>
      </w:r>
      <w:r>
        <w:rPr/>
        <w:t>万股，股票回购日收盘价</w:t>
      </w:r>
      <w:r>
        <w:rPr>
          <w:rFonts w:ascii="Times New Roman" w:hAnsi="Times New Roman" w:cs="Times New Roman" w:eastAsia="Times New Roman" w:hint="default"/>
        </w:rPr>
        <w:t>18.72</w:t>
      </w:r>
      <w:r>
        <w:rPr/>
        <w:t>元</w:t>
      </w:r>
      <w:r>
        <w:rPr>
          <w:rFonts w:ascii="Times New Roman" w:hAnsi="Times New Roman" w:cs="Times New Roman" w:eastAsia="Times New Roman" w:hint="default"/>
        </w:rPr>
        <w:t>/</w:t>
      </w:r>
      <w:r>
        <w:rPr/>
        <w:t>股，</w:t>
      </w:r>
      <w:r>
        <w:rPr>
          <w:spacing w:val="-57"/>
        </w:rPr>
        <w:t> </w:t>
      </w:r>
      <w:r>
        <w:rPr/>
        <w:t>回购数量对应的收盘价与票面价值的差额共计</w:t>
      </w:r>
      <w:r>
        <w:rPr>
          <w:rFonts w:ascii="Times New Roman" w:hAnsi="Times New Roman" w:cs="Times New Roman" w:eastAsia="Times New Roman" w:hint="default"/>
        </w:rPr>
        <w:t>16,702,872</w:t>
      </w:r>
      <w:r>
        <w:rPr/>
        <w:t>元冲减资本溢价。</w:t>
      </w:r>
    </w:p>
    <w:p>
      <w:pPr>
        <w:pStyle w:val="BodyText"/>
        <w:spacing w:line="300" w:lineRule="auto" w:before="13"/>
        <w:ind w:left="333" w:right="401"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日及</w:t>
      </w:r>
      <w:r>
        <w:rPr>
          <w:rFonts w:ascii="Times New Roman" w:hAnsi="Times New Roman" w:cs="Times New Roman" w:eastAsia="Times New Roman" w:hint="default"/>
        </w:rPr>
        <w:t>15</w:t>
      </w:r>
      <w:r>
        <w:rPr/>
        <w:t>日，公司通过回购专用证券账户以集中竞价交易方式累计回购股份数量 </w:t>
      </w:r>
      <w:r>
        <w:rPr>
          <w:rFonts w:ascii="Times New Roman" w:hAnsi="Times New Roman" w:cs="Times New Roman" w:eastAsia="Times New Roman" w:hint="default"/>
        </w:rPr>
        <w:t>222,176</w:t>
      </w:r>
      <w:r>
        <w:rPr>
          <w:rFonts w:ascii="Times New Roman" w:hAnsi="Times New Roman" w:cs="Times New Roman" w:eastAsia="Times New Roman" w:hint="default"/>
          <w:spacing w:val="1"/>
        </w:rPr>
        <w:t> </w:t>
      </w:r>
      <w:r>
        <w:rPr/>
        <w:t>股，发生回 购杂费及手续费</w:t>
      </w:r>
      <w:r>
        <w:rPr>
          <w:rFonts w:ascii="Times New Roman" w:hAnsi="Times New Roman" w:cs="Times New Roman" w:eastAsia="Times New Roman" w:hint="default"/>
        </w:rPr>
        <w:t>571.96</w:t>
      </w:r>
      <w:r>
        <w:rPr/>
        <w:t>元，冲减资本溢价。</w:t>
      </w:r>
    </w:p>
    <w:p>
      <w:pPr>
        <w:pStyle w:val="BodyText"/>
        <w:spacing w:line="300" w:lineRule="auto" w:before="13"/>
        <w:ind w:left="333" w:right="401" w:firstLine="36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日，公司召开了</w:t>
      </w:r>
      <w:r>
        <w:rPr>
          <w:rFonts w:ascii="Times New Roman" w:hAnsi="Times New Roman" w:cs="Times New Roman" w:eastAsia="Times New Roman" w:hint="default"/>
          <w:spacing w:val="-2"/>
        </w:rPr>
        <w:t>2018</w:t>
      </w:r>
      <w:r>
        <w:rPr>
          <w:spacing w:val="-2"/>
        </w:rPr>
        <w:t>年年度股东大会，审议通过了《关于</w:t>
      </w:r>
      <w:r>
        <w:rPr>
          <w:rFonts w:ascii="Times New Roman" w:hAnsi="Times New Roman" w:cs="Times New Roman" w:eastAsia="Times New Roman" w:hint="default"/>
          <w:spacing w:val="-2"/>
        </w:rPr>
        <w:t>2018</w:t>
      </w:r>
      <w:r>
        <w:rPr>
          <w:spacing w:val="-2"/>
        </w:rPr>
        <w:t>年度利润分配方案的议案》，以资本公</w:t>
      </w:r>
      <w:r>
        <w:rPr/>
        <w:t> 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股，导致股本溢价减少</w:t>
      </w:r>
      <w:r>
        <w:rPr>
          <w:rFonts w:ascii="Times New Roman" w:hAnsi="Times New Roman" w:cs="Times New Roman" w:eastAsia="Times New Roman" w:hint="default"/>
        </w:rPr>
        <w:t>52,476,512</w:t>
      </w:r>
      <w:r>
        <w:rPr/>
        <w:t>。</w:t>
      </w:r>
    </w:p>
    <w:p>
      <w:pPr>
        <w:spacing w:line="240" w:lineRule="auto" w:before="2"/>
        <w:rPr>
          <w:rFonts w:ascii="宋体" w:hAnsi="宋体" w:cs="宋体" w:eastAsia="宋体" w:hint="default"/>
          <w:sz w:val="22"/>
          <w:szCs w:val="22"/>
        </w:rPr>
      </w:pPr>
    </w:p>
    <w:p>
      <w:pPr>
        <w:pStyle w:val="Heading4"/>
        <w:spacing w:line="240" w:lineRule="auto"/>
        <w:ind w:left="333" w:right="3619"/>
        <w:jc w:val="left"/>
        <w:rPr>
          <w:b w:val="0"/>
          <w:bCs w:val="0"/>
        </w:rPr>
      </w:pPr>
      <w:r>
        <w:rPr>
          <w:rFonts w:ascii="Times New Roman" w:hAnsi="Times New Roman" w:cs="Times New Roman" w:eastAsia="Times New Roman" w:hint="default"/>
        </w:rPr>
        <w:t>32</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32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3,997,624.96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3,997,624.96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3,997,624.96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3,997,624.96</w:t>
            </w:r>
          </w:p>
        </w:tc>
      </w:tr>
    </w:tbl>
    <w:p>
      <w:pPr>
        <w:pStyle w:val="BodyText"/>
        <w:spacing w:line="240" w:lineRule="auto" w:before="51"/>
        <w:ind w:left="333" w:right="3619"/>
        <w:jc w:val="left"/>
      </w:pPr>
      <w:r>
        <w:rPr/>
        <w:t>其他说明，包括本期增减变动情况、变动原因说明：</w:t>
      </w:r>
    </w:p>
    <w:p>
      <w:pPr>
        <w:pStyle w:val="BodyText"/>
        <w:spacing w:line="300" w:lineRule="auto" w:before="117"/>
        <w:ind w:left="333" w:right="1128"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日，公司召开了</w:t>
      </w:r>
      <w:r>
        <w:rPr>
          <w:rFonts w:ascii="Times New Roman" w:hAnsi="Times New Roman" w:cs="Times New Roman" w:eastAsia="Times New Roman" w:hint="default"/>
        </w:rPr>
        <w:t>2018 </w:t>
      </w:r>
      <w:r>
        <w:rPr/>
        <w:t>年第四次临时股东大会，审议通过了《关于终止实施</w:t>
      </w:r>
      <w:r>
        <w:rPr>
          <w:rFonts w:ascii="Times New Roman" w:hAnsi="Times New Roman" w:cs="Times New Roman" w:eastAsia="Times New Roman" w:hint="default"/>
        </w:rPr>
        <w:t>&lt;2017</w:t>
      </w:r>
      <w:r>
        <w:rPr>
          <w:rFonts w:ascii="Times New Roman" w:hAnsi="Times New Roman" w:cs="Times New Roman" w:eastAsia="Times New Roman" w:hint="default"/>
          <w:spacing w:val="-4"/>
        </w:rPr>
        <w:t> </w:t>
      </w:r>
      <w:r>
        <w:rPr/>
        <w:t>年限制性股票激励 计划</w:t>
      </w:r>
      <w:r>
        <w:rPr>
          <w:rFonts w:ascii="Times New Roman" w:hAnsi="Times New Roman" w:cs="Times New Roman" w:eastAsia="Times New Roman" w:hint="default"/>
        </w:rPr>
        <w:t>&gt;</w:t>
      </w:r>
      <w:r>
        <w:rPr/>
        <w:t>暨回购注销已授予尚未解除限售的全部限制性股票的议案》，回购数量为</w:t>
      </w:r>
      <w:r>
        <w:rPr>
          <w:rFonts w:ascii="Times New Roman" w:hAnsi="Times New Roman" w:cs="Times New Roman" w:eastAsia="Times New Roman" w:hint="default"/>
        </w:rPr>
        <w:t>94.26</w:t>
      </w:r>
      <w:r>
        <w:rPr/>
        <w:t>万股，回购价格</w:t>
      </w:r>
      <w:r>
        <w:rPr>
          <w:rFonts w:ascii="Times New Roman" w:hAnsi="Times New Roman" w:cs="Times New Roman" w:eastAsia="Times New Roman" w:hint="default"/>
        </w:rPr>
        <w:t>22.5</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日，公司已归还</w:t>
      </w:r>
      <w:r>
        <w:rPr>
          <w:rFonts w:ascii="Times New Roman" w:hAnsi="Times New Roman" w:cs="Times New Roman" w:eastAsia="Times New Roman" w:hint="default"/>
        </w:rPr>
        <w:t>408</w:t>
      </w:r>
      <w:r>
        <w:rPr/>
        <w:t>名激励对象的出资，限制性股票回购义务履行完毕，减少库存股</w:t>
      </w:r>
      <w:r>
        <w:rPr>
          <w:rFonts w:ascii="Times New Roman" w:hAnsi="Times New Roman" w:cs="Times New Roman" w:eastAsia="Times New Roman" w:hint="default"/>
        </w:rPr>
        <w:t>21,208,500</w:t>
      </w:r>
      <w:r>
        <w:rPr/>
        <w:t>元。</w:t>
      </w:r>
    </w:p>
    <w:p>
      <w:pPr>
        <w:pStyle w:val="BodyText"/>
        <w:spacing w:line="300" w:lineRule="auto" w:before="13"/>
        <w:ind w:left="333" w:right="1131"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日及</w:t>
      </w:r>
      <w:r>
        <w:rPr>
          <w:rFonts w:ascii="Times New Roman" w:hAnsi="Times New Roman" w:cs="Times New Roman" w:eastAsia="Times New Roman" w:hint="default"/>
        </w:rPr>
        <w:t>15</w:t>
      </w:r>
      <w:r>
        <w:rPr/>
        <w:t>日，公司通过回购专用证券账户以集中竞价交易方式累计回购股份数量 </w:t>
      </w:r>
      <w:r>
        <w:rPr>
          <w:rFonts w:ascii="Times New Roman" w:hAnsi="Times New Roman" w:cs="Times New Roman" w:eastAsia="Times New Roman" w:hint="default"/>
        </w:rPr>
        <w:t>222,176</w:t>
      </w:r>
      <w:r>
        <w:rPr>
          <w:rFonts w:ascii="Times New Roman" w:hAnsi="Times New Roman" w:cs="Times New Roman" w:eastAsia="Times New Roman" w:hint="default"/>
          <w:spacing w:val="1"/>
        </w:rPr>
        <w:t> </w:t>
      </w:r>
      <w:r>
        <w:rPr/>
        <w:t>股，占公司 总股本比例 </w:t>
      </w:r>
      <w:r>
        <w:rPr>
          <w:rFonts w:ascii="Times New Roman" w:hAnsi="Times New Roman" w:cs="Times New Roman" w:eastAsia="Times New Roman" w:hint="default"/>
        </w:rPr>
        <w:t>0.2094%</w:t>
      </w:r>
      <w:r>
        <w:rPr/>
        <w:t>，最高成交价 </w:t>
      </w:r>
      <w:r>
        <w:rPr>
          <w:rFonts w:ascii="Times New Roman" w:hAnsi="Times New Roman" w:cs="Times New Roman" w:eastAsia="Times New Roman" w:hint="default"/>
        </w:rPr>
        <w:t>18.29 </w:t>
      </w:r>
      <w:r>
        <w:rPr/>
        <w:t>元</w:t>
      </w:r>
      <w:r>
        <w:rPr>
          <w:rFonts w:ascii="Times New Roman" w:hAnsi="Times New Roman" w:cs="Times New Roman" w:eastAsia="Times New Roman" w:hint="default"/>
        </w:rPr>
        <w:t>/</w:t>
      </w:r>
      <w:r>
        <w:rPr/>
        <w:t>股，最低成交价 </w:t>
      </w:r>
      <w:r>
        <w:rPr>
          <w:rFonts w:ascii="Times New Roman" w:hAnsi="Times New Roman" w:cs="Times New Roman" w:eastAsia="Times New Roman" w:hint="default"/>
        </w:rPr>
        <w:t>17.55 </w:t>
      </w:r>
      <w:r>
        <w:rPr/>
        <w:t>元</w:t>
      </w:r>
      <w:r>
        <w:rPr>
          <w:rFonts w:ascii="Times New Roman" w:hAnsi="Times New Roman" w:cs="Times New Roman" w:eastAsia="Times New Roman" w:hint="default"/>
        </w:rPr>
        <w:t>/</w:t>
      </w:r>
      <w:r>
        <w:rPr/>
        <w:t>股，已使用资金总额人民币 </w:t>
      </w:r>
      <w:r>
        <w:rPr>
          <w:rFonts w:ascii="Times New Roman" w:hAnsi="Times New Roman" w:cs="Times New Roman" w:eastAsia="Times New Roman" w:hint="default"/>
        </w:rPr>
        <w:t>3,997,624.96</w:t>
      </w:r>
      <w:r>
        <w:rPr>
          <w:rFonts w:ascii="Times New Roman" w:hAnsi="Times New Roman" w:cs="Times New Roman" w:eastAsia="Times New Roman" w:hint="default"/>
          <w:spacing w:val="4"/>
        </w:rPr>
        <w:t> </w:t>
      </w:r>
      <w:r>
        <w:rPr/>
        <w:t>元。</w:t>
      </w:r>
    </w:p>
    <w:p>
      <w:pPr>
        <w:spacing w:line="240" w:lineRule="auto" w:before="2"/>
        <w:rPr>
          <w:rFonts w:ascii="宋体" w:hAnsi="宋体" w:cs="宋体" w:eastAsia="宋体" w:hint="default"/>
          <w:sz w:val="22"/>
          <w:szCs w:val="22"/>
        </w:rPr>
      </w:pPr>
    </w:p>
    <w:p>
      <w:pPr>
        <w:pStyle w:val="Heading4"/>
        <w:spacing w:line="240" w:lineRule="auto"/>
        <w:ind w:left="333" w:right="3619"/>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984"/>
        <w:gridCol w:w="974"/>
        <w:gridCol w:w="852"/>
        <w:gridCol w:w="1049"/>
        <w:gridCol w:w="852"/>
        <w:gridCol w:w="853"/>
        <w:gridCol w:w="854"/>
        <w:gridCol w:w="852"/>
        <w:gridCol w:w="797"/>
      </w:tblGrid>
      <w:tr>
        <w:trPr>
          <w:trHeight w:val="402" w:hRule="exact"/>
        </w:trPr>
        <w:tc>
          <w:tcPr>
            <w:tcW w:w="2984" w:type="dxa"/>
            <w:vMerge w:val="restart"/>
            <w:tcBorders>
              <w:top w:val="single" w:sz="4" w:space="0" w:color="000000"/>
              <w:left w:val="single" w:sz="4" w:space="0" w:color="000000"/>
              <w:right w:val="single" w:sz="4" w:space="0" w:color="000000"/>
            </w:tcBorders>
            <w:shd w:val="clear" w:color="auto" w:fill="D2D2D2"/>
          </w:tcPr>
          <w:p>
            <w:pP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8" w:hRule="exact"/>
        </w:trPr>
        <w:tc>
          <w:tcPr>
            <w:tcW w:w="2984" w:type="dxa"/>
            <w:vMerge/>
            <w:tcBorders>
              <w:left w:val="single" w:sz="4" w:space="0" w:color="000000"/>
              <w:bottom w:val="nil" w:sz="6" w:space="0" w:color="auto"/>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2" w:right="58"/>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4" w:lineRule="auto"/>
              <w:ind w:left="151" w:right="58"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4" w:lineRule="auto"/>
              <w:ind w:left="62" w:right="60"/>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2" w:right="5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2D2D2"/>
          </w:tcPr>
          <w:p>
            <w:pPr/>
          </w:p>
        </w:tc>
      </w:tr>
      <w:tr>
        <w:trPr>
          <w:trHeight w:val="391" w:hRule="exact"/>
        </w:trPr>
        <w:tc>
          <w:tcPr>
            <w:tcW w:w="29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830" w:hRule="exact"/>
        </w:trPr>
        <w:tc>
          <w:tcPr>
            <w:tcW w:w="2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32,916.45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4,492.26</w:t>
            </w:r>
          </w:p>
        </w:tc>
        <w:tc>
          <w:tcPr>
            <w:tcW w:w="10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4,492.26</w:t>
            </w:r>
          </w:p>
        </w:tc>
        <w:tc>
          <w:tcPr>
            <w:tcW w:w="85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37,408.71</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32,916.45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4,492.26</w:t>
            </w:r>
          </w:p>
        </w:tc>
        <w:tc>
          <w:tcPr>
            <w:tcW w:w="10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4,492.26</w:t>
            </w:r>
          </w:p>
        </w:tc>
        <w:tc>
          <w:tcPr>
            <w:tcW w:w="85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37,408.71</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32,916.45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4,492.26</w:t>
            </w:r>
          </w:p>
        </w:tc>
        <w:tc>
          <w:tcPr>
            <w:tcW w:w="104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4,492.26</w:t>
            </w:r>
          </w:p>
        </w:tc>
        <w:tc>
          <w:tcPr>
            <w:tcW w:w="85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37,408.71</w:t>
            </w:r>
          </w:p>
        </w:tc>
      </w:tr>
    </w:tbl>
    <w:p>
      <w:pPr>
        <w:spacing w:line="240" w:lineRule="auto" w:before="3"/>
        <w:rPr>
          <w:rFonts w:ascii="宋体" w:hAnsi="宋体" w:cs="宋体" w:eastAsia="宋体" w:hint="default"/>
          <w:sz w:val="19"/>
          <w:szCs w:val="19"/>
        </w:rPr>
      </w:pPr>
    </w:p>
    <w:p>
      <w:pPr>
        <w:pStyle w:val="Heading4"/>
        <w:spacing w:line="240" w:lineRule="auto" w:before="36"/>
        <w:ind w:left="333" w:right="3619"/>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32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44,768,531.88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10,012,035.78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54,780,567.66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44,768,531.88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10,012,035.78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54,780,567.66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800" w:right="0"/>
        </w:sectPr>
      </w:pPr>
    </w:p>
    <w:p>
      <w:pPr>
        <w:spacing w:line="240" w:lineRule="auto" w:before="8"/>
        <w:rPr>
          <w:rFonts w:ascii="宋体" w:hAnsi="宋体" w:cs="宋体" w:eastAsia="宋体" w:hint="default"/>
          <w:sz w:val="24"/>
          <w:szCs w:val="24"/>
        </w:rPr>
      </w:pPr>
    </w:p>
    <w:p>
      <w:pPr>
        <w:pStyle w:val="Heading4"/>
        <w:spacing w:line="240" w:lineRule="auto" w:before="36"/>
        <w:ind w:right="982"/>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5"/>
        <w:gridCol w:w="2924"/>
        <w:gridCol w:w="2919"/>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284,525,881.96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232,398,876.23</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284,525,881.96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232,398,876.23</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91,020,478.07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85,315,661.84</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10,012,035.78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8,647,776.11</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27,287,786.24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24,540,880.00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338,246,538.01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284,525,881.96</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36</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859,779,941.79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427,662,829.95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787,696,203.48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388,853,873.47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859,779,941.79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427,662,829.95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787,696,203.48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388,853,873.47</w:t>
            </w:r>
          </w:p>
        </w:tc>
      </w:tr>
    </w:tbl>
    <w:p>
      <w:pPr>
        <w:pStyle w:val="BodyText"/>
        <w:spacing w:line="240" w:lineRule="auto" w:before="51"/>
        <w:ind w:right="982"/>
        <w:jc w:val="left"/>
      </w:pPr>
      <w:r>
        <w:rPr/>
        <w:t>是否已执行新收入准则</w:t>
      </w:r>
    </w:p>
    <w:p>
      <w:pPr>
        <w:pStyle w:val="BodyText"/>
        <w:spacing w:line="240" w:lineRule="auto" w:before="117"/>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37</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2,048,168.00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2,665,598.52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1,488,837.13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1,903,998.91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171,780.22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163,107.04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4,348.80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4,348.80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9,760.00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8,300.00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678,069.40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437,495.10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1,413.60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残障金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948,206.44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1,040,334.57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5,350,583.59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6,223,182.94</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54,873,565.30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54,160,082.19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23,279,944.40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21,226,205.97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差旅费住宿费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11,948,896.39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11,939,038.95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3,275,263.37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1,540,505.92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3,243,543.95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1,970,846.47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1,313,650.67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181,752.07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1,079,244.53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790,222.06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招聘与培训费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933,801.05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413,891.88</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水电及物业管理费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928,697.26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648,895.76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2,549,820.83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4,028,381.78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103,426,427.75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96,899,823.05</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30,712,958.62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30,972,700.48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7,911,764.91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5,190,417.57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3,689,810.81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2,304,713.81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2,597,270.57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1,799,863.97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1,480,973.64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2,208,753.94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1,470,452.92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1,657,117.88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5,248,189.54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6,294,433.14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53,111,421.01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50,428,000.79</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40</w:t>
      </w:r>
      <w:r>
        <w:rPr/>
        <w:t>、研发费用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126,584,085.56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123,096,276.27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12,360,731.54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6,985,026.84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5,852,841.92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2,017,277.50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4,936,318.97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4,391,519.03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3,631,020.20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3,015,777.46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员工招聘及培训费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3,457,788.61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334,078.44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10,703,322.48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8,166,154.23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167,526,109.28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148,006,109.77</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18,401,354.12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9,899,805.00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1,579,470.62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1,436,995.24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-530,419.32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-524,625.28</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2,140,751.57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134,283.99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18,432,215.75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8,072,468.47</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42</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8,566,764.43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8,928,759.39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1,875,215.96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54,898.15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北京市海淀区残疾人劳动就业管理服务 所补贴款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10,611,878.54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8,928,759.39</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-876,493.60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-115,388.08</w:t>
            </w:r>
          </w:p>
        </w:tc>
      </w:tr>
      <w:tr>
        <w:trPr>
          <w:trHeight w:val="404"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34,151.42</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441,452.89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1,847,597.20</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-435,040.71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1,766,360.54</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44</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-580,567.23</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2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应收票坏账值损失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122,276.20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-458,291.03</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253" w:right="0"/>
        <w:jc w:val="left"/>
        <w:rPr>
          <w:b w:val="0"/>
          <w:bCs w:val="0"/>
        </w:rPr>
      </w:pPr>
      <w:r>
        <w:rPr>
          <w:rFonts w:ascii="Times New Roman" w:hAnsi="Times New Roman" w:cs="Times New Roman" w:eastAsia="Times New Roman" w:hint="default"/>
        </w:rPr>
        <w:t>45</w:t>
      </w:r>
      <w:r>
        <w:rPr/>
        <w:t>、资产减值损失</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880" w:right="0"/>
        </w:sectPr>
      </w:pPr>
    </w:p>
    <w:p>
      <w:pPr>
        <w:pStyle w:val="BodyText"/>
        <w:spacing w:line="240" w:lineRule="auto" w:before="44"/>
        <w:ind w:left="253" w:right="-20"/>
        <w:jc w:val="left"/>
      </w:pPr>
      <w:r>
        <w:rPr/>
        <w:t>是否已执行新收入准则</w:t>
      </w:r>
    </w:p>
    <w:p>
      <w:pPr>
        <w:pStyle w:val="BodyText"/>
        <w:spacing w:line="240" w:lineRule="auto" w:before="115"/>
        <w:ind w:left="253"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53" w:right="0"/>
        <w:jc w:val="left"/>
      </w:pPr>
      <w:r>
        <w:rPr/>
        <w:t>单位：</w:t>
      </w:r>
      <w:r>
        <w:rPr>
          <w:spacing w:val="1"/>
        </w:rPr>
        <w:t> </w:t>
      </w:r>
      <w:r>
        <w:rPr/>
        <w:t>元</w:t>
      </w:r>
    </w:p>
    <w:p>
      <w:pPr>
        <w:spacing w:after="0" w:line="240" w:lineRule="auto"/>
        <w:jc w:val="left"/>
        <w:sectPr>
          <w:type w:val="continuous"/>
          <w:pgSz w:w="11910" w:h="16840"/>
          <w:pgMar w:top="1060" w:bottom="1160" w:left="880" w:right="0"/>
          <w:cols w:num="2" w:equalWidth="0">
            <w:col w:w="2054" w:space="6775"/>
            <w:col w:w="2201"/>
          </w:cols>
        </w:sectPr>
      </w:pPr>
    </w:p>
    <w:p>
      <w:pPr>
        <w:spacing w:line="240" w:lineRule="auto" w:before="2"/>
        <w:rPr>
          <w:rFonts w:ascii="宋体" w:hAnsi="宋体" w:cs="宋体" w:eastAsia="宋体" w:hint="default"/>
          <w:sz w:val="8"/>
          <w:szCs w:val="8"/>
        </w:rPr>
      </w:pPr>
    </w:p>
    <w:tbl>
      <w:tblPr>
        <w:tblW w:w="0" w:type="auto"/>
        <w:jc w:val="left"/>
        <w:tblInd w:w="2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-2,683,511.39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-4,245,899.28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-4,002,177.94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-2,145,159.45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-6,391,058.73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-6,685,689.33</w:t>
            </w:r>
          </w:p>
        </w:tc>
      </w:tr>
    </w:tbl>
    <w:p>
      <w:pPr>
        <w:spacing w:line="240" w:lineRule="auto" w:before="3"/>
        <w:rPr>
          <w:rFonts w:ascii="宋体" w:hAnsi="宋体" w:cs="宋体" w:eastAsia="宋体" w:hint="default"/>
          <w:sz w:val="19"/>
          <w:szCs w:val="19"/>
        </w:rPr>
      </w:pPr>
    </w:p>
    <w:p>
      <w:pPr>
        <w:pStyle w:val="Heading4"/>
        <w:spacing w:line="240" w:lineRule="auto" w:before="36"/>
        <w:ind w:left="253" w:right="0"/>
        <w:jc w:val="left"/>
        <w:rPr>
          <w:b w:val="0"/>
          <w:bCs w:val="0"/>
        </w:rPr>
      </w:pPr>
      <w:r>
        <w:rPr>
          <w:rFonts w:ascii="Times New Roman" w:hAnsi="Times New Roman" w:cs="Times New Roman" w:eastAsia="Times New Roman" w:hint="default"/>
        </w:rPr>
        <w:t>46</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493.60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493.60</w:t>
            </w:r>
          </w:p>
        </w:tc>
      </w:tr>
    </w:tbl>
    <w:p>
      <w:pPr>
        <w:spacing w:line="240" w:lineRule="auto" w:before="3"/>
        <w:rPr>
          <w:rFonts w:ascii="宋体" w:hAnsi="宋体" w:cs="宋体" w:eastAsia="宋体" w:hint="default"/>
          <w:sz w:val="19"/>
          <w:szCs w:val="19"/>
        </w:rPr>
      </w:pPr>
    </w:p>
    <w:p>
      <w:pPr>
        <w:pStyle w:val="Heading4"/>
        <w:spacing w:line="240" w:lineRule="auto" w:before="36"/>
        <w:ind w:left="253" w:right="0"/>
        <w:jc w:val="left"/>
        <w:rPr>
          <w:b w:val="0"/>
          <w:bCs w:val="0"/>
        </w:rPr>
      </w:pPr>
      <w:r>
        <w:rPr>
          <w:rFonts w:ascii="Times New Roman" w:hAnsi="Times New Roman" w:cs="Times New Roman" w:eastAsia="Times New Roman" w:hint="default"/>
        </w:rPr>
        <w:t>47</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248" w:type="dxa"/>
        <w:tblLayout w:type="fixed"/>
        <w:tblCellMar>
          <w:top w:w="0" w:type="dxa"/>
          <w:left w:w="0" w:type="dxa"/>
          <w:bottom w:w="0" w:type="dxa"/>
          <w:right w:w="0" w:type="dxa"/>
        </w:tblCellMar>
        <w:tblLook w:val="01E0"/>
      </w:tblPr>
      <w:tblGrid>
        <w:gridCol w:w="2389"/>
        <w:gridCol w:w="2396"/>
        <w:gridCol w:w="2393"/>
        <w:gridCol w:w="2393"/>
      </w:tblGrid>
      <w:tr>
        <w:trPr>
          <w:trHeight w:val="163"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2,262,200.00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3,395,338.59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2,262,200.00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996,807.15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341,852.40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996,807.15</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3,259,007.15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3,737,190.99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3,259,007.15</w:t>
            </w:r>
          </w:p>
        </w:tc>
      </w:tr>
    </w:tbl>
    <w:p>
      <w:pPr>
        <w:pStyle w:val="BodyText"/>
        <w:spacing w:line="240" w:lineRule="auto" w:before="51"/>
        <w:ind w:left="253" w:right="0"/>
        <w:jc w:val="left"/>
      </w:pPr>
      <w:r>
        <w:rPr/>
        <w:t>计入当期损益的政府补助：</w:t>
      </w:r>
    </w:p>
    <w:p>
      <w:pPr>
        <w:pStyle w:val="BodyText"/>
        <w:spacing w:line="240" w:lineRule="auto" w:before="115"/>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208"/>
        <w:gridCol w:w="1063"/>
        <w:gridCol w:w="1064"/>
        <w:gridCol w:w="1063"/>
        <w:gridCol w:w="1061"/>
        <w:gridCol w:w="1063"/>
        <w:gridCol w:w="1064"/>
        <w:gridCol w:w="1063"/>
        <w:gridCol w:w="1064"/>
      </w:tblGrid>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8" w:hRule="exact"/>
        </w:trPr>
        <w:tc>
          <w:tcPr>
            <w:tcW w:w="120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93"/>
              <w:jc w:val="left"/>
              <w:rPr>
                <w:rFonts w:ascii="宋体" w:hAnsi="宋体" w:cs="宋体" w:eastAsia="宋体" w:hint="default"/>
                <w:sz w:val="18"/>
                <w:szCs w:val="18"/>
              </w:rPr>
            </w:pPr>
            <w:r>
              <w:rPr>
                <w:rFonts w:ascii="宋体" w:hAnsi="宋体" w:cs="宋体" w:eastAsia="宋体" w:hint="default"/>
                <w:sz w:val="18"/>
                <w:szCs w:val="18"/>
              </w:rPr>
              <w:t>中小企业发展 专项资金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上海市杨浦 区财政局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0" w:right="0"/>
              <w:jc w:val="left"/>
              <w:rPr>
                <w:rFonts w:ascii="Times New Roman" w:hAnsi="Times New Roman" w:cs="Times New Roman" w:eastAsia="Times New Roman" w:hint="default"/>
                <w:sz w:val="18"/>
                <w:szCs w:val="18"/>
              </w:rPr>
            </w:pPr>
            <w:r>
              <w:rPr>
                <w:rFonts w:ascii="Times New Roman"/>
                <w:sz w:val="18"/>
              </w:rPr>
              <w:t>309,000.00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20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208"/>
        <w:gridCol w:w="1063"/>
        <w:gridCol w:w="1064"/>
        <w:gridCol w:w="1063"/>
        <w:gridCol w:w="1061"/>
        <w:gridCol w:w="1063"/>
        <w:gridCol w:w="1064"/>
        <w:gridCol w:w="1063"/>
        <w:gridCol w:w="1064"/>
      </w:tblGrid>
      <w:tr>
        <w:trPr>
          <w:trHeight w:val="358" w:hRule="exact"/>
        </w:trPr>
        <w:tc>
          <w:tcPr>
            <w:tcW w:w="120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海淀区政府上</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北京市海淀</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市专项资金补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区人民政府</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贴款</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20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65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稳岗补助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北京市丰台 区社会保险 基金管理中 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7,638.59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4" w:right="123"/>
              <w:jc w:val="left"/>
              <w:rPr>
                <w:rFonts w:ascii="宋体" w:hAnsi="宋体" w:cs="宋体" w:eastAsia="宋体" w:hint="default"/>
                <w:sz w:val="18"/>
                <w:szCs w:val="18"/>
              </w:rPr>
            </w:pPr>
            <w:r>
              <w:rPr>
                <w:rFonts w:ascii="宋体" w:hAnsi="宋体" w:cs="宋体" w:eastAsia="宋体" w:hint="default"/>
                <w:sz w:val="18"/>
                <w:szCs w:val="18"/>
              </w:rPr>
              <w:t>文创</w:t>
            </w:r>
            <w:r>
              <w:rPr>
                <w:rFonts w:ascii="Times New Roman" w:hAnsi="Times New Roman" w:cs="Times New Roman" w:eastAsia="Times New Roman" w:hint="default"/>
                <w:sz w:val="18"/>
                <w:szCs w:val="18"/>
              </w:rPr>
              <w:t>"</w:t>
            </w:r>
            <w:r>
              <w:rPr>
                <w:rFonts w:ascii="宋体" w:hAnsi="宋体" w:cs="宋体" w:eastAsia="宋体" w:hint="default"/>
                <w:sz w:val="18"/>
                <w:szCs w:val="18"/>
              </w:rPr>
              <w:t>投贷奖</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支持资金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北京市国有 文化资产监 督管理办公 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809,200.00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9" w:hRule="exact"/>
        </w:trPr>
        <w:tc>
          <w:tcPr>
            <w:tcW w:w="120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0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专利资助金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北京市知识 产权局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269,500.00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20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0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649"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93"/>
              <w:jc w:val="both"/>
              <w:rPr>
                <w:rFonts w:ascii="宋体" w:hAnsi="宋体" w:cs="宋体" w:eastAsia="宋体" w:hint="default"/>
                <w:sz w:val="18"/>
                <w:szCs w:val="18"/>
              </w:rPr>
            </w:pPr>
            <w:r>
              <w:rPr>
                <w:rFonts w:ascii="宋体" w:hAnsi="宋体" w:cs="宋体" w:eastAsia="宋体" w:hint="default"/>
                <w:sz w:val="18"/>
                <w:szCs w:val="18"/>
              </w:rPr>
              <w:t>北京市科学技 术委员会支付 高新技术成果 转化项目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27"/>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4" w:right="93"/>
              <w:jc w:val="both"/>
              <w:rPr>
                <w:rFonts w:ascii="宋体" w:hAnsi="宋体" w:cs="宋体" w:eastAsia="宋体" w:hint="default"/>
                <w:sz w:val="18"/>
                <w:szCs w:val="18"/>
              </w:rPr>
            </w:pPr>
            <w:r>
              <w:rPr>
                <w:rFonts w:ascii="宋体" w:hAnsi="宋体" w:cs="宋体" w:eastAsia="宋体" w:hint="default"/>
                <w:sz w:val="18"/>
                <w:szCs w:val="18"/>
              </w:rPr>
              <w:t>北京市中关村 科技园区海淀 园管理委员会 补贴款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北京市中关 村科技园区 海淀园管理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8" w:hRule="exact"/>
        </w:trPr>
        <w:tc>
          <w:tcPr>
            <w:tcW w:w="120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国家知识产权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国家知识产</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局专利局专利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权局专利局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142,500.00</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资助金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北京代办处</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20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2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成都高新技术</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成都高新技</w:t>
            </w: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产业开发区经</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术产业开发</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济运行与安全</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区经济运行</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119,700.00</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生产监管局补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与安全生产</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助款</w:t>
            </w: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监管局</w:t>
            </w: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208"/>
        <w:gridCol w:w="1063"/>
        <w:gridCol w:w="1064"/>
        <w:gridCol w:w="1063"/>
        <w:gridCol w:w="1061"/>
        <w:gridCol w:w="1063"/>
        <w:gridCol w:w="1064"/>
        <w:gridCol w:w="1063"/>
        <w:gridCol w:w="1064"/>
      </w:tblGrid>
      <w:tr>
        <w:trPr>
          <w:trHeight w:val="358" w:hRule="exact"/>
        </w:trPr>
        <w:tc>
          <w:tcPr>
            <w:tcW w:w="120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93"/>
              <w:jc w:val="both"/>
              <w:rPr>
                <w:rFonts w:ascii="宋体" w:hAnsi="宋体" w:cs="宋体" w:eastAsia="宋体" w:hint="default"/>
                <w:sz w:val="18"/>
                <w:szCs w:val="18"/>
              </w:rPr>
            </w:pPr>
            <w:r>
              <w:rPr>
                <w:rFonts w:ascii="宋体" w:hAnsi="宋体" w:cs="宋体" w:eastAsia="宋体" w:hint="default"/>
                <w:sz w:val="18"/>
                <w:szCs w:val="18"/>
              </w:rPr>
              <w:t>山西综改区管 理委员会发放 科技补贴</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山西综改区 管理委员会</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20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2,262,200.00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3,395,338.59</w:t>
            </w:r>
          </w:p>
        </w:tc>
        <w:tc>
          <w:tcPr>
            <w:tcW w:w="10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53"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253" w:right="0"/>
        <w:jc w:val="left"/>
        <w:rPr>
          <w:b w:val="0"/>
          <w:bCs w:val="0"/>
        </w:rPr>
      </w:pPr>
      <w:r>
        <w:rPr>
          <w:rFonts w:ascii="Times New Roman" w:hAnsi="Times New Roman" w:cs="Times New Roman" w:eastAsia="Times New Roman" w:hint="default"/>
        </w:rPr>
        <w:t>48</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62,000.00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38,970.25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382,262.65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38,970.25</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税收滞纳金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2,202.22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248,344.40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2,202.22</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776,903.22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919,776.64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776,803.22</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880,075.69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1,581,383.70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253" w:right="0"/>
        <w:jc w:val="left"/>
        <w:rPr>
          <w:b w:val="0"/>
          <w:bCs w:val="0"/>
        </w:rPr>
      </w:pPr>
      <w:r>
        <w:rPr>
          <w:rFonts w:ascii="Times New Roman" w:hAnsi="Times New Roman" w:cs="Times New Roman" w:eastAsia="Times New Roman" w:hint="default"/>
        </w:rPr>
        <w:t>49</w:t>
      </w:r>
      <w:r>
        <w:rPr/>
        <w:t>、所得税费用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2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2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2,179,246.60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9,380,303.26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-506,166.49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-317,240.25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1,673,080.11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9,063,063.01</w:t>
            </w:r>
          </w:p>
        </w:tc>
      </w:tr>
    </w:tbl>
    <w:p>
      <w:pPr>
        <w:spacing w:line="240" w:lineRule="auto" w:before="3"/>
        <w:rPr>
          <w:rFonts w:ascii="宋体" w:hAnsi="宋体" w:cs="宋体" w:eastAsia="宋体" w:hint="default"/>
          <w:sz w:val="19"/>
          <w:szCs w:val="19"/>
        </w:rPr>
      </w:pPr>
    </w:p>
    <w:p>
      <w:pPr>
        <w:pStyle w:val="Heading4"/>
        <w:spacing w:line="240" w:lineRule="auto" w:before="36"/>
        <w:ind w:left="253"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8" w:type="dxa"/>
        <w:tblLayout w:type="fixed"/>
        <w:tblCellMar>
          <w:top w:w="0" w:type="dxa"/>
          <w:left w:w="0" w:type="dxa"/>
          <w:bottom w:w="0" w:type="dxa"/>
          <w:right w:w="0" w:type="dxa"/>
        </w:tblCellMar>
        <w:tblLook w:val="01E0"/>
      </w:tblPr>
      <w:tblGrid>
        <w:gridCol w:w="4779"/>
        <w:gridCol w:w="4791"/>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89,976,435.59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8,997,643.57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-1,676,248.65</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-2,292,020.89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8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563,263.84</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2,007,955.48</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-8,494,289.99</w:t>
            </w:r>
          </w:p>
        </w:tc>
      </w:tr>
      <w:tr>
        <w:trPr>
          <w:trHeight w:val="71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9,584,003.42</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-7,017,226.67</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1,673,080.11</w:t>
            </w:r>
          </w:p>
        </w:tc>
      </w:tr>
    </w:tbl>
    <w:p>
      <w:pPr>
        <w:spacing w:line="240" w:lineRule="auto" w:before="3"/>
        <w:rPr>
          <w:rFonts w:ascii="宋体" w:hAnsi="宋体" w:cs="宋体" w:eastAsia="宋体" w:hint="default"/>
          <w:sz w:val="19"/>
          <w:szCs w:val="19"/>
        </w:rPr>
      </w:pPr>
    </w:p>
    <w:p>
      <w:pPr>
        <w:spacing w:line="544" w:lineRule="auto" w:before="36"/>
        <w:ind w:left="153" w:right="88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8"/>
        <w:ind w:right="98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247,094.26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932,385.03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3,610,202.25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3,961,580.81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339,056.66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1,054,897.68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1,579,470.56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1,436,995.24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122,620.00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413,885.00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2,401,507.61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3,395,338.59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2,831,210.74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6,345,526.32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11,131,162.08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17,540,608.67</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支付办公、差旅、招待等费用支出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92,566,237.22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72,371,709.48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8,192,655.59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7,611,821.52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406,709.53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251,310.57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4,307,382.04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4,596,689.36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338,598.41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835,460.06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220,694.99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134,283.99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6,694,081.09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3,606,954.61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1"/>
      </w:tblGrid>
      <w:tr>
        <w:trPr>
          <w:trHeight w:val="404" w:hRule="exact"/>
        </w:trPr>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2" w:right="0"/>
              <w:jc w:val="left"/>
              <w:rPr>
                <w:rFonts w:ascii="Times New Roman" w:hAnsi="Times New Roman" w:cs="Times New Roman" w:eastAsia="Times New Roman" w:hint="default"/>
                <w:sz w:val="18"/>
                <w:szCs w:val="18"/>
              </w:rPr>
            </w:pPr>
            <w:r>
              <w:rPr>
                <w:rFonts w:ascii="Times New Roman"/>
                <w:sz w:val="18"/>
              </w:rPr>
              <w:t>112,726,358.87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89,408,229.59</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担保评审费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1,920,056.58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股份回购款及其杂费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3,998,196.92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21,208,500.00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27,126,753.50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52</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64"/>
        <w:gridCol w:w="2269"/>
        <w:gridCol w:w="2338"/>
      </w:tblGrid>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6"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净利润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88,303,355.48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86,315,413.47</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加：资产减值准备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6,849,349.76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6,685,689.33</w:t>
            </w:r>
          </w:p>
        </w:tc>
      </w:tr>
      <w:tr>
        <w:trPr>
          <w:trHeight w:val="404"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固定资产折旧、油气资产折耗、生产性生物资产折旧</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6,470,126.40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4,277,813.84</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无形资产摊销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2,538,736.48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595,950.33</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长期待摊费用摊销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2,324,489.67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2,220,054.82</w:t>
            </w:r>
          </w:p>
        </w:tc>
      </w:tr>
      <w:tr>
        <w:trPr>
          <w:trHeight w:val="71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处置固定资产、无形资产和其他长期资产的损失（收 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-493.60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38,970.25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382,262.65</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20,321,648.18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9,900,158.97</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435,040.71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-1,766,360.54</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-81,852.35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-213,677.54</w:t>
            </w:r>
          </w:p>
        </w:tc>
      </w:tr>
      <w:tr>
        <w:trPr>
          <w:trHeight w:val="404"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-424,314.14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-103,562.71</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-13,464,733.09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-21,874,670.78</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-22,218,370.78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-16,710,700.90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-8,510,107.71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16,403,246.93</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3,563,652.37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2,304,713.81</w:t>
            </w:r>
          </w:p>
        </w:tc>
      </w:tr>
      <w:tr>
        <w:trPr>
          <w:trHeight w:val="406"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经营活动产生的现金流量净额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86,146,329.63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88,415,838.08</w:t>
            </w:r>
          </w:p>
        </w:tc>
      </w:tr>
      <w:tr>
        <w:trPr>
          <w:trHeight w:val="398"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0"/>
              <w:jc w:val="center"/>
              <w:rPr>
                <w:rFonts w:ascii="Times New Roman" w:hAnsi="Times New Roman" w:cs="Times New Roman" w:eastAsia="Times New Roman" w:hint="default"/>
                <w:sz w:val="18"/>
                <w:szCs w:val="18"/>
              </w:rPr>
            </w:pPr>
            <w:r>
              <w:rPr>
                <w:rFonts w:ascii="Times New Roman"/>
                <w:sz w:val="18"/>
              </w:rPr>
              <w:t>--</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63"/>
        <w:gridCol w:w="2269"/>
        <w:gridCol w:w="2338"/>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现金的期末余额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389,436,746.91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379,438,145.36</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减：现金的期初余额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379,438,145.36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235,494,169.04</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现金及现金等价物净增加额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9,998,601.55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143,943,976.32</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389,436,746.91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379,438,145.36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49,596.77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1,446.77</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389,384,873.34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379,339,860.91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2,276.80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96,837.68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389,436,746.91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379,438,145.36</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3,908,915.64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5,927,290.09</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53</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3,908,915.64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投标保函保证金、存入的定期存款</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3,908,915.64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54</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9" w:right="0"/>
              <w:jc w:val="left"/>
              <w:rPr>
                <w:rFonts w:ascii="Times New Roman" w:hAnsi="Times New Roman" w:cs="Times New Roman" w:eastAsia="Times New Roman" w:hint="default"/>
                <w:sz w:val="18"/>
                <w:szCs w:val="18"/>
              </w:rPr>
            </w:pPr>
            <w:r>
              <w:rPr>
                <w:rFonts w:ascii="Times New Roman"/>
                <w:sz w:val="18"/>
              </w:rPr>
              <w:t>162,326.45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5" w:right="0"/>
              <w:jc w:val="left"/>
              <w:rPr>
                <w:rFonts w:ascii="Times New Roman" w:hAnsi="Times New Roman" w:cs="Times New Roman" w:eastAsia="Times New Roman" w:hint="default"/>
                <w:sz w:val="18"/>
                <w:szCs w:val="18"/>
              </w:rPr>
            </w:pPr>
            <w:r>
              <w:rPr>
                <w:rFonts w:ascii="Times New Roman"/>
                <w:sz w:val="18"/>
              </w:rPr>
              <w:t>145,408.79</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5,157,659.27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4,620,128.02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487,883.30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437,036.10</w:t>
            </w:r>
          </w:p>
        </w:tc>
      </w:tr>
    </w:tbl>
    <w:p>
      <w:pPr>
        <w:spacing w:line="240" w:lineRule="auto" w:before="3"/>
        <w:rPr>
          <w:rFonts w:ascii="宋体" w:hAnsi="宋体" w:cs="宋体" w:eastAsia="宋体" w:hint="default"/>
          <w:sz w:val="19"/>
          <w:szCs w:val="19"/>
        </w:rPr>
      </w:pPr>
    </w:p>
    <w:p>
      <w:pPr>
        <w:pStyle w:val="Heading4"/>
        <w:spacing w:line="259" w:lineRule="auto" w:before="36"/>
        <w:ind w:right="982"/>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55</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2124"/>
        <w:gridCol w:w="1933"/>
        <w:gridCol w:w="2393"/>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54,898.15</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54,898.15</w:t>
            </w:r>
          </w:p>
        </w:tc>
      </w:tr>
      <w:tr>
        <w:trPr>
          <w:trHeight w:val="71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北京市海淀区残疾人劳动就业管理服务 所补贴款</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115,000.00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115,000.00</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8,566,764.43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8,566,764.43</w:t>
            </w:r>
          </w:p>
        </w:tc>
      </w:tr>
      <w:tr>
        <w:trPr>
          <w:trHeight w:val="71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北京市科学技术委员会支付高新技术成 果转化项目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4"/>
              <w:jc w:val="left"/>
              <w:rPr>
                <w:rFonts w:ascii="宋体" w:hAnsi="宋体" w:cs="宋体" w:eastAsia="宋体" w:hint="default"/>
                <w:sz w:val="18"/>
                <w:szCs w:val="18"/>
              </w:rPr>
            </w:pPr>
            <w:r>
              <w:rPr>
                <w:rFonts w:ascii="宋体" w:hAnsi="宋体" w:cs="宋体" w:eastAsia="宋体" w:hint="default"/>
                <w:sz w:val="18"/>
                <w:szCs w:val="18"/>
              </w:rPr>
              <w:t>北京市中关村科技园区海淀园管理委员 会补贴款</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970,000.00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970,000.00</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国家知识产权局专利局专利资助金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142,500.00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142,500.00</w:t>
            </w:r>
          </w:p>
        </w:tc>
      </w:tr>
      <w:tr>
        <w:trPr>
          <w:trHeight w:val="716"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4"/>
              <w:jc w:val="left"/>
              <w:rPr>
                <w:rFonts w:ascii="宋体" w:hAnsi="宋体" w:cs="宋体" w:eastAsia="宋体" w:hint="default"/>
                <w:sz w:val="18"/>
                <w:szCs w:val="18"/>
              </w:rPr>
            </w:pPr>
            <w:r>
              <w:rPr>
                <w:rFonts w:ascii="宋体" w:hAnsi="宋体" w:cs="宋体" w:eastAsia="宋体" w:hint="default"/>
                <w:sz w:val="18"/>
                <w:szCs w:val="18"/>
              </w:rPr>
              <w:t>成都高新技术产业开发区经济运行与安 全生产监管局补助款</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119,700.00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119,700.00</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山西综改区管理委员会发放科技补贴</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r>
        <w:rPr/>
        <w:t>八、合并范围的变更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是否存在通过多次交易分步实现企业合并且在报告期内取得控制权的交易</w:t>
      </w:r>
    </w:p>
    <w:p>
      <w:pPr>
        <w:pStyle w:val="BodyText"/>
        <w:spacing w:line="240" w:lineRule="auto" w:before="115"/>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t>（</w:t>
      </w:r>
      <w:r>
        <w:rPr>
          <w:rFonts w:ascii="Times New Roman" w:hAnsi="Times New Roman" w:cs="Times New Roman" w:eastAsia="Times New Roman" w:hint="default"/>
        </w:rPr>
        <w:t>2</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982" w:firstLine="420"/>
        <w:jc w:val="left"/>
      </w:pPr>
      <w:r>
        <w:rPr/>
        <w:t>公司</w:t>
      </w:r>
      <w:r>
        <w:rPr>
          <w:rFonts w:ascii="Times New Roman" w:hAnsi="Times New Roman" w:cs="Times New Roman" w:eastAsia="Times New Roman" w:hint="default"/>
        </w:rPr>
        <w:t>2019</w:t>
      </w:r>
      <w:r>
        <w:rPr/>
        <w:t>年纳入合并范围新增</w:t>
      </w:r>
      <w:r>
        <w:rPr>
          <w:rFonts w:ascii="Times New Roman" w:hAnsi="Times New Roman" w:cs="Times New Roman" w:eastAsia="Times New Roman" w:hint="default"/>
        </w:rPr>
        <w:t>1</w:t>
      </w:r>
      <w:r>
        <w:rPr/>
        <w:t>家新设子公司，为广州大奇数据科技有限公司。公司于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日注册成立广州大 奇数据科技有限公司，注册资本</w:t>
      </w:r>
      <w:r>
        <w:rPr>
          <w:rFonts w:ascii="Times New Roman" w:hAnsi="Times New Roman" w:cs="Times New Roman" w:eastAsia="Times New Roman" w:hint="default"/>
        </w:rPr>
        <w:t>1,000</w:t>
      </w:r>
      <w:r>
        <w:rPr/>
        <w:t>万元，公司投资</w:t>
      </w:r>
      <w:r>
        <w:rPr>
          <w:rFonts w:ascii="Times New Roman" w:hAnsi="Times New Roman" w:cs="Times New Roman" w:eastAsia="Times New Roman" w:hint="default"/>
        </w:rPr>
        <w:t>500</w:t>
      </w:r>
      <w:r>
        <w:rPr/>
        <w:t>万元，认缴比例</w:t>
      </w:r>
      <w:r>
        <w:rPr>
          <w:rFonts w:ascii="Times New Roman" w:hAnsi="Times New Roman" w:cs="Times New Roman" w:eastAsia="Times New Roman" w:hint="default"/>
        </w:rPr>
        <w:t>100%</w:t>
      </w:r>
      <w:r>
        <w:rPr/>
        <w:t>，详见附注十六、（三）、长期股权投资。</w:t>
      </w:r>
    </w:p>
    <w:p>
      <w:pPr>
        <w:spacing w:line="240" w:lineRule="auto" w:before="2"/>
        <w:rPr>
          <w:rFonts w:ascii="宋体" w:hAnsi="宋体" w:cs="宋体" w:eastAsia="宋体" w:hint="default"/>
          <w:sz w:val="22"/>
          <w:szCs w:val="22"/>
        </w:rPr>
      </w:pPr>
    </w:p>
    <w:p>
      <w:pPr>
        <w:pStyle w:val="Heading4"/>
        <w:spacing w:line="240" w:lineRule="auto"/>
        <w:ind w:right="982"/>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t>是否存在单次处置对子公司投资即丧失控制权的情形</w:t>
      </w:r>
    </w:p>
    <w:p>
      <w:pPr>
        <w:pStyle w:val="BodyText"/>
        <w:spacing w:line="340" w:lineRule="auto" w:before="117"/>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39"/>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九、在其他主体中的权益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15"/>
        <w:gridCol w:w="1366"/>
        <w:gridCol w:w="1368"/>
        <w:gridCol w:w="1848"/>
        <w:gridCol w:w="1136"/>
        <w:gridCol w:w="1116"/>
        <w:gridCol w:w="1366"/>
      </w:tblGrid>
      <w:tr>
        <w:trPr>
          <w:trHeight w:val="401" w:hRule="exact"/>
        </w:trPr>
        <w:tc>
          <w:tcPr>
            <w:tcW w:w="15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2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515"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848"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南昌大众信息技术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江西省南昌市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江西省南昌市</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
              <w:jc w:val="left"/>
              <w:rPr>
                <w:rFonts w:ascii="宋体" w:hAnsi="宋体" w:cs="宋体" w:eastAsia="宋体" w:hint="default"/>
                <w:sz w:val="18"/>
                <w:szCs w:val="18"/>
              </w:rPr>
            </w:pPr>
            <w:r>
              <w:rPr>
                <w:rFonts w:ascii="宋体" w:hAnsi="宋体" w:cs="宋体" w:eastAsia="宋体" w:hint="default"/>
                <w:sz w:val="18"/>
                <w:szCs w:val="18"/>
              </w:rPr>
              <w:t>信息技术及计算机软、 硬件的开发、技术服务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控股合并</w:t>
            </w:r>
          </w:p>
        </w:tc>
      </w:tr>
      <w:tr>
        <w:trPr>
          <w:trHeight w:val="359" w:hRule="exact"/>
        </w:trPr>
        <w:tc>
          <w:tcPr>
            <w:tcW w:w="151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技术开发、技术转让、</w:t>
            </w:r>
          </w:p>
        </w:tc>
        <w:tc>
          <w:tcPr>
            <w:tcW w:w="1136" w:type="dxa"/>
            <w:tcBorders>
              <w:top w:val="single" w:sz="4" w:space="0" w:color="000000"/>
              <w:left w:val="single" w:sz="4" w:space="0" w:color="000000"/>
              <w:bottom w:val="nil" w:sz="6" w:space="0" w:color="auto"/>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9" w:right="0"/>
              <w:jc w:val="center"/>
              <w:rPr>
                <w:rFonts w:ascii="宋体" w:hAnsi="宋体" w:cs="宋体" w:eastAsia="宋体" w:hint="default"/>
                <w:sz w:val="18"/>
                <w:szCs w:val="18"/>
              </w:rPr>
            </w:pPr>
            <w:r>
              <w:rPr>
                <w:rFonts w:ascii="宋体" w:hAnsi="宋体" w:cs="宋体" w:eastAsia="宋体" w:hint="default"/>
                <w:sz w:val="18"/>
                <w:szCs w:val="18"/>
              </w:rPr>
              <w:t>技术咨询、技术服务，</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14" w:lineRule="auto"/>
              <w:ind w:left="24" w:right="38"/>
              <w:jc w:val="left"/>
              <w:rPr>
                <w:rFonts w:ascii="宋体" w:hAnsi="宋体" w:cs="宋体" w:eastAsia="宋体" w:hint="default"/>
                <w:sz w:val="18"/>
                <w:szCs w:val="18"/>
              </w:rPr>
            </w:pPr>
            <w:r>
              <w:rPr>
                <w:rFonts w:ascii="宋体" w:hAnsi="宋体" w:cs="宋体" w:eastAsia="宋体" w:hint="default"/>
                <w:sz w:val="18"/>
                <w:szCs w:val="18"/>
              </w:rPr>
              <w:t>成都思特奇信息技 术有限责任公司</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
              <w:jc w:val="both"/>
              <w:rPr>
                <w:rFonts w:ascii="宋体" w:hAnsi="宋体" w:cs="宋体" w:eastAsia="宋体" w:hint="default"/>
                <w:sz w:val="18"/>
                <w:szCs w:val="18"/>
              </w:rPr>
            </w:pPr>
            <w:r>
              <w:rPr>
                <w:rFonts w:ascii="宋体" w:hAnsi="宋体" w:cs="宋体" w:eastAsia="宋体" w:hint="default"/>
                <w:sz w:val="18"/>
                <w:szCs w:val="18"/>
              </w:rPr>
              <w:t>计算机系统服务，计算 机维修；销售：电子产 品、计算机、软件及辅</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助设备、仪器仪表；货</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1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物进出口，技术进出口</w:t>
            </w:r>
          </w:p>
        </w:tc>
        <w:tc>
          <w:tcPr>
            <w:tcW w:w="1136" w:type="dxa"/>
            <w:tcBorders>
              <w:top w:val="nil" w:sz="6" w:space="0" w:color="auto"/>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51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计算机软件技术开发、</w:t>
            </w:r>
          </w:p>
        </w:tc>
        <w:tc>
          <w:tcPr>
            <w:tcW w:w="1136" w:type="dxa"/>
            <w:tcBorders>
              <w:top w:val="single" w:sz="4" w:space="0" w:color="000000"/>
              <w:left w:val="single" w:sz="4" w:space="0" w:color="000000"/>
              <w:bottom w:val="nil" w:sz="6" w:space="0" w:color="auto"/>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91" w:hRule="exact"/>
        </w:trPr>
        <w:tc>
          <w:tcPr>
            <w:tcW w:w="1515"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3"/>
              <w:ind w:left="24" w:right="38"/>
              <w:jc w:val="left"/>
              <w:rPr>
                <w:rFonts w:ascii="宋体" w:hAnsi="宋体" w:cs="宋体" w:eastAsia="宋体" w:hint="default"/>
                <w:sz w:val="18"/>
                <w:szCs w:val="18"/>
              </w:rPr>
            </w:pPr>
            <w:r>
              <w:rPr>
                <w:rFonts w:ascii="宋体" w:hAnsi="宋体" w:cs="宋体" w:eastAsia="宋体" w:hint="default"/>
                <w:sz w:val="18"/>
                <w:szCs w:val="18"/>
              </w:rPr>
              <w:t>太原思特奇信息技 术有限责任公司</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山西省太原市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山西省太原市</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1"/>
                <w:sz w:val="18"/>
                <w:szCs w:val="18"/>
              </w:rPr>
              <w:t>技术转让、技术咨询及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技术服务；计算机系统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245"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4" w:right="0"/>
              <w:jc w:val="center"/>
              <w:rPr>
                <w:rFonts w:ascii="宋体" w:hAnsi="宋体" w:cs="宋体" w:eastAsia="宋体" w:hint="default"/>
                <w:sz w:val="18"/>
                <w:szCs w:val="18"/>
              </w:rPr>
            </w:pPr>
            <w:r>
              <w:rPr>
                <w:rFonts w:ascii="宋体" w:hAnsi="宋体" w:cs="宋体" w:eastAsia="宋体" w:hint="default"/>
                <w:sz w:val="18"/>
                <w:szCs w:val="18"/>
              </w:rPr>
              <w:t>集成；计算机维修；电</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1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子产品、计算机、计算</w:t>
            </w:r>
          </w:p>
        </w:tc>
        <w:tc>
          <w:tcPr>
            <w:tcW w:w="1136" w:type="dxa"/>
            <w:tcBorders>
              <w:top w:val="nil" w:sz="6" w:space="0" w:color="auto"/>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15"/>
        <w:gridCol w:w="1366"/>
        <w:gridCol w:w="1368"/>
        <w:gridCol w:w="1848"/>
        <w:gridCol w:w="1136"/>
        <w:gridCol w:w="1116"/>
        <w:gridCol w:w="1366"/>
      </w:tblGrid>
      <w:tr>
        <w:trPr>
          <w:trHeight w:val="987" w:hRule="exact"/>
        </w:trPr>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1"/>
              <w:jc w:val="both"/>
              <w:rPr>
                <w:rFonts w:ascii="宋体" w:hAnsi="宋体" w:cs="宋体" w:eastAsia="宋体" w:hint="default"/>
                <w:sz w:val="18"/>
                <w:szCs w:val="18"/>
              </w:rPr>
            </w:pPr>
            <w:r>
              <w:rPr>
                <w:rFonts w:ascii="宋体" w:hAnsi="宋体" w:cs="宋体" w:eastAsia="宋体" w:hint="default"/>
                <w:spacing w:val="-1"/>
                <w:sz w:val="18"/>
                <w:szCs w:val="18"/>
              </w:rPr>
              <w:t>机软件及辅助设备、仪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器仪表的销售；进出口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贸易</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51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计算机软硬件、系统集</w:t>
            </w:r>
          </w:p>
        </w:tc>
        <w:tc>
          <w:tcPr>
            <w:tcW w:w="1136" w:type="dxa"/>
            <w:tcBorders>
              <w:top w:val="single" w:sz="4" w:space="0" w:color="000000"/>
              <w:left w:val="single" w:sz="4" w:space="0" w:color="000000"/>
              <w:bottom w:val="nil" w:sz="6" w:space="0" w:color="auto"/>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成及技术转让、技术咨</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询、技术服务；计算机</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哈尔滨易位科技有 限公司</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黑龙江哈尔滨</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黑龙江哈尔滨</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
              <w:jc w:val="both"/>
              <w:rPr>
                <w:rFonts w:ascii="宋体" w:hAnsi="宋体" w:cs="宋体" w:eastAsia="宋体" w:hint="default"/>
                <w:sz w:val="18"/>
                <w:szCs w:val="18"/>
              </w:rPr>
            </w:pPr>
            <w:r>
              <w:rPr>
                <w:rFonts w:ascii="宋体" w:hAnsi="宋体" w:cs="宋体" w:eastAsia="宋体" w:hint="default"/>
                <w:sz w:val="18"/>
                <w:szCs w:val="18"/>
              </w:rPr>
              <w:t>维修；云平台服务；销 售：电子产品、计算机 软硬件及辅助设备、仪</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器仪表、卫星导航定位</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接收机；货物进出口、</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51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技术进出口</w:t>
            </w:r>
          </w:p>
        </w:tc>
        <w:tc>
          <w:tcPr>
            <w:tcW w:w="1136" w:type="dxa"/>
            <w:tcBorders>
              <w:top w:val="nil" w:sz="6" w:space="0" w:color="auto"/>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重庆思特奇信息技 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计算机软、硬件的研 发，销售，服务，增值 业务运营及进出口。</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1025"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易信掌中云信息技 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计算机软、硬件的研 发，销售，服务，增值 业务运营及进出口</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8" w:hRule="exact"/>
        </w:trPr>
        <w:tc>
          <w:tcPr>
            <w:tcW w:w="151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互联网信息服务；软件</w:t>
            </w:r>
          </w:p>
        </w:tc>
        <w:tc>
          <w:tcPr>
            <w:tcW w:w="1136" w:type="dxa"/>
            <w:tcBorders>
              <w:top w:val="single" w:sz="4" w:space="0" w:color="000000"/>
              <w:left w:val="single" w:sz="4" w:space="0" w:color="000000"/>
              <w:bottom w:val="nil" w:sz="6" w:space="0" w:color="auto"/>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开发、技术开发、技术</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转让、技术咨询、技术</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服务、计算机系统服</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务；计算机维修；销售</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北京无限易信科技 有限公司</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
              <w:jc w:val="both"/>
              <w:rPr>
                <w:rFonts w:ascii="宋体" w:hAnsi="宋体" w:cs="宋体" w:eastAsia="宋体" w:hint="default"/>
                <w:sz w:val="18"/>
                <w:szCs w:val="18"/>
              </w:rPr>
            </w:pPr>
            <w:r>
              <w:rPr>
                <w:rFonts w:ascii="宋体" w:hAnsi="宋体" w:cs="宋体" w:eastAsia="宋体" w:hint="default"/>
                <w:sz w:val="18"/>
                <w:szCs w:val="18"/>
              </w:rPr>
              <w:t>电子产品、计算机、软 件及辅助设备、仪器仪 表；货物进出口、技术</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进出口、代理进出口；</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数据处理（数据处理中</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的银行卡中心、</w:t>
            </w:r>
            <w:r>
              <w:rPr>
                <w:rFonts w:ascii="Times New Roman" w:hAnsi="Times New Roman" w:cs="Times New Roman" w:eastAsia="Times New Roman" w:hint="default"/>
                <w:spacing w:val="-4"/>
                <w:sz w:val="18"/>
                <w:szCs w:val="18"/>
              </w:rPr>
              <w:t>PUE</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值</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以上的云计算数</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51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据中心除外）</w:t>
            </w:r>
          </w:p>
        </w:tc>
        <w:tc>
          <w:tcPr>
            <w:tcW w:w="1136" w:type="dxa"/>
            <w:tcBorders>
              <w:top w:val="nil" w:sz="6" w:space="0" w:color="auto"/>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51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互联网信息服务；软件</w:t>
            </w:r>
          </w:p>
        </w:tc>
        <w:tc>
          <w:tcPr>
            <w:tcW w:w="1136" w:type="dxa"/>
            <w:tcBorders>
              <w:top w:val="single" w:sz="4" w:space="0" w:color="000000"/>
              <w:left w:val="single" w:sz="4" w:space="0" w:color="000000"/>
              <w:bottom w:val="nil" w:sz="6" w:space="0" w:color="auto"/>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开发、技术开发、技术</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转让、技术咨询、技术</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服务、计算机系统服</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务；计算机维修；销售</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515" w:type="dxa"/>
            <w:tcBorders>
              <w:top w:val="nil" w:sz="6" w:space="0" w:color="auto"/>
              <w:left w:val="single" w:sz="4" w:space="0" w:color="000000"/>
              <w:bottom w:val="nil" w:sz="6" w:space="0" w:color="auto"/>
              <w:right w:val="single" w:sz="4" w:space="0" w:color="000000"/>
            </w:tcBorders>
          </w:tcPr>
          <w:p>
            <w:pPr>
              <w:pStyle w:val="TableParagraph"/>
              <w:spacing w:line="314" w:lineRule="auto" w:before="1"/>
              <w:ind w:left="24" w:right="38"/>
              <w:jc w:val="left"/>
              <w:rPr>
                <w:rFonts w:ascii="宋体" w:hAnsi="宋体" w:cs="宋体" w:eastAsia="宋体" w:hint="default"/>
                <w:sz w:val="18"/>
                <w:szCs w:val="18"/>
              </w:rPr>
            </w:pPr>
            <w:r>
              <w:rPr>
                <w:rFonts w:ascii="宋体" w:hAnsi="宋体" w:cs="宋体" w:eastAsia="宋体" w:hint="default"/>
                <w:sz w:val="18"/>
                <w:szCs w:val="18"/>
              </w:rPr>
              <w:t>北京易信掌中云科 技有限公司</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19"/>
              <w:jc w:val="left"/>
              <w:rPr>
                <w:rFonts w:ascii="宋体" w:hAnsi="宋体" w:cs="宋体" w:eastAsia="宋体" w:hint="default"/>
                <w:sz w:val="18"/>
                <w:szCs w:val="18"/>
              </w:rPr>
            </w:pPr>
            <w:r>
              <w:rPr>
                <w:rFonts w:ascii="宋体" w:hAnsi="宋体" w:cs="宋体" w:eastAsia="宋体" w:hint="default"/>
                <w:sz w:val="18"/>
                <w:szCs w:val="18"/>
              </w:rPr>
              <w:t>电子产品、计算机、软</w:t>
            </w:r>
            <w:r>
              <w:rPr>
                <w:rFonts w:ascii="宋体" w:hAnsi="宋体" w:cs="宋体" w:eastAsia="宋体" w:hint="default"/>
                <w:spacing w:val="-3"/>
                <w:sz w:val="18"/>
                <w:szCs w:val="18"/>
              </w:rPr>
              <w:t> </w:t>
            </w:r>
            <w:r>
              <w:rPr>
                <w:rFonts w:ascii="宋体" w:hAnsi="宋体" w:cs="宋体" w:eastAsia="宋体" w:hint="default"/>
                <w:sz w:val="18"/>
                <w:szCs w:val="18"/>
              </w:rPr>
              <w:t>件及辅助设备、仪器仪</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表；货物进出口、技术</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进出口、代理进出口；</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数据处理（数据处理中</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的银行卡中心、</w:t>
            </w:r>
            <w:r>
              <w:rPr>
                <w:rFonts w:ascii="Times New Roman" w:hAnsi="Times New Roman" w:cs="Times New Roman" w:eastAsia="Times New Roman" w:hint="default"/>
                <w:spacing w:val="-4"/>
                <w:sz w:val="18"/>
                <w:szCs w:val="18"/>
              </w:rPr>
              <w:t>PUE</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值</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以上的云计算数</w:t>
            </w:r>
          </w:p>
        </w:tc>
        <w:tc>
          <w:tcPr>
            <w:tcW w:w="1136" w:type="dxa"/>
            <w:tcBorders>
              <w:top w:val="nil" w:sz="6" w:space="0" w:color="auto"/>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6.804016pt;margin-top:634.536011pt;width:89.35pt;height:126.85pt;mso-position-horizontal-relative:page;mso-position-vertical-relative:page;z-index:-1166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pStyle w:val="BodyText"/>
                    <w:spacing w:line="240" w:lineRule="auto"/>
                    <w:ind w:left="0" w:right="0"/>
                    <w:jc w:val="left"/>
                  </w:pPr>
                  <w:r>
                    <w:rPr/>
                    <w:t>计算机、</w:t>
                  </w:r>
                </w:p>
              </w:txbxContent>
            </v:textbox>
            <w10:wrap type="none"/>
          </v:shape>
        </w:pict>
      </w:r>
      <w:r>
        <w:rPr/>
        <w:pict>
          <v:group style="position:absolute;margin-left:359.950012pt;margin-top:634.536011pt;width:56.2pt;height:126.85pt;mso-position-horizontal-relative:page;mso-position-vertical-relative:page;z-index:-1166176" coordorigin="7199,12691" coordsize="1124,2537">
            <v:group style="position:absolute;left:7199;top:12691;width:1124;height:2537" coordorigin="7199,12691" coordsize="1124,2537">
              <v:shape style="position:absolute;left:7199;top:12691;width:1124;height:2537" coordorigin="7199,12691" coordsize="1124,2537" path="m7199,15228l8323,15228,8323,12691,7199,12691,7199,15228xe" filled="true" fillcolor="#ffffff" stroked="false">
                <v:path arrowok="t"/>
                <v:fill type="solid"/>
              </v:shape>
            </v:group>
            <v:group style="position:absolute;left:7221;top:13764;width:1079;height:392" coordorigin="7221,13764" coordsize="1079,392">
              <v:shape style="position:absolute;left:7221;top:13764;width:1079;height:392" coordorigin="7221,13764" coordsize="1079,392" path="m7221,14155l8299,14155,8299,13764,7221,13764,7221,14155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15"/>
        <w:gridCol w:w="1366"/>
        <w:gridCol w:w="1368"/>
        <w:gridCol w:w="1848"/>
        <w:gridCol w:w="1136"/>
        <w:gridCol w:w="1116"/>
        <w:gridCol w:w="1366"/>
      </w:tblGrid>
      <w:tr>
        <w:trPr>
          <w:trHeight w:val="363" w:hRule="exact"/>
        </w:trPr>
        <w:tc>
          <w:tcPr>
            <w:tcW w:w="15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据中心除外）</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51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数据库处理；大数据分</w:t>
            </w:r>
          </w:p>
        </w:tc>
        <w:tc>
          <w:tcPr>
            <w:tcW w:w="1136" w:type="dxa"/>
            <w:tcBorders>
              <w:top w:val="single" w:sz="4" w:space="0" w:color="000000"/>
              <w:left w:val="single" w:sz="4" w:space="0" w:color="000000"/>
              <w:bottom w:val="nil" w:sz="6" w:space="0" w:color="auto"/>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析技术、云存储技术、</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云计算技术、物联网技</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术的技术开发、技术转</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让、技术咨询；计算机</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系统技术咨询；计算机</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5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深圳思特奇信息技 术有限公司</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1"/>
                <w:sz w:val="18"/>
                <w:szCs w:val="18"/>
              </w:rPr>
              <w:t>的上门维修；计算机软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件的技术开发；电子产</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品、计算机软件及其辅</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助设备、仪器仪表的销</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售；经营电子商务；国</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内贸易；经营进出口业</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务；经营性互联网信息</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51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136" w:type="dxa"/>
            <w:tcBorders>
              <w:top w:val="nil" w:sz="6" w:space="0" w:color="auto"/>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51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从事信息科技、计算机</w:t>
            </w:r>
          </w:p>
        </w:tc>
        <w:tc>
          <w:tcPr>
            <w:tcW w:w="1136" w:type="dxa"/>
            <w:tcBorders>
              <w:top w:val="single" w:sz="4" w:space="0" w:color="000000"/>
              <w:left w:val="single" w:sz="4" w:space="0" w:color="000000"/>
              <w:bottom w:val="nil" w:sz="6" w:space="0" w:color="auto"/>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软件专业领域内的技</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术开发、技术转让、技</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术咨询、技术服务，计</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算机系统服务，计算机</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上海实均信息技术 有限公司</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
              <w:jc w:val="both"/>
              <w:rPr>
                <w:rFonts w:ascii="宋体" w:hAnsi="宋体" w:cs="宋体" w:eastAsia="宋体" w:hint="default"/>
                <w:sz w:val="18"/>
                <w:szCs w:val="18"/>
              </w:rPr>
            </w:pPr>
            <w:r>
              <w:rPr>
                <w:rFonts w:ascii="宋体" w:hAnsi="宋体" w:cs="宋体" w:eastAsia="宋体" w:hint="default"/>
                <w:sz w:val="18"/>
                <w:szCs w:val="18"/>
              </w:rPr>
              <w:t>维修，电子商务（不得 从事增值电信、金融业 </w:t>
            </w:r>
            <w:r>
              <w:rPr>
                <w:rFonts w:ascii="宋体" w:hAnsi="宋体" w:cs="宋体" w:eastAsia="宋体" w:hint="default"/>
                <w:spacing w:val="-10"/>
                <w:sz w:val="18"/>
                <w:szCs w:val="18"/>
              </w:rPr>
              <w:t>务），电子产品、计算</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机软件及辅助设备、仪</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器仪表的销售，互联网</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信息服务，数据处理，</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从事货物及技术的进</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1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出口业务</w:t>
            </w:r>
          </w:p>
        </w:tc>
        <w:tc>
          <w:tcPr>
            <w:tcW w:w="1136" w:type="dxa"/>
            <w:tcBorders>
              <w:top w:val="nil" w:sz="6" w:space="0" w:color="auto"/>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51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软件技术开发、技术转</w:t>
            </w:r>
          </w:p>
        </w:tc>
        <w:tc>
          <w:tcPr>
            <w:tcW w:w="1136" w:type="dxa"/>
            <w:tcBorders>
              <w:top w:val="single" w:sz="4" w:space="0" w:color="000000"/>
              <w:left w:val="single" w:sz="4" w:space="0" w:color="000000"/>
              <w:bottom w:val="nil" w:sz="6" w:space="0" w:color="auto"/>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让、技术咨询、技术服</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四川思特奇信息技 术有限公司</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2"/>
              <w:jc w:val="both"/>
              <w:rPr>
                <w:rFonts w:ascii="宋体" w:hAnsi="宋体" w:cs="宋体" w:eastAsia="宋体" w:hint="default"/>
                <w:sz w:val="18"/>
                <w:szCs w:val="18"/>
              </w:rPr>
            </w:pPr>
            <w:r>
              <w:rPr>
                <w:rFonts w:ascii="宋体" w:hAnsi="宋体" w:cs="宋体" w:eastAsia="宋体" w:hint="default"/>
                <w:sz w:val="18"/>
                <w:szCs w:val="18"/>
              </w:rPr>
              <w:t>务；计算机系统服务； 计算机维修；销售电子 产品、计算机、软件及</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辅助设备、仪器仪表；</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51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货物及技术进出口。</w:t>
            </w:r>
          </w:p>
        </w:tc>
        <w:tc>
          <w:tcPr>
            <w:tcW w:w="1136" w:type="dxa"/>
            <w:tcBorders>
              <w:top w:val="nil" w:sz="6" w:space="0" w:color="auto"/>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51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云存储、云计算、互联</w:t>
            </w:r>
          </w:p>
        </w:tc>
        <w:tc>
          <w:tcPr>
            <w:tcW w:w="1136" w:type="dxa"/>
            <w:tcBorders>
              <w:top w:val="single" w:sz="4" w:space="0" w:color="000000"/>
              <w:left w:val="single" w:sz="4" w:space="0" w:color="000000"/>
              <w:bottom w:val="nil" w:sz="6" w:space="0" w:color="auto"/>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网信息服务；数据库处</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理；大数据分析、物联</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515"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38"/>
              <w:jc w:val="left"/>
              <w:rPr>
                <w:rFonts w:ascii="宋体" w:hAnsi="宋体" w:cs="宋体" w:eastAsia="宋体" w:hint="default"/>
                <w:sz w:val="18"/>
                <w:szCs w:val="18"/>
              </w:rPr>
            </w:pPr>
            <w:r>
              <w:rPr>
                <w:rFonts w:ascii="宋体" w:hAnsi="宋体" w:cs="宋体" w:eastAsia="宋体" w:hint="default"/>
                <w:sz w:val="18"/>
                <w:szCs w:val="18"/>
              </w:rPr>
              <w:t>深圳花儿数据技术 有限公司</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17"/>
              <w:jc w:val="left"/>
              <w:rPr>
                <w:rFonts w:ascii="宋体" w:hAnsi="宋体" w:cs="宋体" w:eastAsia="宋体" w:hint="default"/>
                <w:sz w:val="18"/>
                <w:szCs w:val="18"/>
              </w:rPr>
            </w:pPr>
            <w:r>
              <w:rPr>
                <w:rFonts w:ascii="宋体" w:hAnsi="宋体" w:cs="宋体" w:eastAsia="宋体" w:hint="default"/>
                <w:sz w:val="18"/>
                <w:szCs w:val="18"/>
              </w:rPr>
              <w:t>网的技术开发、技术转 让、技术咨询、技术服</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67.74%</w:t>
            </w: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务，计算机系统服务，</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计算机维修，软件开</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1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发，电子产品、</w:t>
            </w:r>
          </w:p>
        </w:tc>
        <w:tc>
          <w:tcPr>
            <w:tcW w:w="1136" w:type="dxa"/>
            <w:tcBorders>
              <w:top w:val="nil" w:sz="6" w:space="0" w:color="auto"/>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15"/>
        <w:gridCol w:w="1366"/>
        <w:gridCol w:w="1368"/>
        <w:gridCol w:w="1848"/>
        <w:gridCol w:w="1136"/>
        <w:gridCol w:w="1116"/>
        <w:gridCol w:w="1366"/>
      </w:tblGrid>
      <w:tr>
        <w:trPr>
          <w:trHeight w:val="317" w:hRule="exact"/>
        </w:trPr>
        <w:tc>
          <w:tcPr>
            <w:tcW w:w="1515"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软件及辅助设备、仪器</w:t>
            </w:r>
          </w:p>
        </w:tc>
        <w:tc>
          <w:tcPr>
            <w:tcW w:w="1136" w:type="dxa"/>
            <w:vMerge w:val="restart"/>
            <w:tcBorders>
              <w:top w:val="single" w:sz="4" w:space="0" w:color="000000"/>
              <w:left w:val="single" w:sz="4" w:space="0" w:color="000000"/>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仪表的销售；国内贸</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易、经营进出口业务</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（不含专营、专控、专</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卖商品</w:t>
            </w:r>
            <w:r>
              <w:rPr>
                <w:rFonts w:ascii="宋体" w:hAnsi="宋体" w:cs="宋体" w:eastAsia="宋体" w:hint="default"/>
                <w:spacing w:val="-92"/>
                <w:sz w:val="18"/>
                <w:szCs w:val="18"/>
              </w:rPr>
              <w:t>）</w:t>
            </w:r>
            <w:r>
              <w:rPr>
                <w:rFonts w:ascii="宋体" w:hAnsi="宋体" w:cs="宋体" w:eastAsia="宋体" w:hint="default"/>
                <w:sz w:val="18"/>
                <w:szCs w:val="18"/>
              </w:rPr>
              <w:t>；在网上从事</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商贸活动（不含限制项</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515"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6"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8" w:hRule="exact"/>
        </w:trPr>
        <w:tc>
          <w:tcPr>
            <w:tcW w:w="151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网络信息技术开发、技</w:t>
            </w:r>
          </w:p>
        </w:tc>
        <w:tc>
          <w:tcPr>
            <w:tcW w:w="1136" w:type="dxa"/>
            <w:tcBorders>
              <w:top w:val="single" w:sz="4" w:space="0" w:color="000000"/>
              <w:left w:val="single" w:sz="4" w:space="0" w:color="000000"/>
              <w:bottom w:val="nil" w:sz="6" w:space="0" w:color="auto"/>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术转让、技术咨询、技</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术服务（除培训</w:t>
            </w:r>
            <w:r>
              <w:rPr>
                <w:rFonts w:ascii="宋体" w:hAnsi="宋体" w:cs="宋体" w:eastAsia="宋体" w:hint="default"/>
                <w:spacing w:val="-92"/>
                <w:sz w:val="18"/>
                <w:szCs w:val="18"/>
              </w:rPr>
              <w:t>）</w:t>
            </w:r>
            <w:r>
              <w:rPr>
                <w:rFonts w:ascii="宋体" w:hAnsi="宋体" w:cs="宋体" w:eastAsia="宋体" w:hint="default"/>
                <w:sz w:val="18"/>
                <w:szCs w:val="18"/>
              </w:rPr>
              <w:t>；计</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38"/>
              <w:jc w:val="left"/>
              <w:rPr>
                <w:rFonts w:ascii="宋体" w:hAnsi="宋体" w:cs="宋体" w:eastAsia="宋体" w:hint="default"/>
                <w:sz w:val="18"/>
                <w:szCs w:val="18"/>
              </w:rPr>
            </w:pPr>
            <w:r>
              <w:rPr>
                <w:rFonts w:ascii="宋体" w:hAnsi="宋体" w:cs="宋体" w:eastAsia="宋体" w:hint="default"/>
                <w:sz w:val="18"/>
                <w:szCs w:val="18"/>
              </w:rPr>
              <w:t>安徽思瑞格信息技 术有限公司</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70"/>
              <w:jc w:val="left"/>
              <w:rPr>
                <w:rFonts w:ascii="宋体" w:hAnsi="宋体" w:cs="宋体" w:eastAsia="宋体" w:hint="default"/>
                <w:sz w:val="18"/>
                <w:szCs w:val="18"/>
              </w:rPr>
            </w:pPr>
            <w:r>
              <w:rPr>
                <w:rFonts w:ascii="宋体" w:hAnsi="宋体" w:cs="宋体" w:eastAsia="宋体" w:hint="default"/>
                <w:sz w:val="18"/>
                <w:szCs w:val="18"/>
              </w:rPr>
              <w:t>安徽省合肥市蜀 山区</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72"/>
              <w:jc w:val="left"/>
              <w:rPr>
                <w:rFonts w:ascii="宋体" w:hAnsi="宋体" w:cs="宋体" w:eastAsia="宋体" w:hint="default"/>
                <w:sz w:val="18"/>
                <w:szCs w:val="18"/>
              </w:rPr>
            </w:pPr>
            <w:r>
              <w:rPr>
                <w:rFonts w:ascii="宋体" w:hAnsi="宋体" w:cs="宋体" w:eastAsia="宋体" w:hint="default"/>
                <w:sz w:val="18"/>
                <w:szCs w:val="18"/>
              </w:rPr>
              <w:t>安徽省合肥市蜀 山区</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
              <w:jc w:val="both"/>
              <w:rPr>
                <w:rFonts w:ascii="宋体" w:hAnsi="宋体" w:cs="宋体" w:eastAsia="宋体" w:hint="default"/>
                <w:sz w:val="18"/>
                <w:szCs w:val="18"/>
              </w:rPr>
            </w:pPr>
            <w:r>
              <w:rPr>
                <w:rFonts w:ascii="宋体" w:hAnsi="宋体" w:cs="宋体" w:eastAsia="宋体" w:hint="default"/>
                <w:sz w:val="18"/>
                <w:szCs w:val="18"/>
              </w:rPr>
              <w:t>算机系统服务；计算机 维修；电子产品、计算 机、软件及辅助设、仪</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器仪表销售；自营和代</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理各类商品和技术的</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51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进出口业务</w:t>
            </w:r>
          </w:p>
        </w:tc>
        <w:tc>
          <w:tcPr>
            <w:tcW w:w="1136" w:type="dxa"/>
            <w:tcBorders>
              <w:top w:val="nil" w:sz="6" w:space="0" w:color="auto"/>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51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计算机软硬件研发、生</w:t>
            </w:r>
          </w:p>
        </w:tc>
        <w:tc>
          <w:tcPr>
            <w:tcW w:w="1136" w:type="dxa"/>
            <w:tcBorders>
              <w:top w:val="single" w:sz="4" w:space="0" w:color="000000"/>
              <w:left w:val="single" w:sz="4" w:space="0" w:color="000000"/>
              <w:bottom w:val="nil" w:sz="6" w:space="0" w:color="auto"/>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产及技术转让、技术咨</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询、技术服务；计算机</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成都易信科技有限 公司</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成都市双流区</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成都市双流区</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
              <w:jc w:val="left"/>
              <w:rPr>
                <w:rFonts w:ascii="宋体" w:hAnsi="宋体" w:cs="宋体" w:eastAsia="宋体" w:hint="default"/>
                <w:sz w:val="18"/>
                <w:szCs w:val="18"/>
              </w:rPr>
            </w:pPr>
            <w:r>
              <w:rPr>
                <w:rFonts w:ascii="宋体" w:hAnsi="宋体" w:cs="宋体" w:eastAsia="宋体" w:hint="default"/>
                <w:sz w:val="18"/>
                <w:szCs w:val="18"/>
              </w:rPr>
              <w:t>系统服务；计算机维 修；销售电子产品、计 算机、软件及辅助设</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备、仪器仪表；从事货</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物及技术进出口的对</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1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外贸易经营。</w:t>
            </w:r>
          </w:p>
        </w:tc>
        <w:tc>
          <w:tcPr>
            <w:tcW w:w="1136" w:type="dxa"/>
            <w:tcBorders>
              <w:top w:val="nil" w:sz="6" w:space="0" w:color="auto"/>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51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技术开发、技术咨询、</w:t>
            </w:r>
          </w:p>
        </w:tc>
        <w:tc>
          <w:tcPr>
            <w:tcW w:w="1136" w:type="dxa"/>
            <w:tcBorders>
              <w:top w:val="single" w:sz="4" w:space="0" w:color="000000"/>
              <w:left w:val="single" w:sz="4" w:space="0" w:color="000000"/>
              <w:bottom w:val="nil" w:sz="6" w:space="0" w:color="auto"/>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技术服务；计算机软件</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5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8"/>
              <w:jc w:val="left"/>
              <w:rPr>
                <w:rFonts w:ascii="宋体" w:hAnsi="宋体" w:cs="宋体" w:eastAsia="宋体" w:hint="default"/>
                <w:sz w:val="18"/>
                <w:szCs w:val="18"/>
              </w:rPr>
            </w:pPr>
            <w:r>
              <w:rPr>
                <w:rFonts w:ascii="宋体" w:hAnsi="宋体" w:cs="宋体" w:eastAsia="宋体" w:hint="default"/>
                <w:sz w:val="18"/>
                <w:szCs w:val="18"/>
              </w:rPr>
              <w:t>北京思创立方科技 有限公司</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北京市丰台区</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北京市丰台区</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1"/>
                <w:sz w:val="18"/>
                <w:szCs w:val="18"/>
              </w:rPr>
              <w:t>开发；销售计算机软件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及辅助设备、电子产</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w:t>
            </w: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收购取得</w:t>
            </w: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品、通讯设备；基础软</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51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件服务。</w:t>
            </w:r>
          </w:p>
        </w:tc>
        <w:tc>
          <w:tcPr>
            <w:tcW w:w="1136" w:type="dxa"/>
            <w:tcBorders>
              <w:top w:val="nil" w:sz="6" w:space="0" w:color="auto"/>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51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数据处理和存储服务</w:t>
            </w:r>
            <w:r>
              <w:rPr>
                <w:rFonts w:ascii="Times New Roman" w:hAnsi="Times New Roman" w:cs="Times New Roman" w:eastAsia="Times New Roman" w:hint="default"/>
                <w:sz w:val="18"/>
                <w:szCs w:val="18"/>
              </w:rPr>
              <w:t>;</w:t>
            </w:r>
          </w:p>
        </w:tc>
        <w:tc>
          <w:tcPr>
            <w:tcW w:w="1136" w:type="dxa"/>
            <w:tcBorders>
              <w:top w:val="single" w:sz="4" w:space="0" w:color="000000"/>
              <w:left w:val="single" w:sz="4" w:space="0" w:color="000000"/>
              <w:bottom w:val="nil" w:sz="6" w:space="0" w:color="auto"/>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信息系统集成服务</w:t>
            </w:r>
            <w:r>
              <w:rPr>
                <w:rFonts w:ascii="Times New Roman" w:hAnsi="Times New Roman" w:cs="Times New Roman" w:eastAsia="Times New Roman" w:hint="default"/>
                <w:sz w:val="18"/>
                <w:szCs w:val="18"/>
              </w:rPr>
              <w:t>;</w:t>
            </w:r>
            <w:r>
              <w:rPr>
                <w:rFonts w:ascii="宋体" w:hAnsi="宋体" w:cs="宋体" w:eastAsia="宋体" w:hint="default"/>
                <w:sz w:val="18"/>
                <w:szCs w:val="18"/>
              </w:rPr>
              <w:t>信</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息技术咨询服务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计算</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机批发</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计算机零配件</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批发</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计算机零售</w:t>
            </w:r>
            <w:r>
              <w:rPr>
                <w:rFonts w:ascii="Times New Roman" w:hAnsi="Times New Roman" w:cs="Times New Roman" w:eastAsia="Times New Roman" w:hint="default"/>
                <w:sz w:val="18"/>
                <w:szCs w:val="18"/>
              </w:rPr>
              <w:t>;</w:t>
            </w:r>
            <w:r>
              <w:rPr>
                <w:rFonts w:ascii="宋体" w:hAnsi="宋体" w:cs="宋体" w:eastAsia="宋体" w:hint="default"/>
                <w:sz w:val="18"/>
                <w:szCs w:val="18"/>
              </w:rPr>
              <w:t>计算</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51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广州大奇数据科技 有限公司</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广州市黄埔区</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广州市黄埔区</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300" w:lineRule="auto" w:before="15"/>
              <w:ind w:left="24" w:right="143"/>
              <w:jc w:val="left"/>
              <w:rPr>
                <w:rFonts w:ascii="Times New Roman" w:hAnsi="Times New Roman" w:cs="Times New Roman" w:eastAsia="Times New Roman" w:hint="default"/>
                <w:sz w:val="18"/>
                <w:szCs w:val="18"/>
              </w:rPr>
            </w:pPr>
            <w:r>
              <w:rPr>
                <w:rFonts w:ascii="宋体" w:hAnsi="宋体" w:cs="宋体" w:eastAsia="宋体" w:hint="default"/>
                <w:sz w:val="18"/>
                <w:szCs w:val="18"/>
              </w:rPr>
              <w:t>机零配件零售</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 技术开发、技术服务</w:t>
            </w:r>
            <w:r>
              <w:rPr>
                <w:rFonts w:ascii="Times New Roman" w:hAnsi="Times New Roman" w:cs="Times New Roman" w:eastAsia="Times New Roman" w:hint="default"/>
                <w:sz w:val="18"/>
                <w:szCs w:val="18"/>
              </w:rPr>
              <w:t>;</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通讯设备及</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配套设备批发</w:t>
            </w:r>
            <w:r>
              <w:rPr>
                <w:rFonts w:ascii="Times New Roman" w:hAnsi="Times New Roman" w:cs="Times New Roman" w:eastAsia="Times New Roman" w:hint="default"/>
                <w:sz w:val="18"/>
                <w:szCs w:val="18"/>
              </w:rPr>
              <w:t>;</w:t>
            </w:r>
            <w:r>
              <w:rPr>
                <w:rFonts w:ascii="宋体" w:hAnsi="宋体" w:cs="宋体" w:eastAsia="宋体" w:hint="default"/>
                <w:sz w:val="18"/>
                <w:szCs w:val="18"/>
              </w:rPr>
              <w:t>通讯终</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端设备批发</w:t>
            </w:r>
            <w:r>
              <w:rPr>
                <w:rFonts w:ascii="Times New Roman" w:hAnsi="Times New Roman" w:cs="Times New Roman" w:eastAsia="Times New Roman" w:hint="default"/>
                <w:sz w:val="18"/>
                <w:szCs w:val="18"/>
              </w:rPr>
              <w:t>;</w:t>
            </w:r>
            <w:r>
              <w:rPr>
                <w:rFonts w:ascii="宋体" w:hAnsi="宋体" w:cs="宋体" w:eastAsia="宋体" w:hint="default"/>
                <w:sz w:val="18"/>
                <w:szCs w:val="18"/>
              </w:rPr>
              <w:t>办公设备</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耗材批发</w:t>
            </w:r>
            <w:r>
              <w:rPr>
                <w:rFonts w:ascii="Times New Roman" w:hAnsi="Times New Roman" w:cs="Times New Roman" w:eastAsia="Times New Roman" w:hint="default"/>
                <w:sz w:val="18"/>
                <w:szCs w:val="18"/>
              </w:rPr>
              <w:t>;</w:t>
            </w:r>
            <w:r>
              <w:rPr>
                <w:rFonts w:ascii="宋体" w:hAnsi="宋体" w:cs="宋体" w:eastAsia="宋体" w:hint="default"/>
                <w:sz w:val="18"/>
                <w:szCs w:val="18"/>
              </w:rPr>
              <w:t>电子产品批</w:t>
            </w:r>
          </w:p>
        </w:tc>
        <w:tc>
          <w:tcPr>
            <w:tcW w:w="1136" w:type="dxa"/>
            <w:tcBorders>
              <w:top w:val="nil" w:sz="6" w:space="0" w:color="auto"/>
              <w:left w:val="single" w:sz="4" w:space="0" w:color="000000"/>
              <w:bottom w:val="nil" w:sz="6" w:space="0" w:color="auto"/>
              <w:right w:val="single" w:sz="4" w:space="0" w:color="000000"/>
            </w:tcBorders>
          </w:tcPr>
          <w:p>
            <w:pPr/>
          </w:p>
        </w:tc>
        <w:tc>
          <w:tcPr>
            <w:tcW w:w="111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1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发</w:t>
            </w:r>
            <w:r>
              <w:rPr>
                <w:rFonts w:ascii="Times New Roman" w:hAnsi="Times New Roman" w:cs="Times New Roman" w:eastAsia="Times New Roman" w:hint="default"/>
                <w:sz w:val="18"/>
                <w:szCs w:val="18"/>
              </w:rPr>
              <w:t>;</w:t>
            </w:r>
            <w:r>
              <w:rPr>
                <w:rFonts w:ascii="宋体" w:hAnsi="宋体" w:cs="宋体" w:eastAsia="宋体" w:hint="default"/>
                <w:sz w:val="18"/>
                <w:szCs w:val="18"/>
              </w:rPr>
              <w:t>商品批发贸易</w:t>
            </w:r>
            <w:r>
              <w:rPr>
                <w:rFonts w:ascii="Times New Roman" w:hAnsi="Times New Roman" w:cs="Times New Roman" w:eastAsia="Times New Roman" w:hint="default"/>
                <w:sz w:val="18"/>
                <w:szCs w:val="18"/>
              </w:rPr>
              <w:t>(</w:t>
            </w:r>
            <w:r>
              <w:rPr>
                <w:rFonts w:ascii="宋体" w:hAnsi="宋体" w:cs="宋体" w:eastAsia="宋体" w:hint="default"/>
                <w:sz w:val="18"/>
                <w:szCs w:val="18"/>
              </w:rPr>
              <w:t>许可</w:t>
            </w:r>
          </w:p>
        </w:tc>
        <w:tc>
          <w:tcPr>
            <w:tcW w:w="1136" w:type="dxa"/>
            <w:tcBorders>
              <w:top w:val="nil" w:sz="6" w:space="0" w:color="auto"/>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15"/>
        <w:gridCol w:w="1366"/>
        <w:gridCol w:w="1368"/>
        <w:gridCol w:w="1848"/>
        <w:gridCol w:w="1136"/>
        <w:gridCol w:w="1116"/>
        <w:gridCol w:w="1366"/>
      </w:tblGrid>
      <w:tr>
        <w:trPr>
          <w:trHeight w:val="322" w:hRule="exact"/>
        </w:trPr>
        <w:tc>
          <w:tcPr>
            <w:tcW w:w="1515"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审批类商品除外</w:t>
            </w:r>
            <w:r>
              <w:rPr>
                <w:rFonts w:ascii="Times New Roman" w:hAnsi="Times New Roman" w:cs="Times New Roman" w:eastAsia="Times New Roman" w:hint="default"/>
                <w:sz w:val="18"/>
                <w:szCs w:val="18"/>
              </w:rPr>
              <w:t>);</w:t>
            </w:r>
            <w:r>
              <w:rPr>
                <w:rFonts w:ascii="宋体" w:hAnsi="宋体" w:cs="宋体" w:eastAsia="宋体" w:hint="default"/>
                <w:sz w:val="18"/>
                <w:szCs w:val="18"/>
              </w:rPr>
              <w:t>监控</w:t>
            </w:r>
          </w:p>
        </w:tc>
        <w:tc>
          <w:tcPr>
            <w:tcW w:w="1136" w:type="dxa"/>
            <w:vMerge w:val="restart"/>
            <w:tcBorders>
              <w:top w:val="single" w:sz="4" w:space="0" w:color="000000"/>
              <w:left w:val="single" w:sz="4" w:space="0" w:color="000000"/>
              <w:right w:val="single" w:sz="4" w:space="0" w:color="000000"/>
            </w:tcBorders>
          </w:tcPr>
          <w:p>
            <w:pPr/>
          </w:p>
        </w:tc>
        <w:tc>
          <w:tcPr>
            <w:tcW w:w="1116"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系统工程安装服务</w:t>
            </w:r>
            <w:r>
              <w:rPr>
                <w:rFonts w:ascii="Times New Roman" w:hAnsi="Times New Roman" w:cs="Times New Roman" w:eastAsia="Times New Roman" w:hint="default"/>
                <w:sz w:val="18"/>
                <w:szCs w:val="18"/>
              </w:rPr>
              <w:t>;</w:t>
            </w:r>
            <w:r>
              <w:rPr>
                <w:rFonts w:ascii="宋体" w:hAnsi="宋体" w:cs="宋体" w:eastAsia="宋体" w:hint="default"/>
                <w:sz w:val="18"/>
                <w:szCs w:val="18"/>
              </w:rPr>
              <w:t>智</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能化安装工程服务</w:t>
            </w:r>
            <w:r>
              <w:rPr>
                <w:rFonts w:ascii="Times New Roman" w:hAnsi="Times New Roman" w:cs="Times New Roman" w:eastAsia="Times New Roman" w:hint="default"/>
                <w:sz w:val="18"/>
                <w:szCs w:val="18"/>
              </w:rPr>
              <w:t>;</w:t>
            </w:r>
            <w:r>
              <w:rPr>
                <w:rFonts w:ascii="宋体" w:hAnsi="宋体" w:cs="宋体" w:eastAsia="宋体" w:hint="default"/>
                <w:sz w:val="18"/>
                <w:szCs w:val="18"/>
              </w:rPr>
              <w:t>工</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程总承包服务</w:t>
            </w:r>
            <w:r>
              <w:rPr>
                <w:rFonts w:ascii="Times New Roman" w:hAnsi="Times New Roman" w:cs="Times New Roman" w:eastAsia="Times New Roman" w:hint="default"/>
                <w:sz w:val="18"/>
                <w:szCs w:val="18"/>
              </w:rPr>
              <w:t>;</w:t>
            </w:r>
            <w:r>
              <w:rPr>
                <w:rFonts w:ascii="宋体" w:hAnsi="宋体" w:cs="宋体" w:eastAsia="宋体" w:hint="default"/>
                <w:sz w:val="18"/>
                <w:szCs w:val="18"/>
              </w:rPr>
              <w:t>电气设</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备零售</w:t>
            </w:r>
            <w:r>
              <w:rPr>
                <w:rFonts w:ascii="Times New Roman" w:hAnsi="Times New Roman" w:cs="Times New Roman" w:eastAsia="Times New Roman" w:hint="default"/>
                <w:sz w:val="18"/>
                <w:szCs w:val="18"/>
              </w:rPr>
              <w:t>;</w:t>
            </w:r>
            <w:r>
              <w:rPr>
                <w:rFonts w:ascii="宋体" w:hAnsi="宋体" w:cs="宋体" w:eastAsia="宋体" w:hint="default"/>
                <w:sz w:val="18"/>
                <w:szCs w:val="18"/>
              </w:rPr>
              <w:t>电气机械设备</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Times New Roman" w:hAnsi="Times New Roman" w:cs="Times New Roman" w:eastAsia="Times New Roman" w:hint="default"/>
                <w:sz w:val="18"/>
                <w:szCs w:val="18"/>
              </w:rPr>
              <w:t>;</w:t>
            </w:r>
            <w:r>
              <w:rPr>
                <w:rFonts w:ascii="宋体" w:hAnsi="宋体" w:cs="宋体" w:eastAsia="宋体" w:hint="default"/>
                <w:sz w:val="18"/>
                <w:szCs w:val="18"/>
              </w:rPr>
              <w:t>通用机械设备销</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售</w:t>
            </w:r>
            <w:r>
              <w:rPr>
                <w:rFonts w:ascii="Times New Roman" w:hAnsi="Times New Roman" w:cs="Times New Roman" w:eastAsia="Times New Roman" w:hint="default"/>
                <w:sz w:val="18"/>
                <w:szCs w:val="18"/>
              </w:rPr>
              <w:t>;</w:t>
            </w:r>
            <w:r>
              <w:rPr>
                <w:rFonts w:ascii="宋体" w:hAnsi="宋体" w:cs="宋体" w:eastAsia="宋体" w:hint="default"/>
                <w:sz w:val="18"/>
                <w:szCs w:val="18"/>
              </w:rPr>
              <w:t>通用机械设备零售</w:t>
            </w:r>
            <w:r>
              <w:rPr>
                <w:rFonts w:ascii="Times New Roman" w:hAnsi="Times New Roman" w:cs="Times New Roman" w:eastAsia="Times New Roman" w:hint="default"/>
                <w:sz w:val="18"/>
                <w:szCs w:val="18"/>
              </w:rPr>
              <w:t>;</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软件服务</w:t>
            </w:r>
            <w:r>
              <w:rPr>
                <w:rFonts w:ascii="Times New Roman" w:hAnsi="Times New Roman" w:cs="Times New Roman" w:eastAsia="Times New Roman" w:hint="default"/>
                <w:sz w:val="18"/>
                <w:szCs w:val="18"/>
              </w:rPr>
              <w:t>;</w:t>
            </w:r>
            <w:r>
              <w:rPr>
                <w:rFonts w:ascii="宋体" w:hAnsi="宋体" w:cs="宋体" w:eastAsia="宋体" w:hint="default"/>
                <w:sz w:val="18"/>
                <w:szCs w:val="18"/>
              </w:rPr>
              <w:t>技术进出口</w:t>
            </w:r>
            <w:r>
              <w:rPr>
                <w:rFonts w:ascii="Times New Roman" w:hAnsi="Times New Roman" w:cs="Times New Roman" w:eastAsia="Times New Roman" w:hint="default"/>
                <w:sz w:val="18"/>
                <w:szCs w:val="18"/>
              </w:rPr>
              <w:t>;</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商品零售贸易</w:t>
            </w:r>
            <w:r>
              <w:rPr>
                <w:rFonts w:ascii="Times New Roman" w:hAnsi="Times New Roman" w:cs="Times New Roman" w:eastAsia="Times New Roman" w:hint="default"/>
                <w:sz w:val="18"/>
                <w:szCs w:val="18"/>
              </w:rPr>
              <w:t>(</w:t>
            </w:r>
            <w:r>
              <w:rPr>
                <w:rFonts w:ascii="宋体" w:hAnsi="宋体" w:cs="宋体" w:eastAsia="宋体" w:hint="default"/>
                <w:sz w:val="18"/>
                <w:szCs w:val="18"/>
              </w:rPr>
              <w:t>许可审</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批类商品除外</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房维护服务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软件零售</w:t>
            </w:r>
            <w:r>
              <w:rPr>
                <w:rFonts w:ascii="Times New Roman" w:hAnsi="Times New Roman" w:cs="Times New Roman" w:eastAsia="Times New Roman" w:hint="default"/>
                <w:sz w:val="18"/>
                <w:szCs w:val="18"/>
              </w:rPr>
              <w:t>;</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通信设备零售</w:t>
            </w:r>
            <w:r>
              <w:rPr>
                <w:rFonts w:ascii="Times New Roman" w:hAnsi="Times New Roman" w:cs="Times New Roman" w:eastAsia="Times New Roman" w:hint="default"/>
                <w:sz w:val="18"/>
                <w:szCs w:val="18"/>
              </w:rPr>
              <w:t>;</w:t>
            </w:r>
            <w:r>
              <w:rPr>
                <w:rFonts w:ascii="宋体" w:hAnsi="宋体" w:cs="宋体" w:eastAsia="宋体" w:hint="default"/>
                <w:sz w:val="18"/>
                <w:szCs w:val="18"/>
              </w:rPr>
              <w:t>电子产</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品零售</w:t>
            </w:r>
            <w:r>
              <w:rPr>
                <w:rFonts w:ascii="Times New Roman" w:hAnsi="Times New Roman" w:cs="Times New Roman" w:eastAsia="Times New Roman" w:hint="default"/>
                <w:sz w:val="18"/>
                <w:szCs w:val="18"/>
              </w:rPr>
              <w:t>;</w:t>
            </w:r>
            <w:r>
              <w:rPr>
                <w:rFonts w:ascii="宋体" w:hAnsi="宋体" w:cs="宋体" w:eastAsia="宋体" w:hint="default"/>
                <w:sz w:val="18"/>
                <w:szCs w:val="18"/>
              </w:rPr>
              <w:t>软件批发</w:t>
            </w:r>
            <w:r>
              <w:rPr>
                <w:rFonts w:ascii="Times New Roman" w:hAnsi="Times New Roman" w:cs="Times New Roman" w:eastAsia="Times New Roman" w:hint="default"/>
                <w:sz w:val="18"/>
                <w:szCs w:val="18"/>
              </w:rPr>
              <w:t>;</w:t>
            </w:r>
            <w:r>
              <w:rPr>
                <w:rFonts w:ascii="宋体" w:hAnsi="宋体" w:cs="宋体" w:eastAsia="宋体" w:hint="default"/>
                <w:sz w:val="18"/>
                <w:szCs w:val="18"/>
              </w:rPr>
              <w:t>安全</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07"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技术防范系统设计、施</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7" w:hRule="exact"/>
        </w:trPr>
        <w:tc>
          <w:tcPr>
            <w:tcW w:w="1515"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工、维修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软件技术推广</w:t>
            </w:r>
          </w:p>
        </w:tc>
        <w:tc>
          <w:tcPr>
            <w:tcW w:w="1136" w:type="dxa"/>
            <w:vMerge/>
            <w:tcBorders>
              <w:left w:val="single" w:sz="4" w:space="0" w:color="000000"/>
              <w:right w:val="single" w:sz="4" w:space="0" w:color="000000"/>
            </w:tcBorders>
          </w:tcPr>
          <w:p>
            <w:pPr/>
          </w:p>
        </w:tc>
        <w:tc>
          <w:tcPr>
            <w:tcW w:w="1116"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3" w:hRule="exact"/>
        </w:trPr>
        <w:tc>
          <w:tcPr>
            <w:tcW w:w="1515"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136"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6"/>
        <w:gridCol w:w="1913"/>
        <w:gridCol w:w="1913"/>
        <w:gridCol w:w="1916"/>
      </w:tblGrid>
      <w:tr>
        <w:trPr>
          <w:trHeight w:val="766"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深圳花儿数据技术有限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-2,138,977.24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-344,349.39</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北京思创立方科技有限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-578,145.35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1,402,110.44</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8"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深圳花</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儿数据</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338,355.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122,327.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460,682.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1,528,16</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1,528,16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5,654,40</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5"/>
                <w:sz w:val="18"/>
              </w:rPr>
              <w:t>5,654,40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91,062.1</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91,062.1</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技术有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12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5.52</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5.52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8.47</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8.47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5</w:t>
            </w:r>
          </w:p>
        </w:tc>
      </w:tr>
      <w:tr>
        <w:trPr>
          <w:trHeight w:val="350"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北京思</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创立方</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17,059,7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w w:val="95"/>
                <w:sz w:val="18"/>
              </w:rPr>
              <w:t>5,524,40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22,584,1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17,268,5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w w:val="95"/>
                <w:sz w:val="18"/>
              </w:rPr>
              <w:t>1,309,55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18,578,1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22,331,1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w w:val="95"/>
                <w:sz w:val="18"/>
              </w:rPr>
              <w:t>6,788,39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29,119,5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21,727,7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w w:val="95"/>
                <w:sz w:val="18"/>
              </w:rPr>
              <w:t>1,733,86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23,461,6</w:t>
            </w:r>
          </w:p>
        </w:tc>
      </w:tr>
      <w:tr>
        <w:trPr>
          <w:trHeight w:val="311"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70.25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8.19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78.44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96.78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1.84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48.62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38.76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8.83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37.59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97.91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5.98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63.89</w:t>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59" w:right="75"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358"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深圳花儿数</w:t>
            </w:r>
          </w:p>
        </w:tc>
        <w:tc>
          <w:tcPr>
            <w:tcW w:w="1061"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据技术有限</w:t>
            </w:r>
          </w:p>
        </w:tc>
        <w:tc>
          <w:tcPr>
            <w:tcW w:w="1061"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-6,630,829.44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-6,630,829.44</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-5,374,475.91</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9" w:right="0"/>
              <w:jc w:val="center"/>
              <w:rPr>
                <w:rFonts w:ascii="Times New Roman" w:hAnsi="Times New Roman" w:cs="Times New Roman" w:eastAsia="Times New Roman" w:hint="default"/>
                <w:sz w:val="18"/>
                <w:szCs w:val="18"/>
              </w:rPr>
            </w:pPr>
            <w:r>
              <w:rPr>
                <w:rFonts w:ascii="Times New Roman"/>
                <w:sz w:val="18"/>
              </w:rPr>
              <w:t>-636,653.68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-636,653.68</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-596,201.30</w:t>
            </w:r>
          </w:p>
        </w:tc>
      </w:tr>
      <w:tr>
        <w:trPr>
          <w:trHeight w:val="350"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5"/>
              <w:jc w:val="both"/>
              <w:rPr>
                <w:rFonts w:ascii="宋体" w:hAnsi="宋体" w:cs="宋体" w:eastAsia="宋体" w:hint="default"/>
                <w:sz w:val="18"/>
                <w:szCs w:val="18"/>
              </w:rPr>
            </w:pPr>
            <w:r>
              <w:rPr>
                <w:rFonts w:ascii="宋体" w:hAnsi="宋体" w:cs="宋体" w:eastAsia="宋体" w:hint="default"/>
                <w:sz w:val="18"/>
                <w:szCs w:val="18"/>
              </w:rPr>
              <w:t>北京思创立 方科技有限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28,438,657.4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-1,651,843.88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-1,651,843.88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630,141.79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8,645,401.27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3,443,210.81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3,443,210.81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-418,426.97</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15"/>
        <w:gridCol w:w="1366"/>
        <w:gridCol w:w="1368"/>
        <w:gridCol w:w="1366"/>
        <w:gridCol w:w="1369"/>
        <w:gridCol w:w="1366"/>
        <w:gridCol w:w="1366"/>
      </w:tblGrid>
      <w:tr>
        <w:trPr>
          <w:trHeight w:val="403" w:hRule="exact"/>
        </w:trPr>
        <w:tc>
          <w:tcPr>
            <w:tcW w:w="15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2" w:right="31" w:hanging="452"/>
              <w:jc w:val="left"/>
              <w:rPr>
                <w:rFonts w:ascii="宋体" w:hAnsi="宋体" w:cs="宋体" w:eastAsia="宋体" w:hint="default"/>
                <w:sz w:val="18"/>
                <w:szCs w:val="18"/>
              </w:rPr>
            </w:pPr>
            <w:r>
              <w:rPr>
                <w:rFonts w:ascii="宋体" w:hAnsi="宋体" w:cs="宋体" w:eastAsia="宋体" w:hint="default"/>
                <w:sz w:val="18"/>
                <w:szCs w:val="18"/>
              </w:rPr>
              <w:t>合营企业或联营企 业名称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515"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北京丹枫信通信息 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0"/>
              <w:jc w:val="both"/>
              <w:rPr>
                <w:rFonts w:ascii="宋体" w:hAnsi="宋体" w:cs="宋体" w:eastAsia="宋体" w:hint="default"/>
                <w:sz w:val="18"/>
                <w:szCs w:val="18"/>
              </w:rPr>
            </w:pPr>
            <w:r>
              <w:rPr>
                <w:rFonts w:ascii="宋体" w:hAnsi="宋体" w:cs="宋体" w:eastAsia="宋体" w:hint="default"/>
                <w:sz w:val="18"/>
                <w:szCs w:val="18"/>
              </w:rPr>
              <w:t>通讯计算机行业 的系统集成与软 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北京方信求真投资 管理中心（有限合 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北京市朝阳区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北京市朝阳区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北京欧拉认知智能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四川好爱家电子商 务股份有限公司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成都高新区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成都高新区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网上贸易代理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both"/>
      </w:pPr>
      <w:r>
        <w:rPr/>
        <w:t>在合营企业或联营企业的持股比例不同于表决权比例的说明：</w:t>
      </w:r>
    </w:p>
    <w:p>
      <w:pPr>
        <w:pStyle w:val="BodyText"/>
        <w:spacing w:line="309" w:lineRule="auto" w:before="115"/>
        <w:ind w:right="1129"/>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日，根据北京市工商局海淀分局的《行政处罚决定书》（京工商海处字（</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D13528</w:t>
      </w:r>
      <w:r>
        <w:rPr/>
        <w:t>号），因北京丹枫</w:t>
      </w:r>
      <w:r>
        <w:rPr>
          <w:spacing w:val="-43"/>
        </w:rPr>
        <w:t> </w:t>
      </w:r>
      <w:r>
        <w:rPr>
          <w:spacing w:val="-43"/>
        </w:rPr>
      </w:r>
      <w:r>
        <w:rPr>
          <w:spacing w:val="-2"/>
        </w:rPr>
        <w:t>信通信息技术有限公司未在规定的期限内接受年度企业年检，已将其营业执照吊销，无法获取公司相关资料，故无法披露联</w:t>
      </w:r>
      <w:r>
        <w:rPr>
          <w:spacing w:val="-66"/>
        </w:rPr>
        <w:t> </w:t>
      </w:r>
      <w:r>
        <w:rPr>
          <w:spacing w:val="-66"/>
        </w:rPr>
      </w:r>
      <w:r>
        <w:rPr/>
        <w:t>营企业的主要财务信息。</w:t>
      </w:r>
    </w:p>
    <w:p>
      <w:pPr>
        <w:spacing w:line="240" w:lineRule="auto" w:before="1"/>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12,825,138.67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11,884,611.92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440,526.75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-115,388.08</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440,526.75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-115,388.08</w:t>
            </w: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420"/>
        <w:jc w:val="both"/>
      </w:pPr>
      <w:r>
        <w:rPr/>
        <w:t>本公司从事风险管理的目标是在风险和收益之间取得平衡，将风险对经营业绩的负面影响降至最低，使股东权益最大 </w:t>
      </w:r>
      <w:r>
        <w:rPr>
          <w:spacing w:val="-2"/>
        </w:rPr>
        <w:t>化。基于该风险管理目标，本公司风险管理的基本策略是确认和分析面临的各种风险，建风险承受底线和进行风险管理，并</w:t>
      </w:r>
      <w:r>
        <w:rPr>
          <w:spacing w:val="-64"/>
        </w:rPr>
        <w:t> </w:t>
      </w:r>
      <w:r>
        <w:rPr>
          <w:spacing w:val="-64"/>
        </w:rPr>
      </w:r>
      <w:r>
        <w:rPr>
          <w:spacing w:val="-2"/>
        </w:rPr>
        <w:t>及时可靠地对各种风险进行监督，将风险控制在限定范围内，本公司在日常活动中面临各种与金融工具相关的风险，主要包</w:t>
      </w:r>
      <w:r>
        <w:rPr>
          <w:spacing w:val="-63"/>
        </w:rPr>
        <w:t> </w:t>
      </w:r>
      <w:r>
        <w:rPr>
          <w:spacing w:val="-63"/>
        </w:rPr>
      </w:r>
      <w:r>
        <w:rPr/>
        <w:t>括信用风险、市场风险及流动风险。</w:t>
      </w:r>
    </w:p>
    <w:p>
      <w:pPr>
        <w:pStyle w:val="BodyText"/>
        <w:spacing w:line="319" w:lineRule="auto" w:before="19"/>
        <w:ind w:left="573" w:right="982" w:hanging="209"/>
        <w:jc w:val="left"/>
      </w:pPr>
      <w:r>
        <w:rPr>
          <w:rFonts w:ascii="宋体" w:hAnsi="宋体" w:cs="宋体" w:eastAsia="宋体" w:hint="default"/>
          <w:b/>
          <w:bCs/>
        </w:rPr>
        <w:t>（一）信用风险</w:t>
      </w:r>
      <w:r>
        <w:rPr>
          <w:rFonts w:ascii="宋体" w:hAnsi="宋体" w:cs="宋体" w:eastAsia="宋体" w:hint="default"/>
          <w:b/>
          <w:bCs/>
          <w:w w:val="99"/>
        </w:rPr>
        <w:t> </w:t>
      </w:r>
      <w:r>
        <w:rPr/>
        <w:t>信用风险是指金融工具的一方不履行义务，造成另一方发生财务损失的风险。本公司主要面临赊销导致的客户信用风</w:t>
      </w:r>
    </w:p>
    <w:p>
      <w:pPr>
        <w:pStyle w:val="BodyText"/>
        <w:spacing w:line="316" w:lineRule="auto" w:before="17"/>
        <w:ind w:right="982"/>
        <w:jc w:val="left"/>
      </w:pPr>
      <w:r>
        <w:rPr>
          <w:spacing w:val="-2"/>
        </w:rPr>
        <w:t>险。在签订新合同之前，本公司会对新客户的信用风险进行评估，包括外部信用评级和在某些情况下的银行资信证明（当此</w:t>
      </w:r>
      <w:r>
        <w:rPr>
          <w:spacing w:val="-64"/>
        </w:rPr>
        <w:t> </w:t>
      </w:r>
      <w:r>
        <w:rPr>
          <w:spacing w:val="-64"/>
        </w:rPr>
      </w:r>
      <w:r>
        <w:rPr/>
        <w:t>信息可获取时）。公司对每一客户均设置了赊销限额，该限额为无需获得额外批准的最大额度。</w:t>
      </w:r>
    </w:p>
    <w:p>
      <w:pPr>
        <w:pStyle w:val="BodyText"/>
        <w:spacing w:line="309" w:lineRule="auto" w:before="19"/>
        <w:ind w:right="1129" w:firstLine="420"/>
        <w:jc w:val="both"/>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2"/>
        </w:rPr>
        <w:t> </w:t>
      </w:r>
      <w:r>
        <w:rPr>
          <w:spacing w:val="-42"/>
        </w:rPr>
      </w:r>
      <w:r>
        <w:rPr/>
        <w:t>只有在额外批准的前提下，公司才可在未来期间内对其赊销，否则必须要求其提前支付相应款项。</w:t>
      </w:r>
    </w:p>
    <w:p>
      <w:pPr>
        <w:pStyle w:val="BodyText"/>
        <w:spacing w:line="316" w:lineRule="auto" w:before="24"/>
        <w:ind w:left="573" w:right="982" w:hanging="209"/>
        <w:jc w:val="left"/>
      </w:pPr>
      <w:r>
        <w:rPr>
          <w:rFonts w:ascii="宋体" w:hAnsi="宋体" w:cs="宋体" w:eastAsia="宋体" w:hint="default"/>
          <w:b/>
          <w:bCs/>
        </w:rPr>
        <w:t>（二）市场风险</w:t>
      </w:r>
      <w:r>
        <w:rPr>
          <w:rFonts w:ascii="宋体" w:hAnsi="宋体" w:cs="宋体" w:eastAsia="宋体" w:hint="default"/>
          <w:b/>
          <w:bCs/>
          <w:w w:val="99"/>
        </w:rPr>
        <w:t> </w:t>
      </w:r>
      <w:r>
        <w:rPr/>
        <w:t>金融工具的市场风险，是指金融工具的公允价值或未来现金流量因市场价格变动而发生波动的风险，包括汇率风险、</w:t>
      </w:r>
    </w:p>
    <w:p>
      <w:pPr>
        <w:pStyle w:val="BodyText"/>
        <w:spacing w:line="240" w:lineRule="auto" w:before="19"/>
        <w:ind w:right="982"/>
        <w:jc w:val="left"/>
      </w:pPr>
      <w:r>
        <w:rPr/>
        <w:t>利率风险和其他价格风险。</w:t>
      </w:r>
    </w:p>
    <w:p>
      <w:pPr>
        <w:pStyle w:val="BodyText"/>
        <w:spacing w:line="300" w:lineRule="auto" w:before="76"/>
        <w:ind w:left="573" w:right="982"/>
        <w:jc w:val="left"/>
      </w:pPr>
      <w:r>
        <w:rPr/>
        <w:t>（</w:t>
      </w:r>
      <w:r>
        <w:rPr>
          <w:rFonts w:ascii="Times New Roman" w:hAnsi="Times New Roman" w:cs="Times New Roman" w:eastAsia="Times New Roman" w:hint="default"/>
        </w:rPr>
        <w:t>1</w:t>
      </w:r>
      <w:r>
        <w:rPr/>
        <w:t>）利率风险 利率风险，是指金融工具的公允价值或未来现金流量因市场利率变动而发生波动的风险。本公司因利率变动引起金融</w:t>
      </w:r>
    </w:p>
    <w:p>
      <w:pPr>
        <w:pStyle w:val="BodyText"/>
        <w:spacing w:line="316" w:lineRule="auto" w:before="32"/>
        <w:ind w:left="573" w:right="1120" w:hanging="420"/>
        <w:jc w:val="left"/>
      </w:pPr>
      <w:r>
        <w:rPr/>
        <w:t>工具现金流量变动的风险主要与浮动利率银行借款，公司目前的政策是保持这些借款的浮动利率。 </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日，在其他变量保持不变的情况下，如果以浮动利率计算的借款利率上升或下降</w:t>
      </w:r>
      <w:r>
        <w:rPr>
          <w:rFonts w:ascii="Times New Roman" w:hAnsi="Times New Roman" w:cs="Times New Roman" w:eastAsia="Times New Roman" w:hint="default"/>
          <w:spacing w:val="-1"/>
        </w:rPr>
        <w:t>100</w:t>
      </w:r>
      <w:r>
        <w:rPr>
          <w:spacing w:val="-1"/>
        </w:rPr>
        <w:t>个基点，则本公司</w:t>
      </w:r>
    </w:p>
    <w:p>
      <w:pPr>
        <w:pStyle w:val="BodyText"/>
        <w:spacing w:line="300" w:lineRule="auto"/>
        <w:ind w:right="982"/>
        <w:jc w:val="left"/>
      </w:pPr>
      <w:r>
        <w:rPr>
          <w:spacing w:val="-1"/>
        </w:rPr>
        <w:t>的净利润将减少或增加</w:t>
      </w:r>
      <w:r>
        <w:rPr>
          <w:rFonts w:ascii="Times New Roman" w:hAnsi="Times New Roman" w:cs="Times New Roman" w:eastAsia="Times New Roman" w:hint="default"/>
          <w:spacing w:val="-1"/>
        </w:rPr>
        <w:t>162,928.90</w:t>
      </w:r>
      <w:r>
        <w:rPr>
          <w:spacing w:val="-1"/>
        </w:rPr>
        <w:t>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(98,998.05)</w:t>
      </w:r>
      <w:r>
        <w:rPr>
          <w:spacing w:val="-1"/>
        </w:rPr>
        <w:t>元）。管理层认为</w:t>
      </w:r>
      <w:r>
        <w:rPr>
          <w:rFonts w:ascii="Times New Roman" w:hAnsi="Times New Roman" w:cs="Times New Roman" w:eastAsia="Times New Roman" w:hint="default"/>
          <w:spacing w:val="-1"/>
        </w:rPr>
        <w:t>100</w:t>
      </w:r>
      <w:r>
        <w:rPr>
          <w:spacing w:val="-1"/>
        </w:rPr>
        <w:t>个基点合理反映了下一年度利率可</w:t>
      </w:r>
      <w:r>
        <w:rPr>
          <w:spacing w:val="-54"/>
        </w:rPr>
        <w:t> </w:t>
      </w:r>
      <w:r>
        <w:rPr>
          <w:spacing w:val="-54"/>
        </w:rPr>
      </w:r>
      <w:r>
        <w:rPr/>
        <w:t>能发生变动的合理范围。</w:t>
      </w:r>
    </w:p>
    <w:p>
      <w:pPr>
        <w:pStyle w:val="BodyText"/>
        <w:spacing w:line="300" w:lineRule="auto" w:before="31"/>
        <w:ind w:left="573" w:right="982"/>
        <w:jc w:val="left"/>
      </w:pPr>
      <w:r>
        <w:rPr/>
        <w:t>（</w:t>
      </w:r>
      <w:r>
        <w:rPr>
          <w:rFonts w:ascii="Times New Roman" w:hAnsi="Times New Roman" w:cs="Times New Roman" w:eastAsia="Times New Roman" w:hint="default"/>
        </w:rPr>
        <w:t>2</w:t>
      </w:r>
      <w:r>
        <w:rPr/>
        <w:t>）汇率风险 汇率风险，是指金融工具的公允价值或未来现金流量因外汇汇率变动而发生波动的风险。本公司尽可能将外币收入与</w:t>
      </w:r>
    </w:p>
    <w:p>
      <w:pPr>
        <w:pStyle w:val="BodyText"/>
        <w:spacing w:line="316" w:lineRule="auto" w:before="31"/>
        <w:ind w:left="573" w:right="982" w:hanging="420"/>
        <w:jc w:val="left"/>
      </w:pPr>
      <w:r>
        <w:rPr/>
        <w:t>外币支出相匹配以降低汇率风险。于本期及上期，本公司未签署任何远期外汇合约或货币互换合约。 本公司面临的汇率风险主要来源于以港币计价的金融资产，港币金融资产和港币金融负债折算成人民币的金额列示如</w:t>
      </w:r>
    </w:p>
    <w:p>
      <w:pPr>
        <w:pStyle w:val="BodyText"/>
        <w:spacing w:line="240" w:lineRule="auto" w:before="19"/>
        <w:ind w:right="982"/>
        <w:jc w:val="left"/>
      </w:pPr>
      <w:r>
        <w:rPr/>
        <w:t>下：</w:t>
      </w:r>
    </w:p>
    <w:p>
      <w:pPr>
        <w:spacing w:line="240" w:lineRule="auto" w:before="0"/>
        <w:rPr>
          <w:rFonts w:ascii="宋体" w:hAnsi="宋体" w:cs="宋体" w:eastAsia="宋体" w:hint="default"/>
          <w:sz w:val="5"/>
          <w:szCs w:val="5"/>
        </w:rPr>
      </w:pPr>
    </w:p>
    <w:tbl>
      <w:tblPr>
        <w:tblW w:w="0" w:type="auto"/>
        <w:jc w:val="left"/>
        <w:tblInd w:w="700" w:type="dxa"/>
        <w:tblLayout w:type="fixed"/>
        <w:tblCellMar>
          <w:top w:w="0" w:type="dxa"/>
          <w:left w:w="0" w:type="dxa"/>
          <w:bottom w:w="0" w:type="dxa"/>
          <w:right w:w="0" w:type="dxa"/>
        </w:tblCellMar>
        <w:tblLook w:val="01E0"/>
      </w:tblPr>
      <w:tblGrid>
        <w:gridCol w:w="1918"/>
        <w:gridCol w:w="1483"/>
        <w:gridCol w:w="994"/>
        <w:gridCol w:w="850"/>
        <w:gridCol w:w="1419"/>
        <w:gridCol w:w="850"/>
        <w:gridCol w:w="1018"/>
      </w:tblGrid>
      <w:tr>
        <w:trPr>
          <w:trHeight w:val="348" w:hRule="exact"/>
        </w:trPr>
        <w:tc>
          <w:tcPr>
            <w:tcW w:w="1918" w:type="dxa"/>
            <w:vMerge w:val="restart"/>
            <w:tcBorders>
              <w:top w:val="single" w:sz="6" w:space="0" w:color="000000"/>
              <w:left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2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6" w:hRule="exact"/>
        </w:trPr>
        <w:tc>
          <w:tcPr>
            <w:tcW w:w="1918" w:type="dxa"/>
            <w:vMerge/>
            <w:tcBorders>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9"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9" w:hRule="exact"/>
        </w:trPr>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145,408.79</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205,229.67</w:t>
            </w: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4,620,128.02</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15,469,016.51</w:t>
            </w: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437,036.10</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106,545.92</w:t>
            </w: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5,202,572.91</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15,780,792.10</w:t>
            </w: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10"/>
        <w:ind w:right="1131" w:firstLine="360"/>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日，在所有其他变量保持不变的情况下，如果人民币对港币升值或贬值</w:t>
      </w:r>
      <w:r>
        <w:rPr>
          <w:rFonts w:ascii="Times New Roman" w:hAnsi="Times New Roman" w:cs="Times New Roman" w:eastAsia="Times New Roman" w:hint="default"/>
        </w:rPr>
        <w:t>5%</w:t>
      </w:r>
      <w:r>
        <w:rPr/>
        <w:t>，则公司将增加或减少净利 润</w:t>
      </w:r>
      <w:r>
        <w:rPr>
          <w:rFonts w:ascii="Times New Roman" w:hAnsi="Times New Roman" w:cs="Times New Roman" w:eastAsia="Times New Roman" w:hint="default"/>
        </w:rPr>
        <w:t>205,065.79</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56"/>
        </w:rPr>
        <w:t> </w:t>
      </w:r>
      <w:r>
        <w:rPr>
          <w:rFonts w:ascii="Times New Roman" w:hAnsi="Times New Roman" w:cs="Times New Roman" w:eastAsia="Times New Roman" w:hint="default"/>
        </w:rPr>
        <w:t>755,864.69</w:t>
      </w:r>
      <w:r>
        <w:rPr/>
        <w:t>元）。管理层认为</w:t>
      </w:r>
      <w:r>
        <w:rPr>
          <w:rFonts w:ascii="Times New Roman" w:hAnsi="Times New Roman" w:cs="Times New Roman" w:eastAsia="Times New Roman" w:hint="default"/>
        </w:rPr>
        <w:t>5%</w:t>
      </w:r>
      <w:r>
        <w:rPr/>
        <w:t>合理反映了下一年度人民币对港币可能发生变动的合理 范围。</w:t>
      </w:r>
    </w:p>
    <w:p>
      <w:pPr>
        <w:pStyle w:val="BodyText"/>
        <w:spacing w:line="300" w:lineRule="auto" w:before="31"/>
        <w:ind w:left="592" w:right="3654" w:hanging="20"/>
        <w:jc w:val="left"/>
      </w:pPr>
      <w:r>
        <w:rPr/>
        <w:t>（</w:t>
      </w:r>
      <w:r>
        <w:rPr>
          <w:rFonts w:ascii="Times New Roman" w:hAnsi="Times New Roman" w:cs="Times New Roman" w:eastAsia="Times New Roman" w:hint="default"/>
        </w:rPr>
        <w:t>3</w:t>
      </w:r>
      <w:r>
        <w:rPr/>
        <w:t>）其他价格风险 公司谨慎判断权益投资可能存在的价格风险，区别不同情况，采取相应的应对措施。</w:t>
      </w:r>
    </w:p>
    <w:p>
      <w:pPr>
        <w:pStyle w:val="Heading5"/>
        <w:spacing w:line="240" w:lineRule="auto" w:before="31"/>
        <w:ind w:right="982"/>
        <w:jc w:val="left"/>
        <w:rPr>
          <w:b w:val="0"/>
          <w:bCs w:val="0"/>
        </w:rPr>
      </w:pPr>
      <w:r>
        <w:rPr/>
        <w:t>（三）流动性风险</w:t>
      </w:r>
      <w:r>
        <w:rPr>
          <w:b w:val="0"/>
          <w:bCs w:val="0"/>
        </w:rPr>
      </w:r>
    </w:p>
    <w:p>
      <w:pPr>
        <w:spacing w:after="0" w:line="240" w:lineRule="auto"/>
        <w:jc w:val="left"/>
        <w:sectPr>
          <w:pgSz w:w="11910" w:h="16840"/>
          <w:pgMar w:header="748" w:footer="974" w:top="1060" w:bottom="1160" w:left="980" w:right="0"/>
        </w:sectPr>
      </w:pPr>
    </w:p>
    <w:p>
      <w:pPr>
        <w:spacing w:line="240" w:lineRule="auto" w:before="9"/>
        <w:rPr>
          <w:rFonts w:ascii="宋体" w:hAnsi="宋体" w:cs="宋体" w:eastAsia="宋体" w:hint="default"/>
          <w:b/>
          <w:bCs/>
          <w:sz w:val="25"/>
          <w:szCs w:val="25"/>
        </w:rPr>
      </w:pPr>
    </w:p>
    <w:p>
      <w:pPr>
        <w:pStyle w:val="BodyText"/>
        <w:spacing w:line="319" w:lineRule="auto" w:before="44"/>
        <w:ind w:right="1130" w:firstLine="420"/>
        <w:jc w:val="both"/>
      </w:pPr>
      <w:r>
        <w:rPr/>
        <w:t>流动性风险，是指企业在履行以交付现金或其他金融资产的方式结算的义务时发生资金短缺的风险。本公司的政策是 </w:t>
      </w:r>
      <w:r>
        <w:rPr>
          <w:spacing w:val="-2"/>
        </w:rPr>
        <w:t>确保拥有充足的现金以偿还到期债务。流动性风险由本公司的财务部门集中控制。财务部门通过监控现金余额、可随时变现</w:t>
      </w:r>
      <w:r>
        <w:rPr>
          <w:spacing w:val="-63"/>
        </w:rPr>
        <w:t> </w:t>
      </w:r>
      <w:r>
        <w:rPr>
          <w:spacing w:val="-63"/>
        </w:rPr>
      </w:r>
      <w:r>
        <w:rPr/>
        <w:t>的有价证券以及对未来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2"/>
        <w:rPr>
          <w:rFonts w:ascii="宋体" w:hAnsi="宋体" w:cs="宋体" w:eastAsia="宋体" w:hint="default"/>
          <w:sz w:val="19"/>
          <w:szCs w:val="19"/>
        </w:rPr>
      </w:pPr>
    </w:p>
    <w:p>
      <w:pPr>
        <w:pStyle w:val="Heading2"/>
        <w:spacing w:line="240" w:lineRule="auto"/>
        <w:ind w:right="982"/>
        <w:jc w:val="left"/>
        <w:rPr>
          <w:b w:val="0"/>
          <w:bCs w:val="0"/>
        </w:rPr>
      </w:pPr>
      <w:r>
        <w:rPr/>
        <w:t>十一、关联方及关联交易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3"/>
        <w:jc w:val="left"/>
      </w:pPr>
      <w:r>
        <w:rPr/>
        <w:t>本企业最终控制方是吴飞舟。 其他说明：</w:t>
      </w:r>
    </w:p>
    <w:p>
      <w:pPr>
        <w:pStyle w:val="BodyText"/>
        <w:spacing w:line="547" w:lineRule="auto" w:before="25"/>
        <w:ind w:right="6058"/>
        <w:jc w:val="left"/>
      </w:pPr>
      <w:r>
        <w:rPr/>
        <w:t>本公司的最终控制方是自然人吴飞舟，持股比例为</w:t>
      </w:r>
      <w:r>
        <w:rPr>
          <w:rFonts w:ascii="Times New Roman" w:hAnsi="Times New Roman" w:cs="Times New Roman" w:eastAsia="Times New Roman" w:hint="default"/>
        </w:rPr>
        <w:t>30.12%</w:t>
      </w:r>
      <w:r>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t>本企业子公司的情况详见附注七、在其他主体中的权益。</w:t>
      </w:r>
    </w:p>
    <w:p>
      <w:pPr>
        <w:pStyle w:val="Heading4"/>
        <w:spacing w:line="240" w:lineRule="auto" w:before="123"/>
        <w:ind w:right="982"/>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2293"/>
        <w:jc w:val="left"/>
      </w:pPr>
      <w:r>
        <w:rPr/>
        <w:t>本企业重要的合营或联营企业详见附注七、在其他主体中的权益。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北京欧拉认知智能科技有限公司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w:t>
            </w:r>
          </w:p>
        </w:tc>
      </w:tr>
    </w:tbl>
    <w:p>
      <w:pPr>
        <w:spacing w:line="240" w:lineRule="auto" w:before="7"/>
        <w:rPr>
          <w:rFonts w:ascii="宋体" w:hAnsi="宋体" w:cs="宋体" w:eastAsia="宋体" w:hint="default"/>
          <w:sz w:val="20"/>
          <w:szCs w:val="20"/>
        </w:rPr>
      </w:pPr>
    </w:p>
    <w:p>
      <w:pPr>
        <w:pStyle w:val="Heading4"/>
        <w:spacing w:line="240" w:lineRule="auto" w:before="36"/>
        <w:ind w:right="982"/>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7"/>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北京欧拉认知智能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采购无形资产</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7,500,000.00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w:t>
      </w:r>
      <w:r>
        <w:rPr>
          <w:spacing w:val="1"/>
        </w:rPr>
        <w:t> </w:t>
      </w:r>
      <w:r>
        <w:rPr/>
        <w:t>元</w:t>
      </w:r>
    </w:p>
    <w:p>
      <w:pPr>
        <w:spacing w:line="240" w:lineRule="auto" w:before="1"/>
        <w:rPr>
          <w:rFonts w:ascii="宋体" w:hAnsi="宋体" w:cs="宋体" w:eastAsia="宋体" w:hint="default"/>
          <w:sz w:val="24"/>
          <w:szCs w:val="24"/>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82"/>
        <w:jc w:val="left"/>
      </w:pPr>
      <w:r>
        <w:rPr/>
        <w:t>本公司作为被担保方</w:t>
      </w:r>
    </w:p>
    <w:p>
      <w:pPr>
        <w:pStyle w:val="BodyText"/>
        <w:spacing w:line="240" w:lineRule="auto" w:before="115"/>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19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北京中关村科技融资担</w:t>
            </w:r>
          </w:p>
        </w:tc>
        <w:tc>
          <w:tcPr>
            <w:tcW w:w="1916" w:type="dxa"/>
            <w:tcBorders>
              <w:top w:val="single" w:sz="4" w:space="0" w:color="000000"/>
              <w:left w:val="single" w:sz="4" w:space="0" w:color="000000"/>
              <w:bottom w:val="nil" w:sz="6" w:space="0" w:color="auto"/>
              <w:right w:val="single" w:sz="4" w:space="0" w:color="000000"/>
            </w:tcBorders>
          </w:tcPr>
          <w:p>
            <w:pPr/>
          </w:p>
        </w:tc>
        <w:tc>
          <w:tcPr>
            <w:tcW w:w="1916"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保有限公司提供担保，</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1" w:hRule="exact"/>
        </w:trPr>
        <w:tc>
          <w:tcPr>
            <w:tcW w:w="19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吴飞舟提供反担保</w:t>
            </w:r>
          </w:p>
        </w:tc>
        <w:tc>
          <w:tcPr>
            <w:tcW w:w="1916" w:type="dxa"/>
            <w:tcBorders>
              <w:top w:val="nil" w:sz="6" w:space="0" w:color="auto"/>
              <w:left w:val="single" w:sz="4" w:space="0" w:color="000000"/>
              <w:bottom w:val="single" w:sz="4" w:space="0" w:color="000000"/>
              <w:right w:val="single" w:sz="4" w:space="0" w:color="000000"/>
            </w:tcBorders>
          </w:tcPr>
          <w:p>
            <w:pPr/>
          </w:p>
        </w:tc>
        <w:tc>
          <w:tcPr>
            <w:tcW w:w="1916"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6"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9" w:hRule="exact"/>
        </w:trPr>
        <w:tc>
          <w:tcPr>
            <w:tcW w:w="19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北京海淀科技企业融资</w:t>
            </w:r>
          </w:p>
        </w:tc>
        <w:tc>
          <w:tcPr>
            <w:tcW w:w="1916" w:type="dxa"/>
            <w:tcBorders>
              <w:top w:val="single" w:sz="4" w:space="0" w:color="000000"/>
              <w:left w:val="single" w:sz="4" w:space="0" w:color="000000"/>
              <w:bottom w:val="nil" w:sz="6" w:space="0" w:color="auto"/>
              <w:right w:val="single" w:sz="4" w:space="0" w:color="000000"/>
            </w:tcBorders>
          </w:tcPr>
          <w:p>
            <w:pPr/>
          </w:p>
        </w:tc>
        <w:tc>
          <w:tcPr>
            <w:tcW w:w="1916"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担保有限公司提供担</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9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保，吴飞舟提供反担保</w:t>
            </w:r>
          </w:p>
        </w:tc>
        <w:tc>
          <w:tcPr>
            <w:tcW w:w="1916" w:type="dxa"/>
            <w:tcBorders>
              <w:top w:val="nil" w:sz="6" w:space="0" w:color="auto"/>
              <w:left w:val="single" w:sz="4" w:space="0" w:color="000000"/>
              <w:bottom w:val="single" w:sz="4" w:space="0" w:color="000000"/>
              <w:right w:val="single" w:sz="4" w:space="0" w:color="000000"/>
            </w:tcBorders>
          </w:tcPr>
          <w:p>
            <w:pPr/>
          </w:p>
        </w:tc>
        <w:tc>
          <w:tcPr>
            <w:tcW w:w="1916"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6"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26,760,000.00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19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北京中关村科技融资担</w:t>
            </w:r>
          </w:p>
        </w:tc>
        <w:tc>
          <w:tcPr>
            <w:tcW w:w="1916" w:type="dxa"/>
            <w:tcBorders>
              <w:top w:val="single" w:sz="4" w:space="0" w:color="000000"/>
              <w:left w:val="single" w:sz="4" w:space="0" w:color="000000"/>
              <w:bottom w:val="nil" w:sz="6" w:space="0" w:color="auto"/>
              <w:right w:val="single" w:sz="4" w:space="0" w:color="000000"/>
            </w:tcBorders>
          </w:tcPr>
          <w:p>
            <w:pPr/>
          </w:p>
        </w:tc>
        <w:tc>
          <w:tcPr>
            <w:tcW w:w="1916"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保有限公司提供担保， 吴飞舟提供无限连带责</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5" w:hRule="exact"/>
        </w:trPr>
        <w:tc>
          <w:tcPr>
            <w:tcW w:w="19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任反担保</w:t>
            </w:r>
          </w:p>
        </w:tc>
        <w:tc>
          <w:tcPr>
            <w:tcW w:w="1916" w:type="dxa"/>
            <w:tcBorders>
              <w:top w:val="nil" w:sz="6" w:space="0" w:color="auto"/>
              <w:left w:val="single" w:sz="4" w:space="0" w:color="000000"/>
              <w:bottom w:val="single" w:sz="4" w:space="0" w:color="000000"/>
              <w:right w:val="single" w:sz="4" w:space="0" w:color="000000"/>
            </w:tcBorders>
          </w:tcPr>
          <w:p>
            <w:pPr/>
          </w:p>
        </w:tc>
        <w:tc>
          <w:tcPr>
            <w:tcW w:w="1916"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吴飞舟及配偶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913,000,000.00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7693"/>
        <w:jc w:val="left"/>
      </w:pPr>
      <w:r>
        <w:rPr/>
        <w:t>关联担保情况说明 详见附注七、（二十）短期借款注释。</w:t>
      </w:r>
    </w:p>
    <w:p>
      <w:pPr>
        <w:spacing w:line="240" w:lineRule="auto" w:before="3"/>
        <w:rPr>
          <w:rFonts w:ascii="宋体" w:hAnsi="宋体" w:cs="宋体" w:eastAsia="宋体" w:hint="default"/>
          <w:sz w:val="20"/>
          <w:szCs w:val="20"/>
        </w:rPr>
      </w:pPr>
    </w:p>
    <w:p>
      <w:pPr>
        <w:pStyle w:val="Heading4"/>
        <w:spacing w:line="240" w:lineRule="auto"/>
        <w:ind w:right="982"/>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4,941,309.80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5,482,146.16</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北京欧拉认知智能科技有限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3,900,000.00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t>十二、股份支付</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6"/>
          <w:szCs w:val="26"/>
        </w:rPr>
      </w:pPr>
    </w:p>
    <w:p>
      <w:pPr>
        <w:pStyle w:val="Heading4"/>
        <w:spacing w:line="240" w:lineRule="auto"/>
        <w:ind w:right="982"/>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82"/>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日，公司在中国证券登记结算有限责任公司深圳分公司办理完成</w:t>
      </w:r>
      <w:r>
        <w:rPr>
          <w:rFonts w:ascii="Times New Roman" w:hAnsi="Times New Roman" w:cs="Times New Roman" w:eastAsia="Times New Roman" w:hint="default"/>
          <w:spacing w:val="-2"/>
        </w:rPr>
        <w:t>2017</w:t>
      </w:r>
      <w:r>
        <w:rPr>
          <w:spacing w:val="-2"/>
        </w:rPr>
        <w:t>年限制性股票激励计划已授予尚未解</w:t>
      </w:r>
      <w:r>
        <w:rPr>
          <w:spacing w:val="-57"/>
        </w:rPr>
        <w:t> </w:t>
      </w:r>
      <w:r>
        <w:rPr>
          <w:spacing w:val="-57"/>
        </w:rPr>
      </w:r>
      <w:r>
        <w:rPr/>
        <w:t>除限售全部限制性股票（共计</w:t>
      </w:r>
      <w:r>
        <w:rPr>
          <w:rFonts w:ascii="Times New Roman" w:hAnsi="Times New Roman" w:cs="Times New Roman" w:eastAsia="Times New Roman" w:hint="default"/>
        </w:rPr>
        <w:t>94.26</w:t>
      </w:r>
      <w:r>
        <w:rPr/>
        <w:t>万股）的回购注销手续，本次回购注销完成后，公司总股本由</w:t>
      </w:r>
      <w:r>
        <w:rPr>
          <w:rFonts w:ascii="Times New Roman" w:hAnsi="Times New Roman" w:cs="Times New Roman" w:eastAsia="Times New Roman" w:hint="default"/>
        </w:rPr>
        <w:t>106,117,800</w:t>
      </w:r>
      <w:r>
        <w:rPr/>
        <w:t>股减少至</w:t>
      </w:r>
    </w:p>
    <w:p>
      <w:pPr>
        <w:spacing w:after="0" w:line="300" w:lineRule="auto"/>
        <w:jc w:val="left"/>
        <w:sectPr>
          <w:pgSz w:w="11910" w:h="16840"/>
          <w:pgMar w:header="748" w:footer="974"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982"/>
        <w:jc w:val="left"/>
      </w:pPr>
      <w:r>
        <w:rPr>
          <w:rFonts w:ascii="Times New Roman" w:hAnsi="Times New Roman" w:cs="Times New Roman" w:eastAsia="Times New Roman" w:hint="default"/>
        </w:rPr>
        <w:t>105,175,200</w:t>
      </w:r>
      <w:r>
        <w:rPr/>
        <w:t>股。</w:t>
      </w:r>
    </w:p>
    <w:p>
      <w:pPr>
        <w:pStyle w:val="BodyText"/>
        <w:spacing w:line="240" w:lineRule="auto" w:before="63"/>
        <w:ind w:right="982"/>
        <w:jc w:val="left"/>
      </w:pPr>
      <w:r>
        <w:rPr/>
        <w:t>（</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日，公司回购股份期限已届满，公司通过回购专用证券账户以集中竞价交易方式累计回购股份数量</w:t>
      </w:r>
    </w:p>
    <w:p>
      <w:pPr>
        <w:pStyle w:val="BodyText"/>
        <w:spacing w:line="240" w:lineRule="auto" w:before="63"/>
        <w:ind w:right="982"/>
        <w:jc w:val="left"/>
      </w:pPr>
      <w:r>
        <w:rPr>
          <w:rFonts w:ascii="Times New Roman" w:hAnsi="Times New Roman" w:cs="Times New Roman" w:eastAsia="Times New Roman" w:hint="default"/>
        </w:rPr>
        <w:t>222,176</w:t>
      </w:r>
      <w:r>
        <w:rPr/>
        <w:t>股，已使用资金总额人民币</w:t>
      </w:r>
      <w:r>
        <w:rPr>
          <w:rFonts w:ascii="Times New Roman" w:hAnsi="Times New Roman" w:cs="Times New Roman" w:eastAsia="Times New Roman" w:hint="default"/>
        </w:rPr>
        <w:t>3,997,624.96</w:t>
      </w:r>
      <w:r>
        <w:rPr/>
        <w:t>元（不含佣金等交易费用）。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r>
        <w:rPr/>
        <w:t>十三、承诺及或有事项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82"/>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982"/>
        <w:jc w:val="left"/>
        <w:rPr>
          <w:b w:val="0"/>
          <w:bCs w:val="0"/>
        </w:rPr>
      </w:pP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8" w:firstLine="504"/>
        <w:jc w:val="both"/>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日召开第三届董事会第十次会议，审议通过了《关于公司</w:t>
      </w:r>
      <w:r>
        <w:rPr>
          <w:rFonts w:ascii="Times New Roman" w:hAnsi="Times New Roman" w:cs="Times New Roman" w:eastAsia="Times New Roman" w:hint="default"/>
        </w:rPr>
        <w:t>2019</w:t>
      </w:r>
      <w:r>
        <w:rPr/>
        <w:t>年度利润分配方案的议案》，拟以现有总 股本（</w:t>
      </w:r>
      <w:r>
        <w:rPr>
          <w:rFonts w:ascii="Times New Roman" w:hAnsi="Times New Roman" w:cs="Times New Roman" w:eastAsia="Times New Roman" w:hint="default"/>
        </w:rPr>
        <w:t>157,651,712</w:t>
      </w:r>
      <w:r>
        <w:rPr/>
        <w:t>股）扣除公司从二级市场回购的股份（</w:t>
      </w:r>
      <w:r>
        <w:rPr>
          <w:rFonts w:ascii="Times New Roman" w:hAnsi="Times New Roman" w:cs="Times New Roman" w:eastAsia="Times New Roman" w:hint="default"/>
        </w:rPr>
        <w:t>222,176</w:t>
      </w:r>
      <w:r>
        <w:rPr/>
        <w:t>股）后的股本</w:t>
      </w:r>
      <w:r>
        <w:rPr>
          <w:rFonts w:ascii="Times New Roman" w:hAnsi="Times New Roman" w:cs="Times New Roman" w:eastAsia="Times New Roman" w:hint="default"/>
        </w:rPr>
        <w:t>157,429,536</w:t>
      </w:r>
      <w:r>
        <w:rPr/>
        <w:t>股为基数，向全体股东每</w:t>
      </w:r>
      <w:r>
        <w:rPr>
          <w:rFonts w:ascii="Times New Roman" w:hAnsi="Times New Roman" w:cs="Times New Roman" w:eastAsia="Times New Roman" w:hint="default"/>
        </w:rPr>
        <w:t>10</w:t>
      </w:r>
      <w:r>
        <w:rPr/>
        <w:t>股派</w:t>
      </w:r>
      <w:r>
        <w:rPr>
          <w:spacing w:val="-52"/>
        </w:rPr>
        <w:t> </w:t>
      </w:r>
      <w:r>
        <w:rPr/>
        <w:t>发现金红利</w:t>
      </w:r>
      <w:r>
        <w:rPr>
          <w:rFonts w:ascii="Times New Roman" w:hAnsi="Times New Roman" w:cs="Times New Roman" w:eastAsia="Times New Roman" w:hint="default"/>
        </w:rPr>
        <w:t>1.00</w:t>
      </w:r>
      <w:r>
        <w:rPr/>
        <w:t>元（含税），共计派发现金股利人民币</w:t>
      </w:r>
      <w:r>
        <w:rPr>
          <w:rFonts w:ascii="Times New Roman" w:hAnsi="Times New Roman" w:cs="Times New Roman" w:eastAsia="Times New Roman" w:hint="default"/>
        </w:rPr>
        <w:t>15,742,953.60</w:t>
      </w:r>
      <w:r>
        <w:rPr/>
        <w:t>元。</w:t>
      </w:r>
    </w:p>
    <w:p>
      <w:pPr>
        <w:pStyle w:val="BodyText"/>
        <w:spacing w:line="300" w:lineRule="auto" w:before="13"/>
        <w:ind w:right="982" w:firstLine="360"/>
        <w:jc w:val="left"/>
      </w:pPr>
      <w:r>
        <w:rPr/>
        <w:t>公司在</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日取得中国证券监督管理委员会证监许可</w:t>
      </w:r>
      <w:r>
        <w:rPr>
          <w:rFonts w:ascii="Times New Roman" w:hAnsi="Times New Roman" w:cs="Times New Roman" w:eastAsia="Times New Roman" w:hint="default"/>
        </w:rPr>
        <w:t>[2020]590</w:t>
      </w:r>
      <w:r>
        <w:rPr/>
        <w:t>号《关于核准北京思特奇信息技术股份有限公司 公开发行可转换公司债券的批复》，核准公司向社会公开发行面值总额</w:t>
      </w:r>
      <w:r>
        <w:rPr>
          <w:rFonts w:ascii="Times New Roman" w:hAnsi="Times New Roman" w:cs="Times New Roman" w:eastAsia="Times New Roman" w:hint="default"/>
        </w:rPr>
        <w:t>27,100.00</w:t>
      </w:r>
      <w:r>
        <w:rPr/>
        <w:t>万元可转换公司债券，期限</w:t>
      </w:r>
      <w:r>
        <w:rPr>
          <w:rFonts w:ascii="Times New Roman" w:hAnsi="Times New Roman" w:cs="Times New Roman" w:eastAsia="Times New Roman" w:hint="default"/>
        </w:rPr>
        <w:t>6</w:t>
      </w:r>
      <w:r>
        <w:rPr/>
        <w:t>年。</w:t>
      </w:r>
    </w:p>
    <w:p>
      <w:pPr>
        <w:spacing w:line="240" w:lineRule="auto" w:before="5"/>
        <w:rPr>
          <w:rFonts w:ascii="宋体" w:hAnsi="宋体" w:cs="宋体" w:eastAsia="宋体" w:hint="default"/>
          <w:sz w:val="20"/>
          <w:szCs w:val="20"/>
        </w:rPr>
      </w:pPr>
    </w:p>
    <w:p>
      <w:pPr>
        <w:pStyle w:val="Heading2"/>
        <w:spacing w:line="240" w:lineRule="auto"/>
        <w:ind w:right="982"/>
        <w:jc w:val="left"/>
        <w:rPr>
          <w:b w:val="0"/>
          <w:bCs w:val="0"/>
        </w:rPr>
      </w:pPr>
      <w:r>
        <w:rPr/>
        <w:t>十五、其他重要事项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8" w:firstLine="420"/>
        <w:jc w:val="both"/>
      </w:pPr>
      <w:r>
        <w:rPr/>
        <w:t>分部信息：本公司经营业务主要为技术开发、技术咨询与技术服务，业务类型单一，经营业务、评价体系不进行分部 管理，因此，本公司不进行分部报告信息披露。</w:t>
      </w:r>
    </w:p>
    <w:p>
      <w:pPr>
        <w:spacing w:line="240" w:lineRule="auto" w:before="9"/>
        <w:rPr>
          <w:rFonts w:ascii="宋体" w:hAnsi="宋体" w:cs="宋体" w:eastAsia="宋体" w:hint="default"/>
          <w:sz w:val="20"/>
          <w:szCs w:val="20"/>
        </w:rPr>
      </w:pPr>
    </w:p>
    <w:p>
      <w:pPr>
        <w:pStyle w:val="Heading2"/>
        <w:spacing w:line="240" w:lineRule="auto"/>
        <w:ind w:right="982"/>
        <w:jc w:val="left"/>
        <w:rPr>
          <w:b w:val="0"/>
          <w:bCs w:val="0"/>
        </w:rPr>
      </w:pP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3"/>
        <w:gridCol w:w="761"/>
        <w:gridCol w:w="764"/>
        <w:gridCol w:w="790"/>
        <w:gridCol w:w="775"/>
        <w:gridCol w:w="797"/>
        <w:gridCol w:w="799"/>
        <w:gridCol w:w="790"/>
        <w:gridCol w:w="932"/>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10,677,7</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44.47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10,677,7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44.47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11,230,42</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5.43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11,230,42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的应收款项</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10,677,7</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44.47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10,677,7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44.47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11,230,42</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5.43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11,230,42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9" w:right="0"/>
              <w:jc w:val="center"/>
              <w:rPr>
                <w:rFonts w:ascii="Times New Roman" w:hAnsi="Times New Roman" w:cs="Times New Roman" w:eastAsia="Times New Roman" w:hint="default"/>
                <w:sz w:val="18"/>
                <w:szCs w:val="18"/>
              </w:rPr>
            </w:pPr>
            <w:r>
              <w:rPr>
                <w:rFonts w:ascii="Times New Roman"/>
                <w:sz w:val="18"/>
              </w:rPr>
              <w:t>468,369,</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978.11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28,889,6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07.02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439,480,3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71.09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441,882,2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49.03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27,712,97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414,169,27</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7.40</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465,364,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123.43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28,889,6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07.02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436,474,5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16.41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441,882,2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49.03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27,712,97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414,169,27</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7.40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8"/>
              <w:jc w:val="left"/>
              <w:rPr>
                <w:rFonts w:ascii="宋体" w:hAnsi="宋体" w:cs="宋体" w:eastAsia="宋体" w:hint="default"/>
                <w:sz w:val="18"/>
                <w:szCs w:val="18"/>
              </w:rPr>
            </w:pPr>
            <w:r>
              <w:rPr>
                <w:rFonts w:ascii="宋体" w:hAnsi="宋体" w:cs="宋体" w:eastAsia="宋体" w:hint="default"/>
                <w:sz w:val="18"/>
                <w:szCs w:val="18"/>
              </w:rPr>
              <w:t>收款无风险的款项 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3,005,85</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4.68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3,005,854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.68</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479,047,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722.58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39,567,3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51.49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439,480,3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71.09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453,112,6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74.46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38,943,39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414,169,27</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7.40</w:t>
            </w:r>
          </w:p>
        </w:tc>
      </w:tr>
    </w:tbl>
    <w:p>
      <w:pPr>
        <w:pStyle w:val="BodyText"/>
        <w:spacing w:line="240" w:lineRule="auto" w:before="51"/>
        <w:ind w:right="982"/>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10,677,744.47</w:t>
      </w:r>
    </w:p>
    <w:p>
      <w:pPr>
        <w:pStyle w:val="BodyText"/>
        <w:spacing w:line="240" w:lineRule="auto" w:before="101"/>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1,822,057.30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1,822,057.30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1,417,384.61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1,417,384.61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926,153.85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926,153.85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774,007.26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774,007.26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754,598.56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754,598.56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548,882.10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548,882.10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428,522.00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428,522.00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340,287.20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340,287.20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228,062.45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228,062.45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180,030.90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180,030.90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167,148.30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167,148.30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159,513.30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159,513.30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159,221.46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159,221.46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133,854.69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133,854.69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116,239.32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116,239.32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115,223.90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115,223.90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其他汇总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654,057.27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654,057.27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10,677,744.47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10,677,744.47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28,889,607.02</w:t>
      </w:r>
    </w:p>
    <w:p>
      <w:pPr>
        <w:pStyle w:val="BodyText"/>
        <w:spacing w:line="240" w:lineRule="auto" w:before="101"/>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430,955,546.53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21,547,777.32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22,831,257.69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2,283,125.77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8,373,784.62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2,512,135.39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436,415.12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218,207.56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2,193,792.47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1,755,033.98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573,327.00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573,327.00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465,364,123.43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28,889,607.02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t>如是按照预期信用损失一般模型计提应收账款坏账准备，请参照其他应收款的披露方式披露坏账准备的相关信息：</w:t>
      </w:r>
    </w:p>
    <w:p>
      <w:pPr>
        <w:pStyle w:val="BodyText"/>
        <w:spacing w:line="340" w:lineRule="auto" w:before="11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433,576,152.84</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433,576,152.84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23,216,506.06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8,373,784.62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13,881,279.06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436,415.12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2,193,792.47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11,251,071.47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479,047,722.58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2</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55,365,427.38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3,503,578.27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53,146,463.14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2,808,583.54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49,492,995.45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2,797,922.61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33,825,344.24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4,349,774.09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24,524,094.13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2,957,159.14</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216,354,324.34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45.16%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35,105,748.72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60,053,292.62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35,105,748.72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60,053,292.62</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）坏账准备计提情况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2"/>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）坏账准备计提情况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27,865,691.57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53,970,208.69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2,021,344.17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2,080,605.80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5,224,401.23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4,075,433.80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38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五险一金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265,466.55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198,199.13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35,376,903.52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60,324,447.42</w:t>
            </w:r>
          </w:p>
        </w:tc>
      </w:tr>
    </w:tbl>
    <w:p>
      <w:pPr>
        <w:spacing w:line="240" w:lineRule="auto" w:before="3"/>
        <w:rPr>
          <w:rFonts w:ascii="宋体" w:hAnsi="宋体" w:cs="宋体" w:eastAsia="宋体" w:hint="default"/>
          <w:sz w:val="19"/>
          <w:szCs w:val="19"/>
        </w:rPr>
      </w:pPr>
    </w:p>
    <w:p>
      <w:pPr>
        <w:pStyle w:val="Heading4"/>
        <w:spacing w:line="240" w:lineRule="auto" w:before="36"/>
        <w:ind w:left="393" w:right="55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199"/>
        <w:gridCol w:w="1652"/>
        <w:gridCol w:w="2098"/>
        <w:gridCol w:w="2101"/>
        <w:gridCol w:w="1805"/>
      </w:tblGrid>
      <w:tr>
        <w:trPr>
          <w:trHeight w:val="403" w:hRule="exact"/>
        </w:trPr>
        <w:tc>
          <w:tcPr>
            <w:tcW w:w="2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2199"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271,154.80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271,154.80</w:t>
            </w:r>
          </w:p>
        </w:tc>
      </w:tr>
      <w:tr>
        <w:trPr>
          <w:trHeight w:val="401"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日余额在本期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271,154.80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271,154.80</w:t>
            </w:r>
          </w:p>
        </w:tc>
      </w:tr>
    </w:tbl>
    <w:p>
      <w:pPr>
        <w:pStyle w:val="BodyText"/>
        <w:spacing w:line="240" w:lineRule="auto" w:before="51"/>
        <w:ind w:left="393" w:right="5533"/>
        <w:jc w:val="left"/>
      </w:pPr>
      <w:r>
        <w:rPr/>
        <w:t>损失准备本期变动金额重大的账面余额变动情况</w:t>
      </w:r>
    </w:p>
    <w:p>
      <w:pPr>
        <w:pStyle w:val="BodyText"/>
        <w:spacing w:line="240" w:lineRule="auto" w:before="115"/>
        <w:ind w:left="393"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243" w:type="dxa"/>
        <w:tblLayout w:type="fixed"/>
        <w:tblCellMar>
          <w:top w:w="0" w:type="dxa"/>
          <w:left w:w="0" w:type="dxa"/>
          <w:bottom w:w="0" w:type="dxa"/>
          <w:right w:w="0" w:type="dxa"/>
        </w:tblCellMar>
        <w:tblLook w:val="01E0"/>
      </w:tblPr>
      <w:tblGrid>
        <w:gridCol w:w="2411"/>
        <w:gridCol w:w="1560"/>
        <w:gridCol w:w="1844"/>
        <w:gridCol w:w="1985"/>
        <w:gridCol w:w="1844"/>
      </w:tblGrid>
      <w:tr>
        <w:trPr>
          <w:trHeight w:val="348" w:hRule="exact"/>
        </w:trPr>
        <w:tc>
          <w:tcPr>
            <w:tcW w:w="2411"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58" w:hRule="exact"/>
        </w:trPr>
        <w:tc>
          <w:tcPr>
            <w:tcW w:w="2411"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504" w:right="47" w:hanging="449"/>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个月预期信 用损失</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34" w:right="1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04" w:right="86"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44" w:type="dxa"/>
            <w:vMerge/>
            <w:tcBorders>
              <w:left w:val="single" w:sz="6" w:space="0" w:color="000000"/>
              <w:bottom w:val="single" w:sz="6" w:space="0" w:color="000000"/>
              <w:right w:val="single" w:sz="6" w:space="0" w:color="000000"/>
            </w:tcBorders>
          </w:tcPr>
          <w:p>
            <w:pPr/>
          </w:p>
        </w:tc>
      </w:tr>
      <w:tr>
        <w:trPr>
          <w:trHeight w:val="348"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60,053,292.62</w:t>
            </w: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271,154.80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60,324,447.42</w:t>
            </w:r>
          </w:p>
        </w:tc>
      </w:tr>
      <w:tr>
        <w:trPr>
          <w:trHeight w:val="346"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年初余额在本期</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本期直接减记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24,947,543.90</w:t>
            </w: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24,947,543.90</w:t>
            </w:r>
          </w:p>
        </w:tc>
      </w:tr>
      <w:tr>
        <w:trPr>
          <w:trHeight w:val="346"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本期终止确认</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35,105,748.72</w:t>
            </w:r>
          </w:p>
        </w:tc>
        <w:tc>
          <w:tcPr>
            <w:tcW w:w="184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271,154.80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35,376,903.52</w:t>
            </w:r>
          </w:p>
        </w:tc>
      </w:tr>
    </w:tbl>
    <w:p>
      <w:pPr>
        <w:pStyle w:val="BodyText"/>
        <w:spacing w:line="240" w:lineRule="auto" w:before="51"/>
        <w:ind w:left="393" w:right="5533"/>
        <w:jc w:val="left"/>
      </w:pPr>
      <w:r>
        <w:rPr/>
        <w:t>按账龄披露</w:t>
      </w:r>
    </w:p>
    <w:p>
      <w:pPr>
        <w:pStyle w:val="BodyText"/>
        <w:spacing w:line="240" w:lineRule="auto" w:before="115"/>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38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3,814,664.06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3,814,664.06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24,076,881.27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805,225.82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6,680,132.37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743,538.09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74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718,739.66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5,217,854.62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35,376,903.52</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9"/>
              <w:jc w:val="left"/>
              <w:rPr>
                <w:rFonts w:ascii="宋体" w:hAnsi="宋体" w:cs="宋体" w:eastAsia="宋体" w:hint="default"/>
                <w:sz w:val="18"/>
                <w:szCs w:val="18"/>
              </w:rPr>
            </w:pPr>
            <w:r>
              <w:rPr>
                <w:rFonts w:ascii="宋体" w:hAnsi="宋体" w:cs="宋体" w:eastAsia="宋体" w:hint="default"/>
                <w:sz w:val="18"/>
                <w:szCs w:val="18"/>
              </w:rPr>
              <w:t>安徽合肥公共资源交 易中心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1,439,500.00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北京牡丹电子集团有 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1,126,935.00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33"/>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国家广播电视总局广</w:t>
            </w:r>
          </w:p>
        </w:tc>
        <w:tc>
          <w:tcPr>
            <w:tcW w:w="1551"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single" w:sz="4" w:space="0" w:color="000000"/>
            </w:tcBorders>
          </w:tcPr>
          <w:p>
            <w:pPr/>
          </w:p>
        </w:tc>
        <w:tc>
          <w:tcPr>
            <w:tcW w:w="1550" w:type="dxa"/>
            <w:tcBorders>
              <w:top w:val="single" w:sz="4" w:space="0" w:color="000000"/>
              <w:left w:val="single" w:sz="4" w:space="0" w:color="000000"/>
              <w:bottom w:val="nil" w:sz="6" w:space="0" w:color="auto"/>
              <w:right w:val="single" w:sz="4" w:space="0" w:color="000000"/>
            </w:tcBorders>
          </w:tcPr>
          <w:p>
            <w:pPr/>
          </w:p>
        </w:tc>
        <w:tc>
          <w:tcPr>
            <w:tcW w:w="1616" w:type="dxa"/>
            <w:tcBorders>
              <w:top w:val="single" w:sz="4" w:space="0" w:color="000000"/>
              <w:left w:val="single" w:sz="4" w:space="0" w:color="000000"/>
              <w:bottom w:val="nil" w:sz="6" w:space="0" w:color="auto"/>
              <w:right w:val="single" w:sz="4" w:space="0" w:color="000000"/>
            </w:tcBorders>
          </w:tcPr>
          <w:p>
            <w:pPr/>
          </w:p>
        </w:tc>
        <w:tc>
          <w:tcPr>
            <w:tcW w:w="1616" w:type="dxa"/>
            <w:vMerge w:val="restart"/>
            <w:tcBorders>
              <w:top w:val="single" w:sz="4" w:space="0" w:color="000000"/>
              <w:left w:val="single" w:sz="4" w:space="0" w:color="000000"/>
              <w:right w:val="single" w:sz="4" w:space="0" w:color="000000"/>
            </w:tcBorders>
          </w:tcPr>
          <w:p>
            <w:pPr/>
          </w:p>
        </w:tc>
      </w:tr>
      <w:tr>
        <w:trPr>
          <w:trHeight w:val="317"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播电视卫星直播管理</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1,000,368.00</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2.83%</w:t>
            </w:r>
          </w:p>
        </w:tc>
        <w:tc>
          <w:tcPr>
            <w:tcW w:w="1616" w:type="dxa"/>
            <w:vMerge/>
            <w:tcBorders>
              <w:left w:val="single" w:sz="4" w:space="0" w:color="000000"/>
              <w:right w:val="single" w:sz="4" w:space="0" w:color="000000"/>
            </w:tcBorders>
          </w:tcPr>
          <w:p>
            <w:pPr/>
          </w:p>
        </w:tc>
      </w:tr>
      <w:tr>
        <w:trPr>
          <w:trHeight w:val="351" w:hRule="exact"/>
        </w:trPr>
        <w:tc>
          <w:tcPr>
            <w:tcW w:w="1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1551"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single" w:sz="4" w:space="0" w:color="000000"/>
            </w:tcBorders>
          </w:tcPr>
          <w:p>
            <w:pPr/>
          </w:p>
        </w:tc>
        <w:tc>
          <w:tcPr>
            <w:tcW w:w="1550" w:type="dxa"/>
            <w:tcBorders>
              <w:top w:val="nil" w:sz="6" w:space="0" w:color="auto"/>
              <w:left w:val="single" w:sz="4" w:space="0" w:color="000000"/>
              <w:bottom w:val="single" w:sz="4" w:space="0" w:color="000000"/>
              <w:right w:val="single" w:sz="4" w:space="0" w:color="000000"/>
            </w:tcBorders>
          </w:tcPr>
          <w:p>
            <w:pPr/>
          </w:p>
        </w:tc>
        <w:tc>
          <w:tcPr>
            <w:tcW w:w="1616" w:type="dxa"/>
            <w:tcBorders>
              <w:top w:val="nil" w:sz="6" w:space="0" w:color="auto"/>
              <w:left w:val="single" w:sz="4" w:space="0" w:color="000000"/>
              <w:bottom w:val="single" w:sz="4" w:space="0" w:color="000000"/>
              <w:right w:val="single" w:sz="4" w:space="0" w:color="000000"/>
            </w:tcBorders>
          </w:tcPr>
          <w:p>
            <w:pPr/>
          </w:p>
        </w:tc>
        <w:tc>
          <w:tcPr>
            <w:tcW w:w="1616" w:type="dxa"/>
            <w:vMerge/>
            <w:tcBorders>
              <w:left w:val="single" w:sz="4" w:space="0" w:color="000000"/>
              <w:bottom w:val="single" w:sz="4" w:space="0" w:color="000000"/>
              <w:right w:val="single" w:sz="4" w:space="0" w:color="000000"/>
            </w:tcBorders>
          </w:tcPr>
          <w:p>
            <w:pPr/>
          </w:p>
        </w:tc>
      </w:tr>
      <w:tr>
        <w:trPr>
          <w:trHeight w:val="358" w:hRule="exact"/>
        </w:trPr>
        <w:tc>
          <w:tcPr>
            <w:tcW w:w="1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北京中电物业管理有</w:t>
            </w:r>
          </w:p>
        </w:tc>
        <w:tc>
          <w:tcPr>
            <w:tcW w:w="1551"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single" w:sz="4" w:space="0" w:color="000000"/>
            </w:tcBorders>
          </w:tcPr>
          <w:p>
            <w:pPr/>
          </w:p>
        </w:tc>
        <w:tc>
          <w:tcPr>
            <w:tcW w:w="1550" w:type="dxa"/>
            <w:tcBorders>
              <w:top w:val="single" w:sz="4" w:space="0" w:color="000000"/>
              <w:left w:val="single" w:sz="4" w:space="0" w:color="000000"/>
              <w:bottom w:val="nil" w:sz="6" w:space="0" w:color="auto"/>
              <w:right w:val="single" w:sz="4" w:space="0" w:color="000000"/>
            </w:tcBorders>
          </w:tcPr>
          <w:p>
            <w:pPr/>
          </w:p>
        </w:tc>
        <w:tc>
          <w:tcPr>
            <w:tcW w:w="1616" w:type="dxa"/>
            <w:tcBorders>
              <w:top w:val="single" w:sz="4" w:space="0" w:color="000000"/>
              <w:left w:val="single" w:sz="4" w:space="0" w:color="000000"/>
              <w:bottom w:val="nil" w:sz="6" w:space="0" w:color="auto"/>
              <w:right w:val="single" w:sz="4" w:space="0" w:color="000000"/>
            </w:tcBorders>
          </w:tcPr>
          <w:p>
            <w:pPr/>
          </w:p>
        </w:tc>
        <w:tc>
          <w:tcPr>
            <w:tcW w:w="161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限公司中电信息大厦</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255,547.20</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0.72%</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255,547.20</w:t>
            </w:r>
          </w:p>
        </w:tc>
      </w:tr>
      <w:tr>
        <w:trPr>
          <w:trHeight w:val="350" w:hRule="exact"/>
        </w:trPr>
        <w:tc>
          <w:tcPr>
            <w:tcW w:w="1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分公司</w:t>
            </w:r>
          </w:p>
        </w:tc>
        <w:tc>
          <w:tcPr>
            <w:tcW w:w="1551"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single" w:sz="4" w:space="0" w:color="000000"/>
            </w:tcBorders>
          </w:tcPr>
          <w:p>
            <w:pPr/>
          </w:p>
        </w:tc>
        <w:tc>
          <w:tcPr>
            <w:tcW w:w="1550" w:type="dxa"/>
            <w:tcBorders>
              <w:top w:val="nil" w:sz="6" w:space="0" w:color="auto"/>
              <w:left w:val="single" w:sz="4" w:space="0" w:color="000000"/>
              <w:bottom w:val="single" w:sz="4" w:space="0" w:color="000000"/>
              <w:right w:val="single" w:sz="4" w:space="0" w:color="000000"/>
            </w:tcBorders>
          </w:tcPr>
          <w:p>
            <w:pPr/>
          </w:p>
        </w:tc>
        <w:tc>
          <w:tcPr>
            <w:tcW w:w="1616" w:type="dxa"/>
            <w:tcBorders>
              <w:top w:val="nil" w:sz="6" w:space="0" w:color="auto"/>
              <w:left w:val="single" w:sz="4" w:space="0" w:color="000000"/>
              <w:bottom w:val="single" w:sz="4" w:space="0" w:color="000000"/>
              <w:right w:val="single" w:sz="4" w:space="0" w:color="000000"/>
            </w:tcBorders>
          </w:tcPr>
          <w:p>
            <w:pPr/>
          </w:p>
        </w:tc>
        <w:tc>
          <w:tcPr>
            <w:tcW w:w="1616" w:type="dxa"/>
            <w:tcBorders>
              <w:top w:val="nil" w:sz="6" w:space="0" w:color="auto"/>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9"/>
              <w:jc w:val="left"/>
              <w:rPr>
                <w:rFonts w:ascii="宋体" w:hAnsi="宋体" w:cs="宋体" w:eastAsia="宋体" w:hint="default"/>
                <w:sz w:val="18"/>
                <w:szCs w:val="18"/>
              </w:rPr>
            </w:pPr>
            <w:r>
              <w:rPr>
                <w:rFonts w:ascii="宋体" w:hAnsi="宋体" w:cs="宋体" w:eastAsia="宋体" w:hint="default"/>
                <w:sz w:val="18"/>
                <w:szCs w:val="18"/>
              </w:rPr>
              <w:t>上海信产管理咨询有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217,400.00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0.61%</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4,039,750.20</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11.42%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255,547.20</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120,928,997.99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120,928,997.99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74,928,997.99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74,928,997.99</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13,347,292.62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861,387.45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12,485,905.17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12,745,999.37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11,884,611.92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134,276,290.61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861,387.45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133,414,903.16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87,674,997.36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861,387.45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86,813,609.91</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167"/>
        <w:gridCol w:w="1166"/>
        <w:gridCol w:w="1164"/>
        <w:gridCol w:w="1166"/>
        <w:gridCol w:w="1215"/>
        <w:gridCol w:w="1212"/>
        <w:gridCol w:w="1215"/>
      </w:tblGrid>
      <w:tr>
        <w:trPr>
          <w:trHeight w:val="401" w:hRule="exact"/>
        </w:trPr>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7"/>
              <w:ind w:left="278" w:right="98"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7"/>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成都思特奇信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1,001,665.00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5" w:right="0"/>
              <w:jc w:val="left"/>
              <w:rPr>
                <w:rFonts w:ascii="Times New Roman" w:hAnsi="Times New Roman" w:cs="Times New Roman" w:eastAsia="Times New Roman" w:hint="default"/>
                <w:sz w:val="18"/>
                <w:szCs w:val="18"/>
              </w:rPr>
            </w:pPr>
            <w:r>
              <w:rPr>
                <w:rFonts w:ascii="Times New Roman"/>
                <w:sz w:val="18"/>
              </w:rPr>
              <w:t>1,001,665.00</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7"/>
        <w:gridCol w:w="1167"/>
        <w:gridCol w:w="1166"/>
        <w:gridCol w:w="1164"/>
        <w:gridCol w:w="1166"/>
        <w:gridCol w:w="1215"/>
        <w:gridCol w:w="1212"/>
        <w:gridCol w:w="1215"/>
      </w:tblGrid>
      <w:tr>
        <w:trPr>
          <w:trHeight w:val="67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51"/>
              <w:jc w:val="left"/>
              <w:rPr>
                <w:rFonts w:ascii="宋体" w:hAnsi="宋体" w:cs="宋体" w:eastAsia="宋体" w:hint="default"/>
                <w:sz w:val="18"/>
                <w:szCs w:val="18"/>
              </w:rPr>
            </w:pPr>
            <w:r>
              <w:rPr>
                <w:rFonts w:ascii="宋体" w:hAnsi="宋体" w:cs="宋体" w:eastAsia="宋体" w:hint="default"/>
                <w:sz w:val="18"/>
                <w:szCs w:val="18"/>
              </w:rPr>
              <w:t>息技术有限责 任公司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太原思特奇信 息技术有限责 任公司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1,016,983.00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1,016,983.00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哈尔滨易位科 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1,010,656.00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1,010,656.00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易信掌中云信 息技术有限公 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827,100.00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827,100.00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重庆思特奇信 息技术有限公 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30,000,624.37</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30,000,624.37</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北京无限易信 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北京易信掌中 云科技有限公 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1,059,607.00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1,059,607.00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深圳思特奇信 息技术有限公 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16,008,741.25</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16,008,741.25</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四川思特奇信 息技术有限公 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2,003,621.37</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2,003,621.37</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安徽思瑞格信 息技术有限公 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成都易信科技 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广州大奇数据 科技有限公司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74,928,997.99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120,928,997.99</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800"/>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北京丹枫 信通信息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北京方信 求真投资 管理中心</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11,884,61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158,631.3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12,043,24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1"/>
              <w:jc w:val="both"/>
              <w:rPr>
                <w:rFonts w:ascii="宋体" w:hAnsi="宋体" w:cs="宋体" w:eastAsia="宋体" w:hint="default"/>
                <w:sz w:val="18"/>
                <w:szCs w:val="18"/>
              </w:rPr>
            </w:pPr>
            <w:r>
              <w:rPr>
                <w:rFonts w:ascii="宋体" w:hAnsi="宋体" w:cs="宋体" w:eastAsia="宋体" w:hint="default"/>
                <w:sz w:val="18"/>
                <w:szCs w:val="18"/>
              </w:rPr>
              <w:t>北京欧拉 认知智能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四川好爱 家电子商 务股份有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-637,338.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442,661.8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11,884,61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-678,706.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12,485,90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left"/>
              <w:rPr>
                <w:rFonts w:ascii="Times New Roman" w:hAnsi="Times New Roman" w:cs="Times New Roman" w:eastAsia="Times New Roman" w:hint="default"/>
                <w:sz w:val="18"/>
                <w:szCs w:val="18"/>
              </w:rPr>
            </w:pPr>
            <w:r>
              <w:rPr>
                <w:rFonts w:ascii="Times New Roman"/>
                <w:sz w:val="18"/>
              </w:rPr>
              <w:t>11,884,61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-678,706.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12,485,90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861,387.4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3"/>
        <w:rPr>
          <w:rFonts w:ascii="宋体" w:hAnsi="宋体" w:cs="宋体" w:eastAsia="宋体" w:hint="default"/>
          <w:sz w:val="19"/>
          <w:szCs w:val="19"/>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79" w:right="0"/>
              <w:jc w:val="left"/>
              <w:rPr>
                <w:rFonts w:ascii="Times New Roman" w:hAnsi="Times New Roman" w:cs="Times New Roman" w:eastAsia="Times New Roman" w:hint="default"/>
                <w:sz w:val="18"/>
                <w:szCs w:val="18"/>
              </w:rPr>
            </w:pPr>
            <w:r>
              <w:rPr>
                <w:rFonts w:ascii="Times New Roman"/>
                <w:sz w:val="18"/>
              </w:rPr>
              <w:t>837,078,737.24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6" w:right="0"/>
              <w:jc w:val="left"/>
              <w:rPr>
                <w:rFonts w:ascii="Times New Roman" w:hAnsi="Times New Roman" w:cs="Times New Roman" w:eastAsia="Times New Roman" w:hint="default"/>
                <w:sz w:val="18"/>
                <w:szCs w:val="18"/>
              </w:rPr>
            </w:pPr>
            <w:r>
              <w:rPr>
                <w:rFonts w:ascii="Times New Roman"/>
                <w:sz w:val="18"/>
              </w:rPr>
              <w:t>441,424,976.40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5" w:right="0"/>
              <w:jc w:val="left"/>
              <w:rPr>
                <w:rFonts w:ascii="Times New Roman" w:hAnsi="Times New Roman" w:cs="Times New Roman" w:eastAsia="Times New Roman" w:hint="default"/>
                <w:sz w:val="18"/>
                <w:szCs w:val="18"/>
              </w:rPr>
            </w:pPr>
            <w:r>
              <w:rPr>
                <w:rFonts w:ascii="Times New Roman"/>
                <w:sz w:val="18"/>
              </w:rPr>
              <w:t>777,764,539.22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8" w:right="0"/>
              <w:jc w:val="left"/>
              <w:rPr>
                <w:rFonts w:ascii="Times New Roman" w:hAnsi="Times New Roman" w:cs="Times New Roman" w:eastAsia="Times New Roman" w:hint="default"/>
                <w:sz w:val="18"/>
                <w:szCs w:val="18"/>
              </w:rPr>
            </w:pPr>
            <w:r>
              <w:rPr>
                <w:rFonts w:ascii="Times New Roman"/>
                <w:sz w:val="18"/>
              </w:rPr>
              <w:t>410,409,833.41</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9" w:right="0"/>
              <w:jc w:val="left"/>
              <w:rPr>
                <w:rFonts w:ascii="Times New Roman" w:hAnsi="Times New Roman" w:cs="Times New Roman" w:eastAsia="Times New Roman" w:hint="default"/>
                <w:sz w:val="18"/>
                <w:szCs w:val="18"/>
              </w:rPr>
            </w:pPr>
            <w:r>
              <w:rPr>
                <w:rFonts w:ascii="Times New Roman"/>
                <w:sz w:val="18"/>
              </w:rPr>
              <w:t>837,078,737.24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6" w:right="0"/>
              <w:jc w:val="left"/>
              <w:rPr>
                <w:rFonts w:ascii="Times New Roman" w:hAnsi="Times New Roman" w:cs="Times New Roman" w:eastAsia="Times New Roman" w:hint="default"/>
                <w:sz w:val="18"/>
                <w:szCs w:val="18"/>
              </w:rPr>
            </w:pPr>
            <w:r>
              <w:rPr>
                <w:rFonts w:ascii="Times New Roman"/>
                <w:sz w:val="18"/>
              </w:rPr>
              <w:t>441,424,976.40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5" w:right="0"/>
              <w:jc w:val="left"/>
              <w:rPr>
                <w:rFonts w:ascii="Times New Roman" w:hAnsi="Times New Roman" w:cs="Times New Roman" w:eastAsia="Times New Roman" w:hint="default"/>
                <w:sz w:val="18"/>
                <w:szCs w:val="18"/>
              </w:rPr>
            </w:pPr>
            <w:r>
              <w:rPr>
                <w:rFonts w:ascii="Times New Roman"/>
                <w:sz w:val="18"/>
              </w:rPr>
              <w:t>777,764,539.22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410,409,833.41</w:t>
            </w:r>
          </w:p>
        </w:tc>
      </w:tr>
    </w:tbl>
    <w:p>
      <w:pPr>
        <w:pStyle w:val="BodyText"/>
        <w:spacing w:line="240" w:lineRule="auto" w:before="51"/>
        <w:ind w:right="982"/>
        <w:jc w:val="left"/>
      </w:pPr>
      <w:r>
        <w:rPr/>
        <w:t>是否已执行新收入准则</w:t>
      </w:r>
    </w:p>
    <w:p>
      <w:pPr>
        <w:pStyle w:val="BodyText"/>
        <w:spacing w:line="240" w:lineRule="auto" w:before="115"/>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6"/>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-678,706.75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-115,388.08</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49,583.75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441,452.89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1,847,597.20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-237,253.86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1,781,792.87</w:t>
            </w:r>
          </w:p>
        </w:tc>
      </w:tr>
    </w:tbl>
    <w:p>
      <w:pPr>
        <w:spacing w:line="240" w:lineRule="auto" w:before="3"/>
        <w:rPr>
          <w:rFonts w:ascii="宋体" w:hAnsi="宋体" w:cs="宋体" w:eastAsia="宋体" w:hint="default"/>
          <w:sz w:val="18"/>
          <w:szCs w:val="18"/>
        </w:rPr>
      </w:pPr>
    </w:p>
    <w:p>
      <w:pPr>
        <w:pStyle w:val="Heading2"/>
        <w:spacing w:line="240" w:lineRule="auto" w:before="26"/>
        <w:ind w:right="982"/>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2"/>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4"/>
        <w:gridCol w:w="2552"/>
        <w:gridCol w:w="2624"/>
      </w:tblGrid>
      <w:tr>
        <w:trPr>
          <w:trHeight w:val="396"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8"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-39,308.65</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25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2,432,098.15</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441,452.89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国债逆回购</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155,701.71</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1,875,215.96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进项税额加计抵减</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441,697.47</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7,838.42</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4,415,624.17</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2"/>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82"/>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7"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0.58</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0.55</w:t>
            </w:r>
          </w:p>
        </w:tc>
      </w:tr>
    </w:tbl>
    <w:p>
      <w:pPr>
        <w:spacing w:line="240" w:lineRule="auto" w:before="3"/>
        <w:rPr>
          <w:rFonts w:ascii="宋体" w:hAnsi="宋体" w:cs="宋体" w:eastAsia="宋体" w:hint="default"/>
          <w:b/>
          <w:bCs/>
          <w:sz w:val="19"/>
          <w:szCs w:val="19"/>
        </w:rPr>
      </w:pPr>
    </w:p>
    <w:p>
      <w:pPr>
        <w:pStyle w:val="Heading4"/>
        <w:spacing w:line="240" w:lineRule="auto" w:before="36"/>
        <w:ind w:right="982"/>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2"/>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982"/>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59" w:lineRule="auto"/>
        <w:ind w:right="982"/>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after="0" w:line="259" w:lineRule="auto"/>
        <w:jc w:val="left"/>
        <w:sectPr>
          <w:pgSz w:w="11910" w:h="16840"/>
          <w:pgMar w:header="748" w:footer="974"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982"/>
        <w:jc w:val="left"/>
        <w:rPr>
          <w:b w:val="0"/>
          <w:bCs w:val="0"/>
        </w:rPr>
      </w:pPr>
      <w:bookmarkStart w:name="_bookmark12" w:id="13"/>
      <w:bookmarkEnd w:id="13"/>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982"/>
        <w:jc w:val="left"/>
      </w:pPr>
      <w:r>
        <w:rPr/>
        <w:t>（一）载有公司负责人、主管会计工作负责人、会计机构负责人（会计主管人员）签名并盖章的财务报表。</w:t>
      </w:r>
    </w:p>
    <w:p>
      <w:pPr>
        <w:pStyle w:val="BodyText"/>
        <w:spacing w:line="240" w:lineRule="auto" w:before="117"/>
        <w:ind w:right="982"/>
        <w:jc w:val="left"/>
      </w:pPr>
      <w:r>
        <w:rPr/>
        <w:t>（二）载有会计师事务所盖章、注册会计师签名并盖章的审计报告原件。</w:t>
      </w:r>
    </w:p>
    <w:p>
      <w:pPr>
        <w:pStyle w:val="BodyText"/>
        <w:spacing w:line="240" w:lineRule="auto" w:before="117"/>
        <w:ind w:right="982"/>
        <w:jc w:val="left"/>
      </w:pPr>
      <w:r>
        <w:rPr/>
        <w:t>（三）报告期内在中国证监会指定网站上公开披露过的所有公司文件的正本及公告的原稿。</w:t>
      </w:r>
    </w:p>
    <w:p>
      <w:pPr>
        <w:pStyle w:val="BodyText"/>
        <w:spacing w:line="240" w:lineRule="auto" w:before="115"/>
        <w:ind w:right="982"/>
        <w:jc w:val="left"/>
      </w:pPr>
      <w:r>
        <w:rPr/>
        <w:t>（四）经公司法定代表人签名的</w:t>
      </w:r>
      <w:r>
        <w:rPr>
          <w:rFonts w:ascii="Times New Roman" w:hAnsi="Times New Roman" w:cs="Times New Roman" w:eastAsia="Times New Roman" w:hint="default"/>
        </w:rPr>
        <w:t>2019</w:t>
      </w:r>
      <w:r>
        <w:rPr/>
        <w:t>年年度报告文本原件。</w:t>
      </w:r>
    </w:p>
    <w:p>
      <w:pPr>
        <w:pStyle w:val="BodyText"/>
        <w:spacing w:line="240" w:lineRule="auto" w:before="103"/>
        <w:ind w:right="982"/>
        <w:jc w:val="left"/>
      </w:pPr>
      <w:r>
        <w:rPr/>
        <w:t>（五）其他相关资料。</w:t>
      </w:r>
    </w:p>
    <w:p>
      <w:pPr>
        <w:pStyle w:val="BodyText"/>
        <w:spacing w:line="240" w:lineRule="auto" w:before="117"/>
        <w:ind w:right="982"/>
        <w:jc w:val="left"/>
      </w:pPr>
      <w:r>
        <w:rPr/>
        <w:t>（六）以上备查文件的备置地点：公司证券部。</w:t>
      </w:r>
    </w:p>
    <w:sectPr>
      <w:pgSz w:w="11910" w:h="16840"/>
      <w:pgMar w:header="748" w:footer="974"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7136" type="#_x0000_t75" stroked="false">
          <v:imagedata r:id="rId1" o:title=""/>
        </v:shape>
      </w:pict>
    </w:r>
    <w:r>
      <w:rPr/>
      <w:pict>
        <v:shape style="position:absolute;margin-left:533.119995pt;margin-top:795.87793pt;width:6.5pt;height:11pt;mso-position-horizontal-relative:page;mso-position-vertical-relative:page;z-index:-11671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7088" type="#_x0000_t75" stroked="false">
          <v:imagedata r:id="rId1" o:title=""/>
        </v:shape>
      </w:pict>
    </w:r>
    <w:r>
      <w:rPr/>
      <w:pict>
        <v:shape style="position:absolute;margin-left:527.679993pt;margin-top:782.197937pt;width:13.15pt;height:11pt;mso-position-horizontal-relative:page;mso-position-vertical-relative:page;z-index:-1167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7040" type="#_x0000_t75" stroked="false">
          <v:imagedata r:id="rId1" o:title=""/>
        </v:shape>
      </w:pict>
    </w:r>
    <w:r>
      <w:rPr/>
      <w:pict>
        <v:shape style="position:absolute;margin-left:524.119995pt;margin-top:782.197937pt;width:15.7pt;height:11pt;mso-position-horizontal-relative:page;mso-position-vertical-relative:page;z-index:-11670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6992" type="#_x0000_t75" stroked="false">
          <v:imagedata r:id="rId1" o:title=""/>
        </v:shape>
      </w:pict>
    </w:r>
    <w:r>
      <w:rPr/>
      <w:pict>
        <v:shape style="position:absolute;margin-left:523.119995pt;margin-top:782.197937pt;width:17.7pt;height:11pt;mso-position-horizontal-relative:page;mso-position-vertical-relative:page;z-index:-11669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6944" type="#_x0000_t75" stroked="false">
          <v:imagedata r:id="rId1" o:title=""/>
        </v:shape>
      </w:pict>
    </w:r>
    <w:r>
      <w:rPr/>
      <w:pict>
        <v:shape style="position:absolute;margin-left:523.479980pt;margin-top:782.197937pt;width:17.3pt;height:11pt;mso-position-horizontal-relative:page;mso-position-vertical-relative:page;z-index:-1166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6896" type="#_x0000_t75" stroked="false">
          <v:imagedata r:id="rId1" o:title=""/>
        </v:shape>
      </w:pict>
    </w:r>
    <w:r>
      <w:rPr/>
      <w:pict>
        <v:shape style="position:absolute;margin-left:523.119995pt;margin-top:782.197937pt;width:17.7pt;height:11pt;mso-position-horizontal-relative:page;mso-position-vertical-relative:page;z-index:-1166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385609pt;width:222.75pt;height:11.5pt;mso-position-horizontal-relative:page;mso-position-vertical-relative:page;z-index:-1167160" type="#_x0000_t202" filled="false" stroked="false">
          <v:textbox inset="0,0,0,0">
            <w:txbxContent>
              <w:p>
                <w:pPr>
                  <w:pStyle w:val="BodyText"/>
                  <w:spacing w:line="214" w:lineRule="exact"/>
                  <w:ind w:left="20" w:right="0"/>
                  <w:jc w:val="left"/>
                </w:pPr>
                <w:r>
                  <w:rPr/>
                  <w:t>北京思特奇信息技术股份有限公司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224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575"/>
      <w:outlineLvl w:val="3"/>
    </w:pPr>
    <w:rPr>
      <w:rFonts w:ascii="宋体" w:hAnsi="宋体" w:eastAsia="宋体"/>
      <w:b/>
      <w:bCs/>
      <w:sz w:val="22"/>
      <w:szCs w:val="22"/>
    </w:rPr>
  </w:style>
  <w:style w:styleId="Heading4" w:type="paragraph">
    <w:name w:val="Heading 4"/>
    <w:basedOn w:val="Normal"/>
    <w:uiPriority w:val="1"/>
    <w:qFormat/>
    <w:pPr>
      <w:ind w:left="153"/>
      <w:outlineLvl w:val="4"/>
    </w:pPr>
    <w:rPr>
      <w:rFonts w:ascii="宋体" w:hAnsi="宋体" w:eastAsia="宋体"/>
      <w:b/>
      <w:bCs/>
      <w:sz w:val="21"/>
      <w:szCs w:val="21"/>
    </w:rPr>
  </w:style>
  <w:style w:styleId="Heading5" w:type="paragraph">
    <w:name w:val="Heading 5"/>
    <w:basedOn w:val="Normal"/>
    <w:uiPriority w:val="1"/>
    <w:qFormat/>
    <w:pPr>
      <w:spacing w:before="44"/>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i-tech.com.cn/" TargetMode="External"/><Relationship Id="rId10" Type="http://schemas.openxmlformats.org/officeDocument/2006/relationships/hyperlink" Target="mailto:securities@si-tech.com.cn"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北京思特奇信息技术股份有限公司</dc:creator>
  <dc:title>北京思特奇信息技术股份有限公司2019年年度报告全文</dc:title>
  <dcterms:created xsi:type="dcterms:W3CDTF">2020-05-19T13:20:56Z</dcterms:created>
  <dcterms:modified xsi:type="dcterms:W3CDTF">2020-05-19T13:20:56Z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2016</vt:lpwstr>
  </property>
  <property fmtid="{D5CDD505-2E9C-101B-9397-08002B2CF9AE}" pid="4" name="LastSaved">
    <vt:filetime>2020-05-19T00:00:00Z</vt:filetime>
  </property>
</Properties>
</file>