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25"/>
          <w:szCs w:val="25"/>
        </w:rPr>
      </w:pPr>
    </w:p>
    <w:p>
      <w:pPr>
        <w:pStyle w:val="Heading6"/>
        <w:tabs>
          <w:tab w:pos="4161" w:val="left" w:leader="none"/>
          <w:tab w:pos="7866" w:val="left" w:leader="none"/>
        </w:tabs>
        <w:spacing w:line="240" w:lineRule="auto" w:before="44"/>
        <w:ind w:left="452" w:right="0"/>
        <w:jc w:val="left"/>
        <w:rPr>
          <w:rFonts w:ascii="宋体" w:hAnsi="宋体" w:cs="宋体" w:eastAsia="宋体" w:hint="default"/>
          <w:b w:val="0"/>
          <w:bCs w:val="0"/>
        </w:rPr>
      </w:pPr>
      <w:r>
        <w:rPr/>
        <w:pict>
          <v:group style="position:absolute;margin-left:55.200001pt;margin-top:-19.208298pt;width:485pt;height:.1pt;mso-position-horizontal-relative:page;mso-position-vertical-relative:paragraph;z-index:0" coordorigin="1104,-384" coordsize="9700,2">
            <v:shape style="position:absolute;left:1104;top:-384;width:9700;height:2" coordorigin="1104,-384" coordsize="9700,0" path="m1104,-384l10804,-384e" filled="false" stroked="true" strokeweight=".72pt" strokecolor="#000000">
              <v:path arrowok="t"/>
            </v:shape>
            <w10:wrap type="none"/>
          </v:group>
        </w:pict>
      </w:r>
      <w:r>
        <w:rPr>
          <w:w w:val="95"/>
        </w:rPr>
        <w:t>证券代码：</w:t>
      </w:r>
      <w:r>
        <w:rPr>
          <w:rFonts w:ascii="宋体" w:hAnsi="宋体" w:cs="宋体" w:eastAsia="宋体" w:hint="default"/>
          <w:w w:val="95"/>
        </w:rPr>
        <w:t>300612</w:t>
        <w:tab/>
      </w:r>
      <w:r>
        <w:rPr>
          <w:w w:val="95"/>
        </w:rPr>
        <w:t>证券简称：宣亚国际</w:t>
        <w:tab/>
      </w:r>
      <w:r>
        <w:rPr/>
        <w:t>公告编号：</w:t>
      </w:r>
      <w:r>
        <w:rPr>
          <w:rFonts w:ascii="宋体" w:hAnsi="宋体" w:cs="宋体" w:eastAsia="宋体" w:hint="default"/>
        </w:rPr>
        <w:t>2018-034</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50" w:lineRule="exact"/>
        <w:ind w:left="3862" w:right="0" w:firstLine="0"/>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410334" cy="2857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0334" cy="285750"/>
                    </a:xfrm>
                    <a:prstGeom prst="rect">
                      <a:avLst/>
                    </a:prstGeom>
                  </pic:spPr>
                </pic:pic>
              </a:graphicData>
            </a:graphic>
          </wp:inline>
        </w:drawing>
      </w:r>
      <w:r>
        <w:rPr>
          <w:rFonts w:ascii="宋体" w:hAnsi="宋体" w:cs="宋体" w:eastAsia="宋体" w:hint="default"/>
          <w:position w:val="-8"/>
          <w:sz w:val="20"/>
          <w:szCs w:val="20"/>
        </w:rPr>
      </w:r>
    </w:p>
    <w:p>
      <w:pPr>
        <w:spacing w:line="240" w:lineRule="auto" w:before="9"/>
        <w:rPr>
          <w:rFonts w:ascii="宋体" w:hAnsi="宋体" w:cs="宋体" w:eastAsia="宋体" w:hint="default"/>
          <w:b/>
          <w:bCs/>
          <w:sz w:val="11"/>
          <w:szCs w:val="11"/>
        </w:rPr>
      </w:pPr>
    </w:p>
    <w:p>
      <w:pPr>
        <w:spacing w:line="460" w:lineRule="exact" w:before="0"/>
        <w:ind w:left="1700" w:right="1700" w:firstLine="0"/>
        <w:jc w:val="center"/>
        <w:rPr>
          <w:rFonts w:ascii="宋体" w:hAnsi="宋体" w:cs="宋体" w:eastAsia="宋体" w:hint="default"/>
          <w:sz w:val="36"/>
          <w:szCs w:val="36"/>
        </w:rPr>
      </w:pPr>
      <w:r>
        <w:rPr>
          <w:rFonts w:ascii="宋体" w:hAnsi="宋体" w:cs="宋体" w:eastAsia="宋体" w:hint="default"/>
          <w:b/>
          <w:bCs/>
          <w:sz w:val="36"/>
          <w:szCs w:val="36"/>
        </w:rPr>
        <w:t>宣亚国际品牌管理（北京）股份有限公司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699" w:right="17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700" w:right="16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57"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52" w:firstLine="562"/>
        <w:jc w:val="both"/>
        <w:rPr>
          <w:b w:val="0"/>
          <w:bCs w:val="0"/>
        </w:rPr>
      </w:pPr>
      <w:r>
        <w:rPr>
          <w:w w:val="95"/>
        </w:rPr>
        <w:t>公司负责人张秀兵、主管会计工作负责人宾卫及会计机构负责人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张靖声明：保证年度报告中财务报告的真实、准确、完整。</w:t>
      </w:r>
      <w:r>
        <w:rPr>
          <w:b w:val="0"/>
          <w:bCs w:val="0"/>
        </w:rPr>
      </w:r>
    </w:p>
    <w:p>
      <w:pPr>
        <w:pStyle w:val="Heading2"/>
        <w:spacing w:line="472" w:lineRule="auto" w:before="147"/>
        <w:ind w:left="716" w:right="0"/>
        <w:jc w:val="left"/>
        <w:rPr>
          <w:b w:val="0"/>
          <w:bCs w:val="0"/>
        </w:rPr>
      </w:pPr>
      <w:r>
        <w:rPr/>
        <w:t>所有董事均已出席了审议本报告的董事会会议。</w:t>
      </w:r>
      <w:r>
        <w:rPr>
          <w:w w:val="99"/>
        </w:rPr>
        <w:t> </w:t>
      </w:r>
      <w:r>
        <w:rPr>
          <w:spacing w:val="3"/>
          <w:w w:val="95"/>
        </w:rPr>
        <w:t>本报告所涉及的经营业绩的预计等前瞻性陈述均属于公司计划性事项，存</w:t>
      </w:r>
      <w:r>
        <w:rPr>
          <w:b w:val="0"/>
          <w:bCs w:val="0"/>
          <w:spacing w:val="3"/>
        </w:rPr>
      </w:r>
    </w:p>
    <w:p>
      <w:pPr>
        <w:pStyle w:val="Heading2"/>
        <w:spacing w:line="408" w:lineRule="auto"/>
        <w:ind w:right="161"/>
        <w:jc w:val="both"/>
        <w:rPr>
          <w:b w:val="0"/>
          <w:bCs w:val="0"/>
        </w:rPr>
      </w:pPr>
      <w:r>
        <w:rPr>
          <w:spacing w:val="3"/>
          <w:w w:val="95"/>
        </w:rPr>
        <w:t>在一定的不确定性，不构成公司对投资者的实质性承诺，敬请投资者注意投资</w:t>
      </w:r>
      <w:r>
        <w:rPr>
          <w:spacing w:val="23"/>
          <w:w w:val="95"/>
        </w:rPr>
        <w:t> </w:t>
      </w:r>
      <w:r>
        <w:rPr>
          <w:spacing w:val="23"/>
          <w:w w:val="95"/>
        </w:rPr>
      </w:r>
      <w:r>
        <w:rPr>
          <w:spacing w:val="3"/>
          <w:w w:val="95"/>
        </w:rPr>
        <w:t>风险。公司年度报告中如有涉及未来计划、规划等预测性陈述，均不构成公司</w:t>
      </w:r>
      <w:r>
        <w:rPr>
          <w:spacing w:val="23"/>
          <w:w w:val="95"/>
        </w:rPr>
        <w:t> </w:t>
      </w:r>
      <w:r>
        <w:rPr>
          <w:spacing w:val="23"/>
          <w:w w:val="95"/>
        </w:rPr>
      </w:r>
      <w:r>
        <w:rPr>
          <w:spacing w:val="3"/>
          <w:w w:val="95"/>
        </w:rPr>
        <w:t>对投资者及相关人士的承诺，投资者及相关人士均应当对此保持足够的风险认</w:t>
      </w:r>
      <w:r>
        <w:rPr>
          <w:spacing w:val="26"/>
          <w:w w:val="95"/>
        </w:rPr>
        <w:t> </w:t>
      </w:r>
      <w:r>
        <w:rPr>
          <w:spacing w:val="26"/>
          <w:w w:val="95"/>
        </w:rPr>
      </w:r>
      <w:r>
        <w:rPr/>
        <w:t>识，并且应当理解计划、预测与承诺之间的差异。</w:t>
      </w:r>
      <w:r>
        <w:rPr>
          <w:b w:val="0"/>
          <w:bCs w:val="0"/>
        </w:rPr>
      </w:r>
    </w:p>
    <w:p>
      <w:pPr>
        <w:pStyle w:val="Heading2"/>
        <w:spacing w:line="398" w:lineRule="auto" w:before="161"/>
        <w:ind w:right="152" w:firstLine="562"/>
        <w:jc w:val="both"/>
        <w:rPr>
          <w:b w:val="0"/>
          <w:bCs w:val="0"/>
        </w:rPr>
      </w:pPr>
      <w:r>
        <w:rPr>
          <w:spacing w:val="3"/>
          <w:w w:val="95"/>
        </w:rPr>
        <w:t>公司目前不存在影响公司正常经营的重大风险。公司日常经营中可能面临</w:t>
      </w:r>
      <w:r>
        <w:rPr>
          <w:w w:val="99"/>
        </w:rPr>
        <w:t> </w:t>
      </w:r>
      <w:r>
        <w:rPr>
          <w:spacing w:val="3"/>
          <w:w w:val="95"/>
        </w:rPr>
        <w:t>的风险因素详见</w:t>
      </w:r>
      <w:r>
        <w:rPr>
          <w:rFonts w:ascii="Times New Roman" w:hAnsi="Times New Roman" w:cs="Times New Roman" w:eastAsia="Times New Roman" w:hint="default"/>
          <w:spacing w:val="3"/>
          <w:w w:val="95"/>
        </w:rPr>
        <w:t>“</w:t>
      </w:r>
      <w:r>
        <w:rPr>
          <w:spacing w:val="3"/>
          <w:w w:val="95"/>
        </w:rPr>
        <w:t>第四节经营情况讨论与分析</w:t>
      </w:r>
      <w:r>
        <w:rPr>
          <w:rFonts w:ascii="Times New Roman" w:hAnsi="Times New Roman" w:cs="Times New Roman" w:eastAsia="Times New Roman" w:hint="default"/>
          <w:spacing w:val="3"/>
          <w:w w:val="95"/>
        </w:rPr>
        <w:t>”</w:t>
      </w:r>
      <w:r>
        <w:rPr>
          <w:spacing w:val="3"/>
          <w:w w:val="95"/>
        </w:rPr>
        <w:t>之</w:t>
      </w:r>
      <w:r>
        <w:rPr>
          <w:rFonts w:ascii="Times New Roman" w:hAnsi="Times New Roman" w:cs="Times New Roman" w:eastAsia="Times New Roman" w:hint="default"/>
          <w:spacing w:val="3"/>
          <w:w w:val="95"/>
        </w:rPr>
        <w:t>“</w:t>
      </w:r>
      <w:r>
        <w:rPr>
          <w:spacing w:val="3"/>
          <w:w w:val="95"/>
        </w:rPr>
        <w:t>九、公司未来发展的展望</w:t>
      </w:r>
      <w:r>
        <w:rPr>
          <w:rFonts w:ascii="Times New Roman" w:hAnsi="Times New Roman" w:cs="Times New Roman" w:eastAsia="Times New Roman" w:hint="default"/>
          <w:spacing w:val="3"/>
          <w:w w:val="95"/>
        </w:rPr>
        <w:t>”</w:t>
      </w:r>
      <w:r>
        <w:rPr>
          <w:spacing w:val="3"/>
          <w:w w:val="95"/>
        </w:rPr>
        <w:t>。</w:t>
      </w:r>
      <w:r>
        <w:rPr>
          <w:spacing w:val="32"/>
          <w:w w:val="95"/>
        </w:rPr>
        <w:t> </w:t>
      </w:r>
      <w:r>
        <w:rPr/>
        <w:t>敬请广大投资者关注，并注意投资风险。</w:t>
      </w:r>
      <w:r>
        <w:rPr>
          <w:b w:val="0"/>
          <w:bCs w:val="0"/>
        </w:rPr>
      </w:r>
    </w:p>
    <w:p>
      <w:pPr>
        <w:pStyle w:val="Heading2"/>
        <w:spacing w:line="240" w:lineRule="auto" w:before="171"/>
        <w:ind w:left="716" w:right="0"/>
        <w:jc w:val="left"/>
        <w:rPr>
          <w:rFonts w:ascii="Times New Roman" w:hAnsi="Times New Roman" w:cs="Times New Roman" w:eastAsia="Times New Roman" w:hint="default"/>
          <w:b w:val="0"/>
          <w:bCs w:val="0"/>
        </w:rPr>
      </w:pPr>
      <w:r>
        <w:rPr/>
        <w:t>公司经本次董事会审议通过的利润分配预案为：以公司总股本</w:t>
      </w:r>
      <w:r>
        <w:rPr>
          <w:spacing w:val="-75"/>
        </w:rPr>
        <w:t> </w:t>
      </w:r>
      <w:r>
        <w:rPr>
          <w:rFonts w:ascii="Times New Roman" w:hAnsi="Times New Roman" w:cs="Times New Roman" w:eastAsia="Times New Roman" w:hint="default"/>
        </w:rPr>
        <w:t>108,000,000</w:t>
      </w:r>
      <w:r>
        <w:rPr>
          <w:rFonts w:ascii="Times New Roman" w:hAnsi="Times New Roman" w:cs="Times New Roman" w:eastAsia="Times New Roman" w:hint="default"/>
          <w:b w:val="0"/>
          <w:bCs w:val="0"/>
        </w:rPr>
      </w:r>
    </w:p>
    <w:p>
      <w:pPr>
        <w:pStyle w:val="Heading2"/>
        <w:spacing w:line="240" w:lineRule="auto" w:before="236"/>
        <w:ind w:right="0"/>
        <w:jc w:val="both"/>
        <w:rPr>
          <w:b w:val="0"/>
          <w:bCs w:val="0"/>
        </w:rPr>
      </w:pPr>
      <w:r>
        <w:rPr>
          <w:spacing w:val="1"/>
          <w:w w:val="99"/>
        </w:rPr>
        <w:t>股</w:t>
      </w:r>
      <w:r>
        <w:rPr>
          <w:w w:val="99"/>
        </w:rPr>
        <w:t>为基</w:t>
      </w:r>
      <w:r>
        <w:rPr>
          <w:spacing w:val="2"/>
          <w:w w:val="99"/>
        </w:rPr>
        <w:t>数</w:t>
      </w:r>
      <w:r>
        <w:rPr>
          <w:w w:val="99"/>
        </w:rPr>
        <w:t>，向全</w:t>
      </w:r>
      <w:r>
        <w:rPr>
          <w:spacing w:val="2"/>
          <w:w w:val="99"/>
        </w:rPr>
        <w:t>体</w:t>
      </w:r>
      <w:r>
        <w:rPr>
          <w:w w:val="99"/>
        </w:rPr>
        <w:t>股东每</w:t>
      </w:r>
      <w:r>
        <w:rPr>
          <w:spacing w:val="-64"/>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3"/>
        </w:rPr>
        <w:t> </w:t>
      </w:r>
      <w:r>
        <w:rPr>
          <w:spacing w:val="1"/>
          <w:w w:val="99"/>
        </w:rPr>
        <w:t>股派发现金红</w:t>
      </w:r>
      <w:r>
        <w:rPr>
          <w:w w:val="99"/>
        </w:rPr>
        <w:t>利</w:t>
      </w:r>
      <w:r>
        <w:rPr>
          <w:spacing w:val="-67"/>
        </w:rPr>
        <w:t> </w:t>
      </w:r>
      <w:r>
        <w:rPr>
          <w:rFonts w:ascii="Times New Roman" w:hAnsi="Times New Roman" w:cs="Times New Roman" w:eastAsia="Times New Roman" w:hint="default"/>
          <w:w w:val="99"/>
        </w:rPr>
        <w:t>5.00</w:t>
      </w:r>
      <w:r>
        <w:rPr>
          <w:rFonts w:ascii="Times New Roman" w:hAnsi="Times New Roman" w:cs="Times New Roman" w:eastAsia="Times New Roman" w:hint="default"/>
          <w:spacing w:val="4"/>
        </w:rPr>
        <w:t> </w:t>
      </w:r>
      <w:r>
        <w:rPr>
          <w:w w:val="99"/>
        </w:rPr>
        <w:t>元（含税</w:t>
      </w:r>
      <w:r>
        <w:rPr>
          <w:spacing w:val="-140"/>
          <w:w w:val="99"/>
        </w:rPr>
        <w:t>）</w:t>
      </w:r>
      <w:r>
        <w:rPr>
          <w:spacing w:val="2"/>
          <w:w w:val="99"/>
        </w:rPr>
        <w:t>，</w:t>
      </w:r>
      <w:r>
        <w:rPr>
          <w:w w:val="99"/>
        </w:rPr>
        <w:t>送红股</w:t>
      </w:r>
      <w:r>
        <w:rPr>
          <w:spacing w:val="-65"/>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2"/>
        </w:rPr>
        <w:t> </w:t>
      </w:r>
      <w:r>
        <w:rPr>
          <w:spacing w:val="1"/>
          <w:w w:val="99"/>
        </w:rPr>
        <w:t>股（含</w:t>
      </w:r>
      <w:r>
        <w:rPr>
          <w:b w:val="0"/>
          <w:bCs w:val="0"/>
        </w:rPr>
      </w:r>
    </w:p>
    <w:p>
      <w:pPr>
        <w:pStyle w:val="Heading2"/>
        <w:spacing w:line="240" w:lineRule="auto" w:before="237"/>
        <w:ind w:right="0"/>
        <w:jc w:val="both"/>
        <w:rPr>
          <w:b w:val="0"/>
          <w:bCs w:val="0"/>
        </w:rPr>
      </w:pPr>
      <w:r>
        <w:rPr>
          <w:w w:val="99"/>
        </w:rPr>
        <w:t>税</w:t>
      </w:r>
      <w:r>
        <w:rPr>
          <w:spacing w:val="-140"/>
          <w:w w:val="99"/>
        </w:rPr>
        <w:t>）</w:t>
      </w:r>
      <w:r>
        <w:rPr>
          <w:w w:val="99"/>
        </w:rPr>
        <w:t>，</w:t>
      </w:r>
      <w:r>
        <w:rPr>
          <w:spacing w:val="2"/>
          <w:w w:val="99"/>
        </w:rPr>
        <w:t>以</w:t>
      </w:r>
      <w:r>
        <w:rPr>
          <w:w w:val="99"/>
        </w:rPr>
        <w:t>资本公</w:t>
      </w:r>
      <w:r>
        <w:rPr>
          <w:spacing w:val="2"/>
          <w:w w:val="99"/>
        </w:rPr>
        <w:t>积</w:t>
      </w:r>
      <w:r>
        <w:rPr>
          <w:w w:val="99"/>
        </w:rPr>
        <w:t>金向全</w:t>
      </w:r>
      <w:r>
        <w:rPr>
          <w:spacing w:val="2"/>
          <w:w w:val="99"/>
        </w:rPr>
        <w:t>体</w:t>
      </w:r>
      <w:r>
        <w:rPr>
          <w:w w:val="99"/>
        </w:rPr>
        <w:t>股东每</w:t>
      </w:r>
      <w:r>
        <w:rPr>
          <w:spacing w:val="-65"/>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rPr>
        <w:t> </w:t>
      </w:r>
      <w:r>
        <w:rPr>
          <w:spacing w:val="1"/>
          <w:w w:val="99"/>
        </w:rPr>
        <w:t>股转</w:t>
      </w:r>
      <w:r>
        <w:rPr>
          <w:w w:val="99"/>
        </w:rPr>
        <w:t>增</w:t>
      </w:r>
      <w:r>
        <w:rPr>
          <w:spacing w:val="-71"/>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1"/>
          <w:w w:val="99"/>
        </w:rPr>
        <w:t>股。</w:t>
      </w:r>
      <w:r>
        <w:rPr>
          <w:b w:val="0"/>
          <w:bCs w:val="0"/>
        </w:rPr>
      </w:r>
    </w:p>
    <w:p>
      <w:pPr>
        <w:spacing w:after="0" w:line="240" w:lineRule="auto"/>
        <w:jc w:val="both"/>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700" w:right="16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51</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58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65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66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156</w:t>
            </w:r>
          </w:hyperlink>
        </w:p>
        <w:p>
          <w:pPr/>
          <w:r>
            <w:fldChar w:fldCharType="end"/>
          </w:r>
        </w:p>
      </w:sdtContent>
    </w:sdt>
    <w:p>
      <w:pPr>
        <w:spacing w:after="0"/>
        <w:sectPr>
          <w:pgSz w:w="11910" w:h="16840"/>
          <w:pgMar w:header="747" w:footer="979" w:top="1060" w:bottom="1160" w:left="980" w:right="980"/>
        </w:sectPr>
      </w:pPr>
    </w:p>
    <w:p>
      <w:pPr>
        <w:spacing w:before="946"/>
        <w:ind w:left="1700" w:right="16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39"/>
        <w:gridCol w:w="544"/>
        <w:gridCol w:w="6887"/>
      </w:tblGrid>
      <w:tr>
        <w:trPr>
          <w:trHeight w:val="402" w:hRule="exact"/>
        </w:trPr>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公司、本公司、宣亚国际</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北京宣亚国际投资有限公司，系公司的控股股东</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北京橙色动力咨询中心（有限合伙</w:t>
            </w:r>
            <w:r>
              <w:rPr>
                <w:rFonts w:ascii="宋体" w:hAnsi="宋体" w:cs="宋体" w:eastAsia="宋体" w:hint="default"/>
                <w:spacing w:val="-90"/>
                <w:sz w:val="18"/>
                <w:szCs w:val="18"/>
              </w:rPr>
              <w:t>）</w:t>
            </w:r>
            <w:r>
              <w:rPr>
                <w:rFonts w:ascii="宋体" w:hAnsi="宋体" w:cs="宋体" w:eastAsia="宋体" w:hint="default"/>
                <w:sz w:val="18"/>
                <w:szCs w:val="18"/>
              </w:rPr>
              <w:t>，系公司的股东之一</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北京伟岸仲合咨询中心（有限合伙</w:t>
            </w:r>
            <w:r>
              <w:rPr>
                <w:rFonts w:ascii="宋体" w:hAnsi="宋体" w:cs="宋体" w:eastAsia="宋体" w:hint="default"/>
                <w:spacing w:val="-90"/>
                <w:sz w:val="18"/>
                <w:szCs w:val="18"/>
              </w:rPr>
              <w:t>）</w:t>
            </w:r>
            <w:r>
              <w:rPr>
                <w:rFonts w:ascii="宋体" w:hAnsi="宋体" w:cs="宋体" w:eastAsia="宋体" w:hint="default"/>
                <w:sz w:val="18"/>
                <w:szCs w:val="18"/>
              </w:rPr>
              <w:t>，系公司的股东之一</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北京金凤银凰咨询中心（有限合伙</w:t>
            </w:r>
            <w:r>
              <w:rPr>
                <w:rFonts w:ascii="宋体" w:hAnsi="宋体" w:cs="宋体" w:eastAsia="宋体" w:hint="default"/>
                <w:spacing w:val="-90"/>
                <w:sz w:val="18"/>
                <w:szCs w:val="18"/>
              </w:rPr>
              <w:t>）</w:t>
            </w:r>
            <w:r>
              <w:rPr>
                <w:rFonts w:ascii="宋体" w:hAnsi="宋体" w:cs="宋体" w:eastAsia="宋体" w:hint="default"/>
                <w:sz w:val="18"/>
                <w:szCs w:val="18"/>
              </w:rPr>
              <w:t>，系公司的股东之一</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Asia Pacific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亚太有限公司，系公司的股东之一</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北京品推宝移动科技有限公司，系公司全资子公司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秦皇岛公关公司</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秦皇岛宣亚公共关系顾问有限公司，系公司全资子公司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品牌咨询</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北京宣亚国际品牌咨询有限公司，系公司控股子公司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宣亚湖南</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宣亚国际品牌管理（湖南）有限公司，系公司控股子公司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英帕沃</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北京英帕沃数字技术有限公司，系公司全资子公司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新兵连公司</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北京新兵连文化传媒有限公司，系公司全资子公司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珠海宣亚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珠海宣亚互动数字营销有限公司，系公司控股子公司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广州宣亚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广州宣亚品牌管理有限公司，系公司全资子公司</w:t>
            </w:r>
          </w:p>
        </w:tc>
      </w:tr>
      <w:tr>
        <w:trPr>
          <w:trHeight w:val="161" w:hRule="exact"/>
        </w:trPr>
        <w:tc>
          <w:tcPr>
            <w:tcW w:w="2139"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宣亚美国</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87"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SHUNYA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w w:val="99"/>
                <w:sz w:val="18"/>
                <w:szCs w:val="18"/>
              </w:rPr>
              <w:t>INTERNATIONAL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INC.</w:t>
            </w:r>
            <w:r>
              <w:rPr>
                <w:rFonts w:ascii="宋体" w:hAnsi="宋体" w:cs="宋体" w:eastAsia="宋体" w:hint="default"/>
                <w:spacing w:val="-4"/>
                <w:sz w:val="18"/>
                <w:szCs w:val="18"/>
              </w:rPr>
              <w:t>（译为：宣亚国际有限公司），系公司于美国设立的全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资子公司</w:t>
            </w:r>
          </w:p>
        </w:tc>
      </w:tr>
      <w:tr>
        <w:trPr>
          <w:trHeight w:val="392" w:hRule="exact"/>
        </w:trPr>
        <w:tc>
          <w:tcPr>
            <w:tcW w:w="2139"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vMerge/>
            <w:tcBorders>
              <w:left w:val="single" w:sz="9" w:space="0" w:color="D2D2D2"/>
              <w:right w:val="single" w:sz="4" w:space="0" w:color="000000"/>
            </w:tcBorders>
          </w:tcPr>
          <w:p>
            <w:pPr/>
          </w:p>
        </w:tc>
      </w:tr>
      <w:tr>
        <w:trPr>
          <w:trHeight w:val="161" w:hRule="exact"/>
        </w:trPr>
        <w:tc>
          <w:tcPr>
            <w:tcW w:w="2139"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87" w:type="dxa"/>
            <w:vMerge/>
            <w:tcBorders>
              <w:left w:val="single" w:sz="9" w:space="0" w:color="D2D2D2"/>
              <w:bottom w:val="single" w:sz="4" w:space="0" w:color="000000"/>
              <w:right w:val="single" w:sz="4" w:space="0" w:color="000000"/>
            </w:tcBorders>
          </w:tcPr>
          <w:p>
            <w:pP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宣亚国际广州分公司</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宣亚国际品牌管理（北京）股份有限公司广州分公司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宣亚国际上海分公司</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宣亚国际品牌管理（北京）股份有限公司上海分公司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威维体育</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北京威维体育文化有限公司，系公司参股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的联营公司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精彩时光</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北京精彩时光投资有限公司，系公司的关联方之一</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深交所、证券交易所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立信所、公司会计师</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161" w:hRule="exact"/>
        </w:trPr>
        <w:tc>
          <w:tcPr>
            <w:tcW w:w="2139"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pacing w:val="-8"/>
                <w:sz w:val="18"/>
                <w:szCs w:val="18"/>
              </w:rPr>
              <w:t>中德证券、保荐机构、保荐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人、主承销商</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87"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r>
      <w:tr>
        <w:trPr>
          <w:trHeight w:val="392" w:hRule="exact"/>
        </w:trPr>
        <w:tc>
          <w:tcPr>
            <w:tcW w:w="2139"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vMerge/>
            <w:tcBorders>
              <w:left w:val="single" w:sz="9" w:space="0" w:color="D2D2D2"/>
              <w:right w:val="single" w:sz="4" w:space="0" w:color="000000"/>
            </w:tcBorders>
          </w:tcPr>
          <w:p>
            <w:pPr/>
          </w:p>
        </w:tc>
      </w:tr>
      <w:tr>
        <w:trPr>
          <w:trHeight w:val="161" w:hRule="exact"/>
        </w:trPr>
        <w:tc>
          <w:tcPr>
            <w:tcW w:w="2139"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87" w:type="dxa"/>
            <w:vMerge/>
            <w:tcBorders>
              <w:left w:val="single" w:sz="9" w:space="0" w:color="D2D2D2"/>
              <w:bottom w:val="single" w:sz="4" w:space="0" w:color="000000"/>
              <w:right w:val="single" w:sz="4" w:space="0" w:color="000000"/>
            </w:tcBorders>
          </w:tcPr>
          <w:p>
            <w:pP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73" w:hRule="exact"/>
        </w:trPr>
        <w:tc>
          <w:tcPr>
            <w:tcW w:w="2139"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87"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1"/>
                <w:sz w:val="18"/>
                <w:szCs w:val="18"/>
              </w:rPr>
              <w:t>传统传播渠道营销服务，是指利用传统的营销技术及手段（包括通过电视、报纸、杂志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等媒介形式进行公关、广告及体验营销等）为品牌主提供的整合营销传播服务，传统营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销的具体服务内容包括策略制定、传统广告、传统公关、体验营销、危机管理、效果监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测及投放优化等一体化的链式服务。</w:t>
            </w:r>
          </w:p>
        </w:tc>
      </w:tr>
      <w:tr>
        <w:trPr>
          <w:trHeight w:val="392" w:hRule="exact"/>
        </w:trPr>
        <w:tc>
          <w:tcPr>
            <w:tcW w:w="2139"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vMerge/>
            <w:tcBorders>
              <w:left w:val="single" w:sz="9" w:space="0" w:color="D2D2D2"/>
              <w:right w:val="single" w:sz="4" w:space="0" w:color="000000"/>
            </w:tcBorders>
          </w:tcPr>
          <w:p>
            <w:pPr/>
          </w:p>
        </w:tc>
      </w:tr>
      <w:tr>
        <w:trPr>
          <w:trHeight w:val="473" w:hRule="exact"/>
        </w:trPr>
        <w:tc>
          <w:tcPr>
            <w:tcW w:w="2139"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87"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8"/>
        <w:gridCol w:w="566"/>
        <w:gridCol w:w="6876"/>
      </w:tblGrid>
      <w:tr>
        <w:trPr>
          <w:trHeight w:val="133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数字传播渠道营销服务，是指公司为品牌主提供的以数字营销技术及手段（主要包括通 过互联网、移动互联网等数字媒介形式进行的公关、广告及社会化营销等）为主导的整 合营销传播服务，公司数字营销的具体服务内容包括策略制定、数字广告、数字公关、 效果监测、投放优化以及配套的体验营销等。</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体验营销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通过新闻发布会、产品上市发布会、巡展、大型公众活动、学术交流论坛等多样化的线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下活动形式，为客户提供企业形象及品牌宣传、促销及客户关系管理服务。</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77372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300612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宣亚国际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Shunya International Brand Consulting (Beijing) Co.,</w:t>
            </w:r>
            <w:r>
              <w:rPr>
                <w:rFonts w:ascii="Times New Roman"/>
                <w:spacing w:val="-14"/>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Shunya</w:t>
            </w:r>
            <w:r>
              <w:rPr>
                <w:rFonts w:ascii="Times New Roman"/>
                <w:spacing w:val="-5"/>
                <w:sz w:val="18"/>
              </w:rPr>
              <w:t> </w:t>
            </w:r>
            <w:r>
              <w:rPr>
                <w:rFonts w:ascii="Times New Roman"/>
                <w:sz w:val="18"/>
              </w:rPr>
              <w:t>International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张秀兵</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CN02-B</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CN02-B</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http://www.shunyagroup.com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汪晓文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CN02-B</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CN02-B</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010-85079688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010-85079688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010-85079555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010-85079555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孟庆祥、赵斌</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贸中心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王僚俊、崔胜朝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504,510,269.50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467,441,970.49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390,596,170.95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74,956,482.53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58,710,099.47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53,550,102.41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74,845,443.29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58,413,682.00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50,560,964.47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-29,761,510.62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50,977,709.70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-158.38%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1,256,019.10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618,622,613.22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317,510,416.67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241,625,960.66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478,900,637.25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189,293,546.39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141,056,089.85</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97,929,261.28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112,009,282.50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93,013,993.28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201,557,732.44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7,531,362.94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19,688,625.81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8,158,778.12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39,577,715.66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7,531,362.94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19,605,442.75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8,158,400.64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39,550,236.96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-23,962,301.23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19,884,066.32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-14,832,507.11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-10,850,768.60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-36,887.79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-855,188.92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188,273.66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592,651.11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500,964.36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185,997.50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8" w:right="0"/>
              <w:jc w:val="left"/>
              <w:rPr>
                <w:rFonts w:ascii="Times New Roman" w:hAnsi="Times New Roman" w:cs="Times New Roman" w:eastAsia="Times New Roman" w:hint="default"/>
                <w:sz w:val="18"/>
                <w:szCs w:val="18"/>
              </w:rPr>
            </w:pPr>
            <w:r>
              <w:rPr>
                <w:rFonts w:ascii="Times New Roman"/>
                <w:sz w:val="18"/>
              </w:rPr>
              <w:t>251,767.12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1,513,628.12</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个税手续费返还等营 业外收入</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37,277.43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99,144.55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996,379.31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111,039.24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296,417.47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2,989,137.94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2" w:lineRule="auto" w:before="44"/>
        <w:ind w:right="13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9"/>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92"/>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2"/>
        <w:jc w:val="left"/>
      </w:pPr>
      <w:r>
        <w:rPr/>
        <w:t>公司是否需要遵守特殊行业的披露要求 否</w:t>
      </w:r>
    </w:p>
    <w:p>
      <w:pPr>
        <w:pStyle w:val="BodyText"/>
        <w:spacing w:line="309" w:lineRule="auto" w:before="25"/>
        <w:ind w:right="189" w:firstLine="360"/>
        <w:jc w:val="both"/>
      </w:pPr>
      <w:r>
        <w:rPr>
          <w:spacing w:val="-2"/>
        </w:rPr>
        <w:t>公司是国内领先的整合营销传播服务商，可以配合客户的目标市场及渠道、终端，为客户量身定制从品牌认知到产品体</w:t>
      </w:r>
      <w:r>
        <w:rPr/>
        <w:t> </w:t>
      </w:r>
      <w:r>
        <w:rPr>
          <w:spacing w:val="-2"/>
        </w:rPr>
        <w:t>验的全方位整合营销传播服务，经过多年的行业积累，已经形成以营销策略及创意内容为核心、以</w:t>
      </w:r>
      <w:r>
        <w:rPr>
          <w:rFonts w:ascii="Times New Roman" w:hAnsi="Times New Roman" w:cs="Times New Roman" w:eastAsia="Times New Roman" w:hint="default"/>
          <w:spacing w:val="-2"/>
        </w:rPr>
        <w:t>"</w:t>
      </w:r>
      <w:r>
        <w:rPr>
          <w:spacing w:val="-2"/>
        </w:rPr>
        <w:t>传统传播渠道</w:t>
      </w:r>
      <w:r>
        <w:rPr>
          <w:rFonts w:ascii="Times New Roman" w:hAnsi="Times New Roman" w:cs="Times New Roman" w:eastAsia="Times New Roman" w:hint="default"/>
          <w:spacing w:val="-2"/>
        </w:rPr>
        <w:t>+</w:t>
      </w:r>
      <w:r>
        <w:rPr>
          <w:spacing w:val="-2"/>
        </w:rPr>
        <w:t>数字传播</w:t>
      </w:r>
      <w:r>
        <w:rPr>
          <w:spacing w:val="-59"/>
        </w:rPr>
        <w:t> </w:t>
      </w:r>
      <w:r>
        <w:rPr/>
        <w:t>渠道</w:t>
      </w:r>
      <w:r>
        <w:rPr>
          <w:rFonts w:ascii="Times New Roman" w:hAnsi="Times New Roman" w:cs="Times New Roman" w:eastAsia="Times New Roman" w:hint="default"/>
        </w:rPr>
        <w:t>"</w:t>
      </w:r>
      <w:r>
        <w:rPr/>
        <w:t>为通路的品牌全传播服务模式。</w:t>
      </w:r>
    </w:p>
    <w:p>
      <w:pPr>
        <w:pStyle w:val="BodyText"/>
        <w:spacing w:line="300" w:lineRule="auto" w:before="5"/>
        <w:ind w:right="192"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月，公司成功在深交所创业板上市，报告期内，公司持续秉持</w:t>
      </w:r>
      <w:r>
        <w:rPr>
          <w:rFonts w:ascii="Times New Roman" w:hAnsi="Times New Roman" w:cs="Times New Roman" w:eastAsia="Times New Roman" w:hint="default"/>
          <w:spacing w:val="-1"/>
        </w:rPr>
        <w:t>"</w:t>
      </w:r>
      <w:r>
        <w:rPr>
          <w:spacing w:val="-1"/>
        </w:rPr>
        <w:t>合适就是竞争力</w:t>
      </w:r>
      <w:r>
        <w:rPr>
          <w:rFonts w:ascii="Times New Roman" w:hAnsi="Times New Roman" w:cs="Times New Roman" w:eastAsia="Times New Roman" w:hint="default"/>
          <w:spacing w:val="-1"/>
        </w:rPr>
        <w:t>"</w:t>
      </w:r>
      <w:r>
        <w:rPr>
          <w:spacing w:val="-1"/>
        </w:rPr>
        <w:t>的传播哲学，以打造</w:t>
      </w:r>
      <w:r>
        <w:rPr>
          <w:rFonts w:ascii="Times New Roman" w:hAnsi="Times New Roman" w:cs="Times New Roman" w:eastAsia="Times New Roman" w:hint="default"/>
          <w:spacing w:val="-1"/>
        </w:rPr>
        <w:t>"</w:t>
      </w:r>
      <w:r>
        <w:rPr>
          <w:spacing w:val="-1"/>
        </w:rPr>
        <w:t>中国传播</w:t>
      </w:r>
      <w:r>
        <w:rPr/>
        <w:t> 行业第一推动力</w:t>
      </w:r>
      <w:r>
        <w:rPr>
          <w:rFonts w:ascii="Times New Roman" w:hAnsi="Times New Roman" w:cs="Times New Roman" w:eastAsia="Times New Roman" w:hint="default"/>
        </w:rPr>
        <w:t>"</w:t>
      </w:r>
      <w:r>
        <w:rPr/>
        <w:t>为使命，强调面向客户需求，打破沟壑分明的品牌传播专业壁垒，整合不同传播手段及传播专业平台，以 全面营销解决方案满足客户多元化、多层次、多专业领域的需求，为客户提供一站式营销传播服务。</w:t>
      </w:r>
    </w:p>
    <w:p>
      <w:pPr>
        <w:pStyle w:val="BodyText"/>
        <w:spacing w:line="300" w:lineRule="auto" w:before="31"/>
        <w:ind w:right="92" w:firstLine="360"/>
        <w:jc w:val="left"/>
      </w:pPr>
      <w:r>
        <w:rPr/>
        <w:t>公司顺应</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的发展趋势，聚焦</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精准内容</w:t>
      </w:r>
      <w:r>
        <w:rPr>
          <w:rFonts w:ascii="Times New Roman" w:hAnsi="Times New Roman" w:cs="Times New Roman" w:eastAsia="Times New Roman" w:hint="default"/>
        </w:rPr>
        <w:t>"</w:t>
      </w:r>
      <w:r>
        <w:rPr/>
        <w:t>的服务方式，全力打造以</w:t>
      </w:r>
      <w:r>
        <w:rPr>
          <w:rFonts w:ascii="Times New Roman" w:hAnsi="Times New Roman" w:cs="Times New Roman" w:eastAsia="Times New Roman" w:hint="default"/>
        </w:rPr>
        <w:t>"</w:t>
      </w:r>
      <w:r>
        <w:rPr/>
        <w:t>数字</w:t>
      </w:r>
      <w:r>
        <w:rPr>
          <w:rFonts w:ascii="Times New Roman" w:hAnsi="Times New Roman" w:cs="Times New Roman" w:eastAsia="Times New Roman" w:hint="default"/>
        </w:rPr>
        <w:t>+</w:t>
      </w:r>
      <w:r>
        <w:rPr/>
        <w:t>内容</w:t>
      </w:r>
      <w:r>
        <w:rPr>
          <w:rFonts w:ascii="Times New Roman" w:hAnsi="Times New Roman" w:cs="Times New Roman" w:eastAsia="Times New Roman" w:hint="default"/>
        </w:rPr>
        <w:t>"</w:t>
      </w:r>
      <w:r>
        <w:rPr/>
        <w:t>整合营销为特色的服务 </w:t>
      </w:r>
      <w:r>
        <w:rPr>
          <w:spacing w:val="-2"/>
        </w:rPr>
        <w:t>模式和行业内极具差异化的体系竞争力，大力拓展数字营销服务，报告期内，公司整体营业收入为</w:t>
      </w:r>
      <w:r>
        <w:rPr>
          <w:rFonts w:ascii="Times New Roman" w:hAnsi="Times New Roman" w:cs="Times New Roman" w:eastAsia="Times New Roman" w:hint="default"/>
          <w:spacing w:val="-2"/>
        </w:rPr>
        <w:t>50,451.03</w:t>
      </w:r>
      <w:r>
        <w:rPr>
          <w:spacing w:val="-2"/>
        </w:rPr>
        <w:t>万元，同比增长</w:t>
      </w:r>
      <w:r>
        <w:rPr>
          <w:spacing w:val="-57"/>
        </w:rPr>
        <w:t> </w:t>
      </w:r>
      <w:r>
        <w:rPr>
          <w:spacing w:val="-57"/>
        </w:rPr>
      </w:r>
      <w:r>
        <w:rPr/>
        <w:t>了</w:t>
      </w:r>
      <w:r>
        <w:rPr>
          <w:rFonts w:ascii="Times New Roman" w:hAnsi="Times New Roman" w:cs="Times New Roman" w:eastAsia="Times New Roman" w:hint="default"/>
        </w:rPr>
        <w:t>7.93%</w:t>
      </w:r>
      <w:r>
        <w:rPr/>
        <w:t>，其中数字营销收入达到了</w:t>
      </w:r>
      <w:r>
        <w:rPr>
          <w:rFonts w:ascii="Times New Roman" w:hAnsi="Times New Roman" w:cs="Times New Roman" w:eastAsia="Times New Roman" w:hint="default"/>
        </w:rPr>
        <w:t>27,372.00</w:t>
      </w:r>
      <w:r>
        <w:rPr/>
        <w:t>万元，同比增长了</w:t>
      </w:r>
      <w:r>
        <w:rPr>
          <w:rFonts w:ascii="Times New Roman" w:hAnsi="Times New Roman" w:cs="Times New Roman" w:eastAsia="Times New Roman" w:hint="default"/>
        </w:rPr>
        <w:t>17.32%</w:t>
      </w:r>
      <w:r>
        <w:rPr/>
        <w:t>。</w:t>
      </w:r>
    </w:p>
    <w:p>
      <w:pPr>
        <w:spacing w:line="240" w:lineRule="auto" w:before="4"/>
        <w:rPr>
          <w:rFonts w:ascii="宋体" w:hAnsi="宋体" w:cs="宋体" w:eastAsia="宋体" w:hint="default"/>
          <w:sz w:val="20"/>
          <w:szCs w:val="20"/>
        </w:rPr>
      </w:pPr>
    </w:p>
    <w:p>
      <w:pPr>
        <w:pStyle w:val="Heading3"/>
        <w:spacing w:line="240" w:lineRule="auto"/>
        <w:ind w:right="92"/>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报告期权益法核算的长期投资产生的投资收益增加所致</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新购固定资产房产</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4"/>
        <w:spacing w:line="240" w:lineRule="auto" w:before="35"/>
        <w:ind w:right="92"/>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92"/>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6752"/>
        <w:jc w:val="left"/>
      </w:pPr>
      <w:r>
        <w:rPr/>
        <w:t>公司是否需要遵守特殊行业的披露要求 否</w:t>
      </w:r>
    </w:p>
    <w:p>
      <w:pPr>
        <w:pStyle w:val="BodyText"/>
        <w:spacing w:line="319" w:lineRule="auto" w:before="25"/>
        <w:ind w:right="193" w:firstLine="360"/>
        <w:jc w:val="both"/>
      </w:pPr>
      <w:r>
        <w:rPr>
          <w:spacing w:val="-2"/>
        </w:rPr>
        <w:t>公司作为专业整合营销传播服务企业，在行业具有较大的影响力，凭借优秀的营销策略制订能力、创意内容策划能力及</w:t>
      </w:r>
      <w:r>
        <w:rPr/>
        <w:t> </w:t>
      </w:r>
      <w:r>
        <w:rPr>
          <w:spacing w:val="-2"/>
        </w:rPr>
        <w:t>高效的执行管理能力，为众多国内外知名企业提供了全方位的整合营销传播服务，在行业内积累了丰富的业务经验，形成了</w:t>
      </w:r>
      <w:r>
        <w:rPr>
          <w:spacing w:val="-66"/>
        </w:rPr>
        <w:t> </w:t>
      </w:r>
      <w:r>
        <w:rPr>
          <w:spacing w:val="-66"/>
        </w:rPr>
      </w:r>
      <w:r>
        <w:rPr/>
        <w:t>良好的客户关系，并连续九年入选中国国际公共关系协会评选的</w:t>
      </w:r>
      <w:r>
        <w:rPr>
          <w:rFonts w:ascii="Times New Roman" w:hAnsi="Times New Roman" w:cs="Times New Roman" w:eastAsia="Times New Roman" w:hint="default"/>
        </w:rPr>
        <w:t>TOP</w:t>
      </w:r>
      <w:r>
        <w:rPr/>
        <w:t>公司之列。</w:t>
      </w:r>
    </w:p>
    <w:p>
      <w:pPr>
        <w:pStyle w:val="BodyText"/>
        <w:spacing w:line="300" w:lineRule="auto"/>
        <w:ind w:left="514" w:right="92"/>
        <w:jc w:val="left"/>
      </w:pPr>
      <w:r>
        <w:rPr>
          <w:rFonts w:ascii="Times New Roman" w:hAnsi="Times New Roman" w:cs="Times New Roman" w:eastAsia="Times New Roman" w:hint="default"/>
        </w:rPr>
        <w:t>1</w:t>
      </w:r>
      <w:r>
        <w:rPr/>
        <w:t>、品牌竞争力 </w:t>
      </w:r>
      <w:r>
        <w:rPr>
          <w:spacing w:val="-4"/>
        </w:rPr>
        <w:t>公司的战略制定、运营活动、产品研发均立足于客户需求，借助传播平台，通过融合不同的传播手段，多方式、多角度、</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4" w:lineRule="auto" w:before="44"/>
        <w:ind w:right="92"/>
        <w:jc w:val="left"/>
      </w:pPr>
      <w:r>
        <w:rPr>
          <w:spacing w:val="-2"/>
        </w:rPr>
        <w:t>全方位的满足客户需求的特异性和专业性，实现一站式营销传播服务。经过多年的积累，企业在业内建立了良好的口碑，培</w:t>
      </w:r>
      <w:r>
        <w:rPr>
          <w:spacing w:val="-66"/>
        </w:rPr>
        <w:t> </w:t>
      </w:r>
      <w:r>
        <w:rPr>
          <w:spacing w:val="-66"/>
        </w:rPr>
      </w:r>
      <w:r>
        <w:rPr>
          <w:spacing w:val="-2"/>
        </w:rPr>
        <w:t>育了较高的品牌知名度和美誉度，报告期内，公司获得了中国国际公共关系协会</w:t>
      </w:r>
      <w:r>
        <w:rPr>
          <w:rFonts w:ascii="Times New Roman" w:hAnsi="Times New Roman" w:cs="Times New Roman" w:eastAsia="Times New Roman" w:hint="default"/>
          <w:spacing w:val="-2"/>
        </w:rPr>
        <w:t>2017</w:t>
      </w:r>
      <w:r>
        <w:rPr>
          <w:spacing w:val="-2"/>
        </w:rPr>
        <w:t>年度最佳团队奖、中国国际公共关系协</w:t>
      </w:r>
      <w:r>
        <w:rPr>
          <w:spacing w:val="-62"/>
        </w:rPr>
        <w:t> </w:t>
      </w:r>
      <w:r>
        <w:rPr>
          <w:spacing w:val="-62"/>
        </w:rPr>
      </w:r>
      <w:r>
        <w:rPr/>
        <w:t>会</w:t>
      </w:r>
      <w:r>
        <w:rPr>
          <w:rFonts w:ascii="Times New Roman" w:hAnsi="Times New Roman" w:cs="Times New Roman" w:eastAsia="Times New Roman" w:hint="default"/>
        </w:rPr>
        <w:t>2017</w:t>
      </w:r>
      <w:r>
        <w:rPr/>
        <w:t>年度最佳经理人奖、中国国际公共关系协会</w:t>
      </w:r>
      <w:r>
        <w:rPr>
          <w:rFonts w:ascii="Times New Roman" w:hAnsi="Times New Roman" w:cs="Times New Roman" w:eastAsia="Times New Roman" w:hint="default"/>
        </w:rPr>
        <w:t>2017</w:t>
      </w:r>
      <w:r>
        <w:rPr/>
        <w:t>年度最佳新人奖、中国国际公共关系协会</w:t>
      </w:r>
      <w:r>
        <w:rPr>
          <w:rFonts w:ascii="Times New Roman" w:hAnsi="Times New Roman" w:cs="Times New Roman" w:eastAsia="Times New Roman" w:hint="default"/>
        </w:rPr>
        <w:t>2017</w:t>
      </w:r>
      <w:r>
        <w:rPr/>
        <w:t>年度公共服务案例奖、 中国国际公共关系协会</w:t>
      </w:r>
      <w:r>
        <w:rPr>
          <w:rFonts w:ascii="Times New Roman" w:hAnsi="Times New Roman" w:cs="Times New Roman" w:eastAsia="Times New Roman" w:hint="default"/>
        </w:rPr>
        <w:t>2017</w:t>
      </w:r>
      <w:r>
        <w:rPr/>
        <w:t>年度最佳公关案例大赛铜奖、</w:t>
      </w:r>
      <w:r>
        <w:rPr>
          <w:rFonts w:ascii="Times New Roman" w:hAnsi="Times New Roman" w:cs="Times New Roman" w:eastAsia="Times New Roman" w:hint="default"/>
        </w:rPr>
        <w:t>2017 ECI Awards</w:t>
      </w:r>
      <w:r>
        <w:rPr/>
        <w:t>营销创新类铜奖、</w:t>
      </w:r>
      <w:r>
        <w:rPr>
          <w:rFonts w:ascii="Times New Roman" w:hAnsi="Times New Roman" w:cs="Times New Roman" w:eastAsia="Times New Roman" w:hint="default"/>
        </w:rPr>
        <w:t>2017 ECI</w:t>
      </w:r>
      <w:r>
        <w:rPr>
          <w:rFonts w:ascii="Times New Roman" w:hAnsi="Times New Roman" w:cs="Times New Roman" w:eastAsia="Times New Roman" w:hint="default"/>
          <w:spacing w:val="-3"/>
        </w:rPr>
        <w:t> </w:t>
      </w:r>
      <w:r>
        <w:rPr>
          <w:rFonts w:ascii="Times New Roman" w:hAnsi="Times New Roman" w:cs="Times New Roman" w:eastAsia="Times New Roman" w:hint="default"/>
        </w:rPr>
        <w:t>Awards</w:t>
      </w:r>
      <w:r>
        <w:rPr/>
        <w:t>营销创新类优 秀奖、</w:t>
      </w:r>
      <w:r>
        <w:rPr>
          <w:rFonts w:ascii="Times New Roman" w:hAnsi="Times New Roman" w:cs="Times New Roman" w:eastAsia="Times New Roman" w:hint="default"/>
        </w:rPr>
        <w:t>2017</w:t>
      </w:r>
      <w:r>
        <w:rPr/>
        <w:t>金投赏提名奖等多项荣誉及奖项。</w:t>
      </w:r>
    </w:p>
    <w:p>
      <w:pPr>
        <w:pStyle w:val="BodyText"/>
        <w:spacing w:line="300" w:lineRule="auto" w:before="9"/>
        <w:ind w:left="514" w:right="182"/>
        <w:jc w:val="left"/>
      </w:pPr>
      <w:r>
        <w:rPr>
          <w:rFonts w:ascii="Times New Roman" w:hAnsi="Times New Roman" w:cs="Times New Roman" w:eastAsia="Times New Roman" w:hint="default"/>
        </w:rPr>
        <w:t>2</w:t>
      </w:r>
      <w:r>
        <w:rPr/>
        <w:t>、稳定优质的客户资源 公司凭借自有品牌竞争力、优秀的创意策划能力和高效的执行管理能力，为一百多家世界</w:t>
      </w:r>
      <w:r>
        <w:rPr>
          <w:rFonts w:ascii="Times New Roman" w:hAnsi="Times New Roman" w:cs="Times New Roman" w:eastAsia="Times New Roman" w:hint="default"/>
        </w:rPr>
        <w:t>500</w:t>
      </w:r>
      <w:r>
        <w:rPr/>
        <w:t>强和国内外知名企业提供</w:t>
      </w:r>
    </w:p>
    <w:p>
      <w:pPr>
        <w:pStyle w:val="BodyText"/>
        <w:spacing w:line="316" w:lineRule="auto" w:before="13"/>
        <w:ind w:right="92"/>
        <w:jc w:val="left"/>
      </w:pPr>
      <w:r>
        <w:rPr>
          <w:spacing w:val="-2"/>
        </w:rPr>
        <w:t>全方位的整合营销传播服务；通过深刻把握客户需求以及对客户品牌的深入洞察，与大多数客户建立了长期的合作关系，积</w:t>
      </w:r>
      <w:r>
        <w:rPr>
          <w:spacing w:val="-66"/>
        </w:rPr>
        <w:t> </w:t>
      </w:r>
      <w:r>
        <w:rPr>
          <w:spacing w:val="-66"/>
        </w:rPr>
      </w:r>
      <w:r>
        <w:rPr/>
        <w:t>累了大批稳定而优质的客户资源。</w:t>
      </w:r>
    </w:p>
    <w:p>
      <w:pPr>
        <w:pStyle w:val="BodyText"/>
        <w:spacing w:line="300" w:lineRule="auto" w:before="19"/>
        <w:ind w:left="514" w:right="92"/>
        <w:jc w:val="left"/>
      </w:pPr>
      <w:r>
        <w:rPr>
          <w:rFonts w:ascii="Times New Roman" w:hAnsi="Times New Roman" w:cs="Times New Roman" w:eastAsia="Times New Roman" w:hint="default"/>
        </w:rPr>
        <w:t>3</w:t>
      </w:r>
      <w:r>
        <w:rPr/>
        <w:t>、优秀的营销策略制订能力和创意内容策划能力 </w:t>
      </w:r>
      <w:r>
        <w:rPr>
          <w:spacing w:val="-2"/>
        </w:rPr>
        <w:t>公司高度重视营销策略和创意内容策划等业务能力的培养和提高，通过设立专业团队，构建策略研究平台，实现从行业</w:t>
      </w:r>
    </w:p>
    <w:p>
      <w:pPr>
        <w:pStyle w:val="BodyText"/>
        <w:spacing w:line="316" w:lineRule="auto" w:before="31"/>
        <w:ind w:right="92"/>
        <w:jc w:val="left"/>
      </w:pPr>
      <w:r>
        <w:rPr>
          <w:spacing w:val="-2"/>
        </w:rPr>
        <w:t>研究、数据调研、媒介研究、消费分析到企业发展及品牌生命力分析的整体把握。同时企业围绕客户产品、市场、目标消费</w:t>
      </w:r>
      <w:r>
        <w:rPr>
          <w:spacing w:val="-68"/>
        </w:rPr>
        <w:t> </w:t>
      </w:r>
      <w:r>
        <w:rPr>
          <w:spacing w:val="-68"/>
        </w:rPr>
      </w:r>
      <w:r>
        <w:rPr/>
        <w:t>者等信息，进行基础数据调研、策略规划、方案撰写和创意制作，在提供全套服务的同时培养创意人才、建立数据库资源， 从而占据行业领先地位。</w:t>
      </w:r>
    </w:p>
    <w:p>
      <w:pPr>
        <w:pStyle w:val="BodyText"/>
        <w:spacing w:line="300" w:lineRule="auto" w:before="19"/>
        <w:ind w:left="514" w:right="92"/>
        <w:jc w:val="left"/>
      </w:pPr>
      <w:r>
        <w:rPr>
          <w:rFonts w:ascii="Times New Roman" w:hAnsi="Times New Roman" w:cs="Times New Roman" w:eastAsia="Times New Roman" w:hint="default"/>
        </w:rPr>
        <w:t>4</w:t>
      </w:r>
      <w:r>
        <w:rPr/>
        <w:t>、高效的执行管理能力 </w:t>
      </w:r>
      <w:r>
        <w:rPr>
          <w:spacing w:val="-2"/>
        </w:rPr>
        <w:t>公司拥有一套高效运作的项目执行体系，实现了供应商管理、信息管理、人力资源管理、客户关系管理和财务管理的流</w:t>
      </w:r>
    </w:p>
    <w:p>
      <w:pPr>
        <w:pStyle w:val="BodyText"/>
        <w:spacing w:line="316" w:lineRule="auto" w:before="31"/>
        <w:ind w:left="514" w:right="92" w:hanging="360"/>
        <w:jc w:val="left"/>
      </w:pPr>
      <w:r>
        <w:rPr/>
        <w:t>程化，使项目执行团队有章可循，得以高效运行。 </w:t>
      </w:r>
      <w:r>
        <w:rPr>
          <w:spacing w:val="-2"/>
        </w:rPr>
        <w:t>另外，公司拥有一支高素质、高效率的执行管理团队，团队成员项目经验丰富，参与完成过汽车、快速消费品、互联网</w:t>
      </w:r>
    </w:p>
    <w:p>
      <w:pPr>
        <w:pStyle w:val="BodyText"/>
        <w:spacing w:line="316" w:lineRule="auto" w:before="19"/>
        <w:ind w:right="193"/>
        <w:jc w:val="both"/>
      </w:pPr>
      <w:r>
        <w:rPr>
          <w:spacing w:val="-2"/>
        </w:rPr>
        <w:t>及信息技术、制造业、金融业等多种行业的整合营销传播项目，运作灵活。同时，公司还拥有完善的培训体系和知识管理体</w:t>
      </w:r>
      <w:r>
        <w:rPr>
          <w:spacing w:val="-66"/>
        </w:rPr>
        <w:t> </w:t>
      </w:r>
      <w:r>
        <w:rPr>
          <w:spacing w:val="-66"/>
        </w:rPr>
      </w:r>
      <w:r>
        <w:rPr>
          <w:spacing w:val="-2"/>
        </w:rPr>
        <w:t>制，有利于执行人员不断提高其统筹规划、危机处理、沟通协调、商务谈判及预算管理等方面的专业素质，使项目团队能快</w:t>
      </w:r>
      <w:r>
        <w:rPr>
          <w:spacing w:val="-66"/>
        </w:rPr>
        <w:t> </w:t>
      </w:r>
      <w:r>
        <w:rPr>
          <w:spacing w:val="-66"/>
        </w:rPr>
      </w:r>
      <w:r>
        <w:rPr/>
        <w:t>速有效处理各类突发问题，降低或消除不利因素带来的影响。</w:t>
      </w:r>
    </w:p>
    <w:p>
      <w:pPr>
        <w:pStyle w:val="BodyText"/>
        <w:spacing w:line="300" w:lineRule="auto" w:before="19"/>
        <w:ind w:left="514" w:right="178"/>
        <w:jc w:val="left"/>
      </w:pPr>
      <w:r>
        <w:rPr>
          <w:rFonts w:ascii="Times New Roman" w:hAnsi="Times New Roman" w:cs="Times New Roman" w:eastAsia="Times New Roman" w:hint="default"/>
        </w:rPr>
        <w:t>5</w:t>
      </w:r>
      <w:r>
        <w:rPr/>
        <w:t>、前瞻性的创新理念竞争力 </w:t>
      </w:r>
      <w:r>
        <w:rPr>
          <w:spacing w:val="-1"/>
        </w:rPr>
        <w:t>公司是国内较早运用</w:t>
      </w:r>
      <w:r>
        <w:rPr>
          <w:rFonts w:ascii="Times New Roman" w:hAnsi="Times New Roman" w:cs="Times New Roman" w:eastAsia="Times New Roman" w:hint="default"/>
          <w:spacing w:val="-1"/>
        </w:rPr>
        <w:t>"</w:t>
      </w:r>
      <w:r>
        <w:rPr>
          <w:spacing w:val="-1"/>
        </w:rPr>
        <w:t>全传播</w:t>
      </w:r>
      <w:r>
        <w:rPr>
          <w:rFonts w:ascii="Times New Roman" w:hAnsi="Times New Roman" w:cs="Times New Roman" w:eastAsia="Times New Roman" w:hint="default"/>
          <w:spacing w:val="-1"/>
        </w:rPr>
        <w:t>"</w:t>
      </w:r>
      <w:r>
        <w:rPr>
          <w:spacing w:val="-1"/>
        </w:rPr>
        <w:t>概念的营销服务公司，在整合各种不同服务机构、各种媒介资源、各种营销技术和手段的</w:t>
      </w:r>
    </w:p>
    <w:p>
      <w:pPr>
        <w:pStyle w:val="BodyText"/>
        <w:spacing w:line="300" w:lineRule="auto" w:before="13"/>
        <w:ind w:right="203"/>
        <w:jc w:val="left"/>
      </w:pPr>
      <w:r>
        <w:rPr/>
        <w:t>基础上，形成了以策略和创意策划的内容为核心，以</w:t>
      </w:r>
      <w:r>
        <w:rPr>
          <w:rFonts w:ascii="Times New Roman" w:hAnsi="Times New Roman" w:cs="Times New Roman" w:eastAsia="Times New Roman" w:hint="default"/>
        </w:rPr>
        <w:t>"</w:t>
      </w:r>
      <w:r>
        <w:rPr/>
        <w:t>传统传播渠道</w:t>
      </w:r>
      <w:r>
        <w:rPr>
          <w:rFonts w:ascii="Times New Roman" w:hAnsi="Times New Roman" w:cs="Times New Roman" w:eastAsia="Times New Roman" w:hint="default"/>
        </w:rPr>
        <w:t>+</w:t>
      </w:r>
      <w:r>
        <w:rPr/>
        <w:t>数字传播渠道</w:t>
      </w:r>
      <w:r>
        <w:rPr>
          <w:rFonts w:ascii="Times New Roman" w:hAnsi="Times New Roman" w:cs="Times New Roman" w:eastAsia="Times New Roman" w:hint="default"/>
        </w:rPr>
        <w:t>"</w:t>
      </w:r>
      <w:r>
        <w:rPr/>
        <w:t>为通路的品牌全传播服务模式，率先提 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精准内容</w:t>
      </w:r>
      <w:r>
        <w:rPr>
          <w:rFonts w:ascii="Times New Roman" w:hAnsi="Times New Roman" w:cs="Times New Roman" w:eastAsia="Times New Roman" w:hint="default"/>
        </w:rPr>
        <w:t>"</w:t>
      </w:r>
      <w:r>
        <w:rPr/>
        <w:t>的营销概念，实现了营销理念的创新，顺应</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的发展趋势并抢占发展先机。</w:t>
      </w:r>
    </w:p>
    <w:p>
      <w:pPr>
        <w:spacing w:after="0" w:line="30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92"/>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2"/>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（一）</w:t>
      </w:r>
      <w:r>
        <w:rPr>
          <w:rFonts w:ascii="Times New Roman" w:hAnsi="Times New Roman" w:cs="Times New Roman" w:eastAsia="Times New Roman" w:hint="default"/>
        </w:rPr>
        <w:t>2017</w:t>
      </w:r>
      <w:r>
        <w:rPr/>
        <w:t>年整体经营概述</w:t>
      </w:r>
    </w:p>
    <w:p>
      <w:pPr>
        <w:pStyle w:val="BodyText"/>
        <w:spacing w:line="309" w:lineRule="auto" w:before="103"/>
        <w:ind w:right="190" w:firstLine="465"/>
        <w:jc w:val="both"/>
      </w:pPr>
      <w:r>
        <w:rPr>
          <w:rFonts w:ascii="Times New Roman" w:hAnsi="Times New Roman" w:cs="Times New Roman" w:eastAsia="Times New Roman" w:hint="default"/>
          <w:spacing w:val="-1"/>
        </w:rPr>
        <w:t>2017</w:t>
      </w:r>
      <w:r>
        <w:rPr>
          <w:spacing w:val="-1"/>
        </w:rPr>
        <w:t>年，行业竞争不断加剧，面对挑战，公司持续通过互联网传播技术创新、整合营销服务模式优化等方式，夯实了</w:t>
      </w:r>
      <w:r>
        <w:rPr/>
        <w:t> </w:t>
      </w:r>
      <w:r>
        <w:rPr>
          <w:spacing w:val="-2"/>
        </w:rPr>
        <w:t>传统营销竞争能力，拓宽了数字营销服务领域，优化了娱乐营销服务模式，加强了体育营销推广力度，在保持经营业绩稳定</w:t>
      </w:r>
      <w:r>
        <w:rPr>
          <w:spacing w:val="-66"/>
        </w:rPr>
        <w:t> </w:t>
      </w:r>
      <w:r>
        <w:rPr>
          <w:spacing w:val="-66"/>
        </w:rPr>
      </w:r>
      <w:r>
        <w:rPr/>
        <w:t>增长的同时，促进了公司品牌影响力不断增强。</w:t>
      </w:r>
    </w:p>
    <w:p>
      <w:pPr>
        <w:pStyle w:val="BodyText"/>
        <w:spacing w:line="307" w:lineRule="auto" w:before="62"/>
        <w:ind w:right="92" w:firstLine="465"/>
        <w:jc w:val="left"/>
      </w:pPr>
      <w:r>
        <w:rPr>
          <w:rFonts w:ascii="Times New Roman" w:hAnsi="Times New Roman" w:cs="Times New Roman" w:eastAsia="Times New Roman" w:hint="default"/>
          <w:spacing w:val="-2"/>
        </w:rPr>
        <w:t>2017</w:t>
      </w:r>
      <w:r>
        <w:rPr>
          <w:spacing w:val="-2"/>
        </w:rPr>
        <w:t>年，公司抓住机遇，积极扩展业务领域，增强自身的市场竞争力，目前客户主要分布在汽车、互联网及信息技术、</w:t>
      </w:r>
      <w:r>
        <w:rPr/>
        <w:t> 快速消费品、制造业、金融等行业。报告期内，公司持续不断推动业务向数字营销方向转型，积极广泛地参与招投标活动， </w:t>
      </w:r>
      <w:r>
        <w:rPr>
          <w:spacing w:val="-2"/>
        </w:rPr>
        <w:t>同时进一步扩充了客户资源，优化了业务组合与市场资源，数字营销业务也稳步提升。此外，公司在数字技术研发、数字技</w:t>
      </w:r>
      <w:r>
        <w:rPr>
          <w:spacing w:val="-66"/>
        </w:rPr>
        <w:t> </w:t>
      </w:r>
      <w:r>
        <w:rPr>
          <w:spacing w:val="-66"/>
        </w:rPr>
      </w:r>
      <w:r>
        <w:rPr/>
        <w:t>术升级等领域大力投入，</w:t>
      </w:r>
      <w:r>
        <w:rPr>
          <w:rFonts w:ascii="Times New Roman" w:hAnsi="Times New Roman" w:cs="Times New Roman" w:eastAsia="Times New Roman" w:hint="default"/>
        </w:rPr>
        <w:t>“</w:t>
      </w:r>
      <w:r>
        <w:rPr/>
        <w:t>全球鹰大数据舆情系统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数字口碑内容体系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品牌互动社区及跨屏支持系统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品牌营销指</w:t>
      </w:r>
      <w:r>
        <w:rPr>
          <w:spacing w:val="-23"/>
        </w:rPr>
        <w:t> </w:t>
      </w:r>
      <w:r>
        <w:rPr/>
        <w:t>数系统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移动派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品推宝</w:t>
      </w:r>
      <w:r>
        <w:rPr>
          <w:rFonts w:ascii="Times New Roman" w:hAnsi="Times New Roman" w:cs="Times New Roman" w:eastAsia="Times New Roman" w:hint="default"/>
        </w:rPr>
        <w:t>APP”</w:t>
      </w:r>
      <w:r>
        <w:rPr/>
        <w:t>等数字营销工具的应用已经趋于成熟，在为客户提供数字营销服务过程中发挥了重要的</w:t>
      </w:r>
      <w:r>
        <w:rPr>
          <w:spacing w:val="-21"/>
        </w:rPr>
        <w:t> </w:t>
      </w:r>
      <w:r>
        <w:rPr>
          <w:spacing w:val="-21"/>
        </w:rPr>
      </w:r>
      <w:r>
        <w:rPr/>
        <w:t>作用。</w:t>
      </w:r>
    </w:p>
    <w:p>
      <w:pPr>
        <w:pStyle w:val="BodyText"/>
        <w:spacing w:line="302" w:lineRule="auto" w:before="65"/>
        <w:ind w:right="92" w:firstLine="465"/>
        <w:jc w:val="left"/>
      </w:pPr>
      <w:r>
        <w:rPr>
          <w:rFonts w:ascii="Times New Roman" w:hAnsi="Times New Roman" w:cs="Times New Roman" w:eastAsia="Times New Roman" w:hint="default"/>
        </w:rPr>
        <w:t>2017</w:t>
      </w:r>
      <w:r>
        <w:rPr/>
        <w:t>年，受业务扩大、项目收入增加的影响，公司实现营业总收入为</w:t>
      </w:r>
      <w:r>
        <w:rPr>
          <w:rFonts w:ascii="Times New Roman" w:hAnsi="Times New Roman" w:cs="Times New Roman" w:eastAsia="Times New Roman" w:hint="default"/>
        </w:rPr>
        <w:t>50,451.03</w:t>
      </w:r>
      <w:r>
        <w:rPr/>
        <w:t>万元，相比上一年度的</w:t>
      </w:r>
      <w:r>
        <w:rPr>
          <w:rFonts w:ascii="Times New Roman" w:hAnsi="Times New Roman" w:cs="Times New Roman" w:eastAsia="Times New Roman" w:hint="default"/>
        </w:rPr>
        <w:t>46,744.20</w:t>
      </w:r>
      <w:r>
        <w:rPr/>
        <w:t>万元增</w:t>
      </w:r>
      <w:r>
        <w:rPr>
          <w:spacing w:val="-2"/>
        </w:rPr>
        <w:t> 长</w:t>
      </w:r>
      <w:r>
        <w:rPr>
          <w:rFonts w:ascii="Times New Roman" w:hAnsi="Times New Roman" w:cs="Times New Roman" w:eastAsia="Times New Roman" w:hint="default"/>
          <w:spacing w:val="-2"/>
        </w:rPr>
        <w:t>7.93%</w:t>
      </w:r>
      <w:r>
        <w:rPr>
          <w:spacing w:val="-2"/>
        </w:rPr>
        <w:t>，其中数字营销业务的收为</w:t>
      </w:r>
      <w:r>
        <w:rPr>
          <w:rFonts w:ascii="Times New Roman" w:hAnsi="Times New Roman" w:cs="Times New Roman" w:eastAsia="Times New Roman" w:hint="default"/>
          <w:spacing w:val="-2"/>
        </w:rPr>
        <w:t>27,372.00</w:t>
      </w:r>
      <w:r>
        <w:rPr>
          <w:spacing w:val="-2"/>
        </w:rPr>
        <w:t>万元，占</w:t>
      </w:r>
      <w:r>
        <w:rPr>
          <w:rFonts w:ascii="Times New Roman" w:hAnsi="Times New Roman" w:cs="Times New Roman" w:eastAsia="Times New Roman" w:hint="default"/>
          <w:spacing w:val="-2"/>
        </w:rPr>
        <w:t>2017</w:t>
      </w:r>
      <w:r>
        <w:rPr>
          <w:spacing w:val="-2"/>
        </w:rPr>
        <w:t>年营业收入总额的</w:t>
      </w:r>
      <w:r>
        <w:rPr>
          <w:rFonts w:ascii="Times New Roman" w:hAnsi="Times New Roman" w:cs="Times New Roman" w:eastAsia="Times New Roman" w:hint="default"/>
          <w:spacing w:val="-2"/>
        </w:rPr>
        <w:t>54.25%</w:t>
      </w:r>
      <w:r>
        <w:rPr>
          <w:spacing w:val="-2"/>
        </w:rPr>
        <w:t>，较</w:t>
      </w:r>
      <w:r>
        <w:rPr>
          <w:rFonts w:ascii="Times New Roman" w:hAnsi="Times New Roman" w:cs="Times New Roman" w:eastAsia="Times New Roman" w:hint="default"/>
          <w:spacing w:val="-2"/>
        </w:rPr>
        <w:t>2016</w:t>
      </w:r>
      <w:r>
        <w:rPr>
          <w:spacing w:val="-2"/>
        </w:rPr>
        <w:t>年的</w:t>
      </w:r>
      <w:r>
        <w:rPr>
          <w:rFonts w:ascii="Times New Roman" w:hAnsi="Times New Roman" w:cs="Times New Roman" w:eastAsia="Times New Roman" w:hint="default"/>
          <w:spacing w:val="-2"/>
        </w:rPr>
        <w:t>23,330.91</w:t>
      </w:r>
      <w:r>
        <w:rPr>
          <w:spacing w:val="-2"/>
        </w:rPr>
        <w:t>万元增长</w:t>
      </w:r>
      <w:r>
        <w:rPr>
          <w:rFonts w:ascii="Times New Roman" w:hAnsi="Times New Roman" w:cs="Times New Roman" w:eastAsia="Times New Roman" w:hint="default"/>
          <w:spacing w:val="-2"/>
        </w:rPr>
        <w:t>17.32%</w:t>
      </w:r>
      <w:r>
        <w:rPr>
          <w:spacing w:val="-2"/>
        </w:rPr>
        <w:t>。</w:t>
      </w:r>
    </w:p>
    <w:p>
      <w:pPr>
        <w:pStyle w:val="BodyText"/>
        <w:spacing w:line="302" w:lineRule="auto" w:before="49"/>
        <w:ind w:right="92" w:firstLine="360"/>
        <w:jc w:val="left"/>
      </w:pPr>
      <w:r>
        <w:rPr>
          <w:rFonts w:ascii="Times New Roman" w:hAnsi="Times New Roman" w:cs="Times New Roman" w:eastAsia="Times New Roman" w:hint="default"/>
          <w:spacing w:val="-1"/>
        </w:rPr>
        <w:t>2017</w:t>
      </w:r>
      <w:r>
        <w:rPr>
          <w:spacing w:val="-1"/>
        </w:rPr>
        <w:t>年，公司营业成本</w:t>
      </w:r>
      <w:r>
        <w:rPr>
          <w:rFonts w:ascii="Times New Roman" w:hAnsi="Times New Roman" w:cs="Times New Roman" w:eastAsia="Times New Roman" w:hint="default"/>
          <w:spacing w:val="-1"/>
        </w:rPr>
        <w:t>27,064.14</w:t>
      </w:r>
      <w:r>
        <w:rPr>
          <w:spacing w:val="-1"/>
        </w:rPr>
        <w:t>万元，相比上一年度的</w:t>
      </w:r>
      <w:r>
        <w:rPr>
          <w:rFonts w:ascii="Times New Roman" w:hAnsi="Times New Roman" w:cs="Times New Roman" w:eastAsia="Times New Roman" w:hint="default"/>
          <w:spacing w:val="-1"/>
        </w:rPr>
        <w:t>25,496.08</w:t>
      </w:r>
      <w:r>
        <w:rPr>
          <w:spacing w:val="-1"/>
        </w:rPr>
        <w:t>万元增长</w:t>
      </w:r>
      <w:r>
        <w:rPr>
          <w:rFonts w:ascii="Times New Roman" w:hAnsi="Times New Roman" w:cs="Times New Roman" w:eastAsia="Times New Roman" w:hint="default"/>
          <w:spacing w:val="-1"/>
        </w:rPr>
        <w:t>6.15%</w:t>
      </w:r>
      <w:r>
        <w:rPr>
          <w:spacing w:val="-1"/>
        </w:rPr>
        <w:t>，营业成本总体变动趋势与营业收入变</w:t>
      </w:r>
      <w:r>
        <w:rPr/>
        <w:t> 动趋势保持一致。</w:t>
      </w:r>
    </w:p>
    <w:p>
      <w:pPr>
        <w:pStyle w:val="BodyText"/>
        <w:spacing w:line="302" w:lineRule="auto" w:before="68"/>
        <w:ind w:right="92" w:firstLine="465"/>
        <w:jc w:val="left"/>
      </w:pPr>
      <w:r>
        <w:rPr>
          <w:spacing w:val="2"/>
        </w:rPr>
        <w:t>公司营业总成本中，</w:t>
      </w:r>
      <w:r>
        <w:rPr>
          <w:rFonts w:ascii="Times New Roman" w:hAnsi="Times New Roman" w:cs="Times New Roman" w:eastAsia="Times New Roman" w:hint="default"/>
          <w:spacing w:val="2"/>
        </w:rPr>
        <w:t>“</w:t>
      </w:r>
      <w:r>
        <w:rPr>
          <w:spacing w:val="2"/>
        </w:rPr>
        <w:t>管理费用</w:t>
      </w:r>
      <w:r>
        <w:rPr>
          <w:rFonts w:ascii="Times New Roman" w:hAnsi="Times New Roman" w:cs="Times New Roman" w:eastAsia="Times New Roman" w:hint="default"/>
          <w:spacing w:val="2"/>
        </w:rPr>
        <w:t>-</w:t>
      </w:r>
      <w:r>
        <w:rPr>
          <w:spacing w:val="2"/>
        </w:rPr>
        <w:t>研发支出</w:t>
      </w:r>
      <w:r>
        <w:rPr>
          <w:rFonts w:ascii="Times New Roman" w:hAnsi="Times New Roman" w:cs="Times New Roman" w:eastAsia="Times New Roman" w:hint="default"/>
          <w:spacing w:val="2"/>
        </w:rPr>
        <w:t>”</w:t>
      </w:r>
      <w:r>
        <w:rPr>
          <w:spacing w:val="2"/>
        </w:rPr>
        <w:t>系公司为开发数字营销平台而发生的相关支出；</w:t>
      </w:r>
      <w:r>
        <w:rPr>
          <w:rFonts w:ascii="Times New Roman" w:hAnsi="Times New Roman" w:cs="Times New Roman" w:eastAsia="Times New Roman" w:hint="default"/>
          <w:spacing w:val="2"/>
        </w:rPr>
        <w:t>2017</w:t>
      </w:r>
      <w:r>
        <w:rPr>
          <w:spacing w:val="2"/>
        </w:rPr>
        <w:t>年公司的研发支出为</w:t>
      </w:r>
      <w:r>
        <w:rPr/>
        <w:t> </w:t>
      </w:r>
      <w:r>
        <w:rPr>
          <w:rFonts w:ascii="Times New Roman" w:hAnsi="Times New Roman" w:cs="Times New Roman" w:eastAsia="Times New Roman" w:hint="default"/>
        </w:rPr>
        <w:t>1,884.22</w:t>
      </w:r>
      <w:r>
        <w:rPr/>
        <w:t>万元，较</w:t>
      </w:r>
      <w:r>
        <w:rPr>
          <w:rFonts w:ascii="Times New Roman" w:hAnsi="Times New Roman" w:cs="Times New Roman" w:eastAsia="Times New Roman" w:hint="default"/>
        </w:rPr>
        <w:t>2016</w:t>
      </w:r>
      <w:r>
        <w:rPr/>
        <w:t>年度的</w:t>
      </w:r>
      <w:r>
        <w:rPr>
          <w:rFonts w:ascii="Times New Roman" w:hAnsi="Times New Roman" w:cs="Times New Roman" w:eastAsia="Times New Roman" w:hint="default"/>
        </w:rPr>
        <w:t>1,186.32</w:t>
      </w:r>
      <w:r>
        <w:rPr/>
        <w:t>万元有较大增长，主要系公司在</w:t>
      </w:r>
      <w:r>
        <w:rPr>
          <w:rFonts w:ascii="Times New Roman" w:hAnsi="Times New Roman" w:cs="Times New Roman" w:eastAsia="Times New Roman" w:hint="default"/>
        </w:rPr>
        <w:t>2017</w:t>
      </w:r>
      <w:r>
        <w:rPr/>
        <w:t>年度加大了募集资金投资项目技术研发投入所致。 由于募集资金投资项目需要一定的建设期，在项目未达产的短期内净资产收益率会因为财务摊薄而有一定程度的降低。</w:t>
      </w:r>
    </w:p>
    <w:p>
      <w:pPr>
        <w:pStyle w:val="BodyText"/>
        <w:spacing w:line="300" w:lineRule="auto" w:before="69"/>
        <w:ind w:right="190" w:firstLine="465"/>
        <w:jc w:val="both"/>
      </w:pPr>
      <w:r>
        <w:rPr>
          <w:rFonts w:ascii="Times New Roman" w:hAnsi="Times New Roman" w:cs="Times New Roman" w:eastAsia="Times New Roman" w:hint="default"/>
          <w:spacing w:val="-1"/>
        </w:rPr>
        <w:t>2017</w:t>
      </w:r>
      <w:r>
        <w:rPr>
          <w:spacing w:val="-1"/>
        </w:rPr>
        <w:t>年，受业务属性优化、项目精细化管理、综合竞争力提升等因素影响，公司营业利润为</w:t>
      </w:r>
      <w:r>
        <w:rPr>
          <w:rFonts w:ascii="Times New Roman" w:hAnsi="Times New Roman" w:cs="Times New Roman" w:eastAsia="Times New Roman" w:hint="default"/>
          <w:spacing w:val="-1"/>
        </w:rPr>
        <w:t>10,086.19</w:t>
      </w:r>
      <w:r>
        <w:rPr>
          <w:spacing w:val="-1"/>
        </w:rPr>
        <w:t>万元，相比上一</w:t>
      </w:r>
      <w:r>
        <w:rPr/>
        <w:t> </w:t>
      </w:r>
      <w:r>
        <w:rPr>
          <w:spacing w:val="2"/>
        </w:rPr>
        <w:t>年度的</w:t>
      </w:r>
      <w:r>
        <w:rPr>
          <w:rFonts w:ascii="Times New Roman" w:hAnsi="Times New Roman" w:cs="Times New Roman" w:eastAsia="Times New Roman" w:hint="default"/>
          <w:spacing w:val="2"/>
        </w:rPr>
        <w:t>8,205.63</w:t>
      </w:r>
      <w:r>
        <w:rPr>
          <w:spacing w:val="2"/>
        </w:rPr>
        <w:t>万元上升了</w:t>
      </w:r>
      <w:r>
        <w:rPr>
          <w:rFonts w:ascii="Times New Roman" w:hAnsi="Times New Roman" w:cs="Times New Roman" w:eastAsia="Times New Roman" w:hint="default"/>
          <w:spacing w:val="2"/>
        </w:rPr>
        <w:t>22.92%</w:t>
      </w:r>
      <w:r>
        <w:rPr>
          <w:spacing w:val="2"/>
        </w:rPr>
        <w:t>；归属于上市公司股东净利润为</w:t>
      </w:r>
      <w:r>
        <w:rPr>
          <w:rFonts w:ascii="Times New Roman" w:hAnsi="Times New Roman" w:cs="Times New Roman" w:eastAsia="Times New Roman" w:hint="default"/>
          <w:spacing w:val="2"/>
        </w:rPr>
        <w:t>7,495.65</w:t>
      </w:r>
      <w:r>
        <w:rPr>
          <w:spacing w:val="2"/>
        </w:rPr>
        <w:t>万元，相比上一年度的同期</w:t>
      </w:r>
      <w:r>
        <w:rPr>
          <w:rFonts w:ascii="Times New Roman" w:hAnsi="Times New Roman" w:cs="Times New Roman" w:eastAsia="Times New Roman" w:hint="default"/>
          <w:spacing w:val="2"/>
        </w:rPr>
        <w:t>5,871.01</w:t>
      </w:r>
      <w:r>
        <w:rPr>
          <w:spacing w:val="2"/>
        </w:rPr>
        <w:t>万元上升了</w:t>
      </w:r>
      <w:r>
        <w:rPr>
          <w:spacing w:val="-79"/>
        </w:rPr>
        <w:t> </w:t>
      </w:r>
      <w:r>
        <w:rPr>
          <w:spacing w:val="-79"/>
        </w:rPr>
      </w:r>
      <w:r>
        <w:rPr>
          <w:rFonts w:ascii="Times New Roman" w:hAnsi="Times New Roman" w:cs="Times New Roman" w:eastAsia="Times New Roman" w:hint="default"/>
        </w:rPr>
        <w:t>27.67%</w:t>
      </w:r>
      <w:r>
        <w:rPr/>
        <w:t>。公司实现基本每股收益为</w:t>
      </w:r>
      <w:r>
        <w:rPr>
          <w:rFonts w:ascii="Times New Roman" w:hAnsi="Times New Roman" w:cs="Times New Roman" w:eastAsia="Times New Roman" w:hint="default"/>
        </w:rPr>
        <w:t>0.72</w:t>
      </w:r>
      <w:r>
        <w:rPr/>
        <w:t>元，与上年同期持平。</w:t>
      </w:r>
    </w:p>
    <w:p>
      <w:pPr>
        <w:spacing w:line="240" w:lineRule="auto" w:before="0"/>
        <w:rPr>
          <w:rFonts w:ascii="宋体" w:hAnsi="宋体" w:cs="宋体" w:eastAsia="宋体" w:hint="default"/>
          <w:sz w:val="18"/>
          <w:szCs w:val="18"/>
        </w:rPr>
      </w:pPr>
    </w:p>
    <w:p>
      <w:pPr>
        <w:pStyle w:val="BodyText"/>
        <w:spacing w:line="240" w:lineRule="auto" w:before="128"/>
        <w:ind w:right="92"/>
        <w:jc w:val="left"/>
      </w:pPr>
      <w:r>
        <w:rPr/>
        <w:t>（二）报告期重要业务回顾</w:t>
      </w:r>
    </w:p>
    <w:p>
      <w:pPr>
        <w:pStyle w:val="BodyText"/>
        <w:spacing w:line="338" w:lineRule="auto" w:before="117"/>
        <w:ind w:left="514" w:right="92" w:firstLine="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拓展整合营销业务 </w:t>
      </w:r>
      <w:r>
        <w:rPr>
          <w:spacing w:val="-2"/>
        </w:rPr>
        <w:t>报告期内，公司通过整合不同的服务机构、整合媒介资源、整合营销技术和手段，增强核心竞争力，积极广泛地参与招</w:t>
      </w:r>
    </w:p>
    <w:p>
      <w:pPr>
        <w:pStyle w:val="BodyText"/>
        <w:spacing w:line="302" w:lineRule="auto" w:before="2"/>
        <w:ind w:right="92"/>
        <w:jc w:val="left"/>
      </w:pPr>
      <w:r>
        <w:rPr/>
        <w:t>投标活动，拓展新客户。同时，加强为现有客户提供以</w:t>
      </w:r>
      <w:r>
        <w:rPr>
          <w:rFonts w:ascii="Times New Roman" w:hAnsi="Times New Roman" w:cs="Times New Roman" w:eastAsia="Times New Roman" w:hint="default"/>
        </w:rPr>
        <w:t>“</w:t>
      </w:r>
      <w:r>
        <w:rPr/>
        <w:t>营销策略</w:t>
      </w:r>
      <w:r>
        <w:rPr>
          <w:rFonts w:ascii="Times New Roman" w:hAnsi="Times New Roman" w:cs="Times New Roman" w:eastAsia="Times New Roman" w:hint="default"/>
        </w:rPr>
        <w:t>+</w:t>
      </w:r>
      <w:r>
        <w:rPr/>
        <w:t>创意内容</w:t>
      </w:r>
      <w:r>
        <w:rPr>
          <w:rFonts w:ascii="Times New Roman" w:hAnsi="Times New Roman" w:cs="Times New Roman" w:eastAsia="Times New Roman" w:hint="default"/>
        </w:rPr>
        <w:t>”</w:t>
      </w:r>
      <w:r>
        <w:rPr/>
        <w:t>为核心，以</w:t>
      </w:r>
      <w:r>
        <w:rPr>
          <w:rFonts w:ascii="Times New Roman" w:hAnsi="Times New Roman" w:cs="Times New Roman" w:eastAsia="Times New Roman" w:hint="default"/>
        </w:rPr>
        <w:t>“</w:t>
      </w:r>
      <w:r>
        <w:rPr/>
        <w:t>传统、数字、娱乐及体育营销</w:t>
      </w:r>
      <w:r>
        <w:rPr>
          <w:rFonts w:ascii="Times New Roman" w:hAnsi="Times New Roman" w:cs="Times New Roman" w:eastAsia="Times New Roman" w:hint="default"/>
        </w:rPr>
        <w:t>”</w:t>
      </w:r>
      <w:r>
        <w:rPr/>
        <w:t>为</w:t>
      </w:r>
      <w:r>
        <w:rPr>
          <w:spacing w:val="-58"/>
        </w:rPr>
        <w:t> </w:t>
      </w:r>
      <w:r>
        <w:rPr/>
        <w:t>渠道的全传播服务，拓宽合作领域。</w:t>
      </w:r>
    </w:p>
    <w:p>
      <w:pPr>
        <w:pStyle w:val="BodyText"/>
        <w:spacing w:line="338" w:lineRule="auto" w:before="69"/>
        <w:ind w:left="514" w:right="92"/>
        <w:jc w:val="left"/>
      </w:pPr>
      <w:r>
        <w:rPr>
          <w:rFonts w:ascii="Times New Roman" w:hAnsi="Times New Roman" w:cs="Times New Roman" w:eastAsia="Times New Roman" w:hint="default"/>
        </w:rPr>
        <w:t>2.</w:t>
      </w:r>
      <w:r>
        <w:rPr/>
        <w:t>加速数字化转型以及新技术研发 </w:t>
      </w:r>
      <w:r>
        <w:rPr>
          <w:spacing w:val="-2"/>
        </w:rPr>
        <w:t>报告期内，公司各业务团队主动适应数字化变革转型，灵活地紧随及挖掘业务需求，高效整合内部资源，高质进行业务</w:t>
      </w:r>
    </w:p>
    <w:p>
      <w:pPr>
        <w:pStyle w:val="BodyText"/>
        <w:spacing w:line="240" w:lineRule="auto" w:before="4"/>
        <w:ind w:right="92"/>
        <w:jc w:val="left"/>
      </w:pPr>
      <w:r>
        <w:rPr/>
        <w:t>创新，广泛应用数字营销工具，促进了数字营销业绩稳步提升，数字营销体系逐步完善。</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549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营业收入整体情况</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504,510,269.50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467,441,970.49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240,140,101.97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297,424,848.69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互联网及信息技术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114,750,173.93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63,968,307.18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快速消费品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34,502,149.13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35,770,021.48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57,826,554.27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42,079,400.58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5,751,583.03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5,741,498.51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奢侈品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60,566.04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2,003,415.09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7,568,816.91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10,101,316.88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254,746.23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1,311,261.36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6,839,334.89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1,297,387.09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36,816,243.10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7,744,513.63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375.38%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230,790,301.69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234,132,820.54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273,719,967.81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233,309,149.95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501,368,052.95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467,441,970.49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3,142,216.55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after="0" w:line="348"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240,140,101.97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138,949,328.19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互联网及信息技 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114,750,173.93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54,479,393.58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57,826,554.27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28,549,764.05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230,790,301.69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128,744,368.40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273,719,967.81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141,897,036.46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501,368,052.95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269,241,794.20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0.84%</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3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710"/>
        <w:gridCol w:w="2552"/>
        <w:gridCol w:w="1984"/>
        <w:gridCol w:w="1559"/>
        <w:gridCol w:w="1419"/>
        <w:gridCol w:w="1276"/>
      </w:tblGrid>
      <w:tr>
        <w:trPr>
          <w:trHeight w:val="738" w:hRule="exact"/>
        </w:trPr>
        <w:tc>
          <w:tcPr>
            <w:tcW w:w="710" w:type="dxa"/>
            <w:tcBorders>
              <w:top w:val="single" w:sz="4" w:space="0" w:color="000000"/>
              <w:left w:val="single" w:sz="4"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52" w:type="dxa"/>
            <w:tcBorders>
              <w:top w:val="single" w:sz="4"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合同内容</w:t>
            </w:r>
          </w:p>
        </w:tc>
        <w:tc>
          <w:tcPr>
            <w:tcW w:w="1984" w:type="dxa"/>
            <w:tcBorders>
              <w:top w:val="single" w:sz="4"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合同方</w:t>
            </w:r>
          </w:p>
        </w:tc>
        <w:tc>
          <w:tcPr>
            <w:tcW w:w="1559" w:type="dxa"/>
            <w:tcBorders>
              <w:top w:val="single" w:sz="4"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签约日期</w:t>
            </w:r>
          </w:p>
        </w:tc>
        <w:tc>
          <w:tcPr>
            <w:tcW w:w="1419" w:type="dxa"/>
            <w:tcBorders>
              <w:top w:val="single" w:sz="4"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合同金额（万元）</w:t>
            </w:r>
          </w:p>
        </w:tc>
        <w:tc>
          <w:tcPr>
            <w:tcW w:w="1276" w:type="dxa"/>
            <w:tcBorders>
              <w:top w:val="single" w:sz="4"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实际执行金额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734" w:hRule="exact"/>
        </w:trPr>
        <w:tc>
          <w:tcPr>
            <w:tcW w:w="7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2" w:lineRule="auto" w:before="52"/>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pacing w:val="-4"/>
                <w:sz w:val="18"/>
                <w:szCs w:val="18"/>
              </w:rPr>
              <w:t>年度逍客、奇骏、蓝鸟车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型公关传播服务合同》</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2"/>
              <w:ind w:left="-1" w:right="162"/>
              <w:jc w:val="left"/>
              <w:rPr>
                <w:rFonts w:ascii="宋体" w:hAnsi="宋体" w:cs="宋体" w:eastAsia="宋体" w:hint="default"/>
                <w:sz w:val="18"/>
                <w:szCs w:val="18"/>
              </w:rPr>
            </w:pPr>
            <w:r>
              <w:rPr>
                <w:rFonts w:ascii="宋体" w:hAnsi="宋体" w:cs="宋体" w:eastAsia="宋体" w:hint="default"/>
                <w:sz w:val="18"/>
                <w:szCs w:val="18"/>
              </w:rPr>
              <w:t>东风日产汽车销售有限 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3,750.00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4,381.59</w:t>
            </w:r>
          </w:p>
        </w:tc>
      </w:tr>
      <w:tr>
        <w:trPr>
          <w:trHeight w:val="734" w:hRule="exact"/>
        </w:trPr>
        <w:tc>
          <w:tcPr>
            <w:tcW w:w="7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2"/>
              <w:ind w:right="1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年度东风日产企业传播 公关传播服务合同》</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1" w:right="162"/>
              <w:jc w:val="left"/>
              <w:rPr>
                <w:rFonts w:ascii="宋体" w:hAnsi="宋体" w:cs="宋体" w:eastAsia="宋体" w:hint="default"/>
                <w:sz w:val="18"/>
                <w:szCs w:val="18"/>
              </w:rPr>
            </w:pPr>
            <w:r>
              <w:rPr>
                <w:rFonts w:ascii="宋体" w:hAnsi="宋体" w:cs="宋体" w:eastAsia="宋体" w:hint="default"/>
                <w:sz w:val="18"/>
                <w:szCs w:val="18"/>
              </w:rPr>
              <w:t>东风日产汽车销售有限 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2,138.00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3,566.07</w:t>
            </w:r>
          </w:p>
        </w:tc>
      </w:tr>
      <w:tr>
        <w:trPr>
          <w:trHeight w:val="422" w:hRule="exact"/>
        </w:trPr>
        <w:tc>
          <w:tcPr>
            <w:tcW w:w="7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《戴尔服务协议》</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戴尔（中国）有限公司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1,637.98</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1,637.98</w:t>
            </w:r>
          </w:p>
        </w:tc>
      </w:tr>
      <w:tr>
        <w:trPr>
          <w:trHeight w:val="733" w:hRule="exact"/>
        </w:trPr>
        <w:tc>
          <w:tcPr>
            <w:tcW w:w="7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2" w:lineRule="auto" w:before="51"/>
              <w:ind w:right="331"/>
              <w:jc w:val="left"/>
              <w:rPr>
                <w:rFonts w:ascii="宋体" w:hAnsi="宋体" w:cs="宋体" w:eastAsia="宋体" w:hint="default"/>
                <w:sz w:val="18"/>
                <w:szCs w:val="18"/>
              </w:rPr>
            </w:pPr>
            <w:r>
              <w:rPr>
                <w:rFonts w:ascii="宋体" w:hAnsi="宋体" w:cs="宋体" w:eastAsia="宋体" w:hint="default"/>
                <w:sz w:val="18"/>
                <w:szCs w:val="18"/>
              </w:rPr>
              <w:t>《长安马自达第二代 </w:t>
            </w:r>
            <w:r>
              <w:rPr>
                <w:rFonts w:ascii="Times New Roman" w:hAnsi="Times New Roman" w:cs="Times New Roman" w:eastAsia="Times New Roman" w:hint="default"/>
                <w:sz w:val="18"/>
                <w:szCs w:val="18"/>
              </w:rPr>
              <w:t>Mazda CX-5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上市会》</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1" w:right="162"/>
              <w:jc w:val="left"/>
              <w:rPr>
                <w:rFonts w:ascii="宋体" w:hAnsi="宋体" w:cs="宋体" w:eastAsia="宋体" w:hint="default"/>
                <w:sz w:val="18"/>
                <w:szCs w:val="18"/>
              </w:rPr>
            </w:pPr>
            <w:r>
              <w:rPr>
                <w:rFonts w:ascii="宋体" w:hAnsi="宋体" w:cs="宋体" w:eastAsia="宋体" w:hint="default"/>
                <w:sz w:val="18"/>
                <w:szCs w:val="18"/>
              </w:rPr>
              <w:t>长安马自达汽车销售分 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900.00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900.00</w:t>
            </w:r>
          </w:p>
        </w:tc>
      </w:tr>
      <w:tr>
        <w:trPr>
          <w:trHeight w:val="736" w:hRule="exact"/>
        </w:trPr>
        <w:tc>
          <w:tcPr>
            <w:tcW w:w="7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2"/>
              <w:ind w:right="11"/>
              <w:jc w:val="left"/>
              <w:rPr>
                <w:rFonts w:ascii="宋体" w:hAnsi="宋体" w:cs="宋体" w:eastAsia="宋体" w:hint="default"/>
                <w:sz w:val="18"/>
                <w:szCs w:val="18"/>
              </w:rPr>
            </w:pPr>
            <w:r>
              <w:rPr>
                <w:rFonts w:ascii="宋体" w:hAnsi="宋体" w:cs="宋体" w:eastAsia="宋体" w:hint="default"/>
                <w:sz w:val="18"/>
                <w:szCs w:val="18"/>
              </w:rPr>
              <w:t>《中国（珠海）</w:t>
            </w:r>
            <w:r>
              <w:rPr>
                <w:rFonts w:ascii="Times New Roman" w:hAnsi="Times New Roman" w:cs="Times New Roman" w:eastAsia="Times New Roman" w:hint="default"/>
                <w:sz w:val="18"/>
                <w:szCs w:val="18"/>
              </w:rPr>
              <w:t>——</w:t>
            </w:r>
            <w:r>
              <w:rPr>
                <w:rFonts w:ascii="宋体" w:hAnsi="宋体" w:cs="宋体" w:eastAsia="宋体" w:hint="default"/>
                <w:sz w:val="18"/>
                <w:szCs w:val="18"/>
              </w:rPr>
              <w:t>拉丁美洲国 际博览会专项公关传播项目》</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1" w:right="162"/>
              <w:jc w:val="left"/>
              <w:rPr>
                <w:rFonts w:ascii="宋体" w:hAnsi="宋体" w:cs="宋体" w:eastAsia="宋体" w:hint="default"/>
                <w:sz w:val="18"/>
                <w:szCs w:val="18"/>
              </w:rPr>
            </w:pPr>
            <w:r>
              <w:rPr>
                <w:rFonts w:ascii="宋体" w:hAnsi="宋体" w:cs="宋体" w:eastAsia="宋体" w:hint="default"/>
                <w:sz w:val="18"/>
                <w:szCs w:val="18"/>
              </w:rPr>
              <w:t>珠海华发国际会展管理 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493.00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507.84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57"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875" w:space="804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54,135,024.75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57,407,598.40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现场活动相关成 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73,937,906.61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68,295,312.01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113,398,374.11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93,597,942.32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现场活动相关成 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27,949,919.13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22,466,904.41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24.40%</w:t>
            </w:r>
          </w:p>
        </w:tc>
      </w:tr>
    </w:tbl>
    <w:p>
      <w:pPr>
        <w:pStyle w:val="BodyText"/>
        <w:spacing w:line="338" w:lineRule="auto" w:before="51"/>
        <w:ind w:right="0"/>
        <w:jc w:val="left"/>
      </w:pPr>
      <w:r>
        <w:rPr/>
        <w:t>说明 </w:t>
      </w:r>
      <w:r>
        <w:rPr>
          <w:spacing w:val="-2"/>
        </w:rPr>
        <w:t>营业成本构成按产品分类：传统营销和数字营销；公司主营业务为整合营销传播服务，业务开展主要投入是媒介成本和现场</w:t>
      </w:r>
      <w:r>
        <w:rPr>
          <w:spacing w:val="-66"/>
        </w:rPr>
        <w:t> </w:t>
      </w:r>
      <w:r>
        <w:rPr>
          <w:spacing w:val="-66"/>
        </w:rPr>
      </w:r>
      <w:r>
        <w:rPr/>
        <w:t>活动相关成本。</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231,863,038.19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74,977,927.62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46,460,020.96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45,075,094.32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41,958,426.40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23,391,568.89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231,863,038.19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45.96%</w:t>
            </w:r>
          </w:p>
        </w:tc>
      </w:tr>
    </w:tbl>
    <w:p>
      <w:pPr>
        <w:pStyle w:val="BodyText"/>
        <w:spacing w:line="240" w:lineRule="auto" w:before="51"/>
        <w:ind w:right="92"/>
        <w:jc w:val="left"/>
      </w:pPr>
      <w:r>
        <w:rPr/>
        <w:t>主要客户其他情况说明</w:t>
      </w:r>
    </w:p>
    <w:p>
      <w:pPr>
        <w:pStyle w:val="BodyText"/>
        <w:spacing w:line="338" w:lineRule="auto" w:before="117"/>
        <w:ind w:right="8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41,270,936.30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11,716,483.10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9,139,888.50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7,970,042.70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6,884,522.00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41,270,936.30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r>
    </w:tbl>
    <w:p>
      <w:pPr>
        <w:pStyle w:val="BodyText"/>
        <w:spacing w:line="240" w:lineRule="auto" w:before="51"/>
        <w:ind w:right="92"/>
        <w:jc w:val="left"/>
      </w:pPr>
      <w:r>
        <w:rPr/>
        <w:t>主要供应商其他情况说明</w:t>
      </w:r>
    </w:p>
    <w:p>
      <w:pPr>
        <w:pStyle w:val="BodyText"/>
        <w:spacing w:line="240"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76,401,292.04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92,730,924.21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报告期人员减少，导致人工成本减少</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51,688,600.00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37,038,966.42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39.55%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报告期增加重组中介费及研发支出 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-931,071.42</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-308,942.45</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报告期内利息收入增加所致</w:t>
            </w:r>
          </w:p>
        </w:tc>
      </w:tr>
    </w:tbl>
    <w:p>
      <w:pPr>
        <w:spacing w:line="240" w:lineRule="auto" w:before="2"/>
        <w:rPr>
          <w:rFonts w:ascii="宋体" w:hAnsi="宋体" w:cs="宋体" w:eastAsia="宋体" w:hint="default"/>
          <w:sz w:val="19"/>
          <w:szCs w:val="19"/>
        </w:rPr>
      </w:pPr>
    </w:p>
    <w:p>
      <w:pPr>
        <w:pStyle w:val="Heading4"/>
        <w:spacing w:line="240" w:lineRule="auto" w:before="35"/>
        <w:ind w:right="9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2"/>
        <w:ind w:right="92" w:firstLine="360"/>
        <w:jc w:val="left"/>
      </w:pPr>
      <w:r>
        <w:rPr>
          <w:rFonts w:ascii="Times New Roman" w:hAnsi="Times New Roman" w:cs="Times New Roman" w:eastAsia="Times New Roman" w:hint="default"/>
          <w:spacing w:val="-2"/>
        </w:rPr>
        <w:t>2017</w:t>
      </w:r>
      <w:r>
        <w:rPr>
          <w:spacing w:val="-2"/>
        </w:rPr>
        <w:t>年公司除了对成熟大流量平台精细化、精准化传播应用、服务的深耕细作，对更新的社交、媒介、知识付费等渠道</w:t>
      </w:r>
      <w:r>
        <w:rPr/>
        <w:t> 平台也做了积极布局，并逐步形成新形态的营销产品化服务，以及加强大数据、精准营销、</w:t>
      </w:r>
      <w:r>
        <w:rPr>
          <w:rFonts w:ascii="Times New Roman" w:hAnsi="Times New Roman" w:cs="Times New Roman" w:eastAsia="Times New Roman" w:hint="default"/>
        </w:rPr>
        <w:t>C</w:t>
      </w:r>
      <w:r>
        <w:rPr/>
        <w:t>端用户沉淀、平台</w:t>
      </w:r>
      <w:r>
        <w:rPr>
          <w:rFonts w:ascii="Times New Roman" w:hAnsi="Times New Roman" w:cs="Times New Roman" w:eastAsia="Times New Roman" w:hint="default"/>
        </w:rPr>
        <w:t>IP</w:t>
      </w:r>
      <w:r>
        <w:rPr/>
        <w:t>培育的技 </w:t>
      </w:r>
      <w:r>
        <w:rPr>
          <w:spacing w:val="-2"/>
        </w:rPr>
        <w:t>术研究和应用，从而更好的满足万众创新大潮中新型企业。与此同时，公司还在整体整合营销供应链上下游的高效协同上加</w:t>
      </w:r>
      <w:r>
        <w:rPr>
          <w:spacing w:val="-66"/>
        </w:rPr>
        <w:t> </w:t>
      </w:r>
      <w:r>
        <w:rPr>
          <w:spacing w:val="-66"/>
        </w:rPr>
      </w:r>
      <w:r>
        <w:rPr>
          <w:spacing w:val="-4"/>
        </w:rPr>
        <w:t>大了底层新技术的研发，进一步提升服务效率与效益，从而更好的驱动改造整体营销供应链的协同，最终形成在体系、渠道、</w:t>
      </w:r>
      <w:r>
        <w:rPr>
          <w:spacing w:val="-46"/>
        </w:rPr>
        <w:t> </w:t>
      </w:r>
      <w:r>
        <w:rPr>
          <w:spacing w:val="-46"/>
        </w:rPr>
      </w:r>
      <w:r>
        <w:rPr/>
        <w:t>服务三方面的新技术优化，新阵营布局，新产品投入的全新整合营销形态。</w:t>
      </w:r>
    </w:p>
    <w:p>
      <w:pPr>
        <w:spacing w:after="0" w:line="309"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18,842,176.87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11,863,210.57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1,430,017.87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52" w:firstLine="360"/>
        <w:jc w:val="both"/>
      </w:pPr>
      <w:r>
        <w:rPr>
          <w:rFonts w:ascii="Times New Roman" w:hAnsi="Times New Roman" w:cs="Times New Roman" w:eastAsia="Times New Roman" w:hint="default"/>
        </w:rPr>
        <w:t>2017</w:t>
      </w:r>
      <w:r>
        <w:rPr/>
        <w:t>年公司顺应</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的发展趋势，聚焦</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精准内容</w:t>
      </w:r>
      <w:r>
        <w:rPr>
          <w:rFonts w:ascii="Times New Roman" w:hAnsi="Times New Roman" w:cs="Times New Roman" w:eastAsia="Times New Roman" w:hint="default"/>
        </w:rPr>
        <w:t>”</w:t>
      </w:r>
      <w:r>
        <w:rPr/>
        <w:t>的服务方式，全力打造以</w:t>
      </w:r>
      <w:r>
        <w:rPr>
          <w:rFonts w:ascii="Times New Roman" w:hAnsi="Times New Roman" w:cs="Times New Roman" w:eastAsia="Times New Roman" w:hint="default"/>
        </w:rPr>
        <w:t>“</w:t>
      </w:r>
      <w:r>
        <w:rPr/>
        <w:t>数字</w:t>
      </w:r>
      <w:r>
        <w:rPr>
          <w:rFonts w:ascii="Times New Roman" w:hAnsi="Times New Roman" w:cs="Times New Roman" w:eastAsia="Times New Roman" w:hint="default"/>
        </w:rPr>
        <w:t>+</w:t>
      </w:r>
      <w:r>
        <w:rPr/>
        <w:t>内容</w:t>
      </w:r>
      <w:r>
        <w:rPr>
          <w:rFonts w:ascii="Times New Roman" w:hAnsi="Times New Roman" w:cs="Times New Roman" w:eastAsia="Times New Roman" w:hint="default"/>
        </w:rPr>
        <w:t>”</w:t>
      </w:r>
      <w:r>
        <w:rPr/>
        <w:t>整合营销为特色 </w:t>
      </w:r>
      <w:r>
        <w:rPr>
          <w:spacing w:val="-2"/>
        </w:rPr>
        <w:t>的服务模式和行业内极具差异化的体系竞争力，大力拓展数字营销服务，在数字营销平台建设项目大力投入，</w:t>
      </w:r>
      <w:r>
        <w:rPr>
          <w:rFonts w:ascii="Times New Roman" w:hAnsi="Times New Roman" w:cs="Times New Roman" w:eastAsia="Times New Roman" w:hint="default"/>
          <w:spacing w:val="-2"/>
        </w:rPr>
        <w:t>2017</w:t>
      </w:r>
      <w:r>
        <w:rPr>
          <w:spacing w:val="-2"/>
        </w:rPr>
        <w:t>年比</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2"/>
        </w:rPr>
        <w:t> </w:t>
      </w:r>
      <w:r>
        <w:rPr/>
        <w:t>年研发支出有较大增加。</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研发投入资本化率大幅变动的原因及其合理性说明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480,150,655.93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494,115,984.55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509,912,166.55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443,138,274.85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-29,761,510.62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50,977,709.70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-158.38%</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254,993.38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21,816,074.00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7,086,762.88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-21,676,074.00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-6,831,769.50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-217.28%</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264,686,366.48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2,483.57%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60,287,372.68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22,792,356.78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164.51%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204,398,993.80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-12,547,356.78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1,729.02%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152,702,992.53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32,043,672.26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376.55%</w:t>
            </w:r>
          </w:p>
        </w:tc>
      </w:tr>
    </w:tbl>
    <w:p>
      <w:pPr>
        <w:pStyle w:val="BodyText"/>
        <w:spacing w:line="240" w:lineRule="auto" w:before="51"/>
        <w:ind w:right="0"/>
        <w:jc w:val="left"/>
      </w:pPr>
      <w:r>
        <w:rPr/>
        <w:t>相关数据同比发生重大变动的主要影响因素说明</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rFonts w:ascii="Times New Roman" w:hAnsi="Times New Roman" w:cs="Times New Roman" w:eastAsia="Times New Roman" w:hint="default"/>
        </w:rPr>
        <w:t>2017</w:t>
      </w:r>
      <w:r>
        <w:rPr/>
        <w:t>年，应收款项回款期与应付款项付款期的差异，导致公司现金流量需求增加。</w:t>
      </w:r>
    </w:p>
    <w:p>
      <w:pPr>
        <w:pStyle w:val="BodyText"/>
        <w:spacing w:line="300" w:lineRule="auto" w:before="63"/>
        <w:ind w:right="0" w:firstLine="360"/>
        <w:jc w:val="left"/>
      </w:pPr>
      <w:r>
        <w:rPr>
          <w:rFonts w:ascii="Times New Roman" w:hAnsi="Times New Roman" w:cs="Times New Roman" w:eastAsia="Times New Roman" w:hint="default"/>
          <w:spacing w:val="-2"/>
        </w:rPr>
        <w:t>2017</w:t>
      </w:r>
      <w:r>
        <w:rPr>
          <w:spacing w:val="-2"/>
        </w:rPr>
        <w:t>年投资活动现金流入为处置固定资产收回的现金净额；</w:t>
      </w:r>
      <w:r>
        <w:rPr>
          <w:rFonts w:ascii="Times New Roman" w:hAnsi="Times New Roman" w:cs="Times New Roman" w:eastAsia="Times New Roman" w:hint="default"/>
          <w:spacing w:val="-2"/>
        </w:rPr>
        <w:t>2016</w:t>
      </w:r>
      <w:r>
        <w:rPr>
          <w:spacing w:val="-2"/>
        </w:rPr>
        <w:t>年投资活动现金流入为处置固定资产、无形资产和长期</w:t>
      </w:r>
      <w:r>
        <w:rPr/>
        <w:t> 股权投资收回的现金净额。</w:t>
      </w:r>
    </w:p>
    <w:p>
      <w:pPr>
        <w:pStyle w:val="BodyText"/>
        <w:spacing w:line="240" w:lineRule="auto" w:before="32"/>
        <w:ind w:left="514" w:right="0"/>
        <w:jc w:val="left"/>
      </w:pPr>
      <w:r>
        <w:rPr>
          <w:rFonts w:ascii="Times New Roman" w:hAnsi="Times New Roman" w:cs="Times New Roman" w:eastAsia="Times New Roman" w:hint="default"/>
        </w:rPr>
        <w:t>2017</w:t>
      </w:r>
      <w:r>
        <w:rPr/>
        <w:t>年投资活动的现金流出为新购固定资产房产及支付投资款。</w:t>
      </w:r>
    </w:p>
    <w:p>
      <w:pPr>
        <w:pStyle w:val="BodyText"/>
        <w:spacing w:line="240" w:lineRule="auto" w:before="63"/>
        <w:ind w:left="514" w:right="0"/>
        <w:jc w:val="left"/>
      </w:pPr>
      <w:r>
        <w:rPr>
          <w:rFonts w:ascii="Times New Roman" w:hAnsi="Times New Roman" w:cs="Times New Roman" w:eastAsia="Times New Roman" w:hint="default"/>
        </w:rPr>
        <w:t>2017</w:t>
      </w:r>
      <w:r>
        <w:rPr/>
        <w:t>年筹资活动现金流入主要系公司首次公开发行新股，收到募集资金。</w:t>
      </w:r>
    </w:p>
    <w:p>
      <w:pPr>
        <w:pStyle w:val="BodyText"/>
        <w:spacing w:line="240" w:lineRule="auto" w:before="63"/>
        <w:ind w:left="514" w:right="0"/>
        <w:jc w:val="left"/>
      </w:pPr>
      <w:r>
        <w:rPr>
          <w:rFonts w:ascii="Times New Roman" w:hAnsi="Times New Roman" w:cs="Times New Roman" w:eastAsia="Times New Roman" w:hint="default"/>
        </w:rPr>
        <w:t>2017</w:t>
      </w:r>
      <w:r>
        <w:rPr/>
        <w:t>年筹资活动现金流出主要系公司首次公开发行新股支付发行费用及分配股利。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60" w:firstLine="360"/>
        <w:jc w:val="left"/>
      </w:pPr>
      <w:r>
        <w:rPr/>
        <w:t>报告期内公司应收款项回款期与应付款项付款期的差异，现金流量需求增加</w:t>
      </w:r>
      <w:r>
        <w:rPr>
          <w:spacing w:val="-18"/>
        </w:rPr>
        <w:t> </w:t>
      </w:r>
      <w:r>
        <w:rPr/>
        <w:t>，导致经营活动产生的现金净流量下降，</w:t>
      </w:r>
      <w:r>
        <w:rPr/>
        <w:t> 与年度净利润存在差异。</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166"/>
        <w:gridCol w:w="234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2,262,959.47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长期股权投资收益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5,809,832.83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坏账损失及存货跌价准备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186,637.79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个税手续费返还收入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37,528.08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23"/>
        <w:gridCol w:w="1398"/>
        <w:gridCol w:w="1063"/>
        <w:gridCol w:w="1196"/>
        <w:gridCol w:w="1063"/>
        <w:gridCol w:w="798"/>
        <w:gridCol w:w="2918"/>
      </w:tblGrid>
      <w:tr>
        <w:trPr>
          <w:trHeight w:val="380" w:hRule="exact"/>
        </w:trPr>
        <w:tc>
          <w:tcPr>
            <w:tcW w:w="1123"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123" w:type="dxa"/>
            <w:vMerge w:val="restart"/>
            <w:tcBorders>
              <w:top w:val="single" w:sz="14" w:space="0" w:color="FFFFFF"/>
              <w:left w:val="single" w:sz="4" w:space="0" w:color="000000"/>
              <w:right w:val="single" w:sz="4" w:space="0" w:color="000000"/>
            </w:tcBorders>
            <w:shd w:val="clear" w:color="auto" w:fill="D2D2D2"/>
          </w:tcPr>
          <w:p>
            <w:pPr/>
          </w:p>
        </w:tc>
        <w:tc>
          <w:tcPr>
            <w:tcW w:w="139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13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23" w:type="dxa"/>
            <w:vMerge w:val="restart"/>
            <w:tcBorders>
              <w:top w:val="nil" w:sz="6" w:space="0" w:color="auto"/>
              <w:left w:val="single" w:sz="4" w:space="0" w:color="000000"/>
              <w:right w:val="single" w:sz="4" w:space="0" w:color="000000"/>
            </w:tcBorders>
            <w:shd w:val="clear" w:color="auto" w:fill="D2D2D2"/>
          </w:tcPr>
          <w:p>
            <w:pPr/>
          </w:p>
        </w:tc>
        <w:tc>
          <w:tcPr>
            <w:tcW w:w="1398"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259,040,480.88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41.87%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106,337,488.35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33.49%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8.38%</w:t>
            </w:r>
          </w:p>
        </w:tc>
        <w:tc>
          <w:tcPr>
            <w:tcW w:w="2918"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报告期首次公开发行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pacing w:val="-10"/>
                <w:sz w:val="18"/>
                <w:szCs w:val="18"/>
              </w:rPr>
              <w:t>股，收到募集</w:t>
            </w:r>
            <w:r>
              <w:rPr>
                <w:rFonts w:ascii="宋体" w:hAnsi="宋体" w:cs="宋体" w:eastAsia="宋体" w:hint="default"/>
                <w:sz w:val="18"/>
                <w:szCs w:val="18"/>
              </w:rPr>
              <w:t> 资金</w:t>
            </w:r>
          </w:p>
        </w:tc>
      </w:tr>
      <w:tr>
        <w:trPr>
          <w:trHeight w:val="392"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8"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8"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253,694,732.65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154,228,192.14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48.57%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-7.56%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报告期重大客户回款期限较长，且实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际回款延期所导致</w:t>
            </w:r>
          </w:p>
        </w:tc>
      </w:tr>
      <w:tr>
        <w:trPr>
          <w:trHeight w:val="392"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8"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8"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7,503,501.31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15,469,288.14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报告期期末跨年项目减少所致</w:t>
            </w: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01"/>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7,483,551.02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5,220,591.55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报告期权益法核算的长期投资产生 的投资收益增加所致</w:t>
            </w: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8,945,905.72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7,257,954.01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报告期内新购固定资产房产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56"/>
        <w:jc w:val="right"/>
      </w:pPr>
      <w:r>
        <w:rPr/>
        <w:pict>
          <v:shape style="position:absolute;margin-left:56.459999pt;margin-top:-96.868256pt;width:479.25pt;height:132.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398"/>
                    <w:gridCol w:w="1063"/>
                    <w:gridCol w:w="1196"/>
                    <w:gridCol w:w="1063"/>
                    <w:gridCol w:w="798"/>
                    <w:gridCol w:w="291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报告期偿还北京银行短期借款</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35,225,088.50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11,190,167.50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报告期应收票据增加</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18,518,926.70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3,720,011.18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报告期内应收品牌咨询追加投资款 和代垫款项增加所致</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1,923,934.95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报告期，品推宝新投资</w:t>
                        </w:r>
                        <w:r>
                          <w:rPr>
                            <w:rFonts w:ascii="Times New Roman" w:hAnsi="Times New Roman" w:cs="Times New Roman" w:eastAsia="Times New Roman" w:hint="default"/>
                            <w:sz w:val="18"/>
                            <w:szCs w:val="18"/>
                          </w:rPr>
                          <w:t>“</w:t>
                        </w:r>
                        <w:r>
                          <w:rPr>
                            <w:rFonts w:ascii="宋体" w:hAnsi="宋体" w:cs="宋体" w:eastAsia="宋体" w:hint="default"/>
                            <w:sz w:val="18"/>
                            <w:szCs w:val="18"/>
                          </w:rPr>
                          <w:t>秒啊（北京 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0"/>
        <w:ind w:left="814" w:right="6294"/>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814" w:right="6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截止报告期末无所有权受限制的资产</w:t>
      </w:r>
    </w:p>
    <w:p>
      <w:pPr>
        <w:pStyle w:val="Heading3"/>
        <w:spacing w:line="240" w:lineRule="auto" w:before="100"/>
        <w:ind w:left="814" w:right="6294"/>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814" w:right="6294"/>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14" w:right="6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8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8" w:right="0"/>
              <w:jc w:val="left"/>
              <w:rPr>
                <w:rFonts w:ascii="Times New Roman" w:hAnsi="Times New Roman" w:cs="Times New Roman" w:eastAsia="Times New Roman" w:hint="default"/>
                <w:sz w:val="18"/>
                <w:szCs w:val="18"/>
              </w:rPr>
            </w:pPr>
            <w:r>
              <w:rPr>
                <w:rFonts w:ascii="Times New Roman"/>
                <w:sz w:val="18"/>
              </w:rPr>
              <w:t>110,555,694.51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4"/>
        <w:spacing w:line="240" w:lineRule="auto" w:before="35"/>
        <w:ind w:left="81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814" w:right="6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994"/>
        <w:gridCol w:w="992"/>
        <w:gridCol w:w="568"/>
        <w:gridCol w:w="709"/>
        <w:gridCol w:w="709"/>
        <w:gridCol w:w="567"/>
        <w:gridCol w:w="568"/>
        <w:gridCol w:w="566"/>
        <w:gridCol w:w="850"/>
        <w:gridCol w:w="709"/>
        <w:gridCol w:w="710"/>
        <w:gridCol w:w="568"/>
        <w:gridCol w:w="850"/>
        <w:gridCol w:w="918"/>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8" w:right="97"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5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379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北京品推宝 移动科技有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57"/>
              <w:jc w:val="both"/>
              <w:rPr>
                <w:rFonts w:ascii="宋体" w:hAnsi="宋体" w:cs="宋体" w:eastAsia="宋体" w:hint="default"/>
                <w:sz w:val="18"/>
                <w:szCs w:val="18"/>
              </w:rPr>
            </w:pPr>
            <w:r>
              <w:rPr>
                <w:rFonts w:ascii="宋体" w:hAnsi="宋体" w:cs="宋体" w:eastAsia="宋体" w:hint="default"/>
                <w:sz w:val="18"/>
                <w:szCs w:val="18"/>
              </w:rPr>
              <w:t>公共关系服 务、互联网 信息服务、 技术开发、 技术服务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109,455,</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694.51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1"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72"/>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无固 定期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公共关系 服务、互 联网信息 服务、技 术开发、 技术服务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26" w:lineRule="auto" w:before="19"/>
              <w:ind w:left="22" w:right="85"/>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p>
            <w:pPr>
              <w:pStyle w:val="TableParagraph"/>
              <w:spacing w:line="316" w:lineRule="auto"/>
              <w:ind w:left="22" w:right="163"/>
              <w:jc w:val="both"/>
              <w:rPr>
                <w:rFonts w:ascii="宋体" w:hAnsi="宋体" w:cs="宋体" w:eastAsia="宋体" w:hint="default"/>
                <w:sz w:val="18"/>
                <w:szCs w:val="18"/>
              </w:rPr>
            </w:pPr>
            <w:r>
              <w:rPr>
                <w:rFonts w:ascii="宋体" w:hAnsi="宋体" w:cs="宋体" w:eastAsia="宋体" w:hint="default"/>
                <w:sz w:val="18"/>
                <w:szCs w:val="18"/>
              </w:rPr>
              <w:t>《关于使 用募集资 对全资子 公司北京 品推宝移 动科技有 限公司进</w:t>
            </w:r>
          </w:p>
        </w:tc>
      </w:tr>
    </w:tbl>
    <w:p>
      <w:pPr>
        <w:spacing w:after="0" w:line="316" w:lineRule="auto"/>
        <w:jc w:val="both"/>
        <w:rPr>
          <w:rFonts w:ascii="宋体" w:hAnsi="宋体" w:cs="宋体" w:eastAsia="宋体" w:hint="default"/>
          <w:sz w:val="18"/>
          <w:szCs w:val="18"/>
        </w:rPr>
        <w:sectPr>
          <w:pgSz w:w="11910" w:h="16840"/>
          <w:pgMar w:header="747" w:footer="979" w:top="1060" w:bottom="1160" w:left="320" w:right="98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994"/>
        <w:gridCol w:w="992"/>
        <w:gridCol w:w="568"/>
        <w:gridCol w:w="709"/>
        <w:gridCol w:w="709"/>
        <w:gridCol w:w="567"/>
        <w:gridCol w:w="568"/>
        <w:gridCol w:w="566"/>
        <w:gridCol w:w="850"/>
        <w:gridCol w:w="709"/>
        <w:gridCol w:w="710"/>
        <w:gridCol w:w="568"/>
        <w:gridCol w:w="850"/>
        <w:gridCol w:w="918"/>
      </w:tblGrid>
      <w:tr>
        <w:trPr>
          <w:trHeight w:val="1298"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行增资的 </w:t>
            </w:r>
            <w:r>
              <w:rPr>
                <w:rFonts w:ascii="宋体" w:hAnsi="宋体" w:cs="宋体" w:eastAsia="宋体" w:hint="default"/>
                <w:spacing w:val="-18"/>
                <w:sz w:val="18"/>
                <w:szCs w:val="18"/>
              </w:rPr>
              <w:t>公告》（公</w:t>
            </w:r>
            <w:r>
              <w:rPr>
                <w:rFonts w:ascii="宋体" w:hAnsi="宋体" w:cs="宋体" w:eastAsia="宋体" w:hint="default"/>
                <w:sz w:val="18"/>
                <w:szCs w:val="18"/>
              </w:rPr>
              <w:t> 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2017-009</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109,455,</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694.51</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81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14" w:right="6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814" w:right="6294"/>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814" w:right="6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814" w:right="6294"/>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814" w:right="6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814" w:right="6294"/>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814" w:right="6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80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24,867.04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10,468.83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10,468.83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14,398.21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24,867.04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10,468.83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10,468.83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14,398.21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经中国证券监督管理委员会《关于核准宣亚国际品牌管理（北京）股份有限公司首次公开发行股票的批复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[2017</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124</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w:t>
            </w:r>
            <w:r>
              <w:rPr>
                <w:rFonts w:ascii="宋体" w:hAnsi="宋体" w:cs="宋体" w:eastAsia="宋体" w:hint="default"/>
                <w:spacing w:val="1"/>
                <w:w w:val="99"/>
                <w:sz w:val="18"/>
                <w:szCs w:val="18"/>
              </w:rPr>
              <w:t>文</w:t>
            </w:r>
            <w:r>
              <w:rPr>
                <w:rFonts w:ascii="宋体" w:hAnsi="宋体" w:cs="宋体" w:eastAsia="宋体" w:hint="default"/>
                <w:w w:val="99"/>
                <w:sz w:val="18"/>
                <w:szCs w:val="18"/>
              </w:rPr>
              <w:t>件</w:t>
            </w:r>
            <w:r>
              <w:rPr>
                <w:rFonts w:ascii="宋体" w:hAnsi="宋体" w:cs="宋体" w:eastAsia="宋体" w:hint="default"/>
                <w:spacing w:val="-57"/>
                <w:w w:val="99"/>
                <w:sz w:val="18"/>
                <w:szCs w:val="18"/>
              </w:rPr>
              <w:t>）</w:t>
            </w:r>
            <w:r>
              <w:rPr>
                <w:rFonts w:ascii="宋体" w:hAnsi="宋体" w:cs="宋体" w:eastAsia="宋体" w:hint="default"/>
                <w:w w:val="99"/>
                <w:sz w:val="18"/>
                <w:szCs w:val="18"/>
              </w:rPr>
              <w:t>核准</w:t>
            </w:r>
            <w:r>
              <w:rPr>
                <w:rFonts w:ascii="宋体" w:hAnsi="宋体" w:cs="宋体" w:eastAsia="宋体" w:hint="default"/>
                <w:spacing w:val="-57"/>
                <w:w w:val="99"/>
                <w:sz w:val="18"/>
                <w:szCs w:val="18"/>
              </w:rPr>
              <w:t>，</w:t>
            </w:r>
            <w:r>
              <w:rPr>
                <w:rFonts w:ascii="宋体" w:hAnsi="宋体" w:cs="宋体" w:eastAsia="宋体" w:hint="default"/>
                <w:w w:val="99"/>
                <w:sz w:val="18"/>
                <w:szCs w:val="18"/>
              </w:rPr>
              <w:t>本公司首次公开发行</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1,800 </w:t>
            </w:r>
            <w:r>
              <w:rPr>
                <w:rFonts w:ascii="宋体" w:hAnsi="宋体" w:cs="宋体" w:eastAsia="宋体" w:hint="default"/>
                <w:w w:val="99"/>
                <w:sz w:val="18"/>
                <w:szCs w:val="18"/>
              </w:rPr>
              <w:t>万</w:t>
            </w:r>
            <w:r>
              <w:rPr>
                <w:rFonts w:ascii="宋体" w:hAnsi="宋体" w:cs="宋体" w:eastAsia="宋体" w:hint="default"/>
                <w:spacing w:val="-57"/>
                <w:w w:val="99"/>
                <w:sz w:val="18"/>
                <w:szCs w:val="18"/>
              </w:rPr>
              <w:t>股</w:t>
            </w:r>
            <w:r>
              <w:rPr>
                <w:rFonts w:ascii="宋体" w:hAnsi="宋体" w:cs="宋体" w:eastAsia="宋体" w:hint="default"/>
                <w:spacing w:val="-1"/>
                <w:w w:val="99"/>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57"/>
                <w:sz w:val="18"/>
                <w:szCs w:val="18"/>
              </w:rPr>
              <w:t>，</w:t>
            </w:r>
            <w:r>
              <w:rPr>
                <w:rFonts w:ascii="宋体" w:hAnsi="宋体" w:cs="宋体" w:eastAsia="宋体" w:hint="default"/>
                <w:sz w:val="18"/>
                <w:szCs w:val="18"/>
              </w:rPr>
              <w:t>募集资金总额为人民币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29,052.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扣除总发行费用人民币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4,184.96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万元（含税）后，实际募集资金净额为人民币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24,867.04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日，本公司累计使用募集资金人民币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14,648.90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，募集资金专户余额为人民币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14,455.99</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pacing w:val="-2"/>
                <w:sz w:val="18"/>
                <w:szCs w:val="18"/>
              </w:rPr>
              <w:t>万元（含发行费用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4.89</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万元），与募集资金总额人民币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29,052.00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万元的差异为人民币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52.89</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万元，系募集资金银行存款累</w:t>
            </w:r>
            <w:r>
              <w:rPr>
                <w:rFonts w:ascii="宋体" w:hAnsi="宋体" w:cs="宋体" w:eastAsia="宋体" w:hint="default"/>
                <w:sz w:val="18"/>
                <w:szCs w:val="18"/>
              </w:rPr>
              <w:t> 计利息收入扣除银行手续费支出后的净额。</w:t>
            </w:r>
          </w:p>
        </w:tc>
      </w:tr>
    </w:tbl>
    <w:p>
      <w:pPr>
        <w:spacing w:line="240" w:lineRule="auto" w:before="3"/>
        <w:rPr>
          <w:rFonts w:ascii="宋体" w:hAnsi="宋体" w:cs="宋体" w:eastAsia="宋体" w:hint="default"/>
          <w:sz w:val="19"/>
          <w:szCs w:val="19"/>
        </w:rPr>
      </w:pPr>
    </w:p>
    <w:p>
      <w:pPr>
        <w:pStyle w:val="Heading4"/>
        <w:spacing w:line="240" w:lineRule="auto" w:before="35"/>
        <w:ind w:left="814" w:right="6294"/>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14" w:right="6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3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数字营销平台项目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10,961.33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10,945.57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信息化数字平台升级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935.07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境内业务网络扩建项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1,626.85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1,624.52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境外业务网络建设项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3,997.76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3,992.01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7,380.48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7,369.87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7,369.87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7,369.87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24,902.84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24,867.04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10,468.83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10,468.83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24,902.84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24,867.04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10,468.83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10,468.83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824"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信息化数字平台升级项目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年内未达到计划进度的原因主要系公司面临的行业发生了变化，公司</w:t>
            </w:r>
            <w:r>
              <w:rPr>
                <w:rFonts w:ascii="宋体" w:hAnsi="宋体" w:cs="宋体" w:eastAsia="宋体" w:hint="default"/>
                <w:sz w:val="18"/>
                <w:szCs w:val="18"/>
              </w:rPr>
              <w:t> 管理层正在积极研究、论证信息化数字平台升级项目的实施方案。</w:t>
            </w:r>
          </w:p>
          <w:p>
            <w:pPr>
              <w:pStyle w:val="TableParagraph"/>
              <w:spacing w:line="309" w:lineRule="auto" w:before="71"/>
              <w:ind w:left="16" w:right="25"/>
              <w:jc w:val="left"/>
              <w:rPr>
                <w:rFonts w:ascii="宋体" w:hAnsi="宋体" w:cs="宋体" w:eastAsia="宋体" w:hint="default"/>
                <w:sz w:val="18"/>
                <w:szCs w:val="18"/>
              </w:rPr>
            </w:pPr>
            <w:r>
              <w:rPr>
                <w:rFonts w:ascii="宋体" w:hAnsi="宋体" w:cs="宋体" w:eastAsia="宋体" w:hint="default"/>
                <w:sz w:val="18"/>
                <w:szCs w:val="18"/>
              </w:rPr>
              <w:t>境内业务网络扩建项目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年内未达到计划进度的原因主要系公司意识到公司所处行业的经营环 境发生变化，公司管理层本着审慎性原则正在积极研究、论证项目实施的可行性，力求寻求最佳的 扩展境内业务的方式。</w:t>
            </w:r>
          </w:p>
          <w:p>
            <w:pPr>
              <w:pStyle w:val="TableParagraph"/>
              <w:spacing w:line="309" w:lineRule="auto" w:before="62"/>
              <w:ind w:left="16" w:right="21"/>
              <w:jc w:val="both"/>
              <w:rPr>
                <w:rFonts w:ascii="宋体" w:hAnsi="宋体" w:cs="宋体" w:eastAsia="宋体" w:hint="default"/>
                <w:sz w:val="18"/>
                <w:szCs w:val="18"/>
              </w:rPr>
            </w:pPr>
            <w:r>
              <w:rPr>
                <w:rFonts w:ascii="宋体" w:hAnsi="宋体" w:cs="宋体" w:eastAsia="宋体" w:hint="default"/>
                <w:sz w:val="18"/>
                <w:szCs w:val="18"/>
              </w:rPr>
              <w:t>境外业务网络扩建项目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年内未达到计划进度的原因主要系报告期内国家政策发生了变化，外汇</w:t>
            </w:r>
            <w:r>
              <w:rPr>
                <w:rFonts w:ascii="宋体" w:hAnsi="宋体" w:cs="宋体" w:eastAsia="宋体" w:hint="default"/>
                <w:sz w:val="18"/>
                <w:szCs w:val="18"/>
              </w:rPr>
              <w:t> 管制趋严，公司的募集资金投资境外需要相关部门的审批慢于计划进度，公司正在积极的推动该项 目的实施。</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82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根据《深圳证券交易所创业板上市公司规范运作指引》等法律法规的有关规定，宣亚国际品牌管理</w:t>
            </w:r>
          </w:p>
          <w:p>
            <w:pPr>
              <w:pStyle w:val="TableParagraph"/>
              <w:spacing w:line="309" w:lineRule="auto" w:before="76"/>
              <w:ind w:left="22" w:right="25"/>
              <w:jc w:val="both"/>
              <w:rPr>
                <w:rFonts w:ascii="宋体" w:hAnsi="宋体" w:cs="宋体" w:eastAsia="宋体" w:hint="default"/>
                <w:sz w:val="18"/>
                <w:szCs w:val="18"/>
              </w:rPr>
            </w:pPr>
            <w:r>
              <w:rPr>
                <w:rFonts w:ascii="宋体" w:hAnsi="宋体" w:cs="宋体" w:eastAsia="宋体" w:hint="default"/>
                <w:sz w:val="18"/>
                <w:szCs w:val="18"/>
              </w:rPr>
              <w:t>（北京）股份有限公司（以下简称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日召开第二届董事会第十七次会议、 第三届监事会第五次会议，会议审议通过了《关于使用募集资金置换预先投入募投项目的自筹资金 </w:t>
            </w:r>
            <w:r>
              <w:rPr>
                <w:rFonts w:ascii="宋体" w:hAnsi="宋体" w:cs="宋体" w:eastAsia="宋体" w:hint="default"/>
                <w:spacing w:val="-3"/>
                <w:sz w:val="18"/>
                <w:szCs w:val="18"/>
              </w:rPr>
              <w:t>的议案》，同意使用募集资金置换预先投入募投项目的自筹资金，置换资金总额</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21,310,702.10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302"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实际完成置换金额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21,310,702.10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元。具体内容详见公司于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日刊登在中国证监会指定 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）上的相关公告。</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存放于公司募集资金专户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690"/>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22"/>
        <w:gridCol w:w="1196"/>
        <w:gridCol w:w="1045"/>
        <w:gridCol w:w="1046"/>
        <w:gridCol w:w="1189"/>
        <w:gridCol w:w="1274"/>
        <w:gridCol w:w="1134"/>
        <w:gridCol w:w="1134"/>
        <w:gridCol w:w="1134"/>
      </w:tblGrid>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北京品推宝移动科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152,976,810.58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118,791,807.80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57,315,814.36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13,747,297.20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13,770,805.60</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宣亚国际品牌管理</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（湖南）有限公司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27,928,451.33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17,187,836.56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31,629,761.79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13,801,719.82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13,009,918.59</w:t>
            </w:r>
          </w:p>
        </w:tc>
      </w:tr>
    </w:tbl>
    <w:p>
      <w:pPr>
        <w:pStyle w:val="BodyText"/>
        <w:spacing w:line="240" w:lineRule="auto" w:before="51"/>
        <w:ind w:left="674" w:right="0"/>
        <w:jc w:val="both"/>
      </w:pPr>
      <w:r>
        <w:rPr/>
        <w:t>报告期内取得和处置子公司的情况</w:t>
      </w:r>
    </w:p>
    <w:p>
      <w:pPr>
        <w:pStyle w:val="BodyText"/>
        <w:spacing w:line="338" w:lineRule="auto" w:before="117"/>
        <w:ind w:left="674" w:right="8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300" w:lineRule="auto" w:before="41"/>
        <w:ind w:left="674" w:right="700" w:firstLine="360"/>
        <w:jc w:val="both"/>
      </w:pPr>
      <w:r>
        <w:rPr>
          <w:rFonts w:ascii="Times New Roman" w:hAnsi="Times New Roman" w:cs="Times New Roman" w:eastAsia="Times New Roman" w:hint="default"/>
        </w:rPr>
        <w:t>1</w:t>
      </w:r>
      <w:r>
        <w:rPr/>
        <w:t>、北京品推宝移动科技有限公司：公司为了顺应数字化营销的发展趋势大力拓展数字营销业务，数字营销业务量持续 增长，导致营业收入、营业利润、净利润变化。</w:t>
      </w:r>
    </w:p>
    <w:p>
      <w:pPr>
        <w:pStyle w:val="BodyText"/>
        <w:spacing w:line="240" w:lineRule="auto" w:before="31"/>
        <w:ind w:left="1034" w:right="588"/>
        <w:jc w:val="left"/>
      </w:pPr>
      <w:r>
        <w:rPr>
          <w:rFonts w:ascii="Times New Roman" w:hAnsi="Times New Roman" w:cs="Times New Roman" w:eastAsia="Times New Roman" w:hint="default"/>
        </w:rPr>
        <w:t>2</w:t>
      </w:r>
      <w:r>
        <w:rPr/>
        <w:t>、宣亚国际品牌管理（湖南）有限公司：</w:t>
      </w:r>
      <w:r>
        <w:rPr>
          <w:rFonts w:ascii="Times New Roman" w:hAnsi="Times New Roman" w:cs="Times New Roman" w:eastAsia="Times New Roman" w:hint="default"/>
        </w:rPr>
        <w:t>2017</w:t>
      </w:r>
      <w:r>
        <w:rPr/>
        <w:t>年项目量增加，导致营业收入、营业利润、净利润变化。</w:t>
      </w:r>
    </w:p>
    <w:p>
      <w:pPr>
        <w:spacing w:line="240" w:lineRule="auto" w:before="1"/>
        <w:rPr>
          <w:rFonts w:ascii="宋体" w:hAnsi="宋体" w:cs="宋体" w:eastAsia="宋体" w:hint="default"/>
          <w:sz w:val="24"/>
          <w:szCs w:val="24"/>
        </w:rPr>
      </w:pPr>
    </w:p>
    <w:p>
      <w:pPr>
        <w:pStyle w:val="Heading3"/>
        <w:spacing w:line="240" w:lineRule="auto"/>
        <w:ind w:left="674"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7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left="674"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034" w:right="588"/>
        <w:jc w:val="left"/>
      </w:pPr>
      <w:r>
        <w:rPr/>
        <w:t>（一）行业格局和趋势 </w:t>
      </w:r>
      <w:r>
        <w:rPr>
          <w:spacing w:val="-4"/>
        </w:rPr>
        <w:t>党的十九大报告明确提出，要推动文化事业和文化产业的发展，健全现代文化产业体系和市场体系，创新生产经营机制，</w:t>
      </w:r>
    </w:p>
    <w:p>
      <w:pPr>
        <w:pStyle w:val="BodyText"/>
        <w:spacing w:line="316" w:lineRule="auto" w:before="17"/>
        <w:ind w:left="674" w:right="603"/>
        <w:jc w:val="both"/>
      </w:pPr>
      <w:r>
        <w:rPr>
          <w:spacing w:val="-4"/>
        </w:rPr>
        <w:t>完善文化经济政策，培育新型文化业态。加强中外人文交流，以我为主、兼收并蓄。推进国际传播能力建设，讲好中国故事，</w:t>
      </w:r>
      <w:r>
        <w:rPr>
          <w:spacing w:val="-44"/>
        </w:rPr>
        <w:t> </w:t>
      </w:r>
      <w:r>
        <w:rPr>
          <w:spacing w:val="-44"/>
        </w:rPr>
      </w:r>
      <w:r>
        <w:rPr/>
        <w:t>展现真实、立体、全面的中国，提高国家文化软实力。</w:t>
      </w:r>
    </w:p>
    <w:p>
      <w:pPr>
        <w:pStyle w:val="BodyText"/>
        <w:spacing w:line="316" w:lineRule="auto" w:before="19"/>
        <w:ind w:left="674" w:right="691" w:firstLine="360"/>
        <w:jc w:val="both"/>
      </w:pPr>
      <w:r>
        <w:rPr>
          <w:spacing w:val="-2"/>
        </w:rPr>
        <w:t>“十三五”规划建议明确提出，到</w:t>
      </w:r>
      <w:r>
        <w:rPr>
          <w:rFonts w:ascii="宋体" w:hAnsi="宋体" w:cs="宋体" w:eastAsia="宋体" w:hint="default"/>
          <w:spacing w:val="-2"/>
        </w:rPr>
        <w:t>2020</w:t>
      </w:r>
      <w:r>
        <w:rPr>
          <w:spacing w:val="-2"/>
        </w:rPr>
        <w:t>年文化产业要成为国民经济支柱性产业。根据该目标，文化产业未来的增加值至</w:t>
      </w:r>
      <w:r>
        <w:rPr/>
        <w:t> </w:t>
      </w:r>
      <w:r>
        <w:rPr>
          <w:spacing w:val="-2"/>
        </w:rPr>
        <w:t>少应该达到</w:t>
      </w:r>
      <w:r>
        <w:rPr>
          <w:rFonts w:ascii="宋体" w:hAnsi="宋体" w:cs="宋体" w:eastAsia="宋体" w:hint="default"/>
          <w:spacing w:val="-2"/>
        </w:rPr>
        <w:t>5</w:t>
      </w:r>
      <w:r>
        <w:rPr>
          <w:spacing w:val="-2"/>
        </w:rPr>
        <w:t>万亿元，年均名义增长率至少要保持在</w:t>
      </w:r>
      <w:r>
        <w:rPr>
          <w:rFonts w:ascii="宋体" w:hAnsi="宋体" w:cs="宋体" w:eastAsia="宋体" w:hint="default"/>
          <w:spacing w:val="-2"/>
        </w:rPr>
        <w:t>13%</w:t>
      </w:r>
      <w:r>
        <w:rPr>
          <w:spacing w:val="-2"/>
        </w:rPr>
        <w:t>以上，这也就意味着作为文化产业重要组成部分的传媒产业在“十三</w:t>
      </w:r>
      <w:r>
        <w:rPr>
          <w:spacing w:val="-62"/>
        </w:rPr>
        <w:t> </w:t>
      </w:r>
      <w:r>
        <w:rPr>
          <w:spacing w:val="-62"/>
        </w:rPr>
      </w:r>
      <w:r>
        <w:rPr/>
        <w:t>五”期间将保持总体上的高速增长。</w:t>
      </w:r>
    </w:p>
    <w:p>
      <w:pPr>
        <w:pStyle w:val="BodyText"/>
        <w:spacing w:line="316" w:lineRule="auto" w:before="19"/>
        <w:ind w:left="674" w:right="692" w:firstLine="360"/>
        <w:jc w:val="both"/>
      </w:pPr>
      <w:r>
        <w:rPr>
          <w:spacing w:val="-2"/>
        </w:rPr>
        <w:t>整合营销行业经过几十年的发展，已经逐步进入稳定期，市场充分竞争态势明显，行业集中度也在持续提升。随着“互</w:t>
      </w:r>
      <w:r>
        <w:rPr/>
        <w:t> 联网</w:t>
      </w:r>
      <w:r>
        <w:rPr>
          <w:rFonts w:ascii="宋体" w:hAnsi="宋体" w:cs="宋体" w:eastAsia="宋体" w:hint="default"/>
        </w:rPr>
        <w:t>+</w:t>
      </w:r>
      <w:r>
        <w:rPr/>
        <w:t>”概念、大数据、人工智能等在整合营销领域的渗透率进一步提升，广告主对数字化、场景化、智能化的整合营销需 求也在进一步加大。</w:t>
      </w:r>
    </w:p>
    <w:p>
      <w:pPr>
        <w:pStyle w:val="BodyText"/>
        <w:spacing w:line="316" w:lineRule="auto" w:before="19"/>
        <w:ind w:left="1034" w:right="588"/>
        <w:jc w:val="left"/>
      </w:pPr>
      <w:r>
        <w:rPr/>
        <w:t>（二）公司发展战略 </w:t>
      </w:r>
      <w:r>
        <w:rPr>
          <w:spacing w:val="-2"/>
        </w:rPr>
        <w:t>公司始终秉持</w:t>
      </w:r>
      <w:r>
        <w:rPr>
          <w:rFonts w:ascii="Times New Roman" w:hAnsi="Times New Roman" w:cs="Times New Roman" w:eastAsia="Times New Roman" w:hint="default"/>
          <w:spacing w:val="-2"/>
        </w:rPr>
        <w:t>"</w:t>
      </w:r>
      <w:r>
        <w:rPr>
          <w:spacing w:val="-2"/>
        </w:rPr>
        <w:t>合适就是竞争力</w:t>
      </w:r>
      <w:r>
        <w:rPr>
          <w:rFonts w:ascii="Times New Roman" w:hAnsi="Times New Roman" w:cs="Times New Roman" w:eastAsia="Times New Roman" w:hint="default"/>
          <w:spacing w:val="-2"/>
        </w:rPr>
        <w:t>"</w:t>
      </w:r>
      <w:r>
        <w:rPr>
          <w:spacing w:val="-2"/>
        </w:rPr>
        <w:t>的传播哲学，以打造</w:t>
      </w:r>
      <w:r>
        <w:rPr>
          <w:rFonts w:ascii="Times New Roman" w:hAnsi="Times New Roman" w:cs="Times New Roman" w:eastAsia="Times New Roman" w:hint="default"/>
          <w:spacing w:val="-2"/>
        </w:rPr>
        <w:t>"</w:t>
      </w:r>
      <w:r>
        <w:rPr>
          <w:spacing w:val="-2"/>
        </w:rPr>
        <w:t>中国传播行业第一推动力</w:t>
      </w:r>
      <w:r>
        <w:rPr>
          <w:rFonts w:ascii="Times New Roman" w:hAnsi="Times New Roman" w:cs="Times New Roman" w:eastAsia="Times New Roman" w:hint="default"/>
          <w:spacing w:val="-2"/>
        </w:rPr>
        <w:t>"</w:t>
      </w:r>
      <w:r>
        <w:rPr>
          <w:spacing w:val="-2"/>
        </w:rPr>
        <w:t>为使命，通过整合各种不同的服务机构、</w:t>
      </w:r>
    </w:p>
    <w:p>
      <w:pPr>
        <w:pStyle w:val="BodyText"/>
        <w:spacing w:line="309" w:lineRule="auto"/>
        <w:ind w:left="674" w:right="691"/>
        <w:jc w:val="both"/>
      </w:pPr>
      <w:r>
        <w:rPr>
          <w:spacing w:val="-2"/>
        </w:rPr>
        <w:t>各种媒介资源、各种营销技术和手段，可以配合客户的目标市场及渠道、终端，为客户量身定制从品牌认知到产品体验的全</w:t>
      </w:r>
      <w:r>
        <w:rPr>
          <w:spacing w:val="-66"/>
        </w:rPr>
        <w:t> </w:t>
      </w:r>
      <w:r>
        <w:rPr>
          <w:spacing w:val="-66"/>
        </w:rPr>
      </w:r>
      <w:r>
        <w:rPr/>
        <w:t>方位整合营销传播服务，经过多年的行业积累，已形成以营销策略及创意内容为核心、以</w:t>
      </w:r>
      <w:r>
        <w:rPr>
          <w:rFonts w:ascii="Times New Roman" w:hAnsi="Times New Roman" w:cs="Times New Roman" w:eastAsia="Times New Roman" w:hint="default"/>
        </w:rPr>
        <w:t>"</w:t>
      </w:r>
      <w:r>
        <w:rPr/>
        <w:t>传统传播渠道</w:t>
      </w:r>
      <w:r>
        <w:rPr>
          <w:rFonts w:ascii="Times New Roman" w:hAnsi="Times New Roman" w:cs="Times New Roman" w:eastAsia="Times New Roman" w:hint="default"/>
        </w:rPr>
        <w:t>+</w:t>
      </w:r>
      <w:r>
        <w:rPr/>
        <w:t>数字传播渠道</w:t>
      </w:r>
      <w:r>
        <w:rPr>
          <w:rFonts w:ascii="Times New Roman" w:hAnsi="Times New Roman" w:cs="Times New Roman" w:eastAsia="Times New Roman" w:hint="default"/>
        </w:rPr>
        <w:t>"</w:t>
      </w:r>
      <w:r>
        <w:rPr/>
        <w:t>为 通路的品牌全传播服务模式。</w:t>
      </w:r>
    </w:p>
    <w:p>
      <w:pPr>
        <w:pStyle w:val="BodyText"/>
        <w:spacing w:line="309" w:lineRule="auto" w:before="24"/>
        <w:ind w:left="674" w:right="691" w:firstLine="360"/>
        <w:jc w:val="both"/>
      </w:pPr>
      <w:r>
        <w:rPr>
          <w:spacing w:val="-2"/>
        </w:rPr>
        <w:t>未来，在中国产业转型腾飞的发展大趋势下，公司将结合自身发展需要，以及募集资金投资项目的实施，通过产业资源</w:t>
      </w:r>
      <w:r>
        <w:rPr/>
        <w:t> </w:t>
      </w:r>
      <w:r>
        <w:rPr>
          <w:spacing w:val="-1"/>
        </w:rPr>
        <w:t>整合、前沿技术引入、激励体系完善、并购投资整合等战略手段的实施，力争实现</w:t>
      </w:r>
      <w:r>
        <w:rPr>
          <w:rFonts w:ascii="Times New Roman" w:hAnsi="Times New Roman" w:cs="Times New Roman" w:eastAsia="Times New Roman" w:hint="default"/>
          <w:spacing w:val="-1"/>
        </w:rPr>
        <w:t>"</w:t>
      </w:r>
      <w:r>
        <w:rPr>
          <w:spacing w:val="-1"/>
        </w:rPr>
        <w:t>数字化、全球化</w:t>
      </w:r>
      <w:r>
        <w:rPr>
          <w:rFonts w:ascii="Times New Roman" w:hAnsi="Times New Roman" w:cs="Times New Roman" w:eastAsia="Times New Roman" w:hint="default"/>
          <w:spacing w:val="-1"/>
        </w:rPr>
        <w:t>"</w:t>
      </w:r>
      <w:r>
        <w:rPr>
          <w:spacing w:val="-1"/>
        </w:rPr>
        <w:t>的战略目标，将公司打</w:t>
      </w:r>
      <w:r>
        <w:rPr/>
        <w:t> 造为来自中国的、具有全球影响力的、行业领先的整合营销传播服务提供商。</w:t>
      </w:r>
    </w:p>
    <w:p>
      <w:pPr>
        <w:pStyle w:val="BodyText"/>
        <w:spacing w:line="300" w:lineRule="auto" w:before="24"/>
        <w:ind w:left="1034" w:right="588"/>
        <w:jc w:val="left"/>
      </w:pPr>
      <w:r>
        <w:rPr>
          <w:rFonts w:ascii="Times New Roman" w:hAnsi="Times New Roman" w:cs="Times New Roman" w:eastAsia="Times New Roman" w:hint="default"/>
        </w:rPr>
        <w:t>1</w:t>
      </w:r>
      <w:r>
        <w:rPr/>
        <w:t>、精细化管理体系升级和优化 </w:t>
      </w:r>
      <w:r>
        <w:rPr>
          <w:spacing w:val="-2"/>
        </w:rPr>
        <w:t>随着公司业务规模和业务形式的不断发展，包括人力、财务、采购、信息安全、内部社区及知识系统等在内的内部管理</w:t>
      </w:r>
    </w:p>
    <w:p>
      <w:pPr>
        <w:pStyle w:val="BodyText"/>
        <w:spacing w:line="316" w:lineRule="auto" w:before="31"/>
        <w:ind w:left="674" w:right="692"/>
        <w:jc w:val="both"/>
      </w:pPr>
      <w:r>
        <w:rPr>
          <w:spacing w:val="-2"/>
        </w:rPr>
        <w:t>系统的升级和优化已经成为日渐突出的需求。报告期内，公司对内部管理体系进行了持续升级和优化，一方面适应业务规模</w:t>
      </w:r>
      <w:r>
        <w:rPr>
          <w:spacing w:val="-66"/>
        </w:rPr>
        <w:t> </w:t>
      </w:r>
      <w:r>
        <w:rPr>
          <w:spacing w:val="-66"/>
        </w:rPr>
      </w:r>
      <w:r>
        <w:rPr>
          <w:spacing w:val="-2"/>
        </w:rPr>
        <w:t>和服务网络发展带来的管理需求，另一方面通过内部管理系统的升级和优化提升公司管控业务技术平台的能力，从而进一步</w:t>
      </w:r>
      <w:r>
        <w:rPr>
          <w:spacing w:val="-64"/>
        </w:rPr>
        <w:t> </w:t>
      </w:r>
      <w:r>
        <w:rPr>
          <w:spacing w:val="-64"/>
        </w:rPr>
      </w:r>
      <w:r>
        <w:rPr/>
        <w:t>提高公司的业务竞争力。</w:t>
      </w:r>
    </w:p>
    <w:p>
      <w:pPr>
        <w:spacing w:after="0" w:line="316" w:lineRule="auto"/>
        <w:jc w:val="both"/>
        <w:sectPr>
          <w:pgSz w:w="11910" w:h="16840"/>
          <w:pgMar w:header="747" w:footer="979" w:top="1060" w:bottom="1160" w:left="460" w:right="440"/>
        </w:sectPr>
      </w:pPr>
    </w:p>
    <w:p>
      <w:pPr>
        <w:spacing w:line="240" w:lineRule="auto" w:before="12"/>
        <w:rPr>
          <w:rFonts w:ascii="宋体" w:hAnsi="宋体" w:cs="宋体" w:eastAsia="宋体" w:hint="default"/>
          <w:sz w:val="25"/>
          <w:szCs w:val="25"/>
        </w:rPr>
      </w:pPr>
    </w:p>
    <w:p>
      <w:pPr>
        <w:pStyle w:val="BodyText"/>
        <w:spacing w:line="300" w:lineRule="auto" w:before="44"/>
        <w:ind w:left="514" w:right="92"/>
        <w:jc w:val="left"/>
      </w:pPr>
      <w:r>
        <w:rPr>
          <w:rFonts w:ascii="Times New Roman" w:hAnsi="Times New Roman" w:cs="Times New Roman" w:eastAsia="Times New Roman" w:hint="default"/>
        </w:rPr>
        <w:t>2</w:t>
      </w:r>
      <w:r>
        <w:rPr/>
        <w:t>、人力资源储备及激励体系完善 </w:t>
      </w:r>
      <w:r>
        <w:rPr>
          <w:spacing w:val="-2"/>
        </w:rPr>
        <w:t>高素质、具有职业品格的人才是公司业务发展的基石和保障，因此，公司在未来两年中将建设和完善在业内具有领先竞</w:t>
      </w:r>
    </w:p>
    <w:p>
      <w:pPr>
        <w:pStyle w:val="BodyText"/>
        <w:spacing w:line="319" w:lineRule="auto" w:before="31"/>
        <w:ind w:right="92"/>
        <w:jc w:val="left"/>
      </w:pPr>
      <w:r>
        <w:rPr>
          <w:spacing w:val="-2"/>
        </w:rPr>
        <w:t>争力的人才薪酬、福利、培训及职业规划体系。公司将具体做好以下工作：完善人力资源管理体系；制定科学合理的招聘选</w:t>
      </w:r>
      <w:r>
        <w:rPr>
          <w:spacing w:val="-66"/>
        </w:rPr>
        <w:t> </w:t>
      </w:r>
      <w:r>
        <w:rPr>
          <w:spacing w:val="-66"/>
        </w:rPr>
      </w:r>
      <w:r>
        <w:rPr>
          <w:spacing w:val="-4"/>
        </w:rPr>
        <w:t>拔体系和完善的培训体系；建立切实有效的绩效考核制度和激励机制；加强核心人才队伍的建设；积极建设和培养后备团队；</w:t>
      </w:r>
      <w:r>
        <w:rPr>
          <w:spacing w:val="-44"/>
        </w:rPr>
        <w:t> </w:t>
      </w:r>
      <w:r>
        <w:rPr>
          <w:spacing w:val="-44"/>
        </w:rPr>
      </w:r>
      <w:r>
        <w:rPr>
          <w:spacing w:val="-2"/>
        </w:rPr>
        <w:t>大力引进高端创意、营销、策划等专业人才。总之，公司把人力资源的开发和管理上升到企业战略层面予以考虑，以较大的</w:t>
      </w:r>
      <w:r>
        <w:rPr>
          <w:spacing w:val="-65"/>
        </w:rPr>
        <w:t> </w:t>
      </w:r>
      <w:r>
        <w:rPr>
          <w:spacing w:val="-65"/>
        </w:rPr>
      </w:r>
      <w:r>
        <w:rPr/>
        <w:t>投入来开发、获得、保持与激励企业战略实施所需的人才，实现企业价值共享。</w:t>
      </w:r>
    </w:p>
    <w:p>
      <w:pPr>
        <w:pStyle w:val="BodyText"/>
        <w:spacing w:line="300" w:lineRule="auto" w:before="17"/>
        <w:ind w:left="514" w:right="92"/>
        <w:jc w:val="left"/>
      </w:pPr>
      <w:r>
        <w:rPr>
          <w:rFonts w:ascii="Times New Roman" w:hAnsi="Times New Roman" w:cs="Times New Roman" w:eastAsia="Times New Roman" w:hint="default"/>
        </w:rPr>
        <w:t>3</w:t>
      </w:r>
      <w:r>
        <w:rPr/>
        <w:t>、积极开展并购整合，拓展投资合作 </w:t>
      </w:r>
      <w:r>
        <w:rPr>
          <w:spacing w:val="-2"/>
        </w:rPr>
        <w:t>结合数字营销领域飞速发展的态势，围绕公司主营业务发展需要，公司将适时选取在不同板块上具有独特竞争优势且具</w:t>
      </w:r>
    </w:p>
    <w:p>
      <w:pPr>
        <w:pStyle w:val="BodyText"/>
        <w:spacing w:line="316" w:lineRule="auto" w:before="31"/>
        <w:ind w:right="92"/>
        <w:jc w:val="left"/>
      </w:pPr>
      <w:r>
        <w:rPr>
          <w:spacing w:val="-2"/>
        </w:rPr>
        <w:t>备一定业务基础的行业潜力企业，进行多种形式的并购和整合，实现在行业资源、经营效率和服务能力上的持续优化。公司</w:t>
      </w:r>
      <w:r>
        <w:rPr>
          <w:spacing w:val="-66"/>
        </w:rPr>
        <w:t> </w:t>
      </w:r>
      <w:r>
        <w:rPr>
          <w:spacing w:val="-66"/>
        </w:rPr>
      </w:r>
      <w:r>
        <w:rPr/>
        <w:t>也会积极拓展在创新领域的投资，并加强合作，强化公司在全面服务和整合营销各个环节上的独特优势和竞争力。</w:t>
      </w:r>
    </w:p>
    <w:p>
      <w:pPr>
        <w:pStyle w:val="BodyText"/>
        <w:spacing w:line="300" w:lineRule="auto" w:before="19"/>
        <w:ind w:left="514" w:right="92"/>
        <w:jc w:val="left"/>
      </w:pPr>
      <w:r>
        <w:rPr>
          <w:rFonts w:ascii="Times New Roman" w:hAnsi="Times New Roman" w:cs="Times New Roman" w:eastAsia="Times New Roman" w:hint="default"/>
        </w:rPr>
        <w:t>4</w:t>
      </w:r>
      <w:r>
        <w:rPr/>
        <w:t>、境外业务网络建设 </w:t>
      </w:r>
      <w:r>
        <w:rPr>
          <w:spacing w:val="-2"/>
        </w:rPr>
        <w:t>在经济和产业全球化的趋势之下，领先的中国企业和中国品牌已经开始了全球化的战略布局与业务实施；与此同时，随</w:t>
      </w:r>
    </w:p>
    <w:p>
      <w:pPr>
        <w:pStyle w:val="BodyText"/>
        <w:spacing w:line="316" w:lineRule="auto" w:before="31"/>
        <w:ind w:right="92"/>
        <w:jc w:val="left"/>
      </w:pPr>
      <w:r>
        <w:rPr>
          <w:spacing w:val="-2"/>
        </w:rPr>
        <w:t>着中国消费市场的不断扩大，全球品牌越来越重视利用本土化思维以及在地化团队深耕在中国的品牌营销。为了顺应这一全</w:t>
      </w:r>
      <w:r>
        <w:rPr>
          <w:spacing w:val="-64"/>
        </w:rPr>
        <w:t> </w:t>
      </w:r>
      <w:r>
        <w:rPr>
          <w:spacing w:val="-64"/>
        </w:rPr>
      </w:r>
      <w:r>
        <w:rPr/>
        <w:t>球化的大趋势，满足不断涌现的国际化营销服务需求，为公司未来全面整合全球营销产业资源进而保持可持续的竞争优势， </w:t>
      </w:r>
      <w:r>
        <w:rPr>
          <w:spacing w:val="-2"/>
        </w:rPr>
        <w:t>公司拟在未来三年在亚太（除中国大陆）、欧洲、北美设立分支机构及业务网络，一方面通过派驻骨干员工和在地招聘的方</w:t>
      </w:r>
      <w:r>
        <w:rPr>
          <w:spacing w:val="-66"/>
        </w:rPr>
        <w:t> </w:t>
      </w:r>
      <w:r>
        <w:rPr>
          <w:spacing w:val="-66"/>
        </w:rPr>
      </w:r>
      <w:r>
        <w:rPr>
          <w:spacing w:val="-2"/>
        </w:rPr>
        <w:t>式强化服务能力，另一方面积极整合在地营销及媒介和创意资源。境外业务网络建设为中国品牌主提供全球营销服务网络及</w:t>
      </w:r>
      <w:r>
        <w:rPr>
          <w:spacing w:val="-64"/>
        </w:rPr>
        <w:t> </w:t>
      </w:r>
      <w:r>
        <w:rPr>
          <w:spacing w:val="-64"/>
        </w:rPr>
      </w:r>
      <w:r>
        <w:rPr>
          <w:spacing w:val="-4"/>
        </w:rPr>
        <w:t>在地化的策划创意执行，同时为全球品牌主提供直接对接总部及全球分支机构的策略及服务支持，保障公司为其在中国大陆、</w:t>
      </w:r>
      <w:r>
        <w:rPr>
          <w:spacing w:val="-44"/>
        </w:rPr>
        <w:t> </w:t>
      </w:r>
      <w:r>
        <w:rPr>
          <w:spacing w:val="-44"/>
        </w:rPr>
      </w:r>
      <w:r>
        <w:rPr/>
        <w:t>欧洲地区、亚太地区、北美地区，直至全球市场提供高效、专业、精准的服务。</w:t>
      </w:r>
    </w:p>
    <w:p>
      <w:pPr>
        <w:pStyle w:val="BodyText"/>
        <w:spacing w:line="240" w:lineRule="auto" w:before="19"/>
        <w:ind w:left="514" w:right="92"/>
        <w:jc w:val="left"/>
      </w:pPr>
      <w:r>
        <w:rPr/>
        <w:t>（三）可能面对的风险</w:t>
      </w:r>
    </w:p>
    <w:p>
      <w:pPr>
        <w:pStyle w:val="BodyText"/>
        <w:spacing w:line="240" w:lineRule="auto" w:before="76"/>
        <w:ind w:left="514" w:right="92"/>
        <w:jc w:val="left"/>
      </w:pPr>
      <w:r>
        <w:rPr>
          <w:rFonts w:ascii="Times New Roman" w:hAnsi="Times New Roman" w:cs="Times New Roman" w:eastAsia="Times New Roman" w:hint="default"/>
        </w:rPr>
        <w:t>1</w:t>
      </w:r>
      <w:r>
        <w:rPr/>
        <w:t>、客户行业集中的风险</w:t>
      </w:r>
    </w:p>
    <w:p>
      <w:pPr>
        <w:pStyle w:val="BodyText"/>
        <w:spacing w:line="300" w:lineRule="auto" w:before="63"/>
        <w:ind w:right="158" w:firstLine="360"/>
        <w:jc w:val="left"/>
      </w:pPr>
      <w:r>
        <w:rPr/>
        <w:t>公司的客户主要集中于汽车行业，</w:t>
      </w:r>
      <w:r>
        <w:rPr>
          <w:spacing w:val="-1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年和</w:t>
      </w:r>
      <w:r>
        <w:rPr>
          <w:rFonts w:ascii="Times New Roman" w:hAnsi="Times New Roman" w:cs="Times New Roman" w:eastAsia="Times New Roman" w:hint="default"/>
        </w:rPr>
        <w:t>2017</w:t>
      </w:r>
      <w:r>
        <w:rPr/>
        <w:t>年，公司来源于汽车行业的收入占公司当年营业收入的比重 分别为</w:t>
      </w:r>
      <w:r>
        <w:rPr>
          <w:rFonts w:ascii="Times New Roman" w:hAnsi="Times New Roman" w:cs="Times New Roman" w:eastAsia="Times New Roman" w:hint="default"/>
        </w:rPr>
        <w:t>65.22%</w:t>
      </w:r>
      <w:r>
        <w:rPr/>
        <w:t>、</w:t>
      </w:r>
      <w:r>
        <w:rPr>
          <w:rFonts w:ascii="Times New Roman" w:hAnsi="Times New Roman" w:cs="Times New Roman" w:eastAsia="Times New Roman" w:hint="default"/>
        </w:rPr>
        <w:t>63.63%</w:t>
      </w:r>
      <w:r>
        <w:rPr/>
        <w:t>和</w:t>
      </w:r>
      <w:r>
        <w:rPr>
          <w:spacing w:val="-21"/>
        </w:rPr>
        <w:t> </w:t>
      </w:r>
      <w:r>
        <w:rPr>
          <w:rFonts w:ascii="Times New Roman" w:hAnsi="Times New Roman" w:cs="Times New Roman" w:eastAsia="Times New Roman" w:hint="default"/>
        </w:rPr>
        <w:t>47.60%</w:t>
      </w:r>
      <w:r>
        <w:rPr/>
        <w:t>。如果未来汽车行业的发展环境发生重大不利变化，将可能对公司的业务产生不利影响。</w:t>
      </w:r>
    </w:p>
    <w:p>
      <w:pPr>
        <w:pStyle w:val="BodyText"/>
        <w:spacing w:line="300" w:lineRule="auto" w:before="13"/>
        <w:ind w:left="514" w:right="92"/>
        <w:jc w:val="left"/>
      </w:pPr>
      <w:r>
        <w:rPr>
          <w:rFonts w:ascii="Times New Roman" w:hAnsi="Times New Roman" w:cs="Times New Roman" w:eastAsia="Times New Roman" w:hint="default"/>
        </w:rPr>
        <w:t>2</w:t>
      </w:r>
      <w:r>
        <w:rPr/>
        <w:t>、宏观经济波动的风险 </w:t>
      </w:r>
      <w:r>
        <w:rPr>
          <w:spacing w:val="-2"/>
        </w:rPr>
        <w:t>作为商务服务业的一个分支，整合营销传播服务行业的下游涉及汽车、互联网及信息技术、快速消费品等多个行业，整</w:t>
      </w:r>
    </w:p>
    <w:p>
      <w:pPr>
        <w:pStyle w:val="BodyText"/>
        <w:spacing w:line="316" w:lineRule="auto" w:before="31"/>
        <w:ind w:right="192"/>
        <w:jc w:val="both"/>
      </w:pPr>
      <w:r>
        <w:rPr>
          <w:spacing w:val="-2"/>
        </w:rPr>
        <w:t>合营销传播服务行业与下游行业的营销需求密切相关。品牌主所处行业的发展状况直接影响其营销预算，从而间接影响整合</w:t>
      </w:r>
      <w:r>
        <w:rPr>
          <w:spacing w:val="-64"/>
        </w:rPr>
        <w:t> </w:t>
      </w:r>
      <w:r>
        <w:rPr>
          <w:spacing w:val="-64"/>
        </w:rPr>
      </w:r>
      <w:r>
        <w:rPr>
          <w:spacing w:val="-2"/>
        </w:rPr>
        <w:t>营销传播服务业的发展和公司的经营状况。如果未来宏观经济运行出现较大幅度的波动，会对公司下游行业的景气程度和生</w:t>
      </w:r>
      <w:r>
        <w:rPr>
          <w:spacing w:val="-64"/>
        </w:rPr>
        <w:t> </w:t>
      </w:r>
      <w:r>
        <w:rPr>
          <w:spacing w:val="-64"/>
        </w:rPr>
      </w:r>
      <w:r>
        <w:rPr/>
        <w:t>产经营状况产生影响，并间接影响公司的经营业绩。</w:t>
      </w:r>
    </w:p>
    <w:p>
      <w:pPr>
        <w:pStyle w:val="BodyText"/>
        <w:spacing w:line="300" w:lineRule="auto" w:before="19"/>
        <w:ind w:left="514" w:right="92"/>
        <w:jc w:val="left"/>
      </w:pPr>
      <w:r>
        <w:rPr>
          <w:rFonts w:ascii="Times New Roman" w:hAnsi="Times New Roman" w:cs="Times New Roman" w:eastAsia="Times New Roman" w:hint="default"/>
        </w:rPr>
        <w:t>3</w:t>
      </w:r>
      <w:r>
        <w:rPr/>
        <w:t>、行业竞争风险 </w:t>
      </w:r>
      <w:r>
        <w:rPr>
          <w:spacing w:val="-4"/>
        </w:rPr>
        <w:t>整合营销传播服务行业是充分竞争的行业，行业内企业众多，行业集中度相对较低，而随着近年来行业并购潮流的兴起，</w:t>
      </w:r>
    </w:p>
    <w:p>
      <w:pPr>
        <w:pStyle w:val="BodyText"/>
        <w:spacing w:line="316" w:lineRule="auto" w:before="31"/>
        <w:ind w:right="193"/>
        <w:jc w:val="both"/>
      </w:pPr>
      <w:r>
        <w:rPr>
          <w:spacing w:val="-2"/>
        </w:rPr>
        <w:t>国内整合营销传播服务行业的竞争进一步加剧。另外，整合营销传播服务行业在国内市场的发展历史较短，主要实行行业自</w:t>
      </w:r>
      <w:r>
        <w:rPr>
          <w:spacing w:val="-66"/>
        </w:rPr>
        <w:t> </w:t>
      </w:r>
      <w:r>
        <w:rPr>
          <w:spacing w:val="-66"/>
        </w:rPr>
      </w:r>
      <w:r>
        <w:rPr>
          <w:spacing w:val="-2"/>
        </w:rPr>
        <w:t>律的管理体制，行业无明确的主管部门监督管理，相关法律法规也较为缺乏，整合营销传播服务市场的无序竞争可能会加大</w:t>
      </w:r>
      <w:r>
        <w:rPr>
          <w:spacing w:val="-66"/>
        </w:rPr>
        <w:t> </w:t>
      </w:r>
      <w:r>
        <w:rPr>
          <w:spacing w:val="-66"/>
        </w:rPr>
      </w:r>
      <w:r>
        <w:rPr/>
        <w:t>公司的经营风险。</w:t>
      </w:r>
    </w:p>
    <w:p>
      <w:pPr>
        <w:pStyle w:val="BodyText"/>
        <w:spacing w:line="300" w:lineRule="auto" w:before="19"/>
        <w:ind w:left="514" w:right="227"/>
        <w:jc w:val="left"/>
      </w:pPr>
      <w:r>
        <w:rPr>
          <w:rFonts w:ascii="Times New Roman" w:hAnsi="Times New Roman" w:cs="Times New Roman" w:eastAsia="Times New Roman" w:hint="default"/>
        </w:rPr>
        <w:t>4</w:t>
      </w:r>
      <w:r>
        <w:rPr/>
        <w:t>、客户集中度相对较高的风险 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年和</w:t>
      </w:r>
      <w:r>
        <w:rPr>
          <w:rFonts w:ascii="Times New Roman" w:hAnsi="Times New Roman" w:cs="Times New Roman" w:eastAsia="Times New Roman" w:hint="default"/>
        </w:rPr>
        <w:t>2017</w:t>
      </w:r>
      <w:r>
        <w:rPr/>
        <w:t>年前五大客户的收入占公司当年营业收入的比重分别为</w:t>
      </w:r>
      <w:r>
        <w:rPr>
          <w:rFonts w:ascii="Times New Roman" w:hAnsi="Times New Roman" w:cs="Times New Roman" w:eastAsia="Times New Roman" w:hint="default"/>
        </w:rPr>
        <w:t>55.11%</w:t>
      </w:r>
      <w:r>
        <w:rPr/>
        <w:t>、</w:t>
      </w:r>
      <w:r>
        <w:rPr>
          <w:rFonts w:ascii="Times New Roman" w:hAnsi="Times New Roman" w:cs="Times New Roman" w:eastAsia="Times New Roman" w:hint="default"/>
        </w:rPr>
        <w:t>53.39%</w:t>
      </w:r>
      <w:r>
        <w:rPr/>
        <w:t>和</w:t>
      </w:r>
      <w:r>
        <w:rPr>
          <w:rFonts w:ascii="Times New Roman" w:hAnsi="Times New Roman" w:cs="Times New Roman" w:eastAsia="Times New Roman" w:hint="default"/>
        </w:rPr>
        <w:t>45.96%</w:t>
      </w:r>
      <w:r>
        <w:rPr/>
        <w:t>，客户集</w:t>
      </w:r>
    </w:p>
    <w:p>
      <w:pPr>
        <w:pStyle w:val="BodyText"/>
        <w:spacing w:line="316" w:lineRule="auto" w:before="13"/>
        <w:ind w:right="191"/>
        <w:jc w:val="both"/>
      </w:pPr>
      <w:r>
        <w:rPr>
          <w:spacing w:val="-2"/>
        </w:rPr>
        <w:t>中度相对较高。未来如果公司不能巩固和提高综合竞争优势、持续拓展客户数量、扩大业务规模，或者公司主要客户由于所</w:t>
      </w:r>
      <w:r>
        <w:rPr>
          <w:spacing w:val="-66"/>
        </w:rPr>
        <w:t> </w:t>
      </w:r>
      <w:r>
        <w:rPr>
          <w:spacing w:val="-66"/>
        </w:rPr>
      </w:r>
      <w:r>
        <w:rPr>
          <w:spacing w:val="-2"/>
        </w:rPr>
        <w:t>处行业周期波动、自身经营不善等原因而大幅降低进行营销传播的相关预算，或者公司主要客户由于自身原因减少甚至停止</w:t>
      </w:r>
      <w:r>
        <w:rPr>
          <w:spacing w:val="-64"/>
        </w:rPr>
        <w:t> </w:t>
      </w:r>
      <w:r>
        <w:rPr>
          <w:spacing w:val="-64"/>
        </w:rPr>
      </w:r>
      <w:r>
        <w:rPr/>
        <w:t>与公司的业务合作，公司经营业绩都将受到重大不利影响。</w:t>
      </w:r>
    </w:p>
    <w:p>
      <w:pPr>
        <w:pStyle w:val="BodyText"/>
        <w:spacing w:line="300" w:lineRule="auto" w:before="19"/>
        <w:ind w:left="514" w:right="92"/>
        <w:jc w:val="left"/>
      </w:pPr>
      <w:r>
        <w:rPr>
          <w:rFonts w:ascii="Times New Roman" w:hAnsi="Times New Roman" w:cs="Times New Roman" w:eastAsia="Times New Roman" w:hint="default"/>
        </w:rPr>
        <w:t>5</w:t>
      </w:r>
      <w:r>
        <w:rPr/>
        <w:t>、人才流失的风险 </w:t>
      </w:r>
      <w:r>
        <w:rPr>
          <w:spacing w:val="-2"/>
        </w:rPr>
        <w:t>整合营销传播服务业是高度依赖专业人才的行业，人才是该行业最重要的生产要素。由于该行业为新兴行业，专业人才</w:t>
      </w:r>
    </w:p>
    <w:p>
      <w:pPr>
        <w:pStyle w:val="BodyText"/>
        <w:spacing w:line="319" w:lineRule="auto" w:before="31"/>
        <w:ind w:right="92"/>
        <w:jc w:val="left"/>
      </w:pPr>
      <w:r>
        <w:rPr>
          <w:spacing w:val="-2"/>
        </w:rPr>
        <w:t>较为紧缺，特别是中高级管理人员非常紧俏。随着公司发展规模的不断扩大，对人才的需求将进一步加大，公司管理团队及</w:t>
      </w:r>
      <w:r>
        <w:rPr>
          <w:spacing w:val="-66"/>
        </w:rPr>
        <w:t> </w:t>
      </w:r>
      <w:r>
        <w:rPr>
          <w:spacing w:val="-66"/>
        </w:rPr>
      </w:r>
      <w:r>
        <w:rPr>
          <w:spacing w:val="-4"/>
        </w:rPr>
        <w:t>员工队伍能否保持稳定是决定公司长期发展的重要因素。虽然公司拥有良好的企业文化、经营机制，但随着市场竞争的加剧，</w:t>
      </w:r>
      <w:r>
        <w:rPr>
          <w:spacing w:val="-44"/>
        </w:rPr>
        <w:t> </w:t>
      </w:r>
      <w:r>
        <w:rPr>
          <w:spacing w:val="-44"/>
        </w:rPr>
      </w:r>
      <w:r>
        <w:rPr/>
        <w:t>公司仍然可能面临人才流失、人才短缺和人才梯队不健全等风险，进而对公司持续经营带来一定影响。</w:t>
      </w:r>
    </w:p>
    <w:p>
      <w:pPr>
        <w:pStyle w:val="BodyText"/>
        <w:spacing w:line="240" w:lineRule="auto" w:before="17"/>
        <w:ind w:left="514" w:right="92"/>
        <w:jc w:val="left"/>
      </w:pPr>
      <w:r>
        <w:rPr>
          <w:rFonts w:ascii="Times New Roman" w:hAnsi="Times New Roman" w:cs="Times New Roman" w:eastAsia="Times New Roman" w:hint="default"/>
        </w:rPr>
        <w:t>6</w:t>
      </w:r>
      <w:r>
        <w:rPr/>
        <w:t>、应收账款较大的风险</w:t>
      </w:r>
    </w:p>
    <w:p>
      <w:pPr>
        <w:pStyle w:val="BodyText"/>
        <w:spacing w:line="240" w:lineRule="auto" w:before="63"/>
        <w:ind w:left="514" w:right="0"/>
        <w:jc w:val="left"/>
      </w:pPr>
      <w:r>
        <w:rPr>
          <w:rFonts w:ascii="Times New Roman" w:hAnsi="Times New Roman" w:cs="Times New Roman" w:eastAsia="Times New Roman" w:hint="default"/>
        </w:rPr>
        <w:t>2015</w:t>
      </w:r>
      <w:r>
        <w:rPr/>
        <w:t>年末、</w:t>
      </w:r>
      <w:r>
        <w:rPr>
          <w:rFonts w:ascii="Times New Roman" w:hAnsi="Times New Roman" w:cs="Times New Roman" w:eastAsia="Times New Roman" w:hint="default"/>
        </w:rPr>
        <w:t>2016</w:t>
      </w:r>
      <w:r>
        <w:rPr/>
        <w:t>年末和</w:t>
      </w:r>
      <w:r>
        <w:rPr>
          <w:rFonts w:ascii="Times New Roman" w:hAnsi="Times New Roman" w:cs="Times New Roman" w:eastAsia="Times New Roman" w:hint="default"/>
        </w:rPr>
        <w:t>2017</w:t>
      </w:r>
      <w:r>
        <w:rPr/>
        <w:t>年末，公司应收账款账面价值分别为</w:t>
      </w:r>
      <w:r>
        <w:rPr>
          <w:rFonts w:ascii="Times New Roman" w:hAnsi="Times New Roman" w:cs="Times New Roman" w:eastAsia="Times New Roman" w:hint="default"/>
        </w:rPr>
        <w:t>10,579.93</w:t>
      </w:r>
      <w:r>
        <w:rPr/>
        <w:t>万元、</w:t>
      </w:r>
      <w:r>
        <w:rPr>
          <w:rFonts w:ascii="Times New Roman" w:hAnsi="Times New Roman" w:cs="Times New Roman" w:eastAsia="Times New Roman" w:hint="default"/>
        </w:rPr>
        <w:t>15,422.82</w:t>
      </w:r>
      <w:r>
        <w:rPr/>
        <w:t>万元和</w:t>
      </w:r>
      <w:r>
        <w:rPr>
          <w:rFonts w:ascii="Times New Roman" w:hAnsi="Times New Roman" w:cs="Times New Roman" w:eastAsia="Times New Roman" w:hint="default"/>
        </w:rPr>
        <w:t>25,369.47</w:t>
      </w:r>
      <w:r>
        <w:rPr/>
        <w:t>万元，占各年</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7" w:lineRule="auto" w:before="44"/>
        <w:ind w:right="92"/>
        <w:jc w:val="left"/>
      </w:pPr>
      <w:r>
        <w:rPr/>
        <w:t>末总资产的比例分别为</w:t>
      </w:r>
      <w:r>
        <w:rPr>
          <w:rFonts w:ascii="Times New Roman" w:hAnsi="Times New Roman" w:cs="Times New Roman" w:eastAsia="Times New Roman" w:hint="default"/>
        </w:rPr>
        <w:t>43.79%</w:t>
      </w:r>
      <w:r>
        <w:rPr/>
        <w:t>、</w:t>
      </w:r>
      <w:r>
        <w:rPr>
          <w:rFonts w:ascii="Times New Roman" w:hAnsi="Times New Roman" w:cs="Times New Roman" w:eastAsia="Times New Roman" w:hint="default"/>
        </w:rPr>
        <w:t>48.57%</w:t>
      </w:r>
      <w:r>
        <w:rPr/>
        <w:t>和</w:t>
      </w:r>
      <w:r>
        <w:rPr>
          <w:rFonts w:ascii="Times New Roman" w:hAnsi="Times New Roman" w:cs="Times New Roman" w:eastAsia="Times New Roman" w:hint="default"/>
        </w:rPr>
        <w:t>41.00%</w:t>
      </w:r>
      <w:r>
        <w:rPr/>
        <w:t>，占比相对较高。公司应收账款账龄较短，近三年期末，账龄在</w:t>
      </w:r>
      <w:r>
        <w:rPr>
          <w:rFonts w:ascii="Times New Roman" w:hAnsi="Times New Roman" w:cs="Times New Roman" w:eastAsia="Times New Roman" w:hint="default"/>
        </w:rPr>
        <w:t>1</w:t>
      </w:r>
      <w:r>
        <w:rPr/>
        <w:t>年以内的 应收账款占应收账款余额的比重均在</w:t>
      </w:r>
      <w:r>
        <w:rPr>
          <w:rFonts w:ascii="Times New Roman" w:hAnsi="Times New Roman" w:cs="Times New Roman" w:eastAsia="Times New Roman" w:hint="default"/>
        </w:rPr>
        <w:t>90%</w:t>
      </w:r>
      <w:r>
        <w:rPr/>
        <w:t>以上，且主要客户回款状况良好。未来，随着公司业务规模的进一步扩大，应收账 </w:t>
      </w:r>
      <w:r>
        <w:rPr>
          <w:spacing w:val="-4"/>
        </w:rPr>
        <w:t>款数额将进一步增加，如果应收账款延期收到或者发生坏账的情况，公司将面临应收账款无法按期收回甚至无法收回的风险，</w:t>
      </w:r>
      <w:r>
        <w:rPr>
          <w:spacing w:val="-44"/>
        </w:rPr>
        <w:t> </w:t>
      </w:r>
      <w:r>
        <w:rPr>
          <w:spacing w:val="-44"/>
        </w:rPr>
      </w:r>
      <w:r>
        <w:rPr/>
        <w:t>并可能进而影响公司的正常运营。</w:t>
      </w:r>
    </w:p>
    <w:p>
      <w:pPr>
        <w:pStyle w:val="BodyText"/>
        <w:spacing w:line="300" w:lineRule="auto" w:before="26"/>
        <w:ind w:left="514" w:right="92"/>
        <w:jc w:val="left"/>
      </w:pPr>
      <w:r>
        <w:rPr>
          <w:rFonts w:ascii="Times New Roman" w:hAnsi="Times New Roman" w:cs="Times New Roman" w:eastAsia="Times New Roman" w:hint="default"/>
        </w:rPr>
        <w:t>7</w:t>
      </w:r>
      <w:r>
        <w:rPr/>
        <w:t>、规模扩大带来的管理风险 </w:t>
      </w:r>
      <w:r>
        <w:rPr>
          <w:spacing w:val="-2"/>
        </w:rPr>
        <w:t>随着公司资产规模、营业收入、员工数量将会有较快的增长，规模的扩张将对公司的经营管理、项目组织、人力资源建</w:t>
      </w:r>
    </w:p>
    <w:p>
      <w:pPr>
        <w:pStyle w:val="BodyText"/>
        <w:spacing w:line="316" w:lineRule="auto" w:before="31"/>
        <w:ind w:right="92"/>
        <w:jc w:val="left"/>
      </w:pPr>
      <w:r>
        <w:rPr>
          <w:spacing w:val="-2"/>
        </w:rPr>
        <w:t>设、资金筹措及运作能力等方面提出更高的要求。假如公司管理体制和配套措施无法给予相应的支持，可能会对公司的经营</w:t>
      </w:r>
      <w:r>
        <w:rPr>
          <w:spacing w:val="-66"/>
        </w:rPr>
        <w:t> </w:t>
      </w:r>
      <w:r>
        <w:rPr>
          <w:spacing w:val="-66"/>
        </w:rPr>
      </w:r>
      <w:r>
        <w:rPr/>
        <w:t>业绩产生不利影响。</w:t>
      </w:r>
    </w:p>
    <w:p>
      <w:pPr>
        <w:spacing w:line="240" w:lineRule="auto" w:before="10"/>
        <w:rPr>
          <w:rFonts w:ascii="宋体" w:hAnsi="宋体" w:cs="宋体" w:eastAsia="宋体" w:hint="default"/>
          <w:sz w:val="20"/>
          <w:szCs w:val="20"/>
        </w:rPr>
      </w:pPr>
    </w:p>
    <w:p>
      <w:pPr>
        <w:pStyle w:val="Heading3"/>
        <w:spacing w:line="240" w:lineRule="auto"/>
        <w:ind w:right="92"/>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z w:val="18"/>
                <w:szCs w:val="18"/>
              </w:rPr>
              <w:t>017-04-26/1203405489.PDF</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9"/>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92"/>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报告期内普通股利润分配政策，特别是现金分红政策的制定、执行或调整情况</w:t>
      </w:r>
    </w:p>
    <w:p>
      <w:pPr>
        <w:pStyle w:val="BodyText"/>
        <w:spacing w:line="240"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Heading6"/>
        <w:spacing w:line="240" w:lineRule="auto"/>
        <w:ind w:right="92"/>
        <w:jc w:val="left"/>
        <w:rPr>
          <w:b w:val="0"/>
          <w:bCs w:val="0"/>
        </w:rPr>
      </w:pPr>
      <w:r>
        <w:rPr/>
        <w:t>（一）利润分配的原则</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left="514" w:right="92"/>
        <w:jc w:val="left"/>
      </w:pPr>
      <w:r>
        <w:rPr>
          <w:rFonts w:ascii="Times New Roman" w:hAnsi="Times New Roman" w:cs="Times New Roman" w:eastAsia="Times New Roman" w:hint="default"/>
        </w:rPr>
        <w:t>1</w:t>
      </w:r>
      <w:r>
        <w:rPr/>
        <w:t>、公司实施积极的利润分配政策，重视对投资者的合理投资回报，并保持连续性和稳定性。</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spacing w:val="-2"/>
        </w:rPr>
        <w:t>2</w:t>
      </w:r>
      <w:r>
        <w:rPr>
          <w:spacing w:val="-2"/>
        </w:rPr>
        <w:t>、公司可以采取现金或股票等方式分配利润，利润分配不得超过累计可分配利润的范围，不得损害公司持续经营能力。</w:t>
      </w:r>
    </w:p>
    <w:p>
      <w:pPr>
        <w:spacing w:line="240" w:lineRule="auto" w:before="13"/>
        <w:rPr>
          <w:rFonts w:ascii="宋体" w:hAnsi="宋体" w:cs="宋体" w:eastAsia="宋体" w:hint="default"/>
          <w:sz w:val="13"/>
          <w:szCs w:val="13"/>
        </w:rPr>
      </w:pPr>
    </w:p>
    <w:p>
      <w:pPr>
        <w:pStyle w:val="BodyText"/>
        <w:spacing w:line="240" w:lineRule="auto"/>
        <w:ind w:left="514" w:right="92"/>
        <w:jc w:val="left"/>
      </w:pPr>
      <w:r>
        <w:rPr>
          <w:rFonts w:ascii="Times New Roman" w:hAnsi="Times New Roman" w:cs="Times New Roman" w:eastAsia="Times New Roman" w:hint="default"/>
        </w:rPr>
        <w:t>3</w:t>
      </w:r>
      <w:r>
        <w:rPr/>
        <w:t>、公司优先采用现金分红的利润分配方式。公司具备现金分红条件的，应当采用现金分红进行利润分配。</w:t>
      </w:r>
    </w:p>
    <w:p>
      <w:pPr>
        <w:spacing w:line="240" w:lineRule="auto" w:before="13"/>
        <w:rPr>
          <w:rFonts w:ascii="宋体" w:hAnsi="宋体" w:cs="宋体" w:eastAsia="宋体" w:hint="default"/>
          <w:sz w:val="13"/>
          <w:szCs w:val="13"/>
        </w:rPr>
      </w:pPr>
    </w:p>
    <w:p>
      <w:pPr>
        <w:pStyle w:val="BodyText"/>
        <w:spacing w:line="240" w:lineRule="auto"/>
        <w:ind w:left="514" w:right="92"/>
        <w:jc w:val="left"/>
      </w:pPr>
      <w:r>
        <w:rPr>
          <w:rFonts w:ascii="Times New Roman" w:hAnsi="Times New Roman" w:cs="Times New Roman" w:eastAsia="Times New Roman" w:hint="default"/>
        </w:rPr>
        <w:t>4</w:t>
      </w:r>
      <w:r>
        <w:rPr/>
        <w:t>、公司董事会、监事会和股东大会对利润分配政策的决策和论证过程中应当充分考虑独立董事和公众投资者的意见。</w:t>
      </w:r>
    </w:p>
    <w:p>
      <w:pPr>
        <w:spacing w:line="240" w:lineRule="auto" w:before="13"/>
        <w:rPr>
          <w:rFonts w:ascii="宋体" w:hAnsi="宋体" w:cs="宋体" w:eastAsia="宋体" w:hint="default"/>
          <w:sz w:val="13"/>
          <w:szCs w:val="13"/>
        </w:rPr>
      </w:pPr>
    </w:p>
    <w:p>
      <w:pPr>
        <w:pStyle w:val="Heading6"/>
        <w:spacing w:line="240" w:lineRule="auto"/>
        <w:ind w:right="92"/>
        <w:jc w:val="left"/>
        <w:rPr>
          <w:b w:val="0"/>
          <w:bCs w:val="0"/>
        </w:rPr>
      </w:pPr>
      <w:r>
        <w:rPr/>
        <w:t>（二）利润分配具体政策</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81" w:firstLine="361"/>
        <w:jc w:val="left"/>
      </w:pPr>
      <w:r>
        <w:rPr>
          <w:rFonts w:ascii="Times New Roman" w:hAnsi="Times New Roman" w:cs="Times New Roman" w:eastAsia="Times New Roman" w:hint="default"/>
        </w:rPr>
        <w:t>1</w:t>
      </w:r>
      <w:r>
        <w:rPr/>
        <w:t>、利润分配的形式：公司采取现金、股票或者现金与股票相结合等法律规范允许的其他形式分配利润；公司董事会可 以根据当期的盈利规模、现金流状况、发展阶段及资金需求状况，提议公司进行中期分红。</w:t>
      </w:r>
    </w:p>
    <w:p>
      <w:pPr>
        <w:pStyle w:val="BodyText"/>
        <w:spacing w:line="300" w:lineRule="auto" w:before="151"/>
        <w:ind w:right="193" w:firstLine="361"/>
        <w:jc w:val="both"/>
      </w:pPr>
      <w:r>
        <w:rPr>
          <w:rFonts w:ascii="Times New Roman" w:hAnsi="Times New Roman" w:cs="Times New Roman" w:eastAsia="Times New Roman" w:hint="default"/>
          <w:spacing w:val="-2"/>
        </w:rPr>
        <w:t>2</w:t>
      </w:r>
      <w:r>
        <w:rPr>
          <w:spacing w:val="-2"/>
        </w:rPr>
        <w:t>、现金分红的具体条件：（</w:t>
      </w:r>
      <w:r>
        <w:rPr>
          <w:rFonts w:ascii="Times New Roman" w:hAnsi="Times New Roman" w:cs="Times New Roman" w:eastAsia="Times New Roman" w:hint="default"/>
          <w:spacing w:val="-2"/>
        </w:rPr>
        <w:t>1</w:t>
      </w:r>
      <w:r>
        <w:rPr>
          <w:spacing w:val="-2"/>
        </w:rPr>
        <w:t>）公司该年度的可供分配利润（即公司弥补亏损、提取盈余公积金后剩余的税后利润）为</w:t>
      </w:r>
      <w:r>
        <w:rPr/>
        <w:t> 正值；（</w:t>
      </w:r>
      <w:r>
        <w:rPr>
          <w:rFonts w:ascii="Times New Roman" w:hAnsi="Times New Roman" w:cs="Times New Roman" w:eastAsia="Times New Roman" w:hint="default"/>
        </w:rPr>
        <w:t>2</w:t>
      </w:r>
      <w:r>
        <w:rPr/>
        <w:t>）未来十二个月内无重大投资计划或重大现金支出等事项发生，或在考虑实施前述重大投资计划或重大现金支出 以及该年度现金分红的前提下公司正常生产经营的资金需求仍能够得到满足。</w:t>
      </w:r>
    </w:p>
    <w:p>
      <w:pPr>
        <w:pStyle w:val="BodyText"/>
        <w:spacing w:line="240" w:lineRule="auto" w:before="152"/>
        <w:ind w:left="515" w:right="92"/>
        <w:jc w:val="left"/>
      </w:pPr>
      <w:r>
        <w:rPr/>
        <w:t>上述重大投资计划或重大现金支出指以下情形之一：</w:t>
      </w:r>
    </w:p>
    <w:p>
      <w:pPr>
        <w:spacing w:line="240" w:lineRule="auto" w:before="0"/>
        <w:rPr>
          <w:rFonts w:ascii="宋体" w:hAnsi="宋体" w:cs="宋体" w:eastAsia="宋体" w:hint="default"/>
          <w:sz w:val="15"/>
          <w:szCs w:val="15"/>
        </w:rPr>
      </w:pPr>
    </w:p>
    <w:p>
      <w:pPr>
        <w:pStyle w:val="BodyText"/>
        <w:spacing w:line="300" w:lineRule="auto"/>
        <w:ind w:right="211" w:firstLine="361"/>
        <w:jc w:val="left"/>
      </w:pPr>
      <w:r>
        <w:rPr/>
        <w:t>（</w:t>
      </w:r>
      <w:r>
        <w:rPr>
          <w:rFonts w:ascii="Times New Roman" w:hAnsi="Times New Roman" w:cs="Times New Roman" w:eastAsia="Times New Roman" w:hint="default"/>
        </w:rPr>
        <w:t>1</w:t>
      </w:r>
      <w:r>
        <w:rPr/>
        <w:t>）公司未来十二个月内拟对外投资、收购资产或购买设备累计支出达到或超过公司最近一期经审计净资产的</w:t>
      </w:r>
      <w:r>
        <w:rPr>
          <w:rFonts w:ascii="Times New Roman" w:hAnsi="Times New Roman" w:cs="Times New Roman" w:eastAsia="Times New Roman" w:hint="default"/>
        </w:rPr>
        <w:t>50%</w:t>
      </w:r>
      <w:r>
        <w:rPr/>
        <w:t>， 且绝对金额超过</w:t>
      </w:r>
      <w:r>
        <w:rPr>
          <w:rFonts w:ascii="Times New Roman" w:hAnsi="Times New Roman" w:cs="Times New Roman" w:eastAsia="Times New Roman" w:hint="default"/>
        </w:rPr>
        <w:t>3,000</w:t>
      </w:r>
      <w:r>
        <w:rPr/>
        <w:t>万元；</w:t>
      </w:r>
    </w:p>
    <w:p>
      <w:pPr>
        <w:pStyle w:val="BodyText"/>
        <w:spacing w:line="240" w:lineRule="auto" w:before="133"/>
        <w:ind w:left="515" w:right="92"/>
        <w:jc w:val="left"/>
      </w:pPr>
      <w:r>
        <w:rPr/>
        <w:t>（</w:t>
      </w:r>
      <w:r>
        <w:rPr>
          <w:rFonts w:ascii="Times New Roman" w:hAnsi="Times New Roman" w:cs="Times New Roman" w:eastAsia="Times New Roman" w:hint="default"/>
        </w:rPr>
        <w:t>2</w:t>
      </w:r>
      <w:r>
        <w:rPr/>
        <w:t>）公司未来十二个月内拟对外投资、收购资产或购买设备累计支出达到或超过公司最近一期经审计总资产的</w:t>
      </w:r>
      <w:r>
        <w:rPr>
          <w:rFonts w:ascii="Times New Roman" w:hAnsi="Times New Roman" w:cs="Times New Roman" w:eastAsia="Times New Roman" w:hint="default"/>
        </w:rPr>
        <w:t>30%</w:t>
      </w:r>
      <w:r>
        <w:rPr/>
        <w:t>。</w:t>
      </w:r>
    </w:p>
    <w:p>
      <w:pPr>
        <w:spacing w:line="240" w:lineRule="auto" w:before="13"/>
        <w:rPr>
          <w:rFonts w:ascii="宋体" w:hAnsi="宋体" w:cs="宋体" w:eastAsia="宋体" w:hint="default"/>
          <w:sz w:val="13"/>
          <w:szCs w:val="13"/>
        </w:rPr>
      </w:pPr>
    </w:p>
    <w:p>
      <w:pPr>
        <w:pStyle w:val="BodyText"/>
        <w:spacing w:line="316" w:lineRule="auto"/>
        <w:ind w:right="92" w:firstLine="361"/>
        <w:jc w:val="left"/>
      </w:pPr>
      <w:r>
        <w:rPr>
          <w:spacing w:val="-2"/>
        </w:rPr>
        <w:t>根据公司章程关于董事会和股东大会职权的相关规定，上述重大投资计划或重大现金支出须经董事会批准，报股东大会</w:t>
      </w:r>
      <w:r>
        <w:rPr/>
        <w:t> 审议通过后方可实施。</w:t>
      </w:r>
    </w:p>
    <w:p>
      <w:pPr>
        <w:pStyle w:val="BodyText"/>
        <w:spacing w:line="432" w:lineRule="exact" w:before="3"/>
        <w:ind w:left="515" w:right="92"/>
        <w:jc w:val="left"/>
      </w:pPr>
      <w:r>
        <w:rPr>
          <w:rFonts w:ascii="宋体" w:hAnsi="宋体" w:cs="宋体" w:eastAsia="宋体" w:hint="default"/>
          <w:b/>
          <w:bCs/>
        </w:rPr>
        <w:t>（三）现金分红的比例</w:t>
      </w:r>
      <w:r>
        <w:rPr>
          <w:rFonts w:ascii="宋体" w:hAnsi="宋体" w:cs="宋体" w:eastAsia="宋体" w:hint="default"/>
          <w:b/>
          <w:bCs/>
          <w:w w:val="99"/>
        </w:rPr>
        <w:t> </w:t>
      </w:r>
      <w:r>
        <w:rPr/>
        <w:t>在满足现金分红具体条件的前提下，公司以现金方式分配的利润不少于当年实现的可分配利润的</w:t>
      </w:r>
      <w:r>
        <w:rPr>
          <w:rFonts w:ascii="Times New Roman" w:hAnsi="Times New Roman" w:cs="Times New Roman" w:eastAsia="Times New Roman" w:hint="default"/>
        </w:rPr>
        <w:t>15%</w:t>
      </w:r>
      <w:r>
        <w:rPr/>
        <w:t>。 </w:t>
      </w:r>
      <w:r>
        <w:rPr>
          <w:spacing w:val="-2"/>
        </w:rPr>
        <w:t>公司董事会应综合考虑公司所处行业特点、发展阶段、自身经营模式、盈利水平及是否有重大资金支出安排等因素，区</w:t>
      </w:r>
    </w:p>
    <w:p>
      <w:pPr>
        <w:pStyle w:val="BodyText"/>
        <w:spacing w:line="240" w:lineRule="auto" w:before="15"/>
        <w:ind w:right="92"/>
        <w:jc w:val="left"/>
      </w:pPr>
      <w:r>
        <w:rPr/>
        <w:t>分下列情形，并按照《公司章程》规定的程序，提出差异化的现金分红政策：</w:t>
      </w:r>
    </w:p>
    <w:p>
      <w:pPr>
        <w:spacing w:line="240" w:lineRule="auto" w:before="0"/>
        <w:rPr>
          <w:rFonts w:ascii="宋体" w:hAnsi="宋体" w:cs="宋体" w:eastAsia="宋体" w:hint="default"/>
          <w:sz w:val="15"/>
          <w:szCs w:val="15"/>
        </w:rPr>
      </w:pPr>
    </w:p>
    <w:p>
      <w:pPr>
        <w:pStyle w:val="BodyText"/>
        <w:spacing w:line="300" w:lineRule="auto"/>
        <w:ind w:right="181" w:firstLine="361"/>
        <w:jc w:val="left"/>
      </w:pP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、公司发展阶段属成熟期且无重大资金支出安排的，进行利润分配时，现金分红在本次利润分配中所占比例最低应达 到</w:t>
      </w:r>
      <w:r>
        <w:rPr>
          <w:rFonts w:ascii="Times New Roman" w:hAnsi="Times New Roman" w:cs="Times New Roman" w:eastAsia="Times New Roman" w:hint="default"/>
        </w:rPr>
        <w:t>80%</w:t>
      </w:r>
      <w:r>
        <w:rPr/>
        <w:t>；</w:t>
      </w:r>
    </w:p>
    <w:p>
      <w:pPr>
        <w:pStyle w:val="BodyText"/>
        <w:spacing w:line="300" w:lineRule="auto" w:before="133"/>
        <w:ind w:right="181" w:firstLine="361"/>
        <w:jc w:val="left"/>
      </w:pP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 到</w:t>
      </w:r>
      <w:r>
        <w:rPr>
          <w:rFonts w:ascii="Times New Roman" w:hAnsi="Times New Roman" w:cs="Times New Roman" w:eastAsia="Times New Roman" w:hint="default"/>
        </w:rPr>
        <w:t>40%</w:t>
      </w:r>
      <w:r>
        <w:rPr/>
        <w:t>；</w:t>
      </w:r>
    </w:p>
    <w:p>
      <w:pPr>
        <w:pStyle w:val="BodyText"/>
        <w:spacing w:line="300" w:lineRule="auto" w:before="133"/>
        <w:ind w:right="181" w:firstLine="361"/>
        <w:jc w:val="left"/>
      </w:pP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 到</w:t>
      </w:r>
      <w:r>
        <w:rPr>
          <w:rFonts w:ascii="Times New Roman" w:hAnsi="Times New Roman" w:cs="Times New Roman" w:eastAsia="Times New Roman" w:hint="default"/>
        </w:rPr>
        <w:t>20%</w:t>
      </w:r>
      <w:r>
        <w:rPr/>
        <w:t>；</w:t>
      </w:r>
    </w:p>
    <w:p>
      <w:pPr>
        <w:pStyle w:val="BodyText"/>
        <w:spacing w:line="240" w:lineRule="auto" w:before="133"/>
        <w:ind w:left="515" w:right="92"/>
        <w:jc w:val="left"/>
      </w:pPr>
      <w:r>
        <w:rPr/>
        <w:t>公司发展阶段不易区分但有重大资金支出安排的，可以按照前项规定处理。</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Heading6"/>
        <w:spacing w:line="240" w:lineRule="auto" w:before="44"/>
        <w:ind w:right="0"/>
        <w:jc w:val="left"/>
        <w:rPr>
          <w:b w:val="0"/>
          <w:bCs w:val="0"/>
        </w:rPr>
      </w:pPr>
      <w:r>
        <w:rPr/>
        <w:t>（四）股票股利分配条件</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0" w:firstLine="361"/>
        <w:jc w:val="left"/>
      </w:pPr>
      <w:r>
        <w:rPr>
          <w:spacing w:val="-2"/>
        </w:rPr>
        <w:t>在公司经营情况良好，并且董事会认为公司股票价格与公司股本规模不匹配、发放股票股利有利于公司全体股东整体利</w:t>
      </w:r>
      <w:r>
        <w:rPr/>
        <w:t> 益时，可以在满足上述现金股利分配之余，提出股票股利分配预案。</w:t>
      </w:r>
    </w:p>
    <w:p>
      <w:pPr>
        <w:pStyle w:val="Heading6"/>
        <w:spacing w:line="240" w:lineRule="auto" w:before="139"/>
        <w:ind w:right="0"/>
        <w:jc w:val="left"/>
        <w:rPr>
          <w:b w:val="0"/>
          <w:bCs w:val="0"/>
        </w:rPr>
      </w:pPr>
      <w:r>
        <w:rPr/>
        <w:t>（五）利润分配方案的决策程序</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41" w:firstLine="361"/>
        <w:jc w:val="left"/>
      </w:pPr>
      <w:r>
        <w:rPr>
          <w:rFonts w:ascii="Times New Roman" w:hAnsi="Times New Roman" w:cs="Times New Roman" w:eastAsia="Times New Roman" w:hint="default"/>
        </w:rPr>
        <w:t>1</w:t>
      </w:r>
      <w:r>
        <w:rPr/>
        <w:t>、公司制定利润分配政策时，应当履行公司章程规定的决策程序。董事会应当就股东回报事宜进行专项研究论证，制 定明确、清晰的股东回报规划，并详细说明规划安排的理由等情况。</w:t>
      </w:r>
    </w:p>
    <w:p>
      <w:pPr>
        <w:pStyle w:val="BodyText"/>
        <w:spacing w:line="240" w:lineRule="auto" w:before="151"/>
        <w:ind w:left="515" w:right="0"/>
        <w:jc w:val="left"/>
      </w:pPr>
      <w:r>
        <w:rPr>
          <w:rFonts w:ascii="Times New Roman" w:hAnsi="Times New Roman" w:cs="Times New Roman" w:eastAsia="Times New Roman" w:hint="default"/>
        </w:rPr>
        <w:t>2</w:t>
      </w:r>
      <w:r>
        <w:rPr/>
        <w:t>、公司的利润分配预案由公司董事会结合《公司章程》、盈利情况、资金需求和股东回报规划等提出并拟定。</w:t>
      </w:r>
    </w:p>
    <w:p>
      <w:pPr>
        <w:spacing w:line="240" w:lineRule="auto" w:before="13"/>
        <w:rPr>
          <w:rFonts w:ascii="宋体" w:hAnsi="宋体" w:cs="宋体" w:eastAsia="宋体" w:hint="default"/>
          <w:sz w:val="13"/>
          <w:szCs w:val="13"/>
        </w:rPr>
      </w:pPr>
    </w:p>
    <w:p>
      <w:pPr>
        <w:pStyle w:val="BodyText"/>
        <w:spacing w:line="300" w:lineRule="auto"/>
        <w:ind w:right="141" w:firstLine="361"/>
        <w:jc w:val="left"/>
      </w:pPr>
      <w:r>
        <w:rPr>
          <w:rFonts w:ascii="Times New Roman" w:hAnsi="Times New Roman" w:cs="Times New Roman" w:eastAsia="Times New Roman" w:hint="default"/>
        </w:rPr>
        <w:t>3</w:t>
      </w:r>
      <w:r>
        <w:rPr/>
        <w:t>、公司应通过多种渠道主动与股东特别是中小股东进行沟通和交流，充分听取中小股东的意见和诉求，及时答复中小 股东关心的问题。</w:t>
      </w:r>
    </w:p>
    <w:p>
      <w:pPr>
        <w:pStyle w:val="BodyText"/>
        <w:spacing w:line="309" w:lineRule="auto" w:before="151"/>
        <w:ind w:right="153" w:firstLine="361"/>
        <w:jc w:val="both"/>
      </w:pPr>
      <w:r>
        <w:rPr>
          <w:rFonts w:ascii="Times New Roman" w:hAnsi="Times New Roman" w:cs="Times New Roman" w:eastAsia="Times New Roman" w:hint="default"/>
        </w:rPr>
        <w:t>4</w:t>
      </w:r>
      <w:r>
        <w:rPr/>
        <w:t>、公司在制定现金分红具体方案时，董事会应认真研究和论证公司现金分红的时机、条件和最低比例、调整的条件及 </w:t>
      </w:r>
      <w:r>
        <w:rPr>
          <w:spacing w:val="-2"/>
        </w:rPr>
        <w:t>其决策程序要求等事宜，且需事先书面征询全部独立董事的意见，独立董事应当发表明确意见。独立董事可以征集中小股东</w:t>
      </w:r>
      <w:r>
        <w:rPr>
          <w:spacing w:val="-66"/>
        </w:rPr>
        <w:t> </w:t>
      </w:r>
      <w:r>
        <w:rPr>
          <w:spacing w:val="-66"/>
        </w:rPr>
      </w:r>
      <w:r>
        <w:rPr/>
        <w:t>的意见，提出分红提案，并直接提交董事会审议。</w:t>
      </w:r>
    </w:p>
    <w:p>
      <w:pPr>
        <w:pStyle w:val="BodyText"/>
        <w:spacing w:line="300" w:lineRule="auto" w:before="144"/>
        <w:ind w:right="141" w:firstLine="361"/>
        <w:jc w:val="left"/>
      </w:pPr>
      <w:r>
        <w:rPr>
          <w:rFonts w:ascii="Times New Roman" w:hAnsi="Times New Roman" w:cs="Times New Roman" w:eastAsia="Times New Roman" w:hint="default"/>
        </w:rPr>
        <w:t>5</w:t>
      </w:r>
      <w:r>
        <w:rPr/>
        <w:t>、董事会就利润分配方案形成决议后提交股东大会审议。股东大会在审议利润分配方案时，应充分听取中小股东的意 见和诉求，为股东提供网络投票的方式。</w:t>
      </w:r>
    </w:p>
    <w:p>
      <w:pPr>
        <w:pStyle w:val="BodyText"/>
        <w:spacing w:line="240" w:lineRule="auto" w:before="151"/>
        <w:ind w:left="515" w:right="0"/>
        <w:jc w:val="left"/>
      </w:pPr>
      <w:r>
        <w:rPr>
          <w:rFonts w:ascii="Times New Roman" w:hAnsi="Times New Roman" w:cs="Times New Roman" w:eastAsia="Times New Roman" w:hint="default"/>
        </w:rPr>
        <w:t>6</w:t>
      </w:r>
      <w:r>
        <w:rPr/>
        <w:t>、监事会应对董事会执行公司利润分配政策和股东回报规划的情况及决策程序进行监督。</w:t>
      </w:r>
    </w:p>
    <w:p>
      <w:pPr>
        <w:spacing w:line="240" w:lineRule="auto" w:before="13"/>
        <w:rPr>
          <w:rFonts w:ascii="宋体" w:hAnsi="宋体" w:cs="宋体" w:eastAsia="宋体" w:hint="default"/>
          <w:sz w:val="13"/>
          <w:szCs w:val="13"/>
        </w:rPr>
      </w:pPr>
    </w:p>
    <w:p>
      <w:pPr>
        <w:pStyle w:val="BodyText"/>
        <w:spacing w:line="300" w:lineRule="auto"/>
        <w:ind w:right="141" w:firstLine="361"/>
        <w:jc w:val="left"/>
      </w:pPr>
      <w:r>
        <w:rPr>
          <w:rFonts w:ascii="Times New Roman" w:hAnsi="Times New Roman" w:cs="Times New Roman" w:eastAsia="Times New Roman" w:hint="default"/>
        </w:rPr>
        <w:t>7</w:t>
      </w:r>
      <w:r>
        <w:rPr/>
        <w:t>、公司当年盈利但未提出现金利润分配预案的，董事会应在当年的定期报告中说明未进行现金分红的原因以及未用于 现金分红的资金留存公司的用途，独立董事应对此发表独立意见。</w:t>
      </w:r>
    </w:p>
    <w:p>
      <w:pPr>
        <w:spacing w:line="240" w:lineRule="auto" w:before="2"/>
        <w:rPr>
          <w:rFonts w:ascii="宋体" w:hAnsi="宋体" w:cs="宋体" w:eastAsia="宋体" w:hint="default"/>
          <w:sz w:val="8"/>
          <w:szCs w:val="8"/>
        </w:rPr>
      </w:pPr>
    </w:p>
    <w:p>
      <w:pPr>
        <w:pStyle w:val="BodyText"/>
        <w:spacing w:line="240" w:lineRule="auto" w:before="44"/>
        <w:ind w:left="515" w:right="0"/>
        <w:jc w:val="left"/>
      </w:pPr>
      <w:r>
        <w:rPr>
          <w:rFonts w:ascii="Times New Roman" w:hAnsi="Times New Roman" w:cs="Times New Roman" w:eastAsia="Times New Roman" w:hint="default"/>
        </w:rPr>
        <w:t>8</w:t>
      </w:r>
      <w:r>
        <w:rPr/>
        <w:t>、公司股东大会对利润分配方案作出决议后，公司董事会须在股东大会召开后两个月内完成股利（或股份）的派发事</w:t>
      </w:r>
    </w:p>
    <w:p>
      <w:pPr>
        <w:pStyle w:val="BodyText"/>
        <w:spacing w:line="240" w:lineRule="auto" w:before="63"/>
        <w:ind w:right="0"/>
        <w:jc w:val="left"/>
      </w:pPr>
      <w:r>
        <w:rPr/>
        <w:t>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48" w:lineRule="auto" w:before="117"/>
        <w:ind w:right="32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75,361,487.97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公司经本次董事会审议通过的利润分配预案为以公司总股本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股（含税</w:t>
            </w:r>
            <w:r>
              <w:rPr>
                <w:rFonts w:ascii="宋体" w:hAnsi="宋体" w:cs="宋体" w:eastAsia="宋体" w:hint="default"/>
                <w:spacing w:val="-89"/>
                <w:sz w:val="18"/>
                <w:szCs w:val="18"/>
              </w:rPr>
              <w:t>）</w:t>
            </w:r>
            <w:r>
              <w:rPr>
                <w:rFonts w:ascii="宋体" w:hAnsi="宋体" w:cs="宋体" w:eastAsia="宋体" w:hint="default"/>
                <w:sz w:val="18"/>
                <w:szCs w:val="18"/>
              </w:rPr>
              <w:t>。以资本公积向全体股东每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13"/>
        <w:rPr>
          <w:rFonts w:ascii="宋体" w:hAnsi="宋体" w:cs="宋体" w:eastAsia="宋体" w:hint="default"/>
          <w:sz w:val="13"/>
          <w:szCs w:val="13"/>
        </w:rPr>
      </w:pPr>
    </w:p>
    <w:p>
      <w:pPr>
        <w:pStyle w:val="BodyText"/>
        <w:spacing w:line="300" w:lineRule="auto"/>
        <w:ind w:right="92" w:firstLine="362"/>
        <w:jc w:val="left"/>
      </w:pPr>
      <w:r>
        <w:rPr>
          <w:rFonts w:ascii="Times New Roman" w:hAnsi="Times New Roman" w:cs="Times New Roman" w:eastAsia="Times New Roman" w:hint="default"/>
          <w:spacing w:val="-5"/>
        </w:rPr>
        <w:t>2015</w:t>
      </w:r>
      <w:r>
        <w:rPr>
          <w:spacing w:val="-5"/>
        </w:rPr>
        <w:t>年度利润分配方案：</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28</w:t>
      </w:r>
      <w:r>
        <w:rPr>
          <w:spacing w:val="-5"/>
        </w:rPr>
        <w:t>日，公司第二届董事会第八次会议审议通过了《关于</w:t>
      </w:r>
      <w:r>
        <w:rPr>
          <w:rFonts w:ascii="Times New Roman" w:hAnsi="Times New Roman" w:cs="Times New Roman" w:eastAsia="Times New Roman" w:hint="default"/>
          <w:spacing w:val="-5"/>
        </w:rPr>
        <w:t>2016</w:t>
      </w:r>
      <w:r>
        <w:rPr>
          <w:spacing w:val="-5"/>
        </w:rPr>
        <w:t>年公司股东分红的议案》，</w:t>
      </w:r>
      <w:r>
        <w:rPr/>
        <w:t> </w:t>
      </w:r>
      <w:r>
        <w:rPr>
          <w:spacing w:val="-2"/>
        </w:rPr>
        <w:t>拟在</w:t>
      </w:r>
      <w:r>
        <w:rPr>
          <w:rFonts w:ascii="Times New Roman" w:hAnsi="Times New Roman" w:cs="Times New Roman" w:eastAsia="Times New Roman" w:hint="default"/>
          <w:spacing w:val="-2"/>
        </w:rPr>
        <w:t>2016</w:t>
      </w:r>
      <w:r>
        <w:rPr>
          <w:spacing w:val="-2"/>
        </w:rPr>
        <w:t>年将</w:t>
      </w:r>
      <w:r>
        <w:rPr>
          <w:rFonts w:ascii="Times New Roman" w:hAnsi="Times New Roman" w:cs="Times New Roman" w:eastAsia="Times New Roman" w:hint="default"/>
          <w:spacing w:val="-2"/>
        </w:rPr>
        <w:t>2015</w:t>
      </w:r>
      <w:r>
        <w:rPr>
          <w:spacing w:val="-2"/>
        </w:rPr>
        <w:t>年未分配利润中的人民币</w:t>
      </w:r>
      <w:r>
        <w:rPr>
          <w:rFonts w:ascii="Times New Roman" w:hAnsi="Times New Roman" w:cs="Times New Roman" w:eastAsia="Times New Roman" w:hint="default"/>
          <w:spacing w:val="-2"/>
        </w:rPr>
        <w:t>10,800,000</w:t>
      </w:r>
      <w:r>
        <w:rPr>
          <w:spacing w:val="-2"/>
        </w:rPr>
        <w:t>元进行分配。</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日召开</w:t>
      </w:r>
      <w:r>
        <w:rPr>
          <w:rFonts w:ascii="Times New Roman" w:hAnsi="Times New Roman" w:cs="Times New Roman" w:eastAsia="Times New Roman" w:hint="default"/>
          <w:spacing w:val="-2"/>
        </w:rPr>
        <w:t>2015</w:t>
      </w:r>
      <w:r>
        <w:rPr>
          <w:spacing w:val="-2"/>
        </w:rPr>
        <w:t>年度股东大会，审议通过了《关</w:t>
      </w:r>
      <w:r>
        <w:rPr>
          <w:spacing w:val="-38"/>
        </w:rPr>
        <w:t> </w:t>
      </w:r>
      <w:r>
        <w:rPr>
          <w:spacing w:val="-38"/>
        </w:rPr>
      </w:r>
      <w:r>
        <w:rPr/>
        <w:t>于</w:t>
      </w:r>
      <w:r>
        <w:rPr>
          <w:rFonts w:ascii="Times New Roman" w:hAnsi="Times New Roman" w:cs="Times New Roman" w:eastAsia="Times New Roman" w:hint="default"/>
        </w:rPr>
        <w:t>2016</w:t>
      </w:r>
      <w:r>
        <w:rPr/>
        <w:t>年公司股东分红的议案》，各股东按照各自的出资比例进行分配。该权益分派方案已于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月实施完毕。</w:t>
      </w:r>
    </w:p>
    <w:p>
      <w:pPr>
        <w:pStyle w:val="BodyText"/>
        <w:spacing w:line="300" w:lineRule="auto" w:before="133"/>
        <w:ind w:right="182" w:firstLine="290"/>
        <w:jc w:val="left"/>
      </w:pPr>
      <w:r>
        <w:rPr>
          <w:rFonts w:ascii="Times New Roman" w:hAnsi="Times New Roman" w:cs="Times New Roman" w:eastAsia="Times New Roman" w:hint="default"/>
        </w:rPr>
        <w:t>2016</w:t>
      </w:r>
      <w:r>
        <w:rPr/>
        <w:t>年度利润分配方案：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日，公司第二届董事会第十三次会议审议通过了《关于公司</w:t>
      </w:r>
      <w:r>
        <w:rPr>
          <w:rFonts w:ascii="Times New Roman" w:hAnsi="Times New Roman" w:cs="Times New Roman" w:eastAsia="Times New Roman" w:hint="default"/>
        </w:rPr>
        <w:t>2016</w:t>
      </w:r>
      <w:r>
        <w:rPr/>
        <w:t>年度利润分配预 案的议案》。公司根据《公司法》和《公司章程》的相关规定，拟定</w:t>
      </w:r>
      <w:r>
        <w:rPr>
          <w:rFonts w:ascii="Times New Roman" w:hAnsi="Times New Roman" w:cs="Times New Roman" w:eastAsia="Times New Roman" w:hint="default"/>
        </w:rPr>
        <w:t>2016</w:t>
      </w:r>
      <w:r>
        <w:rPr/>
        <w:t>年利润分配方案如下：以现有总股本</w:t>
      </w:r>
      <w:r>
        <w:rPr>
          <w:rFonts w:ascii="Times New Roman" w:hAnsi="Times New Roman" w:cs="Times New Roman" w:eastAsia="Times New Roman" w:hint="default"/>
        </w:rPr>
        <w:t>72,000,000</w:t>
      </w:r>
      <w:r>
        <w:rPr/>
        <w:t>股 </w:t>
      </w:r>
      <w:r>
        <w:rPr>
          <w:spacing w:val="-1"/>
        </w:rPr>
        <w:t>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5.00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，合计派发现金股利人民币</w:t>
      </w:r>
      <w:r>
        <w:rPr>
          <w:rFonts w:ascii="Times New Roman" w:hAnsi="Times New Roman" w:cs="Times New Roman" w:eastAsia="Times New Roman" w:hint="default"/>
          <w:spacing w:val="-1"/>
        </w:rPr>
        <w:t>36,000,000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，同时向全体股</w:t>
      </w:r>
      <w:r>
        <w:rPr>
          <w:spacing w:val="-38"/>
        </w:rPr>
        <w:t> </w:t>
      </w:r>
      <w:r>
        <w:rPr>
          <w:spacing w:val="-38"/>
        </w:rPr>
      </w:r>
      <w:r>
        <w:rPr>
          <w:spacing w:val="-2"/>
        </w:rPr>
        <w:t>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5</w:t>
      </w:r>
      <w:r>
        <w:rPr>
          <w:spacing w:val="-2"/>
        </w:rPr>
        <w:t>股，不以资本公积转增股本。分配完成后公司股本总额增至</w:t>
      </w:r>
      <w:r>
        <w:rPr>
          <w:rFonts w:ascii="Times New Roman" w:hAnsi="Times New Roman" w:cs="Times New Roman" w:eastAsia="Times New Roman" w:hint="default"/>
          <w:spacing w:val="-2"/>
        </w:rPr>
        <w:t>108,000,000</w:t>
      </w:r>
      <w:r>
        <w:rPr>
          <w:spacing w:val="-2"/>
        </w:rPr>
        <w:t>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日，公司</w:t>
      </w:r>
      <w:r>
        <w:rPr>
          <w:rFonts w:ascii="Times New Roman" w:hAnsi="Times New Roman" w:cs="Times New Roman" w:eastAsia="Times New Roman" w:hint="default"/>
          <w:spacing w:val="-2"/>
        </w:rPr>
        <w:t>2016</w:t>
      </w:r>
      <w:r>
        <w:rPr>
          <w:spacing w:val="-2"/>
        </w:rPr>
        <w:t>年年</w:t>
      </w:r>
      <w:r>
        <w:rPr>
          <w:spacing w:val="-41"/>
        </w:rPr>
        <w:t> </w:t>
      </w:r>
      <w:r>
        <w:rPr/>
        <w:t>度股东大会审议通过了《关于公司</w:t>
      </w:r>
      <w:r>
        <w:rPr>
          <w:rFonts w:ascii="Times New Roman" w:hAnsi="Times New Roman" w:cs="Times New Roman" w:eastAsia="Times New Roman" w:hint="default"/>
        </w:rPr>
        <w:t>2016</w:t>
      </w:r>
      <w:r>
        <w:rPr/>
        <w:t>年度利润分配预案的议案》。本次权益分派股权登记日为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日，除权除息 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p>
    <w:p>
      <w:pPr>
        <w:pStyle w:val="BodyText"/>
        <w:spacing w:line="240" w:lineRule="auto" w:before="133"/>
        <w:ind w:left="514" w:right="0"/>
        <w:jc w:val="left"/>
      </w:pPr>
      <w:r>
        <w:rPr>
          <w:rFonts w:ascii="Times New Roman" w:hAnsi="Times New Roman" w:cs="Times New Roman" w:eastAsia="Times New Roman" w:hint="default"/>
        </w:rPr>
        <w:t>2017</w:t>
      </w:r>
      <w:r>
        <w:rPr/>
        <w:t>年度利润分配预案：根据立信会计师事务所（特殊普通合伙）对公司</w:t>
      </w:r>
      <w:r>
        <w:rPr>
          <w:rFonts w:ascii="Times New Roman" w:hAnsi="Times New Roman" w:cs="Times New Roman" w:eastAsia="Times New Roman" w:hint="default"/>
        </w:rPr>
        <w:t>2017</w:t>
      </w:r>
      <w:r>
        <w:rPr/>
        <w:t>年的审计结果，</w:t>
      </w:r>
      <w:r>
        <w:rPr>
          <w:rFonts w:ascii="Times New Roman" w:hAnsi="Times New Roman" w:cs="Times New Roman" w:eastAsia="Times New Roman" w:hint="default"/>
        </w:rPr>
        <w:t>2017</w:t>
      </w:r>
      <w:r>
        <w:rPr/>
        <w:t>年度母公司净利润为</w:t>
      </w:r>
    </w:p>
    <w:p>
      <w:pPr>
        <w:pStyle w:val="BodyText"/>
        <w:spacing w:line="300" w:lineRule="auto" w:before="63"/>
        <w:ind w:right="192"/>
        <w:jc w:val="both"/>
      </w:pPr>
      <w:r>
        <w:rPr>
          <w:rFonts w:ascii="Times New Roman" w:hAnsi="Times New Roman" w:cs="Times New Roman" w:eastAsia="Times New Roman" w:hint="default"/>
          <w:spacing w:val="-1"/>
        </w:rPr>
        <w:t>53,397,369.63</w:t>
      </w:r>
      <w:r>
        <w:rPr>
          <w:spacing w:val="-1"/>
        </w:rPr>
        <w:t>元，扣除计提法定公积金</w:t>
      </w:r>
      <w:r>
        <w:rPr>
          <w:rFonts w:ascii="Times New Roman" w:hAnsi="Times New Roman" w:cs="Times New Roman" w:eastAsia="Times New Roman" w:hint="default"/>
          <w:spacing w:val="-1"/>
        </w:rPr>
        <w:t>5,339,736.96</w:t>
      </w:r>
      <w:r>
        <w:rPr>
          <w:spacing w:val="-1"/>
        </w:rPr>
        <w:t>元，加上母公司期初累计未分配利润</w:t>
      </w:r>
      <w:r>
        <w:rPr>
          <w:rFonts w:ascii="Times New Roman" w:hAnsi="Times New Roman" w:cs="Times New Roman" w:eastAsia="Times New Roman" w:hint="default"/>
          <w:spacing w:val="-1"/>
        </w:rPr>
        <w:t>99,303,855.30</w:t>
      </w:r>
      <w:r>
        <w:rPr>
          <w:spacing w:val="-1"/>
        </w:rPr>
        <w:t>元，扣减</w:t>
      </w:r>
      <w:r>
        <w:rPr>
          <w:rFonts w:ascii="Times New Roman" w:hAnsi="Times New Roman" w:cs="Times New Roman" w:eastAsia="Times New Roman" w:hint="default"/>
          <w:spacing w:val="-1"/>
        </w:rPr>
        <w:t>2017</w:t>
      </w:r>
      <w:r>
        <w:rPr>
          <w:spacing w:val="-1"/>
        </w:rPr>
        <w:t>年已分配</w:t>
      </w:r>
      <w:r>
        <w:rPr>
          <w:spacing w:val="-61"/>
        </w:rPr>
        <w:t> </w:t>
      </w:r>
      <w:r>
        <w:rPr/>
        <w:t>利润</w:t>
      </w:r>
      <w:r>
        <w:rPr>
          <w:rFonts w:ascii="Times New Roman" w:hAnsi="Times New Roman" w:cs="Times New Roman" w:eastAsia="Times New Roman" w:hint="default"/>
        </w:rPr>
        <w:t>72,000,000.00</w:t>
      </w:r>
      <w:r>
        <w:rPr/>
        <w:t>元，实际可供分配的利润为</w:t>
      </w:r>
      <w:r>
        <w:rPr>
          <w:rFonts w:ascii="Times New Roman" w:hAnsi="Times New Roman" w:cs="Times New Roman" w:eastAsia="Times New Roman" w:hint="default"/>
        </w:rPr>
        <w:t>75,361,487.97</w:t>
      </w:r>
      <w:r>
        <w:rPr/>
        <w:t>元。公司</w:t>
      </w:r>
      <w:r>
        <w:rPr>
          <w:rFonts w:ascii="Times New Roman" w:hAnsi="Times New Roman" w:cs="Times New Roman" w:eastAsia="Times New Roman" w:hint="default"/>
        </w:rPr>
        <w:t>2017</w:t>
      </w:r>
      <w:r>
        <w:rPr/>
        <w:t>年度利润分配预案为以公司总股本</w:t>
      </w:r>
      <w:r>
        <w:rPr>
          <w:rFonts w:ascii="Times New Roman" w:hAnsi="Times New Roman" w:cs="Times New Roman" w:eastAsia="Times New Roman" w:hint="default"/>
        </w:rPr>
        <w:t>108,000,000</w:t>
      </w:r>
      <w:r>
        <w:rPr/>
        <w:t>股为 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w:t>
      </w:r>
      <w:r>
        <w:rPr/>
        <w:t>元（含税），送红股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股。此预 案尚需提交公司</w:t>
      </w:r>
      <w:r>
        <w:rPr>
          <w:rFonts w:ascii="Times New Roman" w:hAnsi="Times New Roman" w:cs="Times New Roman" w:eastAsia="Times New Roman" w:hint="default"/>
        </w:rPr>
        <w:t>2017</w:t>
      </w:r>
      <w:r>
        <w:rPr/>
        <w:t>年度股东大会审议。</w:t>
      </w:r>
    </w:p>
    <w:p>
      <w:pPr>
        <w:pStyle w:val="BodyText"/>
        <w:spacing w:line="240" w:lineRule="auto" w:before="133"/>
        <w:ind w:left="514" w:right="92"/>
        <w:jc w:val="left"/>
      </w:pPr>
      <w:r>
        <w:rPr/>
        <w:t>公司近三年（包括本报告期）普通股现金分红情况表</w:t>
      </w:r>
    </w:p>
    <w:p>
      <w:pPr>
        <w:spacing w:line="240" w:lineRule="auto" w:before="1"/>
        <w:rPr>
          <w:rFonts w:ascii="宋体" w:hAnsi="宋体" w:cs="宋体" w:eastAsia="宋体" w:hint="default"/>
          <w:sz w:val="15"/>
          <w:szCs w:val="15"/>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74,956,482.53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58,710,099.47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53,550,102.41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2"/>
        <w:jc w:val="left"/>
      </w:pPr>
      <w:r>
        <w:rPr/>
        <w:t>公司报告期内盈利且母公司可供普通股股东分配利润为正但未提出普通股现金红利分配预案</w:t>
      </w:r>
    </w:p>
    <w:p>
      <w:pPr>
        <w:pStyle w:val="BodyText"/>
        <w:spacing w:line="240"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
          <w:szCs w:val="2"/>
        </w:rPr>
      </w:pPr>
      <w:r>
        <w:rPr/>
        <w:pict>
          <v:group style="position:absolute;margin-left:568.419983pt;margin-top:355.839996pt;width:77.5pt;height:93.65pt;mso-position-horizontal-relative:page;mso-position-vertical-relative:page;z-index:-773632" coordorigin="11368,7117" coordsize="1550,1873">
            <v:shape style="position:absolute;left:11368;top:7117;width:1550;height:1873" coordorigin="11368,7117" coordsize="1550,1873" path="m11368,8989l12918,8989,12918,7117,11368,7117,11368,8989xe" filled="true" fillcolor="#ffffff" stroked="false">
              <v:path arrowok="t"/>
              <v:fill type="solid"/>
            </v:shape>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26"/>
        <w:ind w:left="140"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pict>
          <v:group style="position:absolute;margin-left:568.419983pt;margin-top:93.431702pt;width:77.5pt;height:93.65pt;mso-position-horizontal-relative:page;mso-position-vertical-relative:paragraph;z-index:-773656" coordorigin="11368,1869" coordsize="1550,1873">
            <v:shape style="position:absolute;left:11368;top:1869;width:1550;height:1873" coordorigin="11368,1869" coordsize="1550,1873" path="m11368,3741l12918,3741,12918,1869,11368,1869,11368,3741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844"/>
        <w:gridCol w:w="2410"/>
        <w:gridCol w:w="834"/>
        <w:gridCol w:w="4836"/>
        <w:gridCol w:w="1559"/>
        <w:gridCol w:w="1419"/>
        <w:gridCol w:w="992"/>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4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2410" w:type="dxa"/>
            <w:tcBorders>
              <w:top w:val="single" w:sz="4" w:space="0" w:color="000000"/>
              <w:left w:val="single" w:sz="13" w:space="0" w:color="D2D2D2"/>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8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410" w:type="dxa"/>
            <w:tcBorders>
              <w:top w:val="single" w:sz="4" w:space="0" w:color="000000"/>
              <w:left w:val="single" w:sz="13" w:space="0" w:color="D2D2D2"/>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8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572"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8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2" w:right="79"/>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836"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9"/>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自公司股票上市之日起三十六个月内，不转让或者委托他人管</w:t>
            </w:r>
            <w:r>
              <w:rPr>
                <w:rFonts w:ascii="宋体" w:hAnsi="宋体" w:cs="宋体" w:eastAsia="宋体" w:hint="default"/>
                <w:sz w:val="18"/>
                <w:szCs w:val="18"/>
              </w:rPr>
              <w:t> 理其直接或者间接持有的公司公开发行股票前已发行的股份 也不由公司回购其直接或者间接持有的公司公开发行股票前 </w:t>
            </w:r>
            <w:r>
              <w:rPr>
                <w:rFonts w:ascii="宋体" w:hAnsi="宋体" w:cs="宋体" w:eastAsia="宋体" w:hint="default"/>
                <w:spacing w:val="-3"/>
                <w:sz w:val="18"/>
                <w:szCs w:val="18"/>
              </w:rPr>
              <w:t>已发行的股份。在前述承诺期限届满后，在张秀兵、万丽莉担</w:t>
            </w:r>
            <w:r>
              <w:rPr>
                <w:rFonts w:ascii="宋体" w:hAnsi="宋体" w:cs="宋体" w:eastAsia="宋体" w:hint="default"/>
                <w:sz w:val="18"/>
                <w:szCs w:val="18"/>
              </w:rPr>
              <w:t> </w:t>
            </w:r>
            <w:r>
              <w:rPr>
                <w:rFonts w:ascii="宋体" w:hAnsi="宋体" w:cs="宋体" w:eastAsia="宋体" w:hint="default"/>
                <w:spacing w:val="-3"/>
                <w:sz w:val="18"/>
                <w:szCs w:val="18"/>
              </w:rPr>
              <w:t>任公司董事、监事、高级管理人员其中一职或数职期间内，每</w:t>
            </w:r>
            <w:r>
              <w:rPr>
                <w:rFonts w:ascii="宋体" w:hAnsi="宋体" w:cs="宋体" w:eastAsia="宋体" w:hint="default"/>
                <w:sz w:val="18"/>
                <w:szCs w:val="18"/>
              </w:rPr>
              <w:t> 年转让的股份不超过其所持有公司股份总数的百分之二十五 </w:t>
            </w:r>
            <w:r>
              <w:rPr>
                <w:rFonts w:ascii="宋体" w:hAnsi="宋体" w:cs="宋体" w:eastAsia="宋体" w:hint="default"/>
                <w:spacing w:val="-3"/>
                <w:sz w:val="18"/>
                <w:szCs w:val="18"/>
              </w:rPr>
              <w:t>张秀兵、万丽莉在前述承诺期限届满之日起六个月内申报离职</w:t>
            </w:r>
            <w:r>
              <w:rPr>
                <w:rFonts w:ascii="宋体" w:hAnsi="宋体" w:cs="宋体" w:eastAsia="宋体" w:hint="default"/>
                <w:sz w:val="18"/>
                <w:szCs w:val="18"/>
              </w:rPr>
              <w:t> 的，自申报离职之日起十八个月内不转让其持有的公司股份 </w:t>
            </w:r>
            <w:r>
              <w:rPr>
                <w:rFonts w:ascii="宋体" w:hAnsi="宋体" w:cs="宋体" w:eastAsia="宋体" w:hint="default"/>
                <w:spacing w:val="-3"/>
                <w:sz w:val="18"/>
                <w:szCs w:val="18"/>
              </w:rPr>
              <w:t>张秀兵、万丽莉在前述承诺期限届满之日起第七个月至第十二</w:t>
            </w:r>
            <w:r>
              <w:rPr>
                <w:rFonts w:ascii="宋体" w:hAnsi="宋体" w:cs="宋体" w:eastAsia="宋体" w:hint="default"/>
                <w:sz w:val="18"/>
                <w:szCs w:val="18"/>
              </w:rPr>
              <w:t> </w:t>
            </w:r>
            <w:r>
              <w:rPr>
                <w:rFonts w:ascii="宋体" w:hAnsi="宋体" w:cs="宋体" w:eastAsia="宋体" w:hint="default"/>
                <w:spacing w:val="-3"/>
                <w:sz w:val="18"/>
                <w:szCs w:val="18"/>
              </w:rPr>
              <w:t>个月之内申报离职的，自申报离职之日起十二个月内不转让其</w:t>
            </w:r>
            <w:r>
              <w:rPr>
                <w:rFonts w:ascii="宋体" w:hAnsi="宋体" w:cs="宋体" w:eastAsia="宋体" w:hint="default"/>
                <w:sz w:val="18"/>
                <w:szCs w:val="18"/>
              </w:rPr>
              <w:t> </w:t>
            </w:r>
            <w:r>
              <w:rPr>
                <w:rFonts w:ascii="宋体" w:hAnsi="宋体" w:cs="宋体" w:eastAsia="宋体" w:hint="default"/>
                <w:spacing w:val="-4"/>
                <w:sz w:val="18"/>
                <w:szCs w:val="18"/>
              </w:rPr>
              <w:t>持有的公司股份；张秀兵、万丽莉在前述承诺期限届满之日起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第十二个月之后申报离职的，自申报离职之日起六个月内不转</w:t>
            </w:r>
            <w:r>
              <w:rPr>
                <w:rFonts w:ascii="宋体" w:hAnsi="宋体" w:cs="宋体" w:eastAsia="宋体" w:hint="default"/>
                <w:sz w:val="18"/>
                <w:szCs w:val="18"/>
              </w:rPr>
              <w:t> 让其持有的公司股份。</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1"/>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5"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2410" w:type="dxa"/>
            <w:vMerge/>
            <w:tcBorders>
              <w:left w:val="single" w:sz="9" w:space="0" w:color="D2D2D2"/>
              <w:right w:val="single" w:sz="4" w:space="0" w:color="000000"/>
            </w:tcBorders>
          </w:tcPr>
          <w:p>
            <w:pPr/>
          </w:p>
        </w:tc>
        <w:tc>
          <w:tcPr>
            <w:tcW w:w="834" w:type="dxa"/>
            <w:vMerge/>
            <w:tcBorders>
              <w:left w:val="single" w:sz="4" w:space="0" w:color="000000"/>
              <w:right w:val="single" w:sz="4" w:space="0" w:color="000000"/>
            </w:tcBorders>
          </w:tcPr>
          <w:p>
            <w:pPr/>
          </w:p>
        </w:tc>
        <w:tc>
          <w:tcPr>
            <w:tcW w:w="4836"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870"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2410" w:type="dxa"/>
            <w:vMerge/>
            <w:tcBorders>
              <w:left w:val="single" w:sz="9" w:space="0" w:color="D2D2D2"/>
              <w:bottom w:val="single" w:sz="4" w:space="0" w:color="000000"/>
              <w:right w:val="single" w:sz="4" w:space="0" w:color="000000"/>
            </w:tcBorders>
          </w:tcPr>
          <w:p>
            <w:pPr/>
          </w:p>
        </w:tc>
        <w:tc>
          <w:tcPr>
            <w:tcW w:w="834" w:type="dxa"/>
            <w:vMerge/>
            <w:tcBorders>
              <w:left w:val="single" w:sz="4" w:space="0" w:color="000000"/>
              <w:bottom w:val="single" w:sz="4" w:space="0" w:color="000000"/>
              <w:right w:val="single" w:sz="4" w:space="0" w:color="000000"/>
            </w:tcBorders>
          </w:tcPr>
          <w:p>
            <w:pPr/>
          </w:p>
        </w:tc>
        <w:tc>
          <w:tcPr>
            <w:tcW w:w="4836"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1026"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张秀兵、万丽莉</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自公司股票上市之日起三十六个月内，不转让或者委托他人管</w:t>
            </w:r>
            <w:r>
              <w:rPr>
                <w:rFonts w:ascii="宋体" w:hAnsi="宋体" w:cs="宋体" w:eastAsia="宋体" w:hint="default"/>
                <w:sz w:val="18"/>
                <w:szCs w:val="18"/>
              </w:rPr>
              <w:t> </w:t>
            </w:r>
            <w:r>
              <w:rPr>
                <w:rFonts w:ascii="宋体" w:hAnsi="宋体" w:cs="宋体" w:eastAsia="宋体" w:hint="default"/>
                <w:spacing w:val="-3"/>
                <w:sz w:val="18"/>
                <w:szCs w:val="18"/>
              </w:rPr>
              <w:t>理其直接或者间接持有的宣亚投资的股权，也不由宣亚投资回</w:t>
            </w:r>
            <w:r>
              <w:rPr>
                <w:rFonts w:ascii="宋体" w:hAnsi="宋体" w:cs="宋体" w:eastAsia="宋体" w:hint="default"/>
                <w:sz w:val="18"/>
                <w:szCs w:val="18"/>
              </w:rPr>
              <w:t> 购其直接或者间接持有的宣亚投资的股权。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7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橙色动力、伟岸仲合、金凤银</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股份限售</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3"/>
                <w:sz w:val="18"/>
                <w:szCs w:val="18"/>
              </w:rPr>
              <w:t>自公司股票在深圳证券交易所上市之日起三十六个月内，不转</w:t>
            </w:r>
            <w:r>
              <w:rPr>
                <w:rFonts w:ascii="宋体" w:hAnsi="宋体" w:cs="宋体" w:eastAsia="宋体" w:hint="default"/>
                <w:sz w:val="18"/>
                <w:szCs w:val="18"/>
              </w:rPr>
              <w:t> 让或者委托他人管理其直接或间接持有的公司首次公开发行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headerReference w:type="default" r:id="rId14"/>
          <w:footerReference w:type="default" r:id="rId15"/>
          <w:pgSz w:w="16840" w:h="11910" w:orient="landscape"/>
          <w:pgMar w:header="867" w:footer="979" w:top="1060" w:bottom="1160" w:left="1300" w:right="1300"/>
          <w:pgNumType w:start="29"/>
        </w:sectPr>
      </w:pPr>
    </w:p>
    <w:p>
      <w:pPr>
        <w:spacing w:line="240" w:lineRule="auto" w:before="4"/>
        <w:rPr>
          <w:rFonts w:ascii="Times New Roman" w:hAnsi="Times New Roman" w:cs="Times New Roman" w:eastAsia="Times New Roman" w:hint="default"/>
          <w:sz w:val="3"/>
          <w:szCs w:val="3"/>
        </w:rPr>
      </w:pPr>
      <w:r>
        <w:rPr/>
        <w:pict>
          <v:shape style="position:absolute;margin-left:508.363007pt;margin-top:278.860016pt;width:137.550pt;height:132.65pt;mso-position-horizontal-relative:page;mso-position-vertical-relative:page;z-index:-773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0" w:right="0"/>
                    <w:jc w:val="left"/>
                  </w:pPr>
                  <w:r>
                    <w:rPr/>
                    <w:t>本方在减持时，</w:t>
                  </w:r>
                </w:p>
              </w:txbxContent>
            </v:textbox>
            <w10:wrap type="none"/>
          </v:shape>
        </w:pict>
      </w:r>
      <w:r>
        <w:rPr/>
        <w:pict>
          <v:shape style="position:absolute;margin-left:508.363007pt;margin-top:411.960022pt;width:137.550pt;height:39pt;mso-position-horizontal-relative:page;mso-position-vertical-relative:page;z-index:-773584" type="#_x0000_t202" filled="false" stroked="false">
            <v:textbox inset="0,0,0,0">
              <w:txbxContent>
                <w:p>
                  <w:pPr>
                    <w:pStyle w:val="BodyText"/>
                    <w:spacing w:line="240" w:lineRule="auto" w:before="51"/>
                    <w:ind w:left="0" w:right="0"/>
                    <w:jc w:val="left"/>
                  </w:pPr>
                  <w:r>
                    <w:rPr/>
                    <w:t>在锁定期满后，</w:t>
                  </w:r>
                </w:p>
              </w:txbxContent>
            </v:textbox>
            <w10:wrap type="none"/>
          </v:shape>
        </w:pict>
      </w:r>
      <w:r>
        <w:rPr/>
        <w:pict>
          <v:group style="position:absolute;margin-left:568.419983pt;margin-top:278.860016pt;width:77.5pt;height:172.1pt;mso-position-horizontal-relative:page;mso-position-vertical-relative:page;z-index:-773560" coordorigin="11368,5577" coordsize="1550,3442">
            <v:group style="position:absolute;left:11368;top:5577;width:1550;height:2653" coordorigin="11368,5577" coordsize="1550,2653">
              <v:shape style="position:absolute;left:11368;top:5577;width:1550;height:2653" coordorigin="11368,5577" coordsize="1550,2653" path="m11368,8230l12918,8230,12918,5577,11368,5577,11368,8230xe" filled="true" fillcolor="#ffffff" stroked="false">
                <v:path arrowok="t"/>
                <v:fill type="solid"/>
              </v:shape>
            </v:group>
            <v:group style="position:absolute;left:11368;top:8239;width:1550;height:780" coordorigin="11368,8239" coordsize="1550,780">
              <v:shape style="position:absolute;left:11368;top:8239;width:1550;height:780" coordorigin="11368,8239" coordsize="1550,780" path="m11368,9019l12918,9019,12918,8239,11368,8239,11368,9019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44"/>
        <w:gridCol w:w="2410"/>
        <w:gridCol w:w="834"/>
        <w:gridCol w:w="4836"/>
        <w:gridCol w:w="1559"/>
        <w:gridCol w:w="1419"/>
        <w:gridCol w:w="992"/>
      </w:tblGrid>
      <w:tr>
        <w:trPr>
          <w:trHeight w:val="377" w:hRule="exact"/>
        </w:trPr>
        <w:tc>
          <w:tcPr>
            <w:tcW w:w="1844" w:type="dxa"/>
            <w:vMerge w:val="restart"/>
            <w:tcBorders>
              <w:top w:val="single" w:sz="15" w:space="0" w:color="000000"/>
              <w:left w:val="single" w:sz="4" w:space="0" w:color="000000"/>
              <w:right w:val="single" w:sz="4" w:space="0" w:color="000000"/>
            </w:tcBorders>
            <w:shd w:val="clear" w:color="auto" w:fill="D2D2D2"/>
          </w:tcPr>
          <w:p>
            <w:pPr/>
          </w:p>
        </w:tc>
        <w:tc>
          <w:tcPr>
            <w:tcW w:w="2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凰</w:t>
            </w:r>
          </w:p>
        </w:tc>
        <w:tc>
          <w:tcPr>
            <w:tcW w:w="8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股票前已发行的股份，也不由公司回购其持有的上述股份。</w:t>
            </w:r>
          </w:p>
        </w:tc>
        <w:tc>
          <w:tcPr>
            <w:tcW w:w="1559"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自公司股票在深圳证券交易所上市之日起十二个月内，不转让</w:t>
            </w:r>
            <w:r>
              <w:rPr>
                <w:rFonts w:ascii="宋体" w:hAnsi="宋体" w:cs="宋体" w:eastAsia="宋体" w:hint="default"/>
                <w:sz w:val="18"/>
                <w:szCs w:val="18"/>
              </w:rPr>
              <w:t> 或者委托他人管理其直接或间接持有的公司首次公开发行股 票前已发行的股份，也不由公司回购其持有的上述股份。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履行已完成</w:t>
            </w: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、本方拟长期持有公司股份，并严格遵守关于股份锁定期的</w:t>
            </w:r>
          </w:p>
        </w:tc>
        <w:tc>
          <w:tcPr>
            <w:tcW w:w="1559"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、如果在锁定期满后，本方拟减持公司股份的，将认</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真遵守中国证监会、证券交易所关于股东减持的相关规定，结</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合公司稳定股价、开展经营、资本运作的需要，审慎制定股份</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减持计划，在该部分股份锁定期满后逐步减持；</w:t>
            </w:r>
            <w:r>
              <w:rPr>
                <w:rFonts w:ascii="Times New Roman" w:hAnsi="Times New Roman" w:cs="Times New Roman" w:eastAsia="Times New Roman" w:hint="default"/>
                <w:sz w:val="18"/>
                <w:szCs w:val="18"/>
              </w:rPr>
              <w:t>3</w:t>
            </w:r>
            <w:r>
              <w:rPr>
                <w:rFonts w:ascii="宋体" w:hAnsi="宋体" w:cs="宋体" w:eastAsia="宋体" w:hint="default"/>
                <w:sz w:val="18"/>
                <w:szCs w:val="18"/>
              </w:rPr>
              <w:t>、本方减持</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行为将通过竞价交易、大宗交易等中国证监会、证券交易所认</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可的方式进行；</w:t>
            </w:r>
            <w:r>
              <w:rPr>
                <w:rFonts w:ascii="Times New Roman" w:hAnsi="Times New Roman" w:cs="Times New Roman" w:eastAsia="Times New Roman" w:hint="default"/>
                <w:sz w:val="18"/>
                <w:szCs w:val="18"/>
              </w:rPr>
              <w:t>4</w:t>
            </w:r>
            <w:r>
              <w:rPr>
                <w:rFonts w:ascii="宋体" w:hAnsi="宋体" w:cs="宋体" w:eastAsia="宋体" w:hint="default"/>
                <w:sz w:val="18"/>
                <w:szCs w:val="18"/>
              </w:rPr>
              <w:t>、如在锁定期满后两年内减持的，减持价格</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不低于公司首次公开发行股票的发行</w:t>
            </w:r>
            <w:r>
              <w:rPr>
                <w:rFonts w:ascii="宋体" w:hAnsi="宋体" w:cs="宋体" w:eastAsia="宋体" w:hint="default"/>
                <w:spacing w:val="-81"/>
                <w:sz w:val="18"/>
                <w:szCs w:val="18"/>
              </w:rPr>
              <w:t>价</w:t>
            </w:r>
            <w:r>
              <w:rPr>
                <w:rFonts w:ascii="宋体" w:hAnsi="宋体" w:cs="宋体" w:eastAsia="宋体" w:hint="default"/>
                <w:sz w:val="18"/>
                <w:szCs w:val="18"/>
              </w:rPr>
              <w:t>（本次发行后发生权益</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9"/>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分派、公积金转增股本、配股等情况的，发行价进行相应的除</w:t>
            </w:r>
            <w:r>
              <w:rPr>
                <w:rFonts w:ascii="宋体" w:hAnsi="宋体" w:cs="宋体" w:eastAsia="宋体" w:hint="default"/>
                <w:sz w:val="18"/>
                <w:szCs w:val="18"/>
              </w:rPr>
              <w:t> </w:t>
            </w:r>
            <w:r>
              <w:rPr>
                <w:rFonts w:ascii="宋体" w:hAnsi="宋体" w:cs="宋体" w:eastAsia="宋体" w:hint="default"/>
                <w:spacing w:val="-4"/>
                <w:sz w:val="18"/>
                <w:szCs w:val="18"/>
              </w:rPr>
              <w:t>权除息处理）；如在锁定期满两年后减持的，按照市场价格减</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6"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5</w:t>
            </w:r>
            <w:r>
              <w:rPr>
                <w:rFonts w:ascii="宋体" w:hAnsi="宋体" w:cs="宋体" w:eastAsia="宋体" w:hint="default"/>
                <w:sz w:val="18"/>
                <w:szCs w:val="18"/>
              </w:rPr>
              <w:t>、公司首次公开发行股票上市后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个月内，若公司股票</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期末收盘价低于发行价</w:t>
            </w:r>
            <w:r>
              <w:rPr>
                <w:rFonts w:ascii="宋体" w:hAnsi="宋体" w:cs="宋体" w:eastAsia="宋体" w:hint="default"/>
                <w:spacing w:val="-81"/>
                <w:sz w:val="18"/>
                <w:szCs w:val="18"/>
              </w:rPr>
              <w:t>，</w:t>
            </w:r>
            <w:r>
              <w:rPr>
                <w:rFonts w:ascii="宋体" w:hAnsi="宋体" w:cs="宋体" w:eastAsia="宋体" w:hint="default"/>
                <w:sz w:val="18"/>
                <w:szCs w:val="18"/>
              </w:rPr>
              <w:t>所持有公司股票的锁定期限自动延长</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个月（本次发行后发生权益分派、公积金转增股本、配股等</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情况的</w:t>
            </w:r>
            <w:r>
              <w:rPr>
                <w:rFonts w:ascii="宋体" w:hAnsi="宋体" w:cs="宋体" w:eastAsia="宋体" w:hint="default"/>
                <w:spacing w:val="-57"/>
                <w:sz w:val="18"/>
                <w:szCs w:val="18"/>
              </w:rPr>
              <w:t>，</w:t>
            </w:r>
            <w:r>
              <w:rPr>
                <w:rFonts w:ascii="宋体" w:hAnsi="宋体" w:cs="宋体" w:eastAsia="宋体" w:hint="default"/>
                <w:sz w:val="18"/>
                <w:szCs w:val="18"/>
              </w:rPr>
              <w:t>发行价进行相应的除权除息处理</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会提前将减持意向和拟减持数量等信息以书面方式通知公司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并由公司及时予以公告，自公司公告之日起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5"/>
                <w:sz w:val="18"/>
                <w:szCs w:val="18"/>
              </w:rPr>
              <w:t> </w:t>
            </w:r>
            <w:r>
              <w:rPr>
                <w:rFonts w:ascii="宋体" w:hAnsi="宋体" w:cs="宋体" w:eastAsia="宋体" w:hint="default"/>
                <w:spacing w:val="-6"/>
                <w:sz w:val="18"/>
                <w:szCs w:val="18"/>
              </w:rPr>
              <w:t>个交易日后，方</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可减持公司股份。</w:t>
            </w:r>
          </w:p>
        </w:tc>
        <w:tc>
          <w:tcPr>
            <w:tcW w:w="1559"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、本方将严格遵守关于股份锁定期的承诺；</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p>
        </w:tc>
        <w:tc>
          <w:tcPr>
            <w:tcW w:w="1559"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可以根据公司经营、资本市场、自身资金需求等情况进行综合</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35"/>
              <w:jc w:val="left"/>
              <w:rPr>
                <w:rFonts w:ascii="宋体" w:hAnsi="宋体" w:cs="宋体" w:eastAsia="宋体" w:hint="default"/>
                <w:sz w:val="18"/>
                <w:szCs w:val="18"/>
              </w:rPr>
            </w:pPr>
            <w:r>
              <w:rPr>
                <w:rFonts w:ascii="宋体" w:hAnsi="宋体" w:cs="宋体" w:eastAsia="宋体" w:hint="default"/>
                <w:sz w:val="18"/>
                <w:szCs w:val="18"/>
              </w:rPr>
              <w:t>橙色动力、伟岸仲合、金凤银 凰、</w:t>
            </w: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亚太</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9"/>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分析，自主选择集中竞价或大宗交易的方式予以减持；</w:t>
            </w:r>
            <w:r>
              <w:rPr>
                <w:rFonts w:ascii="Times New Roman" w:hAnsi="Times New Roman" w:cs="Times New Roman" w:eastAsia="Times New Roman" w:hint="default"/>
                <w:sz w:val="18"/>
                <w:szCs w:val="18"/>
              </w:rPr>
              <w:t>3</w:t>
            </w:r>
            <w:r>
              <w:rPr>
                <w:rFonts w:ascii="宋体" w:hAnsi="宋体" w:cs="宋体" w:eastAsia="宋体" w:hint="default"/>
                <w:sz w:val="18"/>
                <w:szCs w:val="18"/>
              </w:rPr>
              <w:t>、本 </w:t>
            </w:r>
            <w:r>
              <w:rPr>
                <w:rFonts w:ascii="宋体" w:hAnsi="宋体" w:cs="宋体" w:eastAsia="宋体" w:hint="default"/>
                <w:spacing w:val="-3"/>
                <w:sz w:val="18"/>
                <w:szCs w:val="18"/>
              </w:rPr>
              <w:t>方在减持时，会提前将减持意向和拟减持数量等信息以书面方</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式通知公司，并由公司及时予以公告，自公司公告之日起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个交易日后，方可减持公司股份。</w:t>
            </w:r>
          </w:p>
        </w:tc>
        <w:tc>
          <w:tcPr>
            <w:tcW w:w="1559"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稳定股价</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、公司将根据《宣亚国际品牌管理（北京）股份有限公司关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r>
        <w:rPr/>
        <w:pict>
          <v:shape style="position:absolute;margin-left:499.330994pt;margin-top:57.180008pt;width:146.550pt;height:329.7pt;mso-position-horizontal-relative:page;mso-position-vertical-relative:page;z-index:-773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pStyle w:val="BodyText"/>
                    <w:spacing w:line="240" w:lineRule="auto"/>
                    <w:ind w:left="0" w:right="0"/>
                    <w:jc w:val="left"/>
                  </w:pPr>
                  <w:r>
                    <w:rPr/>
                    <w:t>高级管理人员的，</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227"/>
                    <w:jc w:val="center"/>
                  </w:pPr>
                  <w:r>
                    <w:rPr/>
                    <w:t>、</w:t>
                  </w:r>
                </w:p>
              </w:txbxContent>
            </v:textbox>
            <w10:wrap type="none"/>
          </v:shape>
        </w:pict>
      </w:r>
      <w:r>
        <w:rPr/>
        <w:pict>
          <v:shape style="position:absolute;margin-left:526.348999pt;margin-top:468.360016pt;width:119.55pt;height:61.4pt;mso-position-horizontal-relative:page;mso-position-vertical-relative:page;z-index:-773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0"/>
                    <w:jc w:val="left"/>
                  </w:pPr>
                  <w:r>
                    <w:rPr/>
                    <w:t>《证券法》</w:t>
                  </w:r>
                </w:p>
              </w:txbxContent>
            </v:textbox>
            <w10:wrap type="none"/>
          </v:shape>
        </w:pict>
      </w:r>
      <w:r>
        <w:rPr/>
        <w:pict>
          <v:group style="position:absolute;margin-left:568.419983pt;margin-top:57.180008pt;width:77.5pt;height:329.7pt;mso-position-horizontal-relative:page;mso-position-vertical-relative:page;z-index:-773488" coordorigin="11368,1144" coordsize="1550,6594">
            <v:shape style="position:absolute;left:11368;top:1144;width:1550;height:6594" coordorigin="11368,1144" coordsize="1550,6594" path="m11368,7737l12918,7737,12918,1144,11368,1144,11368,7737xe" filled="true" fillcolor="#ffffff" stroked="false">
              <v:path arrowok="t"/>
              <v:fill type="solid"/>
            </v:shape>
            <w10:wrap type="none"/>
          </v:group>
        </w:pict>
      </w:r>
      <w:r>
        <w:rPr/>
        <w:pict>
          <v:group style="position:absolute;margin-left:568.419983pt;margin-top:468.360016pt;width:77.5pt;height:61.4pt;mso-position-horizontal-relative:page;mso-position-vertical-relative:page;z-index:-773464" coordorigin="11368,9367" coordsize="1550,1228">
            <v:shape style="position:absolute;left:11368;top:9367;width:1550;height:1228" coordorigin="11368,9367" coordsize="1550,1228" path="m11368,10595l12918,10595,12918,9367,11368,9367,11368,1059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844"/>
        <w:gridCol w:w="2410"/>
        <w:gridCol w:w="834"/>
        <w:gridCol w:w="4836"/>
        <w:gridCol w:w="1559"/>
        <w:gridCol w:w="1419"/>
        <w:gridCol w:w="992"/>
      </w:tblGrid>
      <w:tr>
        <w:trPr>
          <w:trHeight w:val="336" w:hRule="exact"/>
        </w:trPr>
        <w:tc>
          <w:tcPr>
            <w:tcW w:w="1844" w:type="dxa"/>
            <w:vMerge w:val="restart"/>
            <w:tcBorders>
              <w:top w:val="single" w:sz="15" w:space="0" w:color="000000"/>
              <w:left w:val="single" w:sz="4" w:space="0" w:color="000000"/>
              <w:right w:val="single" w:sz="4" w:space="0" w:color="000000"/>
            </w:tcBorders>
            <w:shd w:val="clear" w:color="auto" w:fill="D2D2D2"/>
          </w:tcPr>
          <w:p>
            <w:pPr/>
          </w:p>
        </w:tc>
        <w:tc>
          <w:tcPr>
            <w:tcW w:w="2410" w:type="dxa"/>
            <w:vMerge w:val="restart"/>
            <w:tcBorders>
              <w:top w:val="single" w:sz="15" w:space="0" w:color="000000"/>
              <w:left w:val="single" w:sz="4" w:space="0" w:color="000000"/>
              <w:right w:val="single" w:sz="4" w:space="0" w:color="000000"/>
            </w:tcBorders>
          </w:tcPr>
          <w:p>
            <w:pPr/>
          </w:p>
        </w:tc>
        <w:tc>
          <w:tcPr>
            <w:tcW w:w="83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83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于股份发行上市后稳定股价的预案</w:t>
            </w:r>
            <w:r>
              <w:rPr>
                <w:rFonts w:ascii="宋体" w:hAnsi="宋体" w:cs="宋体" w:eastAsia="宋体" w:hint="default"/>
                <w:spacing w:val="-90"/>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《预案》</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w:t>
            </w:r>
          </w:p>
        </w:tc>
        <w:tc>
          <w:tcPr>
            <w:tcW w:w="1559" w:type="dxa"/>
            <w:tcBorders>
              <w:top w:val="single" w:sz="15" w:space="0" w:color="000000"/>
              <w:left w:val="single" w:sz="4" w:space="0" w:color="000000"/>
              <w:bottom w:val="nil" w:sz="6" w:space="0" w:color="auto"/>
              <w:right w:val="single" w:sz="4" w:space="0" w:color="000000"/>
            </w:tcBorders>
          </w:tcPr>
          <w:p>
            <w:pPr/>
          </w:p>
        </w:tc>
        <w:tc>
          <w:tcPr>
            <w:tcW w:w="1419" w:type="dxa"/>
            <w:vMerge w:val="restart"/>
            <w:tcBorders>
              <w:top w:val="single" w:sz="15" w:space="0" w:color="000000"/>
              <w:left w:val="single" w:sz="4" w:space="0" w:color="000000"/>
              <w:right w:val="single" w:sz="4" w:space="0" w:color="000000"/>
            </w:tcBorders>
          </w:tcPr>
          <w:p>
            <w:pPr/>
          </w:p>
        </w:tc>
        <w:tc>
          <w:tcPr>
            <w:tcW w:w="992" w:type="dxa"/>
            <w:vMerge w:val="restart"/>
            <w:tcBorders>
              <w:top w:val="single" w:sz="15" w:space="0" w:color="000000"/>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以及法律、法规、公司章程的规定，在《预案》规定的稳定股</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价措施的启动条件成就之日起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1"/>
                <w:sz w:val="18"/>
                <w:szCs w:val="18"/>
              </w:rPr>
              <w:t>日</w:t>
            </w:r>
            <w:r>
              <w:rPr>
                <w:rFonts w:ascii="宋体" w:hAnsi="宋体" w:cs="宋体" w:eastAsia="宋体" w:hint="default"/>
                <w:sz w:val="18"/>
                <w:szCs w:val="18"/>
              </w:rPr>
              <w:t>内</w:t>
            </w:r>
            <w:r>
              <w:rPr>
                <w:rFonts w:ascii="宋体" w:hAnsi="宋体" w:cs="宋体" w:eastAsia="宋体" w:hint="default"/>
                <w:spacing w:val="-81"/>
                <w:sz w:val="18"/>
                <w:szCs w:val="18"/>
              </w:rPr>
              <w:t>，</w:t>
            </w:r>
            <w:r>
              <w:rPr>
                <w:rFonts w:ascii="宋体" w:hAnsi="宋体" w:cs="宋体" w:eastAsia="宋体" w:hint="default"/>
                <w:sz w:val="18"/>
                <w:szCs w:val="18"/>
              </w:rPr>
              <w:t>召开董事会讨论</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稳定股价的具体方案</w:t>
            </w:r>
            <w:r>
              <w:rPr>
                <w:rFonts w:ascii="宋体" w:hAnsi="宋体" w:cs="宋体" w:eastAsia="宋体" w:hint="default"/>
                <w:spacing w:val="-81"/>
                <w:sz w:val="18"/>
                <w:szCs w:val="18"/>
              </w:rPr>
              <w:t>；</w:t>
            </w:r>
            <w:r>
              <w:rPr>
                <w:rFonts w:ascii="宋体" w:hAnsi="宋体" w:cs="宋体" w:eastAsia="宋体" w:hint="default"/>
                <w:sz w:val="18"/>
                <w:szCs w:val="18"/>
              </w:rPr>
              <w:t>如董事会审议确定的稳定股价的具体方</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案拟要求公司回购公司股票的</w:t>
            </w:r>
            <w:r>
              <w:rPr>
                <w:rFonts w:ascii="宋体" w:hAnsi="宋体" w:cs="宋体" w:eastAsia="宋体" w:hint="default"/>
                <w:spacing w:val="-81"/>
                <w:sz w:val="18"/>
                <w:szCs w:val="18"/>
              </w:rPr>
              <w:t>，</w:t>
            </w:r>
            <w:r>
              <w:rPr>
                <w:rFonts w:ascii="宋体" w:hAnsi="宋体" w:cs="宋体" w:eastAsia="宋体" w:hint="default"/>
                <w:sz w:val="18"/>
                <w:szCs w:val="18"/>
              </w:rPr>
              <w:t>董事会应当将公司回购公司股</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票的议案提交股东大会审议通过后实施</w:t>
            </w:r>
            <w:r>
              <w:rPr>
                <w:rFonts w:ascii="宋体" w:hAnsi="宋体" w:cs="宋体" w:eastAsia="宋体" w:hint="default"/>
                <w:spacing w:val="-81"/>
                <w:sz w:val="18"/>
                <w:szCs w:val="18"/>
              </w:rPr>
              <w:t>。</w:t>
            </w:r>
            <w:r>
              <w:rPr>
                <w:rFonts w:ascii="宋体" w:hAnsi="宋体" w:cs="宋体" w:eastAsia="宋体" w:hint="default"/>
                <w:sz w:val="18"/>
                <w:szCs w:val="18"/>
              </w:rPr>
              <w:t>公司回购公司股票的</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价格不低于公司最近一期经审计的每股净资</w:t>
            </w:r>
            <w:r>
              <w:rPr>
                <w:rFonts w:ascii="宋体" w:hAnsi="宋体" w:cs="宋体" w:eastAsia="宋体" w:hint="default"/>
                <w:spacing w:val="-81"/>
                <w:sz w:val="18"/>
                <w:szCs w:val="18"/>
              </w:rPr>
              <w:t>产</w:t>
            </w:r>
            <w:r>
              <w:rPr>
                <w:rFonts w:ascii="宋体" w:hAnsi="宋体" w:cs="宋体" w:eastAsia="宋体" w:hint="default"/>
                <w:sz w:val="18"/>
                <w:szCs w:val="18"/>
              </w:rPr>
              <w:t>（最近一期审计</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基准日后，因除权除息事项导致公司净资产、股份总数出现变</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化的，每股净资产相应进行调整</w:t>
            </w:r>
            <w:r>
              <w:rPr>
                <w:rFonts w:ascii="宋体" w:hAnsi="宋体" w:cs="宋体" w:eastAsia="宋体" w:hint="default"/>
                <w:spacing w:val="-90"/>
                <w:sz w:val="18"/>
                <w:szCs w:val="18"/>
              </w:rPr>
              <w:t>）</w:t>
            </w:r>
            <w:r>
              <w:rPr>
                <w:rFonts w:ascii="宋体" w:hAnsi="宋体" w:cs="宋体" w:eastAsia="宋体" w:hint="default"/>
                <w:sz w:val="18"/>
                <w:szCs w:val="18"/>
              </w:rPr>
              <w:t>；用于回购股票的资金应为</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公司自有资金，不得以本次发行上市所募集的资金回购股票</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、如股东大会审议通过的稳定股价措施包括回购公司股票，</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则公司承诺在股东大会通过股份回购方案后</w:t>
            </w:r>
            <w:r>
              <w:rPr>
                <w:rFonts w:ascii="宋体" w:hAnsi="宋体" w:cs="宋体" w:eastAsia="宋体" w:hint="default"/>
                <w:spacing w:val="-81"/>
                <w:sz w:val="18"/>
                <w:szCs w:val="18"/>
              </w:rPr>
              <w:t>，</w:t>
            </w:r>
            <w:r>
              <w:rPr>
                <w:rFonts w:ascii="宋体" w:hAnsi="宋体" w:cs="宋体" w:eastAsia="宋体" w:hint="default"/>
                <w:sz w:val="18"/>
                <w:szCs w:val="18"/>
              </w:rPr>
              <w:t>将依法通知债权</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人，并向证券监督管理部门、证券交易所等主管部门报送相关</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材料，办理审批或备案手续。</w:t>
            </w:r>
            <w:r>
              <w:rPr>
                <w:rFonts w:ascii="Times New Roman" w:hAnsi="Times New Roman" w:cs="Times New Roman" w:eastAsia="Times New Roman" w:hint="default"/>
                <w:sz w:val="18"/>
                <w:szCs w:val="18"/>
              </w:rPr>
              <w:t>3</w:t>
            </w:r>
            <w:r>
              <w:rPr>
                <w:rFonts w:ascii="宋体" w:hAnsi="宋体" w:cs="宋体" w:eastAsia="宋体" w:hint="default"/>
                <w:sz w:val="18"/>
                <w:szCs w:val="18"/>
              </w:rPr>
              <w:t>、自公司股票挂牌上市之日起</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三年内</w:t>
            </w:r>
            <w:r>
              <w:rPr>
                <w:rFonts w:ascii="宋体" w:hAnsi="宋体" w:cs="宋体" w:eastAsia="宋体" w:hint="default"/>
                <w:spacing w:val="-27"/>
                <w:sz w:val="18"/>
                <w:szCs w:val="18"/>
              </w:rPr>
              <w:t>，</w:t>
            </w:r>
            <w:r>
              <w:rPr>
                <w:rFonts w:ascii="宋体" w:hAnsi="宋体" w:cs="宋体" w:eastAsia="宋体" w:hint="default"/>
                <w:sz w:val="18"/>
                <w:szCs w:val="18"/>
              </w:rPr>
              <w:t>公司新聘任董</w:t>
            </w:r>
            <w:r>
              <w:rPr>
                <w:rFonts w:ascii="宋体" w:hAnsi="宋体" w:cs="宋体" w:eastAsia="宋体" w:hint="default"/>
                <w:spacing w:val="-27"/>
                <w:sz w:val="18"/>
                <w:szCs w:val="18"/>
              </w:rPr>
              <w:t>事</w:t>
            </w:r>
            <w:r>
              <w:rPr>
                <w:rFonts w:ascii="宋体" w:hAnsi="宋体" w:cs="宋体" w:eastAsia="宋体" w:hint="default"/>
                <w:sz w:val="18"/>
                <w:szCs w:val="18"/>
              </w:rPr>
              <w:t>（独立董事除外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公司将要求该等新聘任的董事（独立董事除外</w:t>
            </w:r>
            <w:r>
              <w:rPr>
                <w:rFonts w:ascii="宋体" w:hAnsi="宋体" w:cs="宋体" w:eastAsia="宋体" w:hint="default"/>
                <w:spacing w:val="-90"/>
                <w:sz w:val="18"/>
                <w:szCs w:val="18"/>
              </w:rPr>
              <w:t>）</w:t>
            </w:r>
            <w:r>
              <w:rPr>
                <w:rFonts w:ascii="宋体" w:hAnsi="宋体" w:cs="宋体" w:eastAsia="宋体" w:hint="default"/>
                <w:sz w:val="18"/>
                <w:szCs w:val="18"/>
              </w:rPr>
              <w:t>、高级管理人</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员履行公司上市时董事、高级管理人员已作出的相应承诺。</w:t>
            </w:r>
            <w:r>
              <w:rPr>
                <w:rFonts w:ascii="Times New Roman" w:hAnsi="Times New Roman" w:cs="Times New Roman" w:eastAsia="Times New Roman" w:hint="default"/>
                <w:spacing w:val="-3"/>
                <w:sz w:val="18"/>
                <w:szCs w:val="18"/>
              </w:rPr>
              <w:t>4</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在《预案》规定的启动股价稳定措施的条件满足时，如公司未</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采取上述稳定股价的具体措施</w:t>
            </w:r>
            <w:r>
              <w:rPr>
                <w:rFonts w:ascii="宋体" w:hAnsi="宋体" w:cs="宋体" w:eastAsia="宋体" w:hint="default"/>
                <w:spacing w:val="-81"/>
                <w:sz w:val="18"/>
                <w:szCs w:val="18"/>
              </w:rPr>
              <w:t>，</w:t>
            </w:r>
            <w:r>
              <w:rPr>
                <w:rFonts w:ascii="宋体" w:hAnsi="宋体" w:cs="宋体" w:eastAsia="宋体" w:hint="default"/>
                <w:sz w:val="18"/>
                <w:szCs w:val="18"/>
              </w:rPr>
              <w:t>公司将在股东大会及信息披露</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指定媒体上公开说明未采取上述稳定股价措施的具体原因</w:t>
            </w:r>
            <w:r>
              <w:rPr>
                <w:rFonts w:ascii="Times New Roman" w:hAnsi="Times New Roman" w:cs="Times New Roman" w:eastAsia="Times New Roman" w:hint="default"/>
                <w:sz w:val="18"/>
                <w:szCs w:val="18"/>
              </w:rPr>
              <w:t>,</w:t>
            </w:r>
            <w:r>
              <w:rPr>
                <w:rFonts w:ascii="宋体" w:hAnsi="宋体" w:cs="宋体" w:eastAsia="宋体" w:hint="default"/>
                <w:sz w:val="18"/>
                <w:szCs w:val="18"/>
              </w:rPr>
              <w:t>并</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向股东和社会公众投资者道歉。</w:t>
            </w:r>
          </w:p>
        </w:tc>
        <w:tc>
          <w:tcPr>
            <w:tcW w:w="1559" w:type="dxa"/>
            <w:tcBorders>
              <w:top w:val="nil" w:sz="6" w:space="0" w:color="auto"/>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、若公司股东大会审议通过的稳定股价措施包括公司控股股</w:t>
            </w:r>
          </w:p>
        </w:tc>
        <w:tc>
          <w:tcPr>
            <w:tcW w:w="1559"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东增持公司股票，本方将在具体股价稳定方案通过之日起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个月内通过证券交易所以大宗交易方式、集中竞价方式及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79"/>
              <w:jc w:val="left"/>
              <w:rPr>
                <w:rFonts w:ascii="宋体" w:hAnsi="宋体" w:cs="宋体" w:eastAsia="宋体" w:hint="default"/>
                <w:sz w:val="18"/>
                <w:szCs w:val="18"/>
              </w:rPr>
            </w:pPr>
            <w:r>
              <w:rPr>
                <w:rFonts w:ascii="宋体" w:hAnsi="宋体" w:cs="宋体" w:eastAsia="宋体" w:hint="default"/>
                <w:sz w:val="18"/>
                <w:szCs w:val="18"/>
              </w:rPr>
              <w:t>稳定股价 承诺</w:t>
            </w: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其他合法方式增持公司社会公众股份；用于股份增持的资金不</w:t>
            </w:r>
            <w:r>
              <w:rPr>
                <w:rFonts w:ascii="宋体" w:hAnsi="宋体" w:cs="宋体" w:eastAsia="宋体" w:hint="default"/>
                <w:sz w:val="18"/>
                <w:szCs w:val="18"/>
              </w:rPr>
              <w:t> 少于上一会计年度从公司处领取的税后现金分红总额的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（由于稳定股价措施中止导致稳定股价方案终止时实际增持</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金额低于上述标准的除外</w:t>
            </w:r>
            <w:r>
              <w:rPr>
                <w:rFonts w:ascii="宋体" w:hAnsi="宋体" w:cs="宋体" w:eastAsia="宋体" w:hint="default"/>
                <w:spacing w:val="-90"/>
                <w:sz w:val="18"/>
                <w:szCs w:val="18"/>
              </w:rPr>
              <w:t>）</w:t>
            </w:r>
            <w:r>
              <w:rPr>
                <w:rFonts w:ascii="宋体" w:hAnsi="宋体" w:cs="宋体" w:eastAsia="宋体" w:hint="default"/>
                <w:sz w:val="18"/>
                <w:szCs w:val="18"/>
              </w:rPr>
              <w:t>；增持后公司股权分布应当符合上</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市条件</w:t>
            </w:r>
            <w:r>
              <w:rPr>
                <w:rFonts w:ascii="宋体" w:hAnsi="宋体" w:cs="宋体" w:eastAsia="宋体" w:hint="default"/>
                <w:spacing w:val="-57"/>
                <w:sz w:val="18"/>
                <w:szCs w:val="18"/>
              </w:rPr>
              <w:t>；</w:t>
            </w:r>
            <w:r>
              <w:rPr>
                <w:rFonts w:ascii="宋体" w:hAnsi="宋体" w:cs="宋体" w:eastAsia="宋体" w:hint="default"/>
                <w:sz w:val="18"/>
                <w:szCs w:val="18"/>
              </w:rPr>
              <w:t>增持股份行为及信息披露应符</w:t>
            </w:r>
            <w:r>
              <w:rPr>
                <w:rFonts w:ascii="宋体" w:hAnsi="宋体" w:cs="宋体" w:eastAsia="宋体" w:hint="default"/>
                <w:spacing w:val="-57"/>
                <w:sz w:val="18"/>
                <w:szCs w:val="18"/>
              </w:rPr>
              <w:t>合</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及其他相关法律、行政法规的规定。</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、在公司就稳定股价的</w:t>
            </w:r>
          </w:p>
        </w:tc>
        <w:tc>
          <w:tcPr>
            <w:tcW w:w="1559"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r>
        <w:rPr/>
        <w:pict>
          <v:shape style="position:absolute;margin-left:562.359985pt;margin-top:200.12001pt;width:83.55pt;height:101.45pt;mso-position-horizontal-relative:page;mso-position-vertical-relative:page;z-index:-773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w:t>
                  </w:r>
                </w:p>
              </w:txbxContent>
            </v:textbox>
            <w10:wrap type="none"/>
          </v:shape>
        </w:pict>
      </w:r>
      <w:r>
        <w:rPr/>
        <w:pict>
          <v:group style="position:absolute;margin-left:568.419983pt;margin-top:200.12001pt;width:77.5pt;height:121.65pt;mso-position-horizontal-relative:page;mso-position-vertical-relative:page;z-index:-773416" coordorigin="11368,4002" coordsize="1550,2433">
            <v:group style="position:absolute;left:11368;top:4002;width:1550;height:2029" coordorigin="11368,4002" coordsize="1550,2029">
              <v:shape style="position:absolute;left:11368;top:4002;width:1550;height:2029" coordorigin="11368,4002" coordsize="1550,2029" path="m11368,6031l12918,6031,12918,4002,11368,4002,11368,6031xe" filled="true" fillcolor="#ffffff" stroked="false">
                <v:path arrowok="t"/>
                <v:fill type="solid"/>
              </v:shape>
            </v:group>
            <v:group style="position:absolute;left:11380;top:6031;width:2;height:393" coordorigin="11380,6031" coordsize="2,393">
              <v:shape style="position:absolute;left:11380;top:6031;width:2;height:393" coordorigin="11380,6031" coordsize="0,393" path="m11380,6031l11380,6423e" filled="false" stroked="true" strokeweight="1.140pt" strokecolor="#ffffff">
                <v:path arrowok="t"/>
              </v:shape>
            </v:group>
            <v:group style="position:absolute;left:11391;top:6031;width:1504;height:393" coordorigin="11391,6031" coordsize="1504,393">
              <v:shape style="position:absolute;left:11391;top:6031;width:1504;height:393" coordorigin="11391,6031" coordsize="1504,393" path="m11391,6423l12895,6423,12895,6031,11391,6031,11391,6423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44"/>
        <w:gridCol w:w="2410"/>
        <w:gridCol w:w="834"/>
        <w:gridCol w:w="4836"/>
        <w:gridCol w:w="1559"/>
        <w:gridCol w:w="1419"/>
        <w:gridCol w:w="992"/>
      </w:tblGrid>
      <w:tr>
        <w:trPr>
          <w:trHeight w:val="332" w:hRule="exact"/>
        </w:trPr>
        <w:tc>
          <w:tcPr>
            <w:tcW w:w="1844" w:type="dxa"/>
            <w:vMerge w:val="restart"/>
            <w:tcBorders>
              <w:top w:val="single" w:sz="15" w:space="0" w:color="000000"/>
              <w:left w:val="single" w:sz="4" w:space="0" w:color="000000"/>
              <w:right w:val="single" w:sz="4" w:space="0" w:color="000000"/>
            </w:tcBorders>
            <w:shd w:val="clear" w:color="auto" w:fill="D2D2D2"/>
          </w:tcPr>
          <w:p>
            <w:pPr/>
          </w:p>
        </w:tc>
        <w:tc>
          <w:tcPr>
            <w:tcW w:w="2410" w:type="dxa"/>
            <w:vMerge w:val="restart"/>
            <w:tcBorders>
              <w:top w:val="single" w:sz="15" w:space="0" w:color="000000"/>
              <w:left w:val="single" w:sz="4" w:space="0" w:color="000000"/>
              <w:right w:val="single" w:sz="4" w:space="0" w:color="000000"/>
            </w:tcBorders>
          </w:tcPr>
          <w:p>
            <w:pPr/>
          </w:p>
        </w:tc>
        <w:tc>
          <w:tcPr>
            <w:tcW w:w="834" w:type="dxa"/>
            <w:vMerge w:val="restart"/>
            <w:tcBorders>
              <w:top w:val="single" w:sz="15" w:space="0" w:color="000000"/>
              <w:left w:val="single" w:sz="4" w:space="0" w:color="000000"/>
              <w:right w:val="single" w:sz="4" w:space="0" w:color="000000"/>
            </w:tcBorders>
          </w:tcPr>
          <w:p>
            <w:pPr/>
          </w:p>
        </w:tc>
        <w:tc>
          <w:tcPr>
            <w:tcW w:w="483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具体方案召开的董事会、股东大会上，将对公司稳定股价方案</w:t>
            </w:r>
          </w:p>
        </w:tc>
        <w:tc>
          <w:tcPr>
            <w:tcW w:w="1559" w:type="dxa"/>
            <w:vMerge w:val="restart"/>
            <w:tcBorders>
              <w:top w:val="single" w:sz="15" w:space="0" w:color="000000"/>
              <w:left w:val="single" w:sz="4" w:space="0" w:color="000000"/>
              <w:right w:val="single" w:sz="4" w:space="0" w:color="000000"/>
            </w:tcBorders>
          </w:tcPr>
          <w:p>
            <w:pPr/>
          </w:p>
        </w:tc>
        <w:tc>
          <w:tcPr>
            <w:tcW w:w="1419" w:type="dxa"/>
            <w:vMerge w:val="restart"/>
            <w:tcBorders>
              <w:top w:val="single" w:sz="15" w:space="0" w:color="000000"/>
              <w:left w:val="single" w:sz="4" w:space="0" w:color="000000"/>
              <w:right w:val="single" w:sz="4" w:space="0" w:color="000000"/>
            </w:tcBorders>
          </w:tcPr>
          <w:p>
            <w:pPr/>
          </w:p>
        </w:tc>
        <w:tc>
          <w:tcPr>
            <w:tcW w:w="992" w:type="dxa"/>
            <w:vMerge w:val="restart"/>
            <w:tcBorders>
              <w:top w:val="single" w:sz="15" w:space="0" w:color="000000"/>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vMerge/>
            <w:tcBorders>
              <w:left w:val="single" w:sz="4" w:space="0" w:color="000000"/>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的相关决议投赞成票。</w:t>
            </w:r>
            <w:r>
              <w:rPr>
                <w:rFonts w:ascii="Times New Roman" w:hAnsi="Times New Roman" w:cs="Times New Roman" w:eastAsia="Times New Roman" w:hint="default"/>
                <w:sz w:val="18"/>
                <w:szCs w:val="18"/>
              </w:rPr>
              <w:t>3</w:t>
            </w:r>
            <w:r>
              <w:rPr>
                <w:rFonts w:ascii="宋体" w:hAnsi="宋体" w:cs="宋体" w:eastAsia="宋体" w:hint="default"/>
                <w:sz w:val="18"/>
                <w:szCs w:val="18"/>
              </w:rPr>
              <w:t>、在公司《预案》规定的启动股价稳</w:t>
            </w:r>
          </w:p>
        </w:tc>
        <w:tc>
          <w:tcPr>
            <w:tcW w:w="155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vMerge/>
            <w:tcBorders>
              <w:left w:val="single" w:sz="4" w:space="0" w:color="000000"/>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定措施的前提条件满足时</w:t>
            </w:r>
            <w:r>
              <w:rPr>
                <w:rFonts w:ascii="宋体" w:hAnsi="宋体" w:cs="宋体" w:eastAsia="宋体" w:hint="default"/>
                <w:spacing w:val="-81"/>
                <w:sz w:val="18"/>
                <w:szCs w:val="18"/>
              </w:rPr>
              <w:t>，</w:t>
            </w:r>
            <w:r>
              <w:rPr>
                <w:rFonts w:ascii="宋体" w:hAnsi="宋体" w:cs="宋体" w:eastAsia="宋体" w:hint="default"/>
                <w:sz w:val="18"/>
                <w:szCs w:val="18"/>
              </w:rPr>
              <w:t>如本方未能按照上述预案采取稳定</w:t>
            </w:r>
          </w:p>
        </w:tc>
        <w:tc>
          <w:tcPr>
            <w:tcW w:w="155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vMerge/>
            <w:tcBorders>
              <w:left w:val="single" w:sz="4" w:space="0" w:color="000000"/>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股价的具体措施</w:t>
            </w:r>
            <w:r>
              <w:rPr>
                <w:rFonts w:ascii="宋体" w:hAnsi="宋体" w:cs="宋体" w:eastAsia="宋体" w:hint="default"/>
                <w:spacing w:val="-81"/>
                <w:sz w:val="18"/>
                <w:szCs w:val="18"/>
              </w:rPr>
              <w:t>，</w:t>
            </w:r>
            <w:r>
              <w:rPr>
                <w:rFonts w:ascii="宋体" w:hAnsi="宋体" w:cs="宋体" w:eastAsia="宋体" w:hint="default"/>
                <w:sz w:val="18"/>
                <w:szCs w:val="18"/>
              </w:rPr>
              <w:t>将在公司股东大会及信息披露指定媒体上公</w:t>
            </w:r>
          </w:p>
        </w:tc>
        <w:tc>
          <w:tcPr>
            <w:tcW w:w="155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vMerge/>
            <w:tcBorders>
              <w:left w:val="single" w:sz="4" w:space="0" w:color="000000"/>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开说明未采取上述稳定股价措施的具体原因并向股东和社会</w:t>
            </w:r>
          </w:p>
        </w:tc>
        <w:tc>
          <w:tcPr>
            <w:tcW w:w="155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vMerge/>
            <w:tcBorders>
              <w:left w:val="single" w:sz="4" w:space="0" w:color="000000"/>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公众投资者道歉；如本方未能履行上述稳定股价的承诺，则公</w:t>
            </w:r>
          </w:p>
        </w:tc>
        <w:tc>
          <w:tcPr>
            <w:tcW w:w="155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vMerge/>
            <w:tcBorders>
              <w:left w:val="single" w:sz="4" w:space="0" w:color="000000"/>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司有权自股东大会审议通过股价稳定方案的决议公告之日起</w:t>
            </w:r>
          </w:p>
        </w:tc>
        <w:tc>
          <w:tcPr>
            <w:tcW w:w="155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tcPr>
          <w:p>
            <w:pPr/>
          </w:p>
        </w:tc>
        <w:tc>
          <w:tcPr>
            <w:tcW w:w="834" w:type="dxa"/>
            <w:vMerge/>
            <w:tcBorders>
              <w:left w:val="single" w:sz="4" w:space="0" w:color="000000"/>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个月届满后将对本方的现金分红（如有）予以扣留，同时</w:t>
            </w:r>
          </w:p>
        </w:tc>
        <w:tc>
          <w:tcPr>
            <w:tcW w:w="155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tcPr>
          <w:p>
            <w:pPr/>
          </w:p>
        </w:tc>
        <w:tc>
          <w:tcPr>
            <w:tcW w:w="834" w:type="dxa"/>
            <w:vMerge/>
            <w:tcBorders>
              <w:left w:val="single" w:sz="4" w:space="0" w:color="000000"/>
              <w:bottom w:val="single" w:sz="4" w:space="0" w:color="000000"/>
              <w:right w:val="single" w:sz="4" w:space="0" w:color="000000"/>
            </w:tcBorders>
          </w:tcPr>
          <w:p>
            <w:pPr/>
          </w:p>
        </w:tc>
        <w:tc>
          <w:tcPr>
            <w:tcW w:w="4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本方持有的公司股份不得转让，直至履行增持义务。</w:t>
            </w:r>
          </w:p>
        </w:tc>
        <w:tc>
          <w:tcPr>
            <w:tcW w:w="155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、当公司《宣亚国际品牌管理（北京）股份有限公司关于股</w:t>
            </w:r>
          </w:p>
        </w:tc>
        <w:tc>
          <w:tcPr>
            <w:tcW w:w="1559"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份发行上市后稳定股价的预案</w:t>
            </w:r>
            <w:r>
              <w:rPr>
                <w:rFonts w:ascii="宋体" w:hAnsi="宋体" w:cs="宋体" w:eastAsia="宋体" w:hint="default"/>
                <w:spacing w:val="-90"/>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《预案》</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）规定</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的股价稳定措施启动条件满足时，本人将按照《预案》及股东</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大会具体的稳定股价方案履行相应义务</w:t>
            </w:r>
            <w:r>
              <w:rPr>
                <w:rFonts w:ascii="宋体" w:hAnsi="宋体" w:cs="宋体" w:eastAsia="宋体" w:hint="default"/>
                <w:spacing w:val="-81"/>
                <w:sz w:val="18"/>
                <w:szCs w:val="18"/>
              </w:rPr>
              <w:t>。</w:t>
            </w:r>
            <w:r>
              <w:rPr>
                <w:rFonts w:ascii="宋体" w:hAnsi="宋体" w:cs="宋体" w:eastAsia="宋体" w:hint="default"/>
                <w:sz w:val="18"/>
                <w:szCs w:val="18"/>
              </w:rPr>
              <w:t>且此义务不因本人离</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任而免除。</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、在公司就稳定股价的具体方案召开的董事会、</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张秀兵、万丽莉、宾卫、张二 东、何骁军、李弘扬、邬涛、 刘妍、吴卫华、宣正元</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79"/>
              <w:jc w:val="left"/>
              <w:rPr>
                <w:rFonts w:ascii="宋体" w:hAnsi="宋体" w:cs="宋体" w:eastAsia="宋体" w:hint="default"/>
                <w:sz w:val="18"/>
                <w:szCs w:val="18"/>
              </w:rPr>
            </w:pPr>
            <w:r>
              <w:rPr>
                <w:rFonts w:ascii="宋体" w:hAnsi="宋体" w:cs="宋体" w:eastAsia="宋体" w:hint="default"/>
                <w:sz w:val="18"/>
                <w:szCs w:val="18"/>
              </w:rPr>
              <w:t>稳定股价 承诺</w:t>
            </w: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3" w:right="21"/>
              <w:jc w:val="left"/>
              <w:rPr>
                <w:rFonts w:ascii="宋体" w:hAnsi="宋体" w:cs="宋体" w:eastAsia="宋体" w:hint="default"/>
                <w:sz w:val="18"/>
                <w:szCs w:val="18"/>
              </w:rPr>
            </w:pPr>
            <w:r>
              <w:rPr>
                <w:rFonts w:ascii="宋体" w:hAnsi="宋体" w:cs="宋体" w:eastAsia="宋体" w:hint="default"/>
                <w:spacing w:val="-3"/>
                <w:sz w:val="18"/>
                <w:szCs w:val="18"/>
              </w:rPr>
              <w:t>股东大会上，将对公司稳定股价方案的相关决议投赞成票。</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在公司《预案》规定的启动股价稳定措施的前提条件满足时 </w:t>
            </w:r>
            <w:r>
              <w:rPr>
                <w:rFonts w:ascii="宋体" w:hAnsi="宋体" w:cs="宋体" w:eastAsia="宋体" w:hint="default"/>
                <w:spacing w:val="-3"/>
                <w:sz w:val="18"/>
                <w:szCs w:val="18"/>
              </w:rPr>
              <w:t>如本人未能按照上述预案采取稳定股价的具体措施，将在股东</w:t>
            </w:r>
            <w:r>
              <w:rPr>
                <w:rFonts w:ascii="宋体" w:hAnsi="宋体" w:cs="宋体" w:eastAsia="宋体" w:hint="default"/>
                <w:sz w:val="18"/>
                <w:szCs w:val="18"/>
              </w:rPr>
              <w:t> 大会及信息披露指定媒体上公开说明未采取上述稳定股价措</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10"/>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施的具体原因并向股东和社会公众投资者道歉</w:t>
            </w:r>
            <w:r>
              <w:rPr>
                <w:rFonts w:ascii="宋体" w:hAnsi="宋体" w:cs="宋体" w:eastAsia="宋体" w:hint="default"/>
                <w:spacing w:val="-81"/>
                <w:sz w:val="18"/>
                <w:szCs w:val="18"/>
              </w:rPr>
              <w:t>；</w:t>
            </w:r>
            <w:r>
              <w:rPr>
                <w:rFonts w:ascii="宋体" w:hAnsi="宋体" w:cs="宋体" w:eastAsia="宋体" w:hint="default"/>
                <w:sz w:val="18"/>
                <w:szCs w:val="18"/>
              </w:rPr>
              <w:t>如本人未能履</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行上述稳定股价的承诺</w:t>
            </w:r>
            <w:r>
              <w:rPr>
                <w:rFonts w:ascii="宋体" w:hAnsi="宋体" w:cs="宋体" w:eastAsia="宋体" w:hint="default"/>
                <w:spacing w:val="-81"/>
                <w:sz w:val="18"/>
                <w:szCs w:val="18"/>
              </w:rPr>
              <w:t>，</w:t>
            </w:r>
            <w:r>
              <w:rPr>
                <w:rFonts w:ascii="宋体" w:hAnsi="宋体" w:cs="宋体" w:eastAsia="宋体" w:hint="default"/>
                <w:sz w:val="18"/>
                <w:szCs w:val="18"/>
              </w:rPr>
              <w:t>则公司有权自股东大会审议通过股价</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稳定方案的决议公告之日起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个月届满后对本人的现金分红</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、薪酬予以扣留，同时本人持有的公司股份（如有）</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不得转让，直至履行增持义务。</w:t>
            </w:r>
          </w:p>
        </w:tc>
        <w:tc>
          <w:tcPr>
            <w:tcW w:w="1559"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如公司招股说明书有虚假记载、误导性陈述或者重大遗漏，对</w:t>
            </w:r>
          </w:p>
        </w:tc>
        <w:tc>
          <w:tcPr>
            <w:tcW w:w="1559"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保护投资</w:t>
            </w: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判断公司是否符合法律规定的发行条件构成重大、实质影响</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者利益的</w:t>
            </w: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的，公司将依法回购首次公开发行的全部新股；如公司招股说</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8"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nil" w:sz="6" w:space="0" w:color="auto"/>
              <w:right w:val="single" w:sz="4" w:space="0" w:color="000000"/>
            </w:tcBorders>
          </w:tcPr>
          <w:p>
            <w:pP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明书有虚假记载、误导性陈述或者重大遗漏，致使投资者在证</w:t>
            </w:r>
          </w:p>
        </w:tc>
        <w:tc>
          <w:tcPr>
            <w:tcW w:w="155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844" w:type="dxa"/>
            <w:vMerge/>
            <w:tcBorders>
              <w:left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券交易中遭受损失的，将依法赔偿投资者损失。</w:t>
            </w:r>
          </w:p>
        </w:tc>
        <w:tc>
          <w:tcPr>
            <w:tcW w:w="1559"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保护投资</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pacing w:val="-3"/>
                <w:sz w:val="18"/>
                <w:szCs w:val="18"/>
              </w:rPr>
              <w:t>如公司招股说明书有虚假记载、误导性陈述或者重大遗漏，对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r>
        <w:rPr/>
        <w:pict>
          <v:group style="position:absolute;margin-left:568.419983pt;margin-top:57.180008pt;width:77.5pt;height:80.1pt;mso-position-horizontal-relative:page;mso-position-vertical-relative:page;z-index:-773392" coordorigin="11368,1144" coordsize="1550,1602">
            <v:shape style="position:absolute;left:11368;top:1144;width:1550;height:1602" coordorigin="11368,1144" coordsize="1550,1602" path="m11368,2745l12918,2745,12918,1144,11368,1144,11368,2745xe" filled="true" fillcolor="#ffffff" stroked="false">
              <v:path arrowok="t"/>
              <v:fill type="solid"/>
            </v:shape>
            <w10:wrap type="none"/>
          </v:group>
        </w:pict>
      </w:r>
      <w:r>
        <w:rPr/>
        <w:pict>
          <v:group style="position:absolute;margin-left:286.040009pt;margin-top:351.52002pt;width:38.950pt;height:31.2pt;mso-position-horizontal-relative:page;mso-position-vertical-relative:page;z-index:-773368" coordorigin="5721,7030" coordsize="779,624">
            <v:group style="position:absolute;left:5721;top:7030;width:779;height:312" coordorigin="5721,7030" coordsize="779,312">
              <v:shape style="position:absolute;left:5721;top:7030;width:779;height:312" coordorigin="5721,7030" coordsize="779,312" path="m5721,7342l6500,7342,6500,7030,5721,7030,5721,7342xe" filled="true" fillcolor="#ffffff" stroked="false">
                <v:path arrowok="t"/>
                <v:fill type="solid"/>
              </v:shape>
            </v:group>
            <v:group style="position:absolute;left:5721;top:7342;width:779;height:312" coordorigin="5721,7342" coordsize="779,312">
              <v:shape style="position:absolute;left:5721;top:7342;width:779;height:312" coordorigin="5721,7342" coordsize="779,312" path="m5721,7654l6500,7654,6500,7342,5721,7342,5721,765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44"/>
        <w:gridCol w:w="2410"/>
        <w:gridCol w:w="834"/>
        <w:gridCol w:w="4836"/>
        <w:gridCol w:w="1559"/>
        <w:gridCol w:w="1419"/>
        <w:gridCol w:w="992"/>
      </w:tblGrid>
      <w:tr>
        <w:trPr>
          <w:trHeight w:val="1625" w:hRule="exact"/>
        </w:trPr>
        <w:tc>
          <w:tcPr>
            <w:tcW w:w="1844" w:type="dxa"/>
            <w:vMerge w:val="restart"/>
            <w:tcBorders>
              <w:top w:val="single" w:sz="15" w:space="0" w:color="000000"/>
              <w:left w:val="single" w:sz="4" w:space="0" w:color="000000"/>
              <w:right w:val="single" w:sz="4" w:space="0" w:color="000000"/>
            </w:tcBorders>
            <w:shd w:val="clear" w:color="auto" w:fill="D2D2D2"/>
          </w:tcPr>
          <w:p>
            <w:pPr/>
          </w:p>
        </w:tc>
        <w:tc>
          <w:tcPr>
            <w:tcW w:w="2410" w:type="dxa"/>
            <w:tcBorders>
              <w:top w:val="single" w:sz="15" w:space="0" w:color="000000"/>
              <w:left w:val="single" w:sz="4" w:space="0" w:color="000000"/>
              <w:bottom w:val="single" w:sz="4" w:space="0" w:color="000000"/>
              <w:right w:val="single" w:sz="4" w:space="0" w:color="000000"/>
            </w:tcBorders>
          </w:tcPr>
          <w:p>
            <w:pPr/>
          </w:p>
        </w:tc>
        <w:tc>
          <w:tcPr>
            <w:tcW w:w="83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者利益的 承诺</w:t>
            </w:r>
          </w:p>
        </w:tc>
        <w:tc>
          <w:tcPr>
            <w:tcW w:w="483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判断公司是否符合法律规定的发行条件构成重大、实质影响 </w:t>
            </w:r>
            <w:r>
              <w:rPr>
                <w:rFonts w:ascii="宋体" w:hAnsi="宋体" w:cs="宋体" w:eastAsia="宋体" w:hint="default"/>
                <w:spacing w:val="-3"/>
                <w:sz w:val="18"/>
                <w:szCs w:val="18"/>
              </w:rPr>
              <w:t>的，将督促公司依法回购首次公开发行的全部新股，宣亚投资</w:t>
            </w:r>
            <w:r>
              <w:rPr>
                <w:rFonts w:ascii="宋体" w:hAnsi="宋体" w:cs="宋体" w:eastAsia="宋体" w:hint="default"/>
                <w:sz w:val="18"/>
                <w:szCs w:val="18"/>
              </w:rPr>
              <w:t> 将购回已转让的原限售股份；如公司招股说明书有虚假记载 </w:t>
            </w:r>
            <w:r>
              <w:rPr>
                <w:rFonts w:ascii="宋体" w:hAnsi="宋体" w:cs="宋体" w:eastAsia="宋体" w:hint="default"/>
                <w:spacing w:val="-3"/>
                <w:sz w:val="18"/>
                <w:szCs w:val="18"/>
              </w:rPr>
              <w:t>误导性陈述或者重大遗漏，致使投资者在证券交易中遭受损失</w:t>
            </w:r>
            <w:r>
              <w:rPr>
                <w:rFonts w:ascii="宋体" w:hAnsi="宋体" w:cs="宋体" w:eastAsia="宋体" w:hint="default"/>
                <w:sz w:val="18"/>
                <w:szCs w:val="18"/>
              </w:rPr>
              <w:t> 的，将依法赔偿投资者损失。</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张秀兵、万丽莉、宾卫、张二 东、何骁军、李弘扬、邬涛、 刘妍、吴卫华、宣正元</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保护投资 者利益的 承诺</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3"/>
                <w:sz w:val="18"/>
                <w:szCs w:val="18"/>
              </w:rPr>
              <w:t>招股说明书如有虚假记载、误导性陈述或者重大遗漏，致使投</w:t>
            </w:r>
            <w:r>
              <w:rPr>
                <w:rFonts w:ascii="宋体" w:hAnsi="宋体" w:cs="宋体" w:eastAsia="宋体" w:hint="default"/>
                <w:sz w:val="18"/>
                <w:szCs w:val="18"/>
              </w:rPr>
              <w:t> 资者在证券交易中遭受损失的，将依法赔偿投资者损失。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38"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张秀兵、万丽莉、宣亚投资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关于填补 被摊薄即 期回报的 承诺</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不越权干预公司经营管理活动，不侵占公司利益。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458"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张秀兵、万丽莉、宾卫、张二 </w:t>
            </w:r>
            <w:r>
              <w:rPr>
                <w:rFonts w:ascii="宋体" w:hAnsi="宋体" w:cs="宋体" w:eastAsia="宋体" w:hint="default"/>
                <w:spacing w:val="-9"/>
                <w:sz w:val="18"/>
                <w:szCs w:val="18"/>
              </w:rPr>
              <w:t>东、何骁军、张顺和、王正鹏、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徐轶尊、李弘扬、邬涛、刘妍、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吴卫华、宣正元</w:t>
            </w:r>
          </w:p>
        </w:tc>
        <w:tc>
          <w:tcPr>
            <w:tcW w:w="8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6" w:right="79"/>
              <w:jc w:val="both"/>
              <w:rPr>
                <w:rFonts w:ascii="宋体" w:hAnsi="宋体" w:cs="宋体" w:eastAsia="宋体" w:hint="default"/>
                <w:sz w:val="18"/>
                <w:szCs w:val="18"/>
              </w:rPr>
            </w:pPr>
            <w:r>
              <w:rPr>
                <w:rFonts w:ascii="宋体" w:hAnsi="宋体" w:cs="宋体" w:eastAsia="宋体" w:hint="default"/>
                <w:sz w:val="18"/>
                <w:szCs w:val="18"/>
              </w:rPr>
              <w:t>关于填补 被摊薄即 期回报的 承诺</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、不得无偿或以不公平条件向其他单位或者个人输送利益， 也不采用其他方式损害公司利益；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、对董事和高级管理人员 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、不动用公司资产从事与履行职 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、由董事会或薪酬委员会制订的 薪酬制度与公司填补回报措施的执行情况相挂钩；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、未来将 公布的公司股权激励的行权条件与公司填补回报措施的执行 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、自本承诺出具日至公司首次公开发行股票并 </w:t>
            </w:r>
            <w:r>
              <w:rPr>
                <w:rFonts w:ascii="宋体" w:hAnsi="宋体" w:cs="宋体" w:eastAsia="宋体" w:hint="default"/>
                <w:spacing w:val="-3"/>
                <w:sz w:val="18"/>
                <w:szCs w:val="18"/>
              </w:rPr>
              <w:t>上市实施完毕前，若中国证监会作出关于填补回报措施及其承</w:t>
            </w:r>
            <w:r>
              <w:rPr>
                <w:rFonts w:ascii="宋体" w:hAnsi="宋体" w:cs="宋体" w:eastAsia="宋体" w:hint="default"/>
                <w:sz w:val="18"/>
                <w:szCs w:val="18"/>
              </w:rPr>
              <w:t> </w:t>
            </w:r>
            <w:r>
              <w:rPr>
                <w:rFonts w:ascii="宋体" w:hAnsi="宋体" w:cs="宋体" w:eastAsia="宋体" w:hint="default"/>
                <w:spacing w:val="-3"/>
                <w:sz w:val="18"/>
                <w:szCs w:val="18"/>
              </w:rPr>
              <w:t>诺的其他新的监管规定的，且上述承诺不能满足中国证监会该</w:t>
            </w:r>
            <w:r>
              <w:rPr>
                <w:rFonts w:ascii="宋体" w:hAnsi="宋体" w:cs="宋体" w:eastAsia="宋体" w:hint="default"/>
                <w:sz w:val="18"/>
                <w:szCs w:val="18"/>
              </w:rPr>
              <w:t> </w:t>
            </w:r>
            <w:r>
              <w:rPr>
                <w:rFonts w:ascii="宋体" w:hAnsi="宋体" w:cs="宋体" w:eastAsia="宋体" w:hint="default"/>
                <w:spacing w:val="-3"/>
                <w:sz w:val="18"/>
                <w:szCs w:val="18"/>
              </w:rPr>
              <w:t>等规定时，本人承诺届时将按照中国证监会的最新规定出具补</w:t>
            </w:r>
            <w:r>
              <w:rPr>
                <w:rFonts w:ascii="宋体" w:hAnsi="宋体" w:cs="宋体" w:eastAsia="宋体" w:hint="default"/>
                <w:sz w:val="18"/>
                <w:szCs w:val="18"/>
              </w:rPr>
              <w:t> 充承诺；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、本人承诺切实履行公司制定的有关填补回报措施 </w:t>
            </w:r>
            <w:r>
              <w:rPr>
                <w:rFonts w:ascii="宋体" w:hAnsi="宋体" w:cs="宋体" w:eastAsia="宋体" w:hint="default"/>
                <w:spacing w:val="-3"/>
                <w:sz w:val="18"/>
                <w:szCs w:val="18"/>
              </w:rPr>
              <w:t>以及对此作出的任何有关填补回报措施的承诺，若违反该等承</w:t>
            </w:r>
            <w:r>
              <w:rPr>
                <w:rFonts w:ascii="宋体" w:hAnsi="宋体" w:cs="宋体" w:eastAsia="宋体" w:hint="default"/>
                <w:sz w:val="18"/>
                <w:szCs w:val="18"/>
              </w:rPr>
              <w:t> </w:t>
            </w:r>
            <w:r>
              <w:rPr>
                <w:rFonts w:ascii="宋体" w:hAnsi="宋体" w:cs="宋体" w:eastAsia="宋体" w:hint="default"/>
                <w:spacing w:val="-3"/>
                <w:sz w:val="18"/>
                <w:szCs w:val="18"/>
              </w:rPr>
              <w:t>诺并给公司或者投资者造成损失的，本人愿意依法承担对公司</w:t>
            </w:r>
            <w:r>
              <w:rPr>
                <w:rFonts w:ascii="宋体" w:hAnsi="宋体" w:cs="宋体" w:eastAsia="宋体" w:hint="default"/>
                <w:sz w:val="18"/>
                <w:szCs w:val="18"/>
              </w:rPr>
              <w:t> 或者投资者的补偿责任。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4" w:hRule="exact"/>
        </w:trPr>
        <w:tc>
          <w:tcPr>
            <w:tcW w:w="1844" w:type="dxa"/>
            <w:vMerge/>
            <w:tcBorders>
              <w:left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w w:val="99"/>
                <w:sz w:val="18"/>
                <w:szCs w:val="18"/>
              </w:rPr>
              <w:t>详见招股说明书</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重大事项提示</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之</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十三、税务风险</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之</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控股股</w:t>
            </w:r>
            <w:r>
              <w:rPr>
                <w:rFonts w:ascii="宋体" w:hAnsi="宋体" w:cs="宋体" w:eastAsia="宋体" w:hint="default"/>
                <w:spacing w:val="-62"/>
                <w:w w:val="99"/>
                <w:sz w:val="18"/>
                <w:szCs w:val="18"/>
              </w:rPr>
              <w:t> </w:t>
            </w:r>
            <w:r>
              <w:rPr>
                <w:rFonts w:ascii="宋体" w:hAnsi="宋体" w:cs="宋体" w:eastAsia="宋体" w:hint="default"/>
                <w:sz w:val="18"/>
                <w:szCs w:val="18"/>
              </w:rPr>
              <w:t>东宣亚投资承诺</w:t>
            </w: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宣亚投资、张秀兵、万丽莉</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6"/>
              <w:jc w:val="center"/>
              <w:rPr>
                <w:rFonts w:ascii="宋体" w:hAnsi="宋体" w:cs="宋体" w:eastAsia="宋体" w:hint="default"/>
                <w:sz w:val="18"/>
                <w:szCs w:val="18"/>
              </w:rPr>
            </w:pPr>
            <w:r>
              <w:rPr>
                <w:rFonts w:ascii="宋体" w:hAnsi="宋体" w:cs="宋体" w:eastAsia="宋体" w:hint="default"/>
                <w:sz w:val="18"/>
                <w:szCs w:val="18"/>
              </w:rPr>
              <w:t>关于上市</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未来公司股东大会根据公司章程的规定通过利润分配具体方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1320"/>
        </w:sectPr>
      </w:pPr>
    </w:p>
    <w:p>
      <w:pPr>
        <w:pStyle w:val="BodyText"/>
        <w:spacing w:line="319" w:lineRule="auto" w:before="87"/>
        <w:ind w:left="3720" w:right="0"/>
        <w:jc w:val="right"/>
      </w:pPr>
      <w:r>
        <w:rPr/>
        <w:t>后利润分 配的承诺</w:t>
      </w:r>
    </w:p>
    <w:p>
      <w:pPr>
        <w:pStyle w:val="BodyText"/>
        <w:spacing w:line="240" w:lineRule="auto" w:before="88"/>
        <w:ind w:left="75" w:right="4102"/>
        <w:jc w:val="left"/>
      </w:pPr>
      <w:r>
        <w:rPr/>
        <w:br w:type="column"/>
      </w:r>
      <w:r>
        <w:rPr/>
        <w:t>案时，本方表示同意并将投赞成票</w:t>
      </w:r>
    </w:p>
    <w:p>
      <w:pPr>
        <w:spacing w:after="0" w:line="240" w:lineRule="auto"/>
        <w:jc w:val="left"/>
        <w:sectPr>
          <w:pgSz w:w="16840" w:h="11910" w:orient="landscape"/>
          <w:pgMar w:header="867" w:footer="979" w:top="1060" w:bottom="1160" w:left="1300" w:right="1300"/>
          <w:cols w:num="2" w:equalWidth="0">
            <w:col w:w="5141" w:space="40"/>
            <w:col w:w="905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240" w:lineRule="auto"/>
        <w:ind w:left="0" w:right="0"/>
        <w:jc w:val="right"/>
      </w:pPr>
      <w:r>
        <w:rPr/>
        <w:t>宣亚投资</w:t>
      </w:r>
    </w:p>
    <w:p>
      <w:pPr>
        <w:pStyle w:val="BodyText"/>
        <w:spacing w:line="316" w:lineRule="auto" w:before="107"/>
        <w:ind w:left="1649" w:right="0"/>
        <w:jc w:val="both"/>
      </w:pPr>
      <w:r>
        <w:rPr/>
        <w:br w:type="column"/>
      </w:r>
      <w:r>
        <w:rPr/>
        <w:t>关于公司 因收入确 认政策调 整导致大 额应交税 费长期挂 账的承诺</w:t>
      </w:r>
    </w:p>
    <w:p>
      <w:pPr>
        <w:spacing w:line="240" w:lineRule="auto" w:before="1"/>
        <w:rPr>
          <w:rFonts w:ascii="宋体" w:hAnsi="宋体" w:cs="宋体" w:eastAsia="宋体" w:hint="default"/>
          <w:sz w:val="20"/>
          <w:szCs w:val="20"/>
        </w:rPr>
      </w:pPr>
      <w:r>
        <w:rPr/>
        <w:br w:type="column"/>
      </w:r>
      <w:r>
        <w:rPr>
          <w:rFonts w:ascii="宋体"/>
          <w:sz w:val="20"/>
        </w:rPr>
      </w:r>
    </w:p>
    <w:p>
      <w:pPr>
        <w:pStyle w:val="BodyText"/>
        <w:spacing w:line="314" w:lineRule="auto"/>
        <w:ind w:left="75" w:right="-18"/>
        <w:jc w:val="left"/>
      </w:pPr>
      <w:r>
        <w:rPr>
          <w:spacing w:val="-2"/>
        </w:rPr>
        <w:t>若公司主管税务部门要求公司缴纳上述税费，宣亚投资将在</w:t>
      </w:r>
      <w:r>
        <w:rPr>
          <w:spacing w:val="-31"/>
        </w:rPr>
        <w:t> </w:t>
      </w:r>
      <w:r>
        <w:rPr>
          <w:rFonts w:ascii="Times New Roman" w:hAnsi="Times New Roman" w:cs="Times New Roman" w:eastAsia="Times New Roman" w:hint="default"/>
        </w:rPr>
        <w:t>3 </w:t>
      </w:r>
      <w:r>
        <w:rPr>
          <w:spacing w:val="-3"/>
        </w:rPr>
        <w:t>个工作日内为公司提供相应金额的流动性支持，以确保公司在</w:t>
      </w:r>
      <w:r>
        <w:rPr/>
        <w:t> </w:t>
      </w:r>
      <w:r>
        <w:rPr>
          <w:spacing w:val="-3"/>
        </w:rPr>
        <w:t>不影响正常生产经营的情况下及时缴纳有关税费；同时，宣亚</w:t>
      </w:r>
      <w:r>
        <w:rPr/>
        <w:t> 投资将承担公司因上述事项遭受的其他所有可能发生的支出 </w:t>
      </w:r>
      <w:r>
        <w:rPr>
          <w:spacing w:val="-3"/>
        </w:rPr>
        <w:t>如滞纳金等，且在承担相关支出后不向公司追偿，保证公司不</w:t>
      </w:r>
      <w:r>
        <w:rPr/>
        <w:t> 会因此遭受任何损失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tabs>
          <w:tab w:pos="2991" w:val="left" w:leader="none"/>
        </w:tabs>
        <w:spacing w:line="240" w:lineRule="auto"/>
        <w:ind w:left="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02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r>
        <w:rPr>
          <w:spacing w:val="-15"/>
        </w:rPr>
        <w:t> </w:t>
      </w:r>
      <w:r>
        <w:rPr/>
        <w:t>长期有效</w:t>
        <w:tab/>
        <w:t>正常履行中</w:t>
      </w:r>
    </w:p>
    <w:p>
      <w:pPr>
        <w:spacing w:after="0" w:line="240" w:lineRule="auto"/>
        <w:jc w:val="left"/>
        <w:sectPr>
          <w:type w:val="continuous"/>
          <w:pgSz w:w="16840" w:h="11910" w:orient="landscape"/>
          <w:pgMar w:top="1060" w:bottom="1160" w:left="1300" w:right="1300"/>
          <w:cols w:num="4" w:equalWidth="0">
            <w:col w:w="2732" w:space="40"/>
            <w:col w:w="2370" w:space="40"/>
            <w:col w:w="4857" w:space="40"/>
            <w:col w:w="4161"/>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BodyText"/>
        <w:spacing w:line="240" w:lineRule="auto"/>
        <w:ind w:left="2011" w:right="-20"/>
        <w:jc w:val="left"/>
      </w:pPr>
      <w:r>
        <w:rPr/>
        <w:t>宣亚投资、张秀兵、万丽莉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BodyText"/>
        <w:spacing w:line="316" w:lineRule="auto"/>
        <w:ind w:left="209" w:right="0"/>
        <w:jc w:val="both"/>
      </w:pPr>
      <w:r>
        <w:rPr/>
        <w:t>避免同业 竞争的承 诺</w:t>
      </w:r>
    </w:p>
    <w:p>
      <w:pPr>
        <w:pStyle w:val="BodyText"/>
        <w:spacing w:line="309" w:lineRule="auto" w:before="109"/>
        <w:ind w:left="75" w:right="4102"/>
        <w:jc w:val="left"/>
      </w:pPr>
      <w:r>
        <w:rPr/>
        <w:br w:type="column"/>
      </w: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w:t>
      </w:r>
      <w:r>
        <w:rPr/>
        <w:t>本人目前不存在自营、与他人共同经营或为他人经 营与公司相同、相似业务的情形；</w:t>
      </w:r>
      <w:r>
        <w:rPr>
          <w:rFonts w:ascii="Times New Roman" w:hAnsi="Times New Roman" w:cs="Times New Roman" w:eastAsia="Times New Roman" w:hint="default"/>
        </w:rPr>
        <w:t>2</w:t>
      </w:r>
      <w:r>
        <w:rPr/>
        <w:t>、在本公司</w:t>
      </w:r>
      <w:r>
        <w:rPr>
          <w:rFonts w:ascii="Times New Roman" w:hAnsi="Times New Roman" w:cs="Times New Roman" w:eastAsia="Times New Roman" w:hint="default"/>
        </w:rPr>
        <w:t>/</w:t>
      </w:r>
      <w:r>
        <w:rPr/>
        <w:t>本人直接或间 </w:t>
      </w:r>
      <w:r>
        <w:rPr>
          <w:spacing w:val="-3"/>
        </w:rPr>
        <w:t>接持有公司股权的相关期间内，本公司</w:t>
      </w:r>
      <w:r>
        <w:rPr>
          <w:rFonts w:ascii="Times New Roman" w:hAnsi="Times New Roman" w:cs="Times New Roman" w:eastAsia="Times New Roman" w:hint="default"/>
          <w:spacing w:val="-3"/>
        </w:rPr>
        <w:t>/</w:t>
      </w:r>
      <w:r>
        <w:rPr>
          <w:spacing w:val="-3"/>
        </w:rPr>
        <w:t>本</w:t>
      </w:r>
      <w:r>
        <w:rPr>
          <w:spacing w:val="-73"/>
        </w:rPr>
        <w:t> </w:t>
      </w:r>
      <w:r>
        <w:rPr>
          <w:spacing w:val="-3"/>
        </w:rPr>
        <w:t>控股、联营、合营、合作或者其他任何方式直接或间接从事与</w:t>
      </w:r>
      <w:r>
        <w:rPr/>
        <w:t> 公司现在和将来业务范围相同、相似或构成实质竞争的业务， </w:t>
      </w:r>
      <w:r>
        <w:rPr>
          <w:spacing w:val="-3"/>
        </w:rPr>
        <w:t>也不会协助、促使或代表任何第三方以任何方式直接或间接从</w:t>
      </w:r>
      <w:r>
        <w:rPr/>
        <w:t> </w:t>
      </w:r>
      <w:r>
        <w:rPr>
          <w:spacing w:val="-3"/>
        </w:rPr>
        <w:t>事与公司现在和将来业务范围相同、相似或构成实质竞争的业</w:t>
      </w:r>
      <w:r>
        <w:rPr/>
        <w:t> 务；并将促使本公司</w:t>
      </w:r>
      <w:r>
        <w:rPr>
          <w:rFonts w:ascii="Times New Roman" w:hAnsi="Times New Roman" w:cs="Times New Roman" w:eastAsia="Times New Roman" w:hint="default"/>
        </w:rPr>
        <w:t>/</w:t>
      </w:r>
      <w:r>
        <w:rPr/>
        <w:t>本人控制的其他企业（如有）比照前述</w:t>
      </w:r>
    </w:p>
    <w:p>
      <w:pPr>
        <w:pStyle w:val="BodyText"/>
        <w:spacing w:line="203" w:lineRule="exact" w:before="5"/>
        <w:ind w:left="75" w:right="4102"/>
        <w:jc w:val="left"/>
      </w:pPr>
      <w:r>
        <w:rPr/>
        <w:pict>
          <v:shape style="position:absolute;margin-left:490.296997pt;margin-top:-127.078278pt;width:155.6pt;height:132.65pt;mso-position-horizontal-relative:page;mso-position-vertical-relative:paragraph;z-index:-773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人将不会采取参股、</w:t>
                  </w:r>
                </w:p>
              </w:txbxContent>
            </v:textbox>
            <w10:wrap type="none"/>
          </v:shape>
        </w:pict>
      </w:r>
      <w:r>
        <w:rPr/>
        <w:t>规定履行不竞争的义务；</w:t>
      </w:r>
      <w:r>
        <w:rPr>
          <w:rFonts w:ascii="Times New Roman" w:hAnsi="Times New Roman" w:cs="Times New Roman" w:eastAsia="Times New Roman" w:hint="default"/>
        </w:rPr>
        <w:t>3</w:t>
      </w:r>
      <w:r>
        <w:rPr/>
        <w:t>、如因国家政策调整等不可抗力原</w:t>
      </w:r>
    </w:p>
    <w:p>
      <w:pPr>
        <w:pStyle w:val="BodyText"/>
        <w:tabs>
          <w:tab w:pos="7887" w:val="left" w:leader="none"/>
        </w:tabs>
        <w:spacing w:line="156" w:lineRule="exact"/>
        <w:ind w:left="491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02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r>
        <w:rPr>
          <w:spacing w:val="-15"/>
        </w:rPr>
        <w:t> </w:t>
      </w:r>
      <w:r>
        <w:rPr/>
        <w:t>长期有效</w:t>
        <w:tab/>
        <w:t>正常履行中</w:t>
      </w:r>
    </w:p>
    <w:p>
      <w:pPr>
        <w:pStyle w:val="BodyText"/>
        <w:spacing w:line="202" w:lineRule="exact"/>
        <w:ind w:left="75" w:right="4102"/>
        <w:jc w:val="left"/>
      </w:pPr>
      <w:r>
        <w:rPr/>
        <w:t>因导致本公司</w:t>
      </w:r>
      <w:r>
        <w:rPr>
          <w:rFonts w:ascii="Times New Roman" w:hAnsi="Times New Roman" w:cs="Times New Roman" w:eastAsia="Times New Roman" w:hint="default"/>
        </w:rPr>
        <w:t>/</w:t>
      </w:r>
      <w:r>
        <w:rPr/>
        <w:t>本人或本公司</w:t>
      </w:r>
      <w:r>
        <w:rPr>
          <w:rFonts w:ascii="Times New Roman" w:hAnsi="Times New Roman" w:cs="Times New Roman" w:eastAsia="Times New Roman" w:hint="default"/>
        </w:rPr>
        <w:t>/</w:t>
      </w:r>
      <w:r>
        <w:rPr/>
        <w:t>本人控制的其他企业（如有）将</w:t>
      </w:r>
    </w:p>
    <w:p>
      <w:pPr>
        <w:pStyle w:val="BodyText"/>
        <w:spacing w:line="309" w:lineRule="auto" w:before="63"/>
        <w:ind w:left="75" w:right="4102"/>
        <w:jc w:val="left"/>
      </w:pPr>
      <w:r>
        <w:rPr/>
        <w:t>来从事的业务与公司之间的同业竞争可能构成或不可避免时， 则本公司</w:t>
      </w:r>
      <w:r>
        <w:rPr>
          <w:rFonts w:ascii="Times New Roman" w:hAnsi="Times New Roman" w:cs="Times New Roman" w:eastAsia="Times New Roman" w:hint="default"/>
        </w:rPr>
        <w:t>/</w:t>
      </w:r>
      <w:r>
        <w:rPr/>
        <w:t>本人将在公司提出异议后及时转让或终止上述业务 或促使本公司</w:t>
      </w:r>
      <w:r>
        <w:rPr>
          <w:rFonts w:ascii="Times New Roman" w:hAnsi="Times New Roman" w:cs="Times New Roman" w:eastAsia="Times New Roman" w:hint="default"/>
        </w:rPr>
        <w:t>/</w:t>
      </w:r>
      <w:r>
        <w:rPr/>
        <w:t>本人控制的其他企业及时转让或终止上述业 </w:t>
      </w:r>
      <w:r>
        <w:rPr>
          <w:spacing w:val="-3"/>
        </w:rPr>
        <w:t>务；如公司进一步要求，公司可享有上述业务在同等条件下的</w:t>
      </w:r>
      <w:r>
        <w:rPr/>
        <w:t> 优先受让权；</w:t>
      </w:r>
      <w:r>
        <w:rPr>
          <w:rFonts w:ascii="Times New Roman" w:hAnsi="Times New Roman" w:cs="Times New Roman" w:eastAsia="Times New Roman" w:hint="default"/>
        </w:rPr>
        <w:t>4</w:t>
      </w:r>
      <w:r>
        <w:rPr/>
        <w:t>、如本公司</w:t>
      </w:r>
      <w:r>
        <w:rPr>
          <w:rFonts w:ascii="Times New Roman" w:hAnsi="Times New Roman" w:cs="Times New Roman" w:eastAsia="Times New Roman" w:hint="default"/>
        </w:rPr>
        <w:t>/</w:t>
      </w:r>
      <w:r>
        <w:rPr/>
        <w:t>本人违反上述承诺，公司及公司其 他股东有权根据本承诺书依法申请强制本公司履行上述承诺， </w:t>
      </w:r>
      <w:r>
        <w:rPr>
          <w:spacing w:val="-3"/>
        </w:rPr>
        <w:t>并赔偿公司及公司其他股东因此遭受的全部损失；同时本公司</w:t>
      </w:r>
    </w:p>
    <w:p>
      <w:pPr>
        <w:pStyle w:val="BodyText"/>
        <w:spacing w:line="240" w:lineRule="auto" w:before="25"/>
        <w:ind w:left="75" w:right="4102"/>
        <w:jc w:val="left"/>
      </w:pPr>
      <w:r>
        <w:rPr>
          <w:rFonts w:ascii="Times New Roman" w:hAnsi="Times New Roman" w:cs="Times New Roman" w:eastAsia="Times New Roman" w:hint="default"/>
        </w:rPr>
        <w:t>/</w:t>
      </w:r>
      <w:r>
        <w:rPr/>
        <w:t>本人因违反上述承诺所取得的利益归公司所有。</w:t>
      </w:r>
    </w:p>
    <w:p>
      <w:pPr>
        <w:spacing w:after="0" w:line="240" w:lineRule="auto"/>
        <w:jc w:val="left"/>
        <w:sectPr>
          <w:type w:val="continuous"/>
          <w:pgSz w:w="16840" w:h="11910" w:orient="landscape"/>
          <w:pgMar w:top="1060" w:bottom="1160" w:left="1300" w:right="1300"/>
          <w:cols w:num="3" w:equalWidth="0">
            <w:col w:w="4172" w:space="40"/>
            <w:col w:w="930" w:space="40"/>
            <w:col w:w="9058"/>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6840" w:h="11910" w:orient="landscape"/>
          <w:pgMar w:top="1060" w:bottom="1160" w:left="1300" w:right="1300"/>
        </w:sectPr>
      </w:pPr>
    </w:p>
    <w:p>
      <w:pPr>
        <w:pStyle w:val="BodyText"/>
        <w:spacing w:line="240" w:lineRule="auto" w:before="44"/>
        <w:ind w:left="2011" w:right="-20"/>
        <w:jc w:val="left"/>
      </w:pPr>
      <w:r>
        <w:rPr/>
        <w:t>宣亚投资、张秀兵、万丽莉、</w:t>
      </w:r>
      <w:r>
        <w:rPr>
          <w:spacing w:val="-21"/>
        </w:rPr>
        <w:t> </w:t>
      </w:r>
      <w:r>
        <w:rPr/>
        <w:t>关于规范</w:t>
      </w:r>
    </w:p>
    <w:p>
      <w:pPr>
        <w:pStyle w:val="BodyText"/>
        <w:spacing w:line="240" w:lineRule="auto" w:before="44"/>
        <w:ind w:left="75" w:right="-5"/>
        <w:jc w:val="left"/>
      </w:pPr>
      <w:r>
        <w:rPr>
          <w:spacing w:val="-2"/>
        </w:rPr>
        <w:br w:type="column"/>
      </w:r>
      <w:r>
        <w:rPr>
          <w:rFonts w:ascii="Times New Roman" w:hAnsi="Times New Roman" w:cs="Times New Roman" w:eastAsia="Times New Roman" w:hint="default"/>
          <w:spacing w:val="-2"/>
        </w:rPr>
        <w:t>1</w:t>
      </w:r>
      <w:r>
        <w:rPr>
          <w:spacing w:val="-2"/>
        </w:rPr>
        <w:t>、本公司</w:t>
      </w:r>
      <w:r>
        <w:rPr>
          <w:rFonts w:ascii="Times New Roman" w:hAnsi="Times New Roman" w:cs="Times New Roman" w:eastAsia="Times New Roman" w:hint="default"/>
          <w:spacing w:val="-2"/>
        </w:rPr>
        <w:t>/</w:t>
      </w:r>
      <w:r>
        <w:rPr>
          <w:spacing w:val="-2"/>
        </w:rPr>
        <w:t>本人与宣亚国际之间现时不存在其他任何依照法律</w:t>
      </w:r>
    </w:p>
    <w:p>
      <w:pPr>
        <w:spacing w:line="240" w:lineRule="auto" w:before="10"/>
        <w:rPr>
          <w:rFonts w:ascii="宋体" w:hAnsi="宋体" w:cs="宋体" w:eastAsia="宋体" w:hint="default"/>
          <w:sz w:val="13"/>
          <w:szCs w:val="13"/>
        </w:rPr>
      </w:pPr>
      <w:r>
        <w:rPr/>
        <w:br w:type="column"/>
      </w:r>
      <w:r>
        <w:rPr>
          <w:rFonts w:ascii="宋体"/>
          <w:sz w:val="13"/>
        </w:rPr>
      </w:r>
    </w:p>
    <w:p>
      <w:pPr>
        <w:pStyle w:val="BodyText"/>
        <w:tabs>
          <w:tab w:pos="2993" w:val="left" w:leader="none"/>
        </w:tabs>
        <w:spacing w:line="231" w:lineRule="exact"/>
        <w:ind w:left="15"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02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r>
        <w:rPr>
          <w:spacing w:val="-15"/>
        </w:rPr>
        <w:t> </w:t>
      </w:r>
      <w:r>
        <w:rPr/>
        <w:t>长期有效</w:t>
        <w:tab/>
        <w:t>正常履行中</w:t>
      </w:r>
    </w:p>
    <w:p>
      <w:pPr>
        <w:spacing w:after="0" w:line="231" w:lineRule="exact"/>
        <w:jc w:val="left"/>
        <w:sectPr>
          <w:type w:val="continuous"/>
          <w:pgSz w:w="16840" w:h="11910" w:orient="landscape"/>
          <w:pgMar w:top="1060" w:bottom="1160" w:left="1300" w:right="1300"/>
          <w:cols w:num="3" w:equalWidth="0">
            <w:col w:w="5141" w:space="40"/>
            <w:col w:w="4855" w:space="40"/>
            <w:col w:w="4164"/>
          </w:cols>
        </w:sectPr>
      </w:pPr>
    </w:p>
    <w:p>
      <w:pPr>
        <w:pStyle w:val="BodyText"/>
        <w:spacing w:line="194" w:lineRule="exact"/>
        <w:ind w:left="2011" w:right="0"/>
        <w:jc w:val="left"/>
      </w:pPr>
      <w:r>
        <w:rPr/>
        <w:pict>
          <v:group style="position:absolute;margin-left:70.139999pt;margin-top:55.260006pt;width:701.7pt;height:468.7pt;mso-position-horizontal-relative:page;mso-position-vertical-relative:page;z-index:-773320" coordorigin="1403,1105" coordsize="14034,9374">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45;top:1144;width:1834;height:666" coordorigin="1445,1144" coordsize="1834,666">
              <v:shape style="position:absolute;left:1445;top:1144;width:1834;height:666" coordorigin="1445,1144" coordsize="1834,666" path="m1445,1809l3279,1809,3279,1144,1445,1144,1445,1809xe" filled="true" fillcolor="#d2d2d2" stroked="false">
                <v:path arrowok="t"/>
                <v:fill type="solid"/>
              </v:shape>
            </v:group>
            <v:group style="position:absolute;left:1445;top:1139;width:1834;height:2" coordorigin="1445,1139" coordsize="1834,2">
              <v:shape style="position:absolute;left:1445;top:1139;width:1834;height:2" coordorigin="1445,1139" coordsize="1834,0" path="m1445,1139l3279,1139e" filled="false" stroked="true" strokeweight=".48pt" strokecolor="#000000">
                <v:path arrowok="t"/>
              </v:shape>
            </v:group>
            <v:group style="position:absolute;left:3288;top:1139;width:2400;height:2" coordorigin="3288,1139" coordsize="2400,2">
              <v:shape style="position:absolute;left:3288;top:1139;width:2400;height:2" coordorigin="3288,1139" coordsize="2400,0" path="m3288,1139l5688,1139e" filled="false" stroked="true" strokeweight=".48pt" strokecolor="#000000">
                <v:path arrowok="t"/>
              </v:shape>
            </v:group>
            <v:group style="position:absolute;left:5698;top:1139;width:825;height:2" coordorigin="5698,1139" coordsize="825,2">
              <v:shape style="position:absolute;left:5698;top:1139;width:825;height:2" coordorigin="5698,1139" coordsize="825,0" path="m5698,1139l6522,1139e" filled="false" stroked="true" strokeweight=".48pt" strokecolor="#000000">
                <v:path arrowok="t"/>
              </v:shape>
            </v:group>
            <v:group style="position:absolute;left:6532;top:1139;width:4827;height:2" coordorigin="6532,1139" coordsize="4827,2">
              <v:shape style="position:absolute;left:6532;top:1139;width:4827;height:2" coordorigin="6532,1139" coordsize="4827,0" path="m6532,1139l11359,1139e" filled="false" stroked="true" strokeweight=".48pt" strokecolor="#000000">
                <v:path arrowok="t"/>
              </v:shape>
            </v:group>
            <v:group style="position:absolute;left:11368;top:1139;width:1550;height:2" coordorigin="11368,1139" coordsize="1550,2">
              <v:shape style="position:absolute;left:11368;top:1139;width:1550;height:2" coordorigin="11368,1139" coordsize="1550,0" path="m11368,1139l12918,1139e" filled="false" stroked="true" strokeweight=".48pt" strokecolor="#000000">
                <v:path arrowok="t"/>
              </v:shape>
            </v:group>
            <v:group style="position:absolute;left:12927;top:1139;width:1410;height:2" coordorigin="12927,1139" coordsize="1410,2">
              <v:shape style="position:absolute;left:12927;top:1139;width:1410;height:2" coordorigin="12927,1139" coordsize="1410,0" path="m12927,1139l14336,1139e" filled="false" stroked="true" strokeweight=".48pt" strokecolor="#000000">
                <v:path arrowok="t"/>
              </v:shape>
            </v:group>
            <v:group style="position:absolute;left:14346;top:1139;width:983;height:2" coordorigin="14346,1139" coordsize="983,2">
              <v:shape style="position:absolute;left:14346;top:1139;width:983;height:2" coordorigin="14346,1139" coordsize="983,0" path="m14346,1139l15329,1139e" filled="false" stroked="true" strokeweight=".48pt" strokecolor="#000000">
                <v:path arrowok="t"/>
              </v:shape>
            </v:group>
            <v:group style="position:absolute;left:1445;top:1809;width:1834;height:2274" coordorigin="1445,1809" coordsize="1834,2274">
              <v:shape style="position:absolute;left:1445;top:1809;width:1834;height:2274" coordorigin="1445,1809" coordsize="1834,2274" path="m1445,4083l3279,4083,3279,1809,1445,1809,1445,4083xe" filled="true" fillcolor="#d2d2d2" stroked="false">
                <v:path arrowok="t"/>
                <v:fill type="solid"/>
              </v:shape>
            </v:group>
            <v:group style="position:absolute;left:3288;top:1814;width:2400;height:2" coordorigin="3288,1814" coordsize="2400,2">
              <v:shape style="position:absolute;left:3288;top:1814;width:2400;height:2" coordorigin="3288,1814" coordsize="2400,0" path="m3288,1814l5688,1814e" filled="false" stroked="true" strokeweight=".48pt" strokecolor="#000000">
                <v:path arrowok="t"/>
              </v:shape>
            </v:group>
            <v:group style="position:absolute;left:5698;top:1814;width:825;height:2" coordorigin="5698,1814" coordsize="825,2">
              <v:shape style="position:absolute;left:5698;top:1814;width:825;height:2" coordorigin="5698,1814" coordsize="825,0" path="m5698,1814l6522,1814e" filled="false" stroked="true" strokeweight=".48pt" strokecolor="#000000">
                <v:path arrowok="t"/>
              </v:shape>
            </v:group>
            <v:group style="position:absolute;left:6532;top:1814;width:4827;height:2" coordorigin="6532,1814" coordsize="4827,2">
              <v:shape style="position:absolute;left:6532;top:1814;width:4827;height:2" coordorigin="6532,1814" coordsize="4827,0" path="m6532,1814l11359,1814e" filled="false" stroked="true" strokeweight=".48pt" strokecolor="#000000">
                <v:path arrowok="t"/>
              </v:shape>
            </v:group>
            <v:group style="position:absolute;left:11368;top:1814;width:1550;height:2" coordorigin="11368,1814" coordsize="1550,2">
              <v:shape style="position:absolute;left:11368;top:1814;width:1550;height:2" coordorigin="11368,1814" coordsize="1550,0" path="m11368,1814l12918,1814e" filled="false" stroked="true" strokeweight=".48pt" strokecolor="#000000">
                <v:path arrowok="t"/>
              </v:shape>
            </v:group>
            <v:group style="position:absolute;left:12927;top:1814;width:1410;height:2" coordorigin="12927,1814" coordsize="1410,2">
              <v:shape style="position:absolute;left:12927;top:1814;width:1410;height:2" coordorigin="12927,1814" coordsize="1410,0" path="m12927,1814l14336,1814e" filled="false" stroked="true" strokeweight=".48pt" strokecolor="#000000">
                <v:path arrowok="t"/>
              </v:shape>
            </v:group>
            <v:group style="position:absolute;left:14346;top:1814;width:983;height:2" coordorigin="14346,1814" coordsize="983,2">
              <v:shape style="position:absolute;left:14346;top:1814;width:983;height:2" coordorigin="14346,1814" coordsize="983,0" path="m14346,1814l15329,1814e" filled="false" stroked="true" strokeweight=".48pt" strokecolor="#000000">
                <v:path arrowok="t"/>
              </v:shape>
            </v:group>
            <v:group style="position:absolute;left:1445;top:4083;width:1834;height:5707" coordorigin="1445,4083" coordsize="1834,5707">
              <v:shape style="position:absolute;left:1445;top:4083;width:1834;height:5707" coordorigin="1445,4083" coordsize="1834,5707" path="m1445,9790l3279,9790,3279,4083,1445,4083,1445,9790xe" filled="true" fillcolor="#d2d2d2" stroked="false">
                <v:path arrowok="t"/>
                <v:fill type="solid"/>
              </v:shape>
            </v:group>
            <v:group style="position:absolute;left:11368;top:4092;width:1550;height:2653" coordorigin="11368,4092" coordsize="1550,2653">
              <v:shape style="position:absolute;left:11368;top:4092;width:1550;height:2653" coordorigin="11368,4092" coordsize="1550,2653" path="m11368,6745l12918,6745,12918,4092,11368,4092,11368,6745xe" filled="true" fillcolor="#ffffff" stroked="false">
                <v:path arrowok="t"/>
                <v:fill type="solid"/>
              </v:shape>
            </v:group>
            <v:group style="position:absolute;left:11368;top:7137;width:1550;height:2653" coordorigin="11368,7137" coordsize="1550,2653">
              <v:shape style="position:absolute;left:11368;top:7137;width:1550;height:2653" coordorigin="11368,7137" coordsize="1550,2653" path="m11368,9790l12918,9790,12918,7137,11368,7137,11368,9790xe" filled="true" fillcolor="#ffffff" stroked="false">
                <v:path arrowok="t"/>
                <v:fill type="solid"/>
              </v:shape>
            </v:group>
            <v:group style="position:absolute;left:3288;top:4088;width:2400;height:2" coordorigin="3288,4088" coordsize="2400,2">
              <v:shape style="position:absolute;left:3288;top:4088;width:2400;height:2" coordorigin="3288,4088" coordsize="2400,0" path="m3288,4088l5688,4088e" filled="false" stroked="true" strokeweight=".48pt" strokecolor="#000000">
                <v:path arrowok="t"/>
              </v:shape>
            </v:group>
            <v:group style="position:absolute;left:5698;top:4088;width:825;height:2" coordorigin="5698,4088" coordsize="825,2">
              <v:shape style="position:absolute;left:5698;top:4088;width:825;height:2" coordorigin="5698,4088" coordsize="825,0" path="m5698,4088l6522,4088e" filled="false" stroked="true" strokeweight=".48pt" strokecolor="#000000">
                <v:path arrowok="t"/>
              </v:shape>
            </v:group>
            <v:group style="position:absolute;left:6532;top:4088;width:4827;height:2" coordorigin="6532,4088" coordsize="4827,2">
              <v:shape style="position:absolute;left:6532;top:4088;width:4827;height:2" coordorigin="6532,4088" coordsize="4827,0" path="m6532,4088l11359,4088e" filled="false" stroked="true" strokeweight=".48pt" strokecolor="#000000">
                <v:path arrowok="t"/>
              </v:shape>
            </v:group>
            <v:group style="position:absolute;left:11368;top:4088;width:1550;height:2" coordorigin="11368,4088" coordsize="1550,2">
              <v:shape style="position:absolute;left:11368;top:4088;width:1550;height:2" coordorigin="11368,4088" coordsize="1550,0" path="m11368,4088l12918,4088e" filled="false" stroked="true" strokeweight=".48pt" strokecolor="#000000">
                <v:path arrowok="t"/>
              </v:shape>
            </v:group>
            <v:group style="position:absolute;left:12927;top:4088;width:1410;height:2" coordorigin="12927,4088" coordsize="1410,2">
              <v:shape style="position:absolute;left:12927;top:4088;width:1410;height:2" coordorigin="12927,4088" coordsize="1410,0" path="m12927,4088l14336,4088e" filled="false" stroked="true" strokeweight=".48pt" strokecolor="#000000">
                <v:path arrowok="t"/>
              </v:shape>
            </v:group>
            <v:group style="position:absolute;left:14346;top:4088;width:983;height:2" coordorigin="14346,4088" coordsize="983,2">
              <v:shape style="position:absolute;left:14346;top:4088;width:983;height:2" coordorigin="14346,4088" coordsize="983,0" path="m14346,4088l15329,4088e" filled="false" stroked="true" strokeweight=".48pt" strokecolor="#000000">
                <v:path arrowok="t"/>
              </v:shape>
            </v:group>
            <v:group style="position:absolute;left:1445;top:9790;width:1834;height:674" coordorigin="1445,9790" coordsize="1834,674">
              <v:shape style="position:absolute;left:1445;top:9790;width:1834;height:674" coordorigin="1445,9790" coordsize="1834,674" path="m1445,10463l3279,10463,3279,9790,1445,9790,1445,10463xe" filled="true" fillcolor="#d2d2d2" stroked="false">
                <v:path arrowok="t"/>
                <v:fill type="solid"/>
              </v:shape>
            </v:group>
            <v:group style="position:absolute;left:11380;top:9935;width:2;height:393" coordorigin="11380,9935" coordsize="2,393">
              <v:shape style="position:absolute;left:11380;top:9935;width:2;height:393" coordorigin="11380,9935" coordsize="0,393" path="m11380,9935l11380,10327e" filled="false" stroked="true" strokeweight="1.140pt" strokecolor="#ffffff">
                <v:path arrowok="t"/>
              </v:shape>
            </v:group>
            <v:group style="position:absolute;left:11368;top:10327;width:1550;height:136" coordorigin="11368,10327" coordsize="1550,136">
              <v:shape style="position:absolute;left:11368;top:10327;width:1550;height:136" coordorigin="11368,10327" coordsize="1550,136" path="m11368,10463l12918,10463,12918,10327,11368,10327,11368,10463xe" filled="true" fillcolor="#ffffff" stroked="false">
                <v:path arrowok="t"/>
                <v:fill type="solid"/>
              </v:shape>
            </v:group>
            <v:group style="position:absolute;left:11391;top:9935;width:1504;height:393" coordorigin="11391,9935" coordsize="1504,393">
              <v:shape style="position:absolute;left:11391;top:9935;width:1504;height:393" coordorigin="11391,9935" coordsize="1504,393" path="m11391,10327l12895,10327,12895,9935,11391,9935,11391,10327xe" filled="true" fillcolor="#ffffff" stroked="false">
                <v:path arrowok="t"/>
                <v:fill type="solid"/>
              </v:shape>
            </v:group>
            <v:group style="position:absolute;left:3288;top:9794;width:2400;height:2" coordorigin="3288,9794" coordsize="2400,2">
              <v:shape style="position:absolute;left:3288;top:9794;width:2400;height:2" coordorigin="3288,9794" coordsize="2400,0" path="m3288,9794l5688,9794e" filled="false" stroked="true" strokeweight=".48001pt" strokecolor="#000000">
                <v:path arrowok="t"/>
              </v:shape>
            </v:group>
            <v:group style="position:absolute;left:5698;top:9794;width:825;height:2" coordorigin="5698,9794" coordsize="825,2">
              <v:shape style="position:absolute;left:5698;top:9794;width:825;height:2" coordorigin="5698,9794" coordsize="825,0" path="m5698,9794l6522,9794e" filled="false" stroked="true" strokeweight=".48001pt" strokecolor="#000000">
                <v:path arrowok="t"/>
              </v:shape>
            </v:group>
            <v:group style="position:absolute;left:6532;top:9794;width:4827;height:2" coordorigin="6532,9794" coordsize="4827,2">
              <v:shape style="position:absolute;left:6532;top:9794;width:4827;height:2" coordorigin="6532,9794" coordsize="4827,0" path="m6532,9794l11359,9794e" filled="false" stroked="true" strokeweight=".48001pt" strokecolor="#000000">
                <v:path arrowok="t"/>
              </v:shape>
            </v:group>
            <v:group style="position:absolute;left:11368;top:9794;width:1550;height:2" coordorigin="11368,9794" coordsize="1550,2">
              <v:shape style="position:absolute;left:11368;top:9794;width:1550;height:2" coordorigin="11368,9794" coordsize="1550,0" path="m11368,9794l12918,9794e" filled="false" stroked="true" strokeweight=".48001pt" strokecolor="#000000">
                <v:path arrowok="t"/>
              </v:shape>
            </v:group>
            <v:group style="position:absolute;left:12927;top:9794;width:1410;height:2" coordorigin="12927,9794" coordsize="1410,2">
              <v:shape style="position:absolute;left:12927;top:9794;width:1410;height:2" coordorigin="12927,9794" coordsize="1410,0" path="m12927,9794l14336,9794e" filled="false" stroked="true" strokeweight=".48001pt" strokecolor="#000000">
                <v:path arrowok="t"/>
              </v:shape>
            </v:group>
            <v:group style="position:absolute;left:14346;top:9794;width:983;height:2" coordorigin="14346,9794" coordsize="983,2">
              <v:shape style="position:absolute;left:14346;top:9794;width:983;height:2" coordorigin="14346,9794" coordsize="983,0" path="m14346,9794l15329,9794e" filled="false" stroked="true" strokeweight=".48001pt" strokecolor="#000000">
                <v:path arrowok="t"/>
              </v:shape>
            </v:group>
            <v:group style="position:absolute;left:1440;top:1134;width:2;height:9340" coordorigin="1440,1134" coordsize="2,9340">
              <v:shape style="position:absolute;left:1440;top:1134;width:2;height:9340" coordorigin="1440,1134" coordsize="0,9340" path="m1440,1134l1440,10474e" filled="false" stroked="true" strokeweight=".48pt" strokecolor="#000000">
                <v:path arrowok="t"/>
              </v:shape>
            </v:group>
            <v:group style="position:absolute;left:1445;top:10469;width:1834;height:2" coordorigin="1445,10469" coordsize="1834,2">
              <v:shape style="position:absolute;left:1445;top:10469;width:1834;height:2" coordorigin="1445,10469" coordsize="1834,0" path="m1445,10469l3279,10469e" filled="false" stroked="true" strokeweight=".47998pt" strokecolor="#000000">
                <v:path arrowok="t"/>
              </v:shape>
            </v:group>
            <v:group style="position:absolute;left:3284;top:1134;width:2;height:9340" coordorigin="3284,1134" coordsize="2,9340">
              <v:shape style="position:absolute;left:3284;top:1134;width:2;height:9340" coordorigin="3284,1134" coordsize="0,9340" path="m3284,1134l3284,10474e" filled="false" stroked="true" strokeweight=".48pt" strokecolor="#000000">
                <v:path arrowok="t"/>
              </v:shape>
            </v:group>
            <v:group style="position:absolute;left:3288;top:10469;width:2400;height:2" coordorigin="3288,10469" coordsize="2400,2">
              <v:shape style="position:absolute;left:3288;top:10469;width:2400;height:2" coordorigin="3288,10469" coordsize="2400,0" path="m3288,10469l5688,10469e" filled="false" stroked="true" strokeweight=".47998pt" strokecolor="#000000">
                <v:path arrowok="t"/>
              </v:shape>
            </v:group>
            <v:group style="position:absolute;left:5693;top:1134;width:2;height:9340" coordorigin="5693,1134" coordsize="2,9340">
              <v:shape style="position:absolute;left:5693;top:1134;width:2;height:9340" coordorigin="5693,1134" coordsize="0,9340" path="m5693,1134l5693,10474e" filled="false" stroked="true" strokeweight=".48001pt" strokecolor="#000000">
                <v:path arrowok="t"/>
              </v:shape>
            </v:group>
            <v:group style="position:absolute;left:5698;top:10469;width:825;height:2" coordorigin="5698,10469" coordsize="825,2">
              <v:shape style="position:absolute;left:5698;top:10469;width:825;height:2" coordorigin="5698,10469" coordsize="825,0" path="m5698,10469l6522,10469e" filled="false" stroked="true" strokeweight=".47998pt" strokecolor="#000000">
                <v:path arrowok="t"/>
              </v:shape>
            </v:group>
            <v:group style="position:absolute;left:6527;top:1134;width:2;height:9340" coordorigin="6527,1134" coordsize="2,9340">
              <v:shape style="position:absolute;left:6527;top:1134;width:2;height:9340" coordorigin="6527,1134" coordsize="0,9340" path="m6527,1134l6527,10474e" filled="false" stroked="true" strokeweight=".48001pt" strokecolor="#000000">
                <v:path arrowok="t"/>
              </v:shape>
            </v:group>
            <v:group style="position:absolute;left:6532;top:10469;width:4827;height:2" coordorigin="6532,10469" coordsize="4827,2">
              <v:shape style="position:absolute;left:6532;top:10469;width:4827;height:2" coordorigin="6532,10469" coordsize="4827,0" path="m6532,10469l11359,10469e" filled="false" stroked="true" strokeweight=".47998pt" strokecolor="#000000">
                <v:path arrowok="t"/>
              </v:shape>
            </v:group>
            <v:group style="position:absolute;left:11364;top:1134;width:2;height:9340" coordorigin="11364,1134" coordsize="2,9340">
              <v:shape style="position:absolute;left:11364;top:1134;width:2;height:9340" coordorigin="11364,1134" coordsize="0,9340" path="m11364,1134l11364,10474e" filled="false" stroked="true" strokeweight=".47998pt" strokecolor="#000000">
                <v:path arrowok="t"/>
              </v:shape>
            </v:group>
            <v:group style="position:absolute;left:11368;top:10469;width:1550;height:2" coordorigin="11368,10469" coordsize="1550,2">
              <v:shape style="position:absolute;left:11368;top:10469;width:1550;height:2" coordorigin="11368,10469" coordsize="1550,0" path="m11368,10469l12918,10469e" filled="false" stroked="true" strokeweight=".47998pt" strokecolor="#000000">
                <v:path arrowok="t"/>
              </v:shape>
            </v:group>
            <v:group style="position:absolute;left:12922;top:1134;width:2;height:9340" coordorigin="12922,1134" coordsize="2,9340">
              <v:shape style="position:absolute;left:12922;top:1134;width:2;height:9340" coordorigin="12922,1134" coordsize="0,9340" path="m12922,1134l12922,10474e" filled="false" stroked="true" strokeweight=".47998pt" strokecolor="#000000">
                <v:path arrowok="t"/>
              </v:shape>
            </v:group>
            <v:group style="position:absolute;left:12927;top:10469;width:1410;height:2" coordorigin="12927,10469" coordsize="1410,2">
              <v:shape style="position:absolute;left:12927;top:10469;width:1410;height:2" coordorigin="12927,10469" coordsize="1410,0" path="m12927,10469l14336,10469e" filled="false" stroked="true" strokeweight=".47998pt" strokecolor="#000000">
                <v:path arrowok="t"/>
              </v:shape>
            </v:group>
            <v:group style="position:absolute;left:14341;top:1134;width:2;height:9340" coordorigin="14341,1134" coordsize="2,9340">
              <v:shape style="position:absolute;left:14341;top:1134;width:2;height:9340" coordorigin="14341,1134" coordsize="0,9340" path="m14341,1134l14341,10474e" filled="false" stroked="true" strokeweight=".47998pt" strokecolor="#000000">
                <v:path arrowok="t"/>
              </v:shape>
            </v:group>
            <v:group style="position:absolute;left:14346;top:10469;width:983;height:2" coordorigin="14346,10469" coordsize="983,2">
              <v:shape style="position:absolute;left:14346;top:10469;width:983;height:2" coordorigin="14346,10469" coordsize="983,0" path="m14346,10469l15329,10469e" filled="false" stroked="true" strokeweight=".47998pt" strokecolor="#000000">
                <v:path arrowok="t"/>
              </v:shape>
            </v:group>
            <v:group style="position:absolute;left:15334;top:1134;width:2;height:9340" coordorigin="15334,1134" coordsize="2,9340">
              <v:shape style="position:absolute;left:15334;top:1134;width:2;height:9340" coordorigin="15334,1134" coordsize="0,9340" path="m15334,1134l15334,10474e" filled="false" stroked="true" strokeweight=".47998pt" strokecolor="#000000">
                <v:path arrowok="t"/>
              </v:shape>
            </v:group>
            <w10:wrap type="none"/>
          </v:group>
        </w:pict>
      </w:r>
      <w:r>
        <w:rPr/>
        <w:t>橙色动力、伟岸仲合、金凤银</w:t>
      </w:r>
      <w:r>
        <w:rPr>
          <w:spacing w:val="-21"/>
        </w:rPr>
        <w:t> </w:t>
      </w:r>
      <w:r>
        <w:rPr/>
        <w:t>和减少关</w:t>
      </w:r>
      <w:r>
        <w:rPr>
          <w:spacing w:val="25"/>
        </w:rPr>
        <w:t> </w:t>
      </w:r>
      <w:r>
        <w:rPr/>
        <w:t>法规和中国证监会的有关规定应披露而未披露的关联交易</w:t>
      </w:r>
      <w:r>
        <w:rPr>
          <w:spacing w:val="-80"/>
        </w:rPr>
        <w:t>；</w:t>
      </w:r>
      <w:r>
        <w:rPr>
          <w:rFonts w:ascii="Times New Roman" w:hAnsi="Times New Roman" w:cs="Times New Roman" w:eastAsia="Times New Roman" w:hint="default"/>
        </w:rPr>
        <w:t>2</w:t>
      </w:r>
      <w:r>
        <w:rPr/>
        <w:t>、</w:t>
      </w:r>
    </w:p>
    <w:p>
      <w:pPr>
        <w:spacing w:after="0" w:line="194" w:lineRule="exact"/>
        <w:jc w:val="left"/>
        <w:sectPr>
          <w:type w:val="continuous"/>
          <w:pgSz w:w="16840" w:h="11910" w:orient="landscape"/>
          <w:pgMar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60.779999pt;margin-top:90.44001pt;width:65.3500pt;height:109.2pt;mso-position-horizontal-relative:page;mso-position-vertical-relative:page;z-index:-773248" type="#_x0000_t202" filled="false" stroked="false">
            <v:textbox inset="0,0,0,0">
              <w:txbxContent>
                <w:p>
                  <w:pPr>
                    <w:pStyle w:val="BodyText"/>
                    <w:spacing w:line="205" w:lineRule="exact"/>
                    <w:ind w:left="0" w:right="0"/>
                    <w:jc w:val="left"/>
                  </w:pPr>
                  <w:r>
                    <w:rPr/>
                    <w:t>刘妍、</w:t>
                  </w:r>
                </w:p>
              </w:txbxContent>
            </v:textbox>
            <w10:wrap type="none"/>
          </v:shape>
        </w:pict>
      </w:r>
      <w:r>
        <w:rPr/>
        <w:pict>
          <v:shape style="position:absolute;margin-left:400.339996pt;margin-top:57.180008pt;width:245.55pt;height:142.5pt;mso-position-horizontal-relative:page;mso-position-vertical-relative:page;z-index:-773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本人不以任何方式影响宣亚国际的独立性，</w:t>
                  </w:r>
                </w:p>
                <w:p>
                  <w:pPr>
                    <w:pStyle w:val="BodyText"/>
                    <w:spacing w:line="240" w:lineRule="auto" w:before="77"/>
                    <w:ind w:left="1620" w:right="0"/>
                    <w:jc w:val="left"/>
                  </w:pPr>
                  <w:r>
                    <w:rPr/>
                    <w:t>机构独立和业务独立。</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844"/>
        <w:gridCol w:w="2410"/>
        <w:gridCol w:w="834"/>
        <w:gridCol w:w="4836"/>
        <w:gridCol w:w="1559"/>
        <w:gridCol w:w="1419"/>
        <w:gridCol w:w="992"/>
      </w:tblGrid>
      <w:tr>
        <w:trPr>
          <w:trHeight w:val="2873" w:hRule="exact"/>
        </w:trPr>
        <w:tc>
          <w:tcPr>
            <w:tcW w:w="1844" w:type="dxa"/>
            <w:vMerge w:val="restart"/>
            <w:tcBorders>
              <w:top w:val="single" w:sz="15" w:space="0" w:color="000000"/>
              <w:left w:val="single" w:sz="4" w:space="0" w:color="000000"/>
              <w:right w:val="single" w:sz="4" w:space="0" w:color="000000"/>
            </w:tcBorders>
            <w:shd w:val="clear" w:color="auto" w:fill="D2D2D2"/>
          </w:tcPr>
          <w:p>
            <w:pPr/>
          </w:p>
        </w:tc>
        <w:tc>
          <w:tcPr>
            <w:tcW w:w="2410" w:type="dxa"/>
            <w:tcBorders>
              <w:top w:val="single" w:sz="15" w:space="0" w:color="000000"/>
              <w:left w:val="single" w:sz="4" w:space="0" w:color="000000"/>
              <w:bottom w:val="single" w:sz="4" w:space="0" w:color="000000"/>
              <w:right w:val="single" w:sz="9" w:space="0" w:color="FFFFFF"/>
            </w:tcBorders>
          </w:tcPr>
          <w:p>
            <w:pPr>
              <w:pStyle w:val="TableParagraph"/>
              <w:spacing w:line="314"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凰、</w:t>
            </w: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亚太、宾卫、张二 </w:t>
            </w:r>
            <w:r>
              <w:rPr>
                <w:rFonts w:ascii="宋体" w:hAnsi="宋体" w:cs="宋体" w:eastAsia="宋体" w:hint="default"/>
                <w:spacing w:val="-9"/>
                <w:sz w:val="18"/>
                <w:szCs w:val="18"/>
              </w:rPr>
              <w:t>东、何骁军、张顺和、王正鹏、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徐轶尊、李弘扬、邬涛、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吴卫华、宣正元、闫贵忠、黄 硕、丛日华、张伟</w:t>
            </w:r>
          </w:p>
        </w:tc>
        <w:tc>
          <w:tcPr>
            <w:tcW w:w="834" w:type="dxa"/>
            <w:tcBorders>
              <w:top w:val="single" w:sz="15" w:space="0" w:color="000000"/>
              <w:left w:val="single" w:sz="9" w:space="0" w:color="FFFFFF"/>
              <w:bottom w:val="single" w:sz="4" w:space="0" w:color="000000"/>
              <w:right w:val="single" w:sz="4" w:space="0" w:color="000000"/>
            </w:tcBorders>
          </w:tcPr>
          <w:p>
            <w:pPr>
              <w:pStyle w:val="TableParagraph"/>
              <w:spacing w:line="319" w:lineRule="auto" w:before="10"/>
              <w:ind w:left="16" w:right="79"/>
              <w:jc w:val="left"/>
              <w:rPr>
                <w:rFonts w:ascii="宋体" w:hAnsi="宋体" w:cs="宋体" w:eastAsia="宋体" w:hint="default"/>
                <w:sz w:val="18"/>
                <w:szCs w:val="18"/>
              </w:rPr>
            </w:pPr>
            <w:r>
              <w:rPr>
                <w:rFonts w:ascii="宋体" w:hAnsi="宋体" w:cs="宋体" w:eastAsia="宋体" w:hint="default"/>
                <w:sz w:val="18"/>
                <w:szCs w:val="18"/>
              </w:rPr>
              <w:t>联交易的 承诺</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537"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41.25pt;height:126.9pt;mso-position-horizontal-relative:char;mso-position-vertical-relative:line" coordorigin="0,0" coordsize="825,2538">
                  <v:group style="position:absolute;left:0;top:353;width:825;height:2184" coordorigin="0,353" coordsize="825,2184">
                    <v:shape style="position:absolute;left:0;top:353;width:825;height:2184" coordorigin="0,353" coordsize="825,2184" path="m0,2537l824,2537,824,353,0,353,0,2537xe" filled="true" fillcolor="#ffffff" stroked="false">
                      <v:path arrowok="t"/>
                      <v:fill type="solid"/>
                    </v:shape>
                  </v:group>
                  <v:group style="position:absolute;left:23;top:0;width:779;height:354" coordorigin="23,0" coordsize="779,354">
                    <v:shape style="position:absolute;left:23;top:0;width:779;height:354" coordorigin="23,0" coordsize="779,354" path="m23,353l802,353,802,0,23,0,23,353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4836"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本人不以任何方式违法违规占用宣亚国际资金或要求 其违法违规为本公司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本人提供担保；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本人不通过 </w:t>
            </w:r>
            <w:r>
              <w:rPr>
                <w:rFonts w:ascii="宋体" w:hAnsi="宋体" w:cs="宋体" w:eastAsia="宋体" w:hint="default"/>
                <w:spacing w:val="-3"/>
                <w:sz w:val="18"/>
                <w:szCs w:val="18"/>
              </w:rPr>
              <w:t>非公允关联交易、利润分配、资产重组、对外投资等任何方式</w:t>
            </w:r>
            <w:r>
              <w:rPr>
                <w:rFonts w:ascii="宋体" w:hAnsi="宋体" w:cs="宋体" w:eastAsia="宋体" w:hint="default"/>
                <w:sz w:val="18"/>
                <w:szCs w:val="18"/>
              </w:rPr>
              <w:t> </w:t>
            </w:r>
            <w:r>
              <w:rPr>
                <w:rFonts w:ascii="宋体" w:hAnsi="宋体" w:cs="宋体" w:eastAsia="宋体" w:hint="default"/>
                <w:spacing w:val="-3"/>
                <w:sz w:val="18"/>
                <w:szCs w:val="18"/>
              </w:rPr>
              <w:t>损害宣亚国际及其他股东的合法权益；如在今后的经营活动中</w:t>
            </w:r>
            <w:r>
              <w:rPr>
                <w:rFonts w:ascii="宋体" w:hAnsi="宋体" w:cs="宋体" w:eastAsia="宋体" w:hint="default"/>
                <w:sz w:val="18"/>
                <w:szCs w:val="18"/>
              </w:rPr>
              <w:t>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本人与宣亚国际之间发生无法避免的关联交易，则此 种关联交易的条件必须按正常的商业条件进行，并按国家法 </w:t>
            </w:r>
            <w:r>
              <w:rPr>
                <w:rFonts w:ascii="宋体" w:hAnsi="宋体" w:cs="宋体" w:eastAsia="宋体" w:hint="default"/>
                <w:spacing w:val="-4"/>
                <w:sz w:val="18"/>
                <w:szCs w:val="18"/>
              </w:rPr>
              <w:t>律、法规、规范性文件以及宣亚国际内部管理制度严格履行审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3"/>
                <w:sz w:val="18"/>
                <w:szCs w:val="18"/>
              </w:rPr>
              <w:t>批程序；</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、本公司</w:t>
            </w:r>
            <w:r>
              <w:rPr>
                <w:rFonts w:ascii="Times New Roman" w:hAnsi="Times New Roman" w:cs="Times New Roman" w:eastAsia="Times New Roman" w:hint="default"/>
                <w:spacing w:val="-13"/>
                <w:sz w:val="18"/>
                <w:szCs w:val="18"/>
              </w:rPr>
              <w:t>/</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7"/>
                <w:sz w:val="18"/>
                <w:szCs w:val="18"/>
              </w:rPr>
              <w:t>保证其资产完整、人员独立、财务独立、</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77.5pt;height:142.5pt;mso-position-horizontal-relative:char;mso-position-vertical-relative:line" coordorigin="0,0" coordsize="1550,2850">
                  <v:group style="position:absolute;left:0;top:0;width:1550;height:2850" coordorigin="0,0" coordsize="1550,2850">
                    <v:shape style="position:absolute;left:0;top:0;width:1550;height:2850" coordorigin="0,0" coordsize="1550,2850" path="m0,2849l1549,2849,1549,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41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196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关于珠海 宣亚所租 赁的房屋 尚未办理 产权证书 的承诺</w:t>
            </w:r>
          </w:p>
        </w:tc>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1"/>
              <w:jc w:val="both"/>
              <w:rPr>
                <w:rFonts w:ascii="宋体" w:hAnsi="宋体" w:cs="宋体" w:eastAsia="宋体" w:hint="default"/>
                <w:sz w:val="18"/>
                <w:szCs w:val="18"/>
              </w:rPr>
            </w:pPr>
            <w:r>
              <w:rPr>
                <w:rFonts w:ascii="宋体" w:hAnsi="宋体" w:cs="宋体" w:eastAsia="宋体" w:hint="default"/>
                <w:spacing w:val="-3"/>
                <w:sz w:val="18"/>
                <w:szCs w:val="18"/>
              </w:rPr>
              <w:t>如发生任何纠纷或政府部门要求搬迁，导致公司需要另租其他</w:t>
            </w:r>
            <w:r>
              <w:rPr>
                <w:rFonts w:ascii="宋体" w:hAnsi="宋体" w:cs="宋体" w:eastAsia="宋体" w:hint="default"/>
                <w:sz w:val="18"/>
                <w:szCs w:val="18"/>
              </w:rPr>
              <w:t> </w:t>
            </w:r>
            <w:r>
              <w:rPr>
                <w:rFonts w:ascii="宋体" w:hAnsi="宋体" w:cs="宋体" w:eastAsia="宋体" w:hint="default"/>
                <w:spacing w:val="-3"/>
                <w:sz w:val="18"/>
                <w:szCs w:val="18"/>
              </w:rPr>
              <w:t>生产经营场地，宣亚投资将承担公司的搬迁费用、因生产经营</w:t>
            </w:r>
            <w:r>
              <w:rPr>
                <w:rFonts w:ascii="宋体" w:hAnsi="宋体" w:cs="宋体" w:eastAsia="宋体" w:hint="default"/>
                <w:sz w:val="18"/>
                <w:szCs w:val="18"/>
              </w:rPr>
              <w:t> </w:t>
            </w:r>
            <w:r>
              <w:rPr>
                <w:rFonts w:ascii="宋体" w:hAnsi="宋体" w:cs="宋体" w:eastAsia="宋体" w:hint="default"/>
                <w:spacing w:val="-3"/>
                <w:sz w:val="18"/>
                <w:szCs w:val="18"/>
              </w:rPr>
              <w:t>停顿所产生的损失以及其他相关损失，且在承担相关支出后不</w:t>
            </w:r>
            <w:r>
              <w:rPr>
                <w:rFonts w:ascii="宋体" w:hAnsi="宋体" w:cs="宋体" w:eastAsia="宋体" w:hint="default"/>
                <w:sz w:val="18"/>
                <w:szCs w:val="18"/>
              </w:rPr>
              <w:t> 向公司追偿，保证公司不会因此遭受任何损失。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410"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8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2410"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8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41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120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left="254" w:right="172"/>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left="254" w:right="172"/>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254" w:right="4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3"/>
        <w:spacing w:line="240" w:lineRule="auto"/>
        <w:ind w:left="254" w:right="172"/>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254" w:right="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left="254" w:right="172"/>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254" w:right="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left="254" w:right="172"/>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4" w:right="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57" w:lineRule="auto" w:before="102"/>
        <w:ind w:left="614" w:right="172" w:firstLine="379"/>
        <w:jc w:val="left"/>
      </w:pPr>
      <w:r>
        <w:rPr/>
        <w:t>重要会计政策变更： 执行《企业会计准则第</w:t>
      </w:r>
      <w:r>
        <w:rPr>
          <w:rFonts w:ascii="宋体" w:hAnsi="宋体" w:cs="宋体" w:eastAsia="宋体" w:hint="default"/>
        </w:rPr>
        <w:t>42</w:t>
      </w:r>
      <w:r>
        <w:rPr/>
        <w:t>号——持有待售的非流动资产、处置组和终止经营》、《企业会计准则第</w:t>
      </w:r>
      <w:r>
        <w:rPr>
          <w:rFonts w:ascii="宋体" w:hAnsi="宋体" w:cs="宋体" w:eastAsia="宋体" w:hint="default"/>
        </w:rPr>
        <w:t>16</w:t>
      </w:r>
      <w:r>
        <w:rPr/>
        <w:t>号——政府补助》</w:t>
      </w:r>
    </w:p>
    <w:p>
      <w:pPr>
        <w:pStyle w:val="BodyText"/>
        <w:spacing w:line="224" w:lineRule="exact"/>
        <w:ind w:left="254" w:right="172"/>
        <w:jc w:val="left"/>
      </w:pPr>
      <w:r>
        <w:rPr/>
        <w:t>和《财政部关于修订印发一般企业财务报表格式的通知》。</w:t>
      </w:r>
    </w:p>
    <w:p>
      <w:pPr>
        <w:pStyle w:val="BodyText"/>
        <w:spacing w:line="316" w:lineRule="auto" w:before="76"/>
        <w:ind w:left="254" w:right="269" w:firstLine="360"/>
        <w:jc w:val="both"/>
      </w:pPr>
      <w:r>
        <w:rPr/>
        <w:t>财政部于</w:t>
      </w:r>
      <w:r>
        <w:rPr>
          <w:rFonts w:ascii="宋体" w:hAnsi="宋体" w:cs="宋体" w:eastAsia="宋体" w:hint="default"/>
        </w:rPr>
        <w:t>2017</w:t>
      </w:r>
      <w:r>
        <w:rPr/>
        <w:t>年度发布了《企业会计准则第</w:t>
      </w:r>
      <w:r>
        <w:rPr>
          <w:rFonts w:ascii="宋体" w:hAnsi="宋体" w:cs="宋体" w:eastAsia="宋体" w:hint="default"/>
        </w:rPr>
        <w:t>42</w:t>
      </w:r>
      <w:r>
        <w:rPr/>
        <w:t>号——持有待售的非流动资产、处置组和终止经营》，自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 起施行，对于施行日存在的持有待售的非流动资产、处置组和终止经营，要求采用未来适用法处理。</w:t>
      </w:r>
    </w:p>
    <w:p>
      <w:pPr>
        <w:pStyle w:val="BodyText"/>
        <w:spacing w:line="316" w:lineRule="auto" w:before="19"/>
        <w:ind w:left="254" w:right="270" w:firstLine="360"/>
        <w:jc w:val="both"/>
      </w:pPr>
      <w:r>
        <w:rPr>
          <w:spacing w:val="-2"/>
        </w:rPr>
        <w:t>财政部于</w:t>
      </w:r>
      <w:r>
        <w:rPr>
          <w:rFonts w:ascii="宋体" w:hAnsi="宋体" w:cs="宋体" w:eastAsia="宋体" w:hint="default"/>
          <w:spacing w:val="-2"/>
        </w:rPr>
        <w:t>2017</w:t>
      </w:r>
      <w:r>
        <w:rPr>
          <w:spacing w:val="-2"/>
        </w:rPr>
        <w:t>年度修订了《企业会计准则第</w:t>
      </w:r>
      <w:r>
        <w:rPr>
          <w:rFonts w:ascii="宋体" w:hAnsi="宋体" w:cs="宋体" w:eastAsia="宋体" w:hint="default"/>
          <w:spacing w:val="-2"/>
        </w:rPr>
        <w:t>16</w:t>
      </w:r>
      <w:r>
        <w:rPr>
          <w:spacing w:val="-2"/>
        </w:rPr>
        <w:t>号——政府补助》，修订后的准则自</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日起施行，对于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rFonts w:ascii="宋体" w:hAnsi="宋体" w:cs="宋体" w:eastAsia="宋体" w:hint="default"/>
        </w:rPr>
        <w:t> </w:t>
      </w:r>
      <w:r>
        <w:rPr/>
        <w:t>月</w:t>
      </w:r>
      <w:r>
        <w:rPr>
          <w:rFonts w:ascii="宋体" w:hAnsi="宋体" w:cs="宋体" w:eastAsia="宋体" w:hint="default"/>
        </w:rPr>
        <w:t>1</w:t>
      </w:r>
      <w:r>
        <w:rPr/>
        <w:t>日存在的政府补助，要求采用未来适用法处理；对于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日至施行日新增的政府补助，也要求按照修订后的准则</w:t>
      </w:r>
      <w:r>
        <w:rPr>
          <w:spacing w:val="-82"/>
        </w:rPr>
        <w:t> </w:t>
      </w:r>
      <w:r>
        <w:rPr>
          <w:spacing w:val="-82"/>
        </w:rPr>
      </w:r>
      <w:r>
        <w:rPr/>
        <w:t>进行调整。</w:t>
      </w:r>
    </w:p>
    <w:p>
      <w:pPr>
        <w:pStyle w:val="BodyText"/>
        <w:spacing w:line="316" w:lineRule="auto" w:before="19"/>
        <w:ind w:left="254" w:right="182" w:firstLine="360"/>
        <w:jc w:val="both"/>
      </w:pPr>
      <w:r>
        <w:rPr>
          <w:spacing w:val="-4"/>
        </w:rPr>
        <w:t>财政部于</w:t>
      </w:r>
      <w:r>
        <w:rPr>
          <w:rFonts w:ascii="宋体" w:hAnsi="宋体" w:cs="宋体" w:eastAsia="宋体" w:hint="default"/>
          <w:spacing w:val="-4"/>
        </w:rPr>
        <w:t>2017</w:t>
      </w:r>
      <w:r>
        <w:rPr>
          <w:spacing w:val="-4"/>
        </w:rPr>
        <w:t>年度发布了《财政部关于修订印发一般企业财务报表格式的通知》，对一般企业财务报表格式进行了修订，</w:t>
      </w:r>
      <w:r>
        <w:rPr/>
        <w:t> 适用于</w:t>
      </w:r>
      <w:r>
        <w:rPr>
          <w:rFonts w:ascii="宋体" w:hAnsi="宋体" w:cs="宋体" w:eastAsia="宋体" w:hint="default"/>
        </w:rPr>
        <w:t>2017</w:t>
      </w:r>
      <w:r>
        <w:rPr/>
        <w:t>年度及以后期间的财务报表。</w:t>
      </w:r>
    </w:p>
    <w:p>
      <w:pPr>
        <w:pStyle w:val="BodyText"/>
        <w:spacing w:line="240" w:lineRule="auto" w:before="59"/>
        <w:ind w:left="614" w:right="172"/>
        <w:jc w:val="left"/>
      </w:pPr>
      <w:r>
        <w:rPr/>
        <w:pict>
          <v:group style="position:absolute;margin-left:276.789978pt;margin-top:111.801666pt;width:78.1pt;height:27.9pt;mso-position-horizontal-relative:page;mso-position-vertical-relative:paragraph;z-index:-773200" coordorigin="5536,2236" coordsize="1562,558">
            <v:group style="position:absolute;left:5541;top:2236;width:1551;height:166" coordorigin="5541,2236" coordsize="1551,166">
              <v:shape style="position:absolute;left:5541;top:2236;width:1551;height:166" coordorigin="5541,2236" coordsize="1551,166" path="m5541,2402l7092,2402,7092,2236,5541,2236,5541,2402xe" filled="true" fillcolor="#ffffff" stroked="false">
                <v:path arrowok="t"/>
                <v:fill type="solid"/>
              </v:shape>
            </v:group>
            <v:group style="position:absolute;left:5546;top:2402;width:1541;height:393" coordorigin="5546,2402" coordsize="1541,393">
              <v:shape style="position:absolute;left:5546;top:2402;width:1541;height:393" coordorigin="5546,2402" coordsize="1541,393" path="m5546,2794l7087,2794,7087,2402,5546,2402,5546,2794xe" filled="true" fillcolor="#ffffff" stroked="false">
                <v:path arrowok="t"/>
                <v:fill type="solid"/>
              </v:shape>
            </v:group>
            <v:group style="position:absolute;left:5541;top:2241;width:1551;height:2" coordorigin="5541,2241" coordsize="1551,2">
              <v:shape style="position:absolute;left:5541;top:2241;width:1551;height:2" coordorigin="5541,2241" coordsize="1551,0" path="m5541,2241l7092,2241e" filled="false" stroked="true" strokeweight=".54004pt" strokecolor="#ffffff">
                <v:path arrowok="t"/>
              </v:shape>
            </v:group>
            <w10:wrap type="none"/>
          </v:group>
        </w:pict>
      </w:r>
      <w:r>
        <w:rPr/>
        <w:t>本公司执行上述三项规定的主要影响如下：</w:t>
      </w:r>
    </w:p>
    <w:p>
      <w:pPr>
        <w:spacing w:line="240" w:lineRule="auto" w:before="7"/>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544"/>
        <w:gridCol w:w="1560"/>
        <w:gridCol w:w="3833"/>
      </w:tblGrid>
      <w:tr>
        <w:trPr>
          <w:trHeight w:val="421" w:hRule="exact"/>
        </w:trPr>
        <w:tc>
          <w:tcPr>
            <w:tcW w:w="4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399" w:hRule="exact"/>
        </w:trPr>
        <w:tc>
          <w:tcPr>
            <w:tcW w:w="45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53"/>
              <w:ind w:left="4" w:right="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）在利润表中分别列示“持续经营净利润”和“终止经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营净利润”。比较数据相应调整。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8"/>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81,922,000.06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4"/>
              <w:ind w:left="5" w:right="0"/>
              <w:jc w:val="left"/>
              <w:rPr>
                <w:rFonts w:ascii="宋体" w:hAnsi="宋体" w:cs="宋体" w:eastAsia="宋体" w:hint="default"/>
                <w:sz w:val="18"/>
                <w:szCs w:val="18"/>
              </w:rPr>
            </w:pPr>
            <w:r>
              <w:rPr>
                <w:rFonts w:ascii="宋体" w:hAnsi="宋体" w:cs="宋体" w:eastAsia="宋体" w:hint="default"/>
                <w:sz w:val="18"/>
                <w:szCs w:val="18"/>
              </w:rPr>
              <w:t>列示终止经营净利润本年金额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5" w:right="-8"/>
              <w:jc w:val="left"/>
              <w:rPr>
                <w:rFonts w:ascii="宋体" w:hAnsi="宋体" w:cs="宋体" w:eastAsia="宋体" w:hint="default"/>
                <w:sz w:val="18"/>
                <w:szCs w:val="18"/>
              </w:rPr>
            </w:pPr>
            <w:r>
              <w:rPr>
                <w:rFonts w:ascii="宋体" w:hAnsi="宋体" w:cs="宋体" w:eastAsia="宋体" w:hint="default"/>
                <w:sz w:val="18"/>
                <w:szCs w:val="18"/>
              </w:rPr>
              <w:t>列示持续经营净利润上年金额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59,194,968.93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4"/>
              <w:ind w:left="5" w:right="0"/>
              <w:jc w:val="left"/>
              <w:rPr>
                <w:rFonts w:ascii="宋体" w:hAnsi="宋体" w:cs="宋体" w:eastAsia="宋体" w:hint="default"/>
                <w:sz w:val="18"/>
                <w:szCs w:val="18"/>
              </w:rPr>
            </w:pPr>
            <w:r>
              <w:rPr>
                <w:rFonts w:ascii="宋体" w:hAnsi="宋体" w:cs="宋体" w:eastAsia="宋体" w:hint="default"/>
                <w:sz w:val="18"/>
                <w:szCs w:val="18"/>
              </w:rPr>
              <w:t>列示终止经营净利润上年金额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34"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4" w:right="1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）与本公司日常活动相关的政府补助，计入其他收益 不再计入营业外收入。比较数据不调整。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6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046"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4"/>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）在利润表中新增“资产处置收益”项目，将部分原列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示为“营业外收入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支出”的资产处置损益重分类至“资产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处置收益”项目。比较数据相应调整。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after="0" w:line="240" w:lineRule="auto"/>
        <w:jc w:val="left"/>
        <w:rPr>
          <w:rFonts w:ascii="宋体" w:hAnsi="宋体" w:cs="宋体" w:eastAsia="宋体" w:hint="default"/>
          <w:sz w:val="18"/>
          <w:szCs w:val="18"/>
        </w:rPr>
        <w:sectPr>
          <w:headerReference w:type="default" r:id="rId16"/>
          <w:footerReference w:type="default" r:id="rId17"/>
          <w:pgSz w:w="11910" w:h="16840"/>
          <w:pgMar w:header="877" w:footer="979" w:top="1060" w:bottom="1160" w:left="880" w:right="860"/>
          <w:pgNumType w:start="3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26"/>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赵斌、孟庆祥</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是否改聘会计师事务所</w:t>
      </w:r>
    </w:p>
    <w:p>
      <w:pPr>
        <w:pStyle w:val="BodyText"/>
        <w:spacing w:line="338" w:lineRule="auto" w:before="116"/>
        <w:ind w:right="5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28" w:lineRule="auto" w:before="43"/>
        <w:ind w:left="514" w:right="14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本年度，公司聘请立信会计师事务所（特殊普通合伙）出具内部控制鉴证报告，报酬包含在年度审计费中。 从</w:t>
      </w:r>
      <w:r>
        <w:rPr>
          <w:rFonts w:ascii="Times New Roman" w:hAnsi="Times New Roman" w:cs="Times New Roman" w:eastAsia="Times New Roman" w:hint="default"/>
        </w:rPr>
        <w:t>2015</w:t>
      </w:r>
      <w:r>
        <w:rPr/>
        <w:t>年起，公司聘请中德证券有限责任公司作为公司的上市保荐机构，公司于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日上市时从发行费用中支</w:t>
      </w:r>
    </w:p>
    <w:p>
      <w:pPr>
        <w:pStyle w:val="BodyText"/>
        <w:spacing w:line="238" w:lineRule="exact"/>
        <w:ind w:right="0"/>
        <w:jc w:val="left"/>
      </w:pPr>
      <w:r>
        <w:rPr/>
        <w:t>付承销保荐费共计</w:t>
      </w:r>
      <w:r>
        <w:rPr>
          <w:rFonts w:ascii="Times New Roman" w:hAnsi="Times New Roman" w:cs="Times New Roman" w:eastAsia="Times New Roman" w:hint="default"/>
        </w:rPr>
        <w:t>2,813.36</w:t>
      </w:r>
      <w:r>
        <w:rPr/>
        <w:t>万元。</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pStyle w:val="Heading3"/>
        <w:spacing w:line="240" w:lineRule="auto" w:before="26"/>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4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pStyle w:val="BodyText"/>
        <w:spacing w:line="624" w:lineRule="exact" w:before="57"/>
        <w:ind w:left="514" w:right="0" w:hanging="360"/>
        <w:jc w:val="left"/>
      </w:pPr>
      <w:r>
        <w:rPr/>
        <w:t>（一）股东及债权人权益保护 </w:t>
      </w:r>
      <w:r>
        <w:rPr>
          <w:spacing w:val="-2"/>
        </w:rPr>
        <w:t>公司严格按照《公司法》、《证券法》、《深圳证券交易所创业板股票上市规则》等相关法律法规和《公司章程》的规</w:t>
      </w:r>
    </w:p>
    <w:p>
      <w:pPr>
        <w:pStyle w:val="BodyText"/>
        <w:spacing w:line="213" w:lineRule="exact"/>
        <w:ind w:right="0"/>
        <w:jc w:val="left"/>
      </w:pPr>
      <w:r>
        <w:rPr/>
        <w:t>定，规范股东大会的召集、召开及表决程序，积极主动采用网络投票等方式扩大股东参与股东大会的比例，确保股东对公司</w:t>
      </w:r>
    </w:p>
    <w:p>
      <w:pPr>
        <w:pStyle w:val="BodyText"/>
        <w:spacing w:line="240" w:lineRule="auto" w:before="77"/>
        <w:ind w:right="0"/>
        <w:jc w:val="left"/>
      </w:pPr>
      <w:r>
        <w:rPr/>
        <w:t>重大事项的知情权、参与权和表决权。</w:t>
      </w:r>
    </w:p>
    <w:p>
      <w:pPr>
        <w:spacing w:line="240" w:lineRule="auto" w:before="0"/>
        <w:rPr>
          <w:rFonts w:ascii="宋体" w:hAnsi="宋体" w:cs="宋体" w:eastAsia="宋体" w:hint="default"/>
          <w:sz w:val="18"/>
          <w:szCs w:val="18"/>
        </w:rPr>
      </w:pPr>
    </w:p>
    <w:p>
      <w:pPr>
        <w:pStyle w:val="BodyText"/>
        <w:spacing w:line="316" w:lineRule="auto" w:before="153"/>
        <w:ind w:right="0" w:firstLine="360"/>
        <w:jc w:val="left"/>
      </w:pPr>
      <w:r>
        <w:rPr>
          <w:spacing w:val="-2"/>
        </w:rPr>
        <w:t>报告期内，公司积极实施现金分红政策，确保股东投资回报；不断完善内控体系，优化公司治理结构；严格履行信息披</w:t>
      </w:r>
      <w:r>
        <w:rPr/>
        <w:t> </w:t>
      </w:r>
      <w:r>
        <w:rPr>
          <w:spacing w:val="-2"/>
        </w:rPr>
        <w:t>露义务，真实、准确、完整、及时、公平地向所有股东披露信息；通过网上业绩说明会、投资者电话、电子邮箱、投资者关</w:t>
      </w:r>
    </w:p>
    <w:p>
      <w:pPr>
        <w:spacing w:after="0" w:line="316"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92"/>
        <w:jc w:val="left"/>
      </w:pPr>
      <w:r>
        <w:rPr>
          <w:spacing w:val="-2"/>
        </w:rPr>
        <w:t>系互动平台等多种方式与投资者进行沟通交流，建立良好的互动平台。同时，公司的财务政策稳健，资产、资金安全，在维</w:t>
      </w:r>
      <w:r>
        <w:rPr>
          <w:spacing w:val="-70"/>
        </w:rPr>
        <w:t> </w:t>
      </w:r>
      <w:r>
        <w:rPr>
          <w:spacing w:val="-70"/>
        </w:rPr>
      </w:r>
      <w:r>
        <w:rPr/>
        <w:t>护股东利益的同时兼顾债权人的利益。</w:t>
      </w:r>
    </w:p>
    <w:p>
      <w:pPr>
        <w:spacing w:line="240" w:lineRule="auto" w:before="4"/>
        <w:rPr>
          <w:rFonts w:ascii="宋体" w:hAnsi="宋体" w:cs="宋体" w:eastAsia="宋体" w:hint="default"/>
          <w:sz w:val="25"/>
          <w:szCs w:val="25"/>
        </w:rPr>
      </w:pPr>
    </w:p>
    <w:p>
      <w:pPr>
        <w:pStyle w:val="BodyText"/>
        <w:spacing w:line="319" w:lineRule="auto"/>
        <w:ind w:right="92" w:firstLine="360"/>
        <w:jc w:val="left"/>
      </w:pPr>
      <w:r>
        <w:rPr>
          <w:spacing w:val="-2"/>
        </w:rPr>
        <w:t>报告期内，公司无大股东及关联方占用公司资金情形，亦不存在将资金直接或间接地提供给大股东及关联方使用的各种</w:t>
      </w:r>
      <w:r>
        <w:rPr/>
        <w:t> 情形，公司无任何形式的对外担保事项。</w:t>
      </w:r>
    </w:p>
    <w:p>
      <w:pPr>
        <w:pStyle w:val="BodyText"/>
        <w:spacing w:line="624" w:lineRule="exact" w:before="40"/>
        <w:ind w:left="514" w:right="92" w:hanging="360"/>
        <w:jc w:val="left"/>
      </w:pPr>
      <w:r>
        <w:rPr/>
        <w:t>（二）职工权益保护 </w:t>
      </w:r>
      <w:r>
        <w:rPr>
          <w:spacing w:val="-2"/>
        </w:rPr>
        <w:t>公司在用工制度上完全遵循《劳动法》、《劳动合同法》等法律、法规的要求，与所有员工签订了《劳动合同》，办理</w:t>
      </w:r>
    </w:p>
    <w:p>
      <w:pPr>
        <w:pStyle w:val="BodyText"/>
        <w:spacing w:line="213" w:lineRule="exact"/>
        <w:ind w:right="0"/>
        <w:jc w:val="left"/>
      </w:pPr>
      <w:r>
        <w:rPr/>
        <w:t>各种社会保险，尊重和维护员工的个人权益。公司注重人才培养，不断完善职业培训制度，积极开展培训，提升员工素质，</w:t>
      </w:r>
    </w:p>
    <w:p>
      <w:pPr>
        <w:pStyle w:val="BodyText"/>
        <w:spacing w:line="316" w:lineRule="auto" w:before="76"/>
        <w:ind w:right="92"/>
        <w:jc w:val="left"/>
      </w:pPr>
      <w:r>
        <w:rPr>
          <w:spacing w:val="-4"/>
        </w:rPr>
        <w:t>为员工发展提供更多机会，实现员工与企业的共同成长。公司依据《公司法》、《公司章程》等规定，关注职工的合理诉求，</w:t>
      </w:r>
      <w:r>
        <w:rPr>
          <w:spacing w:val="-46"/>
        </w:rPr>
        <w:t> </w:t>
      </w:r>
      <w:r>
        <w:rPr>
          <w:spacing w:val="-46"/>
        </w:rPr>
      </w:r>
      <w:r>
        <w:rPr/>
        <w:t>关注员工健康和满意度，构建和谐稳定的劳资关系。</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spacing w:line="630" w:lineRule="atLeast"/>
        <w:ind w:left="514" w:right="92" w:hanging="360"/>
        <w:jc w:val="left"/>
      </w:pPr>
      <w:r>
        <w:rPr/>
        <w:t>（三）供应商、客户权益保护 </w:t>
      </w:r>
      <w:r>
        <w:rPr>
          <w:spacing w:val="-2"/>
        </w:rPr>
        <w:t>公司遵循</w:t>
      </w:r>
      <w:r>
        <w:rPr>
          <w:rFonts w:ascii="Times New Roman" w:hAnsi="Times New Roman" w:cs="Times New Roman" w:eastAsia="Times New Roman" w:hint="default"/>
          <w:spacing w:val="-2"/>
        </w:rPr>
        <w:t>“</w:t>
      </w:r>
      <w:r>
        <w:rPr>
          <w:spacing w:val="-2"/>
        </w:rPr>
        <w:t>平等、互利</w:t>
      </w:r>
      <w:r>
        <w:rPr>
          <w:rFonts w:ascii="Times New Roman" w:hAnsi="Times New Roman" w:cs="Times New Roman" w:eastAsia="Times New Roman" w:hint="default"/>
          <w:spacing w:val="-2"/>
        </w:rPr>
        <w:t>”</w:t>
      </w:r>
      <w:r>
        <w:rPr>
          <w:spacing w:val="-2"/>
        </w:rPr>
        <w:t>原则，积极构建和发展与供应商、客户的战略合作伙伴关系，注重与各相关方的沟通与协调，共</w:t>
      </w:r>
    </w:p>
    <w:p>
      <w:pPr>
        <w:pStyle w:val="BodyText"/>
        <w:spacing w:line="240" w:lineRule="auto" w:before="63"/>
        <w:ind w:right="92"/>
        <w:jc w:val="left"/>
      </w:pPr>
      <w:r>
        <w:rPr/>
        <w:t>同构筑信任与合作的平台。</w:t>
      </w:r>
    </w:p>
    <w:p>
      <w:pPr>
        <w:pStyle w:val="BodyText"/>
        <w:spacing w:line="624" w:lineRule="exact" w:before="99"/>
        <w:ind w:left="514" w:right="92" w:hanging="360"/>
        <w:jc w:val="left"/>
      </w:pPr>
      <w:r>
        <w:rPr/>
        <w:t>（四）履行企业社会责任 </w:t>
      </w:r>
      <w:r>
        <w:rPr>
          <w:spacing w:val="-2"/>
        </w:rPr>
        <w:t>公司作为专业整合营销传播服务企业，在行业具有较大的影响力，凭借优秀的营销策略制订能力、创意内容策划能力及</w:t>
      </w:r>
    </w:p>
    <w:p>
      <w:pPr>
        <w:pStyle w:val="BodyText"/>
        <w:spacing w:line="213" w:lineRule="exact"/>
        <w:ind w:right="0"/>
        <w:jc w:val="left"/>
      </w:pPr>
      <w:r>
        <w:rPr/>
        <w:t>高效的执行管理能力，为众多国内外知名企业提供了全方位的整合营销传播服务，在行业内积累了丰富的业务经验，形成了</w:t>
      </w:r>
    </w:p>
    <w:p>
      <w:pPr>
        <w:pStyle w:val="BodyText"/>
        <w:spacing w:line="547" w:lineRule="auto" w:before="76"/>
        <w:ind w:right="3532"/>
        <w:jc w:val="left"/>
      </w:pPr>
      <w:r>
        <w:rPr/>
        <w:t>良好的客户关系，并连续九年入选中国国际公共关系协会评选的</w:t>
      </w:r>
      <w:r>
        <w:rPr>
          <w:rFonts w:ascii="Times New Roman" w:hAnsi="Times New Roman" w:cs="Times New Roman" w:eastAsia="Times New Roman" w:hint="default"/>
        </w:rPr>
        <w:t>TOP</w:t>
      </w:r>
      <w:r>
        <w:rPr/>
        <w:t>公司之列。 </w:t>
      </w:r>
      <w:bookmarkStart w:name="2、履行精准扶贫社会责任情况" w:id="97"/>
      <w:bookmarkEnd w:id="9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t>公司报告年度暂未开展精准扶贫工作，也暂无后续精准扶贫计划。</w:t>
      </w:r>
    </w:p>
    <w:p>
      <w:pPr>
        <w:pStyle w:val="Heading4"/>
        <w:spacing w:line="240" w:lineRule="auto" w:before="122"/>
        <w:ind w:right="92"/>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4772"/>
        <w:jc w:val="left"/>
      </w:pPr>
      <w:r>
        <w:rPr/>
        <w:t>上市公司及其子公司是否属于环境保护部门公布的重点排污单位 否</w:t>
      </w:r>
    </w:p>
    <w:p>
      <w:pPr>
        <w:pStyle w:val="BodyText"/>
        <w:spacing w:line="240" w:lineRule="auto" w:before="28"/>
        <w:ind w:right="92"/>
        <w:jc w:val="left"/>
      </w:pPr>
      <w:r>
        <w:rPr/>
        <w:t>上市公司及其子公司不属于环境保护部门公布的重点排污单位</w:t>
      </w:r>
    </w:p>
    <w:p>
      <w:pPr>
        <w:spacing w:line="240" w:lineRule="auto" w:before="2"/>
        <w:rPr>
          <w:rFonts w:ascii="宋体" w:hAnsi="宋体" w:cs="宋体" w:eastAsia="宋体" w:hint="default"/>
          <w:sz w:val="25"/>
          <w:szCs w:val="25"/>
        </w:rPr>
      </w:pPr>
    </w:p>
    <w:p>
      <w:pPr>
        <w:pStyle w:val="Heading3"/>
        <w:spacing w:line="240" w:lineRule="auto"/>
        <w:ind w:right="92"/>
        <w:jc w:val="left"/>
        <w:rPr>
          <w:b w:val="0"/>
          <w:bCs w:val="0"/>
        </w:rPr>
      </w:pPr>
      <w:bookmarkStart w:name="十八、其他重大事项的说明" w:id="99"/>
      <w:bookmarkEnd w:id="99"/>
      <w:r>
        <w:rPr>
          <w:b w:val="0"/>
          <w:bCs w:val="0"/>
        </w:rPr>
      </w:r>
      <w:r>
        <w:rPr/>
        <w:t>十八、其他重大事项的说明</w:t>
      </w:r>
      <w:r>
        <w:rPr>
          <w:b w:val="0"/>
          <w:bCs w:val="0"/>
        </w:rPr>
      </w:r>
    </w:p>
    <w:p>
      <w:pPr>
        <w:pStyle w:val="BodyText"/>
        <w:spacing w:line="550" w:lineRule="atLeast" w:before="46"/>
        <w:ind w:left="514" w:right="18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公司因筹划重大资产重组事项，经向深交所申请，公司股票（股票简称：宣亚国际，股票代码：</w:t>
      </w:r>
      <w:r>
        <w:rPr>
          <w:rFonts w:ascii="Times New Roman" w:hAnsi="Times New Roman" w:cs="Times New Roman" w:eastAsia="Times New Roman" w:hint="default"/>
        </w:rPr>
        <w:t>300612</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p>
    <w:p>
      <w:pPr>
        <w:pStyle w:val="BodyText"/>
        <w:spacing w:line="300" w:lineRule="auto" w:before="63"/>
        <w:ind w:right="101"/>
        <w:jc w:val="left"/>
      </w:pPr>
      <w:r>
        <w:rPr>
          <w:rFonts w:ascii="Times New Roman" w:hAnsi="Times New Roman" w:cs="Times New Roman" w:eastAsia="Times New Roman" w:hint="default"/>
        </w:rPr>
        <w:t>11</w:t>
      </w:r>
      <w:r>
        <w:rPr/>
        <w:t>日上午开市起停牌，并发布了《关于重大资产重组停牌的公告》（公告编号：</w:t>
      </w:r>
      <w:r>
        <w:rPr>
          <w:rFonts w:ascii="Times New Roman" w:hAnsi="Times New Roman" w:cs="Times New Roman" w:eastAsia="Times New Roman" w:hint="default"/>
        </w:rPr>
        <w:t>2017-018</w:t>
      </w:r>
      <w:r>
        <w:rPr/>
        <w:t>）。停牌期间，公司分别于</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日发布了《关于重大资产重组停牌的进展公告》（公告编号：</w:t>
      </w:r>
      <w:r>
        <w:rPr>
          <w:rFonts w:ascii="Times New Roman" w:hAnsi="Times New Roman" w:cs="Times New Roman" w:eastAsia="Times New Roman" w:hint="default"/>
          <w:spacing w:val="-2"/>
        </w:rPr>
        <w:t>2017-020</w:t>
      </w:r>
      <w:r>
        <w:rPr>
          <w:spacing w:val="-2"/>
        </w:rPr>
        <w:t>、</w:t>
      </w:r>
      <w:r>
        <w:rPr>
          <w:rFonts w:ascii="Times New Roman" w:hAnsi="Times New Roman" w:cs="Times New Roman" w:eastAsia="Times New Roman" w:hint="default"/>
          <w:spacing w:val="-2"/>
        </w:rPr>
        <w:t>2017-034</w:t>
      </w:r>
      <w:r>
        <w:rPr>
          <w:spacing w:val="-2"/>
        </w:rPr>
        <w:t>、</w:t>
      </w:r>
      <w:r>
        <w:rPr>
          <w:rFonts w:ascii="Times New Roman" w:hAnsi="Times New Roman" w:cs="Times New Roman" w:eastAsia="Times New Roman" w:hint="default"/>
          <w:spacing w:val="-2"/>
        </w:rPr>
        <w:t>2017-036</w:t>
      </w:r>
      <w:r>
        <w:rPr>
          <w:spacing w:val="-2"/>
        </w:rPr>
        <w:t>）。</w:t>
      </w:r>
      <w:r>
        <w:rPr>
          <w:spacing w:val="-44"/>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日发布了《关于重大资产重组延期复牌暨停牌进展的公告》（公告编号：</w:t>
      </w:r>
      <w:r>
        <w:rPr>
          <w:rFonts w:ascii="Times New Roman" w:hAnsi="Times New Roman" w:cs="Times New Roman" w:eastAsia="Times New Roman" w:hint="default"/>
        </w:rPr>
        <w:t>2017-040</w:t>
      </w:r>
      <w:r>
        <w:rPr/>
        <w:t>），公司股票自</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日开市起继续停牌，并分别于</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日发布了《关于重大资产重组停牌的进展公告》（公告编号：</w:t>
      </w:r>
    </w:p>
    <w:p>
      <w:pPr>
        <w:spacing w:after="0" w:line="30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100"/>
        <w:jc w:val="left"/>
      </w:pPr>
      <w:r>
        <w:rPr>
          <w:rFonts w:ascii="Times New Roman" w:hAnsi="Times New Roman" w:cs="Times New Roman" w:eastAsia="Times New Roman" w:hint="default"/>
        </w:rPr>
        <w:t>2017-046</w:t>
      </w:r>
      <w:r>
        <w:rPr/>
        <w:t>、</w:t>
      </w:r>
      <w:r>
        <w:rPr>
          <w:rFonts w:ascii="Times New Roman" w:hAnsi="Times New Roman" w:cs="Times New Roman" w:eastAsia="Times New Roman" w:hint="default"/>
        </w:rPr>
        <w:t>2017-048</w:t>
      </w:r>
      <w:r>
        <w:rPr/>
        <w:t>、</w:t>
      </w:r>
      <w:r>
        <w:rPr>
          <w:rFonts w:ascii="Times New Roman" w:hAnsi="Times New Roman" w:cs="Times New Roman" w:eastAsia="Times New Roman" w:hint="default"/>
        </w:rPr>
        <w:t>2017-052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日发布了《关于重大资产重组延期复牌暨停牌进展的公告》（公告编</w:t>
      </w:r>
      <w:r>
        <w:rPr>
          <w:spacing w:val="-85"/>
        </w:rPr>
        <w:t> </w:t>
      </w:r>
      <w:r>
        <w:rPr>
          <w:spacing w:val="-85"/>
        </w:rPr>
      </w:r>
      <w:r>
        <w:rPr/>
        <w:t>号：</w:t>
      </w:r>
      <w:r>
        <w:rPr>
          <w:rFonts w:ascii="Times New Roman" w:hAnsi="Times New Roman" w:cs="Times New Roman" w:eastAsia="Times New Roman" w:hint="default"/>
        </w:rPr>
        <w:t>2017-055</w:t>
      </w:r>
      <w:r>
        <w:rPr/>
        <w:t>），公司股票自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日开市起继续停牌，并分别于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日发布了《关于 </w:t>
      </w:r>
      <w:r>
        <w:rPr>
          <w:spacing w:val="-2"/>
        </w:rPr>
        <w:t>重大资产重组停牌的进展公告》（公告编号：</w:t>
      </w:r>
      <w:r>
        <w:rPr>
          <w:rFonts w:ascii="Times New Roman" w:hAnsi="Times New Roman" w:cs="Times New Roman" w:eastAsia="Times New Roman" w:hint="default"/>
          <w:spacing w:val="-2"/>
        </w:rPr>
        <w:t>2017-058</w:t>
      </w:r>
      <w:r>
        <w:rPr>
          <w:spacing w:val="-2"/>
        </w:rPr>
        <w:t>、</w:t>
      </w:r>
      <w:r>
        <w:rPr>
          <w:rFonts w:ascii="Times New Roman" w:hAnsi="Times New Roman" w:cs="Times New Roman" w:eastAsia="Times New Roman" w:hint="default"/>
          <w:spacing w:val="-2"/>
        </w:rPr>
        <w:t>2017-064</w:t>
      </w:r>
      <w:r>
        <w:rPr>
          <w:spacing w:val="-2"/>
        </w:rPr>
        <w:t>、</w:t>
      </w:r>
      <w:r>
        <w:rPr>
          <w:rFonts w:ascii="Times New Roman" w:hAnsi="Times New Roman" w:cs="Times New Roman" w:eastAsia="Times New Roman" w:hint="default"/>
          <w:spacing w:val="-2"/>
        </w:rPr>
        <w:t>2017-066</w:t>
      </w:r>
      <w:r>
        <w:rPr>
          <w:spacing w:val="-2"/>
        </w:rPr>
        <w:t>、</w:t>
      </w:r>
      <w:r>
        <w:rPr>
          <w:rFonts w:ascii="Times New Roman" w:hAnsi="Times New Roman" w:cs="Times New Roman" w:eastAsia="Times New Roman" w:hint="default"/>
          <w:spacing w:val="-2"/>
        </w:rPr>
        <w:t>2017-068</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日发布了《关</w:t>
      </w:r>
      <w:r>
        <w:rPr>
          <w:spacing w:val="-86"/>
        </w:rPr>
        <w:t> </w:t>
      </w:r>
      <w:r>
        <w:rPr>
          <w:spacing w:val="-86"/>
        </w:rPr>
      </w:r>
      <w:r>
        <w:rPr/>
        <w:t>于重大资产重组延期复牌的公告》（公告编号：</w:t>
      </w:r>
      <w:r>
        <w:rPr>
          <w:rFonts w:ascii="Times New Roman" w:hAnsi="Times New Roman" w:cs="Times New Roman" w:eastAsia="Times New Roman" w:hint="default"/>
        </w:rPr>
        <w:t>2017-070</w:t>
      </w:r>
      <w:r>
        <w:rPr/>
        <w:t>），公司股票自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日开市起继续停牌，并分别于</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rFonts w:ascii="Times New Roman" w:hAnsi="Times New Roman" w:cs="Times New Roman" w:eastAsia="Times New Roman" w:hint="default"/>
          <w:spacing w:val="23"/>
        </w:rPr>
        <w:t> </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日发布了《关于重大资产重组停牌的进展公告》（公告编号：</w:t>
      </w:r>
      <w:r>
        <w:rPr>
          <w:rFonts w:ascii="Times New Roman" w:hAnsi="Times New Roman" w:cs="Times New Roman" w:eastAsia="Times New Roman" w:hint="default"/>
          <w:spacing w:val="-2"/>
        </w:rPr>
        <w:t>2017-072</w:t>
      </w:r>
      <w:r>
        <w:rPr>
          <w:spacing w:val="-2"/>
        </w:rPr>
        <w:t>、</w:t>
      </w:r>
      <w:r>
        <w:rPr>
          <w:rFonts w:ascii="Times New Roman" w:hAnsi="Times New Roman" w:cs="Times New Roman" w:eastAsia="Times New Roman" w:hint="default"/>
          <w:spacing w:val="-2"/>
        </w:rPr>
        <w:t>2017-073</w:t>
      </w:r>
      <w:r>
        <w:rPr>
          <w:spacing w:val="-2"/>
        </w:rPr>
        <w:t>、</w:t>
      </w:r>
      <w:r>
        <w:rPr>
          <w:rFonts w:ascii="Times New Roman" w:hAnsi="Times New Roman" w:cs="Times New Roman" w:eastAsia="Times New Roman" w:hint="default"/>
          <w:spacing w:val="-2"/>
        </w:rPr>
        <w:t>2017-074</w:t>
      </w:r>
      <w:r>
        <w:rPr>
          <w:spacing w:val="-2"/>
        </w:rPr>
        <w:t>、</w:t>
      </w:r>
      <w:r>
        <w:rPr>
          <w:spacing w:val="-34"/>
        </w:rPr>
        <w:t> </w:t>
      </w:r>
      <w:r>
        <w:rPr>
          <w:rFonts w:ascii="Times New Roman" w:hAnsi="Times New Roman" w:cs="Times New Roman" w:eastAsia="Times New Roman" w:hint="default"/>
        </w:rPr>
        <w:t>2017-075</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日发布了《关于重大资产重组继续停牌暨停牌进展的公告》（公告编号：</w:t>
      </w:r>
      <w:r>
        <w:rPr>
          <w:rFonts w:ascii="Times New Roman" w:hAnsi="Times New Roman" w:cs="Times New Roman" w:eastAsia="Times New Roman" w:hint="default"/>
        </w:rPr>
        <w:t>2017-076</w:t>
      </w:r>
      <w:r>
        <w:rPr/>
        <w:t>），公</w:t>
      </w:r>
      <w:r>
        <w:rPr>
          <w:spacing w:val="-31"/>
        </w:rPr>
        <w:t> </w:t>
      </w:r>
      <w:r>
        <w:rPr>
          <w:spacing w:val="-31"/>
        </w:rPr>
      </w:r>
      <w:r>
        <w:rPr/>
        <w:t>司股票自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日开市起继续停牌，并分别于</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 </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日发布了《关于重</w:t>
      </w:r>
      <w:r>
        <w:rPr>
          <w:spacing w:val="-35"/>
        </w:rPr>
        <w:t> </w:t>
      </w:r>
      <w:r>
        <w:rPr>
          <w:spacing w:val="-35"/>
        </w:rPr>
      </w:r>
      <w:r>
        <w:rPr>
          <w:spacing w:val="-8"/>
        </w:rPr>
        <w:t>大资产重组停牌的进展公告》（公告编号：</w:t>
      </w:r>
      <w:r>
        <w:rPr>
          <w:rFonts w:ascii="Times New Roman" w:hAnsi="Times New Roman" w:cs="Times New Roman" w:eastAsia="Times New Roman" w:hint="default"/>
          <w:spacing w:val="-8"/>
        </w:rPr>
        <w:t>2017-084</w:t>
      </w:r>
      <w:r>
        <w:rPr>
          <w:spacing w:val="-8"/>
        </w:rPr>
        <w:t>、</w:t>
      </w:r>
      <w:r>
        <w:rPr>
          <w:rFonts w:ascii="Times New Roman" w:hAnsi="Times New Roman" w:cs="Times New Roman" w:eastAsia="Times New Roman" w:hint="default"/>
          <w:spacing w:val="-8"/>
        </w:rPr>
        <w:t>2017-086</w:t>
      </w:r>
      <w:r>
        <w:rPr>
          <w:spacing w:val="-8"/>
        </w:rPr>
        <w:t>、</w:t>
      </w:r>
      <w:r>
        <w:rPr>
          <w:rFonts w:ascii="Times New Roman" w:hAnsi="Times New Roman" w:cs="Times New Roman" w:eastAsia="Times New Roman" w:hint="default"/>
          <w:spacing w:val="-8"/>
        </w:rPr>
        <w:t>2017-087</w:t>
      </w:r>
      <w:r>
        <w:rPr>
          <w:spacing w:val="-8"/>
        </w:rPr>
        <w:t>、</w:t>
      </w:r>
      <w:r>
        <w:rPr>
          <w:rFonts w:ascii="Times New Roman" w:hAnsi="Times New Roman" w:cs="Times New Roman" w:eastAsia="Times New Roman" w:hint="default"/>
          <w:spacing w:val="-8"/>
        </w:rPr>
        <w:t>2017-093</w:t>
      </w:r>
      <w:r>
        <w:rPr>
          <w:spacing w:val="-8"/>
        </w:rPr>
        <w:t>、</w:t>
      </w:r>
      <w:r>
        <w:rPr>
          <w:rFonts w:ascii="Times New Roman" w:hAnsi="Times New Roman" w:cs="Times New Roman" w:eastAsia="Times New Roman" w:hint="default"/>
          <w:spacing w:val="-8"/>
        </w:rPr>
        <w:t>2017-094</w:t>
      </w:r>
      <w:r>
        <w:rPr>
          <w:spacing w:val="-8"/>
        </w:rPr>
        <w:t>、</w:t>
      </w:r>
      <w:r>
        <w:rPr>
          <w:rFonts w:ascii="Times New Roman" w:hAnsi="Times New Roman" w:cs="Times New Roman" w:eastAsia="Times New Roman" w:hint="default"/>
          <w:spacing w:val="-8"/>
        </w:rPr>
        <w:t>2017-095</w:t>
      </w:r>
      <w:r>
        <w:rPr>
          <w:spacing w:val="-8"/>
        </w:rPr>
        <w:t>、</w:t>
      </w:r>
      <w:r>
        <w:rPr>
          <w:rFonts w:ascii="Times New Roman" w:hAnsi="Times New Roman" w:cs="Times New Roman" w:eastAsia="Times New Roman" w:hint="default"/>
          <w:spacing w:val="-8"/>
        </w:rPr>
        <w:t>2017-096</w:t>
      </w:r>
      <w:r>
        <w:rPr>
          <w:spacing w:val="-8"/>
        </w:rPr>
        <w:t>、</w:t>
      </w:r>
      <w:r>
        <w:rPr>
          <w:rFonts w:ascii="Times New Roman" w:hAnsi="Times New Roman" w:cs="Times New Roman" w:eastAsia="Times New Roman" w:hint="default"/>
          <w:spacing w:val="-8"/>
        </w:rPr>
        <w:t>2017-098</w:t>
      </w:r>
      <w:r>
        <w:rPr>
          <w:spacing w:val="-8"/>
        </w:rPr>
        <w:t>、</w:t>
      </w:r>
      <w:r>
        <w:rPr>
          <w:spacing w:val="-18"/>
        </w:rPr>
        <w:t> </w:t>
      </w:r>
      <w:r>
        <w:rPr>
          <w:rFonts w:ascii="Times New Roman" w:hAnsi="Times New Roman" w:cs="Times New Roman" w:eastAsia="Times New Roman" w:hint="default"/>
        </w:rPr>
        <w:t>2017-099</w:t>
      </w:r>
      <w:r>
        <w:rPr/>
        <w:t>、</w:t>
      </w:r>
      <w:r>
        <w:rPr>
          <w:rFonts w:ascii="Times New Roman" w:hAnsi="Times New Roman" w:cs="Times New Roman" w:eastAsia="Times New Roman" w:hint="default"/>
        </w:rPr>
        <w:t>2017-101</w:t>
      </w:r>
      <w:r>
        <w:rPr/>
        <w:t>、</w:t>
      </w:r>
      <w:r>
        <w:rPr>
          <w:rFonts w:ascii="Times New Roman" w:hAnsi="Times New Roman" w:cs="Times New Roman" w:eastAsia="Times New Roman" w:hint="default"/>
        </w:rPr>
        <w:t>2017-102</w:t>
      </w:r>
      <w:r>
        <w:rPr/>
        <w:t>、</w:t>
      </w:r>
      <w:r>
        <w:rPr>
          <w:rFonts w:ascii="Times New Roman" w:hAnsi="Times New Roman" w:cs="Times New Roman" w:eastAsia="Times New Roman" w:hint="default"/>
        </w:rPr>
        <w:t>2017-103</w:t>
      </w:r>
      <w:r>
        <w:rPr/>
        <w:t>、</w:t>
      </w:r>
      <w:r>
        <w:rPr>
          <w:rFonts w:ascii="Times New Roman" w:hAnsi="Times New Roman" w:cs="Times New Roman" w:eastAsia="Times New Roman" w:hint="default"/>
        </w:rPr>
        <w:t>2017-104</w:t>
      </w:r>
      <w:r>
        <w:rPr/>
        <w:t>、</w:t>
      </w:r>
      <w:r>
        <w:rPr>
          <w:rFonts w:ascii="Times New Roman" w:hAnsi="Times New Roman" w:cs="Times New Roman" w:eastAsia="Times New Roman" w:hint="default"/>
        </w:rPr>
        <w:t>2017-105</w:t>
      </w:r>
      <w:r>
        <w:rPr/>
        <w:t>、</w:t>
      </w:r>
      <w:r>
        <w:rPr>
          <w:rFonts w:ascii="Times New Roman" w:hAnsi="Times New Roman" w:cs="Times New Roman" w:eastAsia="Times New Roman" w:hint="default"/>
        </w:rPr>
        <w:t>2017-106</w:t>
      </w:r>
      <w:r>
        <w:rPr/>
        <w:t>、</w:t>
      </w:r>
      <w:r>
        <w:rPr>
          <w:rFonts w:ascii="Times New Roman" w:hAnsi="Times New Roman" w:cs="Times New Roman" w:eastAsia="Times New Roman" w:hint="default"/>
        </w:rPr>
        <w:t>2017-107</w:t>
      </w:r>
      <w:r>
        <w:rPr/>
        <w:t>、</w:t>
      </w:r>
      <w:r>
        <w:rPr>
          <w:rFonts w:ascii="Times New Roman" w:hAnsi="Times New Roman" w:cs="Times New Roman" w:eastAsia="Times New Roman" w:hint="default"/>
        </w:rPr>
        <w:t>2017-108</w:t>
      </w:r>
      <w:r>
        <w:rPr/>
        <w:t>）。具体内容详见巨潮资</w:t>
      </w:r>
    </w:p>
    <w:p>
      <w:pPr>
        <w:pStyle w:val="BodyText"/>
        <w:spacing w:line="240" w:lineRule="auto" w:before="13"/>
        <w:ind w:right="92"/>
        <w:jc w:val="left"/>
      </w:pPr>
      <w:r>
        <w:rPr/>
        <w:t>讯网。</w:t>
      </w:r>
    </w:p>
    <w:p>
      <w:pPr>
        <w:spacing w:line="240" w:lineRule="auto" w:before="2"/>
        <w:rPr>
          <w:rFonts w:ascii="宋体" w:hAnsi="宋体" w:cs="宋体" w:eastAsia="宋体" w:hint="default"/>
          <w:sz w:val="24"/>
          <w:szCs w:val="24"/>
        </w:rPr>
      </w:pPr>
    </w:p>
    <w:p>
      <w:pPr>
        <w:pStyle w:val="BodyText"/>
        <w:spacing w:line="300" w:lineRule="auto"/>
        <w:ind w:right="18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日，公司第二届董事会第十七次会议审议通过了《关于重大资产重组延期复牌的议案》，同意公司向深交 </w:t>
      </w:r>
      <w:r>
        <w:rPr>
          <w:spacing w:val="-2"/>
        </w:rPr>
        <w:t>所申请公司股票自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日起继续停牌，继续停牌时间不超过</w:t>
      </w:r>
      <w:r>
        <w:rPr>
          <w:rFonts w:ascii="Times New Roman" w:hAnsi="Times New Roman" w:cs="Times New Roman" w:eastAsia="Times New Roman" w:hint="default"/>
          <w:spacing w:val="-2"/>
        </w:rPr>
        <w:t>3</w:t>
      </w:r>
      <w:r>
        <w:rPr>
          <w:spacing w:val="-2"/>
        </w:rPr>
        <w:t>个月，并提请召开</w:t>
      </w:r>
      <w:r>
        <w:rPr>
          <w:rFonts w:ascii="Times New Roman" w:hAnsi="Times New Roman" w:cs="Times New Roman" w:eastAsia="Times New Roman" w:hint="default"/>
          <w:spacing w:val="-2"/>
        </w:rPr>
        <w:t>2017</w:t>
      </w:r>
      <w:r>
        <w:rPr>
          <w:spacing w:val="-2"/>
        </w:rPr>
        <w:t>年第三次临时股东大会审议该议</w:t>
      </w:r>
      <w:r>
        <w:rPr>
          <w:spacing w:val="-52"/>
        </w:rPr>
        <w:t> </w:t>
      </w:r>
      <w:r>
        <w:rPr>
          <w:spacing w:val="-2"/>
        </w:rPr>
        <w:t>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日公司召开了</w:t>
      </w:r>
      <w:r>
        <w:rPr>
          <w:rFonts w:ascii="Times New Roman" w:hAnsi="Times New Roman" w:cs="Times New Roman" w:eastAsia="Times New Roman" w:hint="default"/>
          <w:spacing w:val="-2"/>
        </w:rPr>
        <w:t>2017</w:t>
      </w:r>
      <w:r>
        <w:rPr>
          <w:spacing w:val="-2"/>
        </w:rPr>
        <w:t>年第三次临时股东大会，审议通过了《关于重大资产重组延期复牌的议案》，并向深交所</w:t>
      </w:r>
      <w:r>
        <w:rPr>
          <w:spacing w:val="-55"/>
        </w:rPr>
        <w:t> </w:t>
      </w:r>
      <w:r>
        <w:rPr>
          <w:spacing w:val="-55"/>
        </w:rPr>
      </w:r>
      <w:r>
        <w:rPr/>
        <w:t>申请通过，公司股票自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日开市起继续停牌不超过</w:t>
      </w:r>
      <w:r>
        <w:rPr>
          <w:rFonts w:ascii="Times New Roman" w:hAnsi="Times New Roman" w:cs="Times New Roman" w:eastAsia="Times New Roman" w:hint="default"/>
        </w:rPr>
        <w:t>3</w:t>
      </w:r>
      <w:r>
        <w:rPr/>
        <w:t>个月，停牌时间自停牌首日起累计不超过</w:t>
      </w:r>
      <w:r>
        <w:rPr>
          <w:rFonts w:ascii="Times New Roman" w:hAnsi="Times New Roman" w:cs="Times New Roman" w:eastAsia="Times New Roman" w:hint="default"/>
        </w:rPr>
        <w:t>6</w:t>
      </w:r>
      <w:r>
        <w:rPr/>
        <w:t>个月。具体内容详</w:t>
      </w:r>
      <w:r>
        <w:rPr>
          <w:spacing w:val="-83"/>
        </w:rPr>
        <w:t> </w:t>
      </w:r>
      <w:r>
        <w:rPr>
          <w:spacing w:val="-83"/>
        </w:rPr>
      </w:r>
      <w:r>
        <w:rPr/>
        <w:t>见巨潮资讯网。</w:t>
      </w:r>
    </w:p>
    <w:p>
      <w:pPr>
        <w:spacing w:line="240" w:lineRule="auto" w:before="3"/>
        <w:rPr>
          <w:rFonts w:ascii="宋体" w:hAnsi="宋体" w:cs="宋体" w:eastAsia="宋体" w:hint="default"/>
          <w:sz w:val="26"/>
          <w:szCs w:val="26"/>
        </w:rPr>
      </w:pPr>
    </w:p>
    <w:p>
      <w:pPr>
        <w:pStyle w:val="BodyText"/>
        <w:spacing w:line="300" w:lineRule="auto"/>
        <w:ind w:right="19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日，公司第二届董事会第十九次会议审议通过了《关于本次重大资产重组方案的议案》等与本次重组相关的</w:t>
      </w:r>
      <w:r>
        <w:rPr/>
        <w:t> </w:t>
      </w:r>
      <w:r>
        <w:rPr>
          <w:spacing w:val="-2"/>
        </w:rPr>
        <w:t>议案，并于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日披露了《宣亚国际品牌管理（北京）股份有限公司重大资产购买暨关联交易报告书（草案）》及其</w:t>
      </w:r>
      <w:r>
        <w:rPr>
          <w:spacing w:val="-66"/>
        </w:rPr>
        <w:t> </w:t>
      </w:r>
      <w:r>
        <w:rPr>
          <w:spacing w:val="-66"/>
        </w:rPr>
      </w:r>
      <w:r>
        <w:rPr/>
        <w:t>他相关公告。具体内容详见巨潮资讯网。</w:t>
      </w:r>
    </w:p>
    <w:p>
      <w:pPr>
        <w:spacing w:line="240" w:lineRule="auto" w:before="4"/>
        <w:rPr>
          <w:rFonts w:ascii="宋体" w:hAnsi="宋体" w:cs="宋体" w:eastAsia="宋体" w:hint="default"/>
          <w:sz w:val="26"/>
          <w:szCs w:val="26"/>
        </w:rPr>
      </w:pPr>
    </w:p>
    <w:p>
      <w:pPr>
        <w:pStyle w:val="BodyText"/>
        <w:spacing w:line="300" w:lineRule="auto"/>
        <w:ind w:right="190" w:firstLine="360"/>
        <w:jc w:val="both"/>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日收到深交所</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日下发的《关于对宣亚国际品牌管理（北京）股份有限公司的重组问询函》（创业</w:t>
      </w:r>
      <w:r>
        <w:rPr/>
        <w:t> </w:t>
      </w:r>
      <w:r>
        <w:rPr>
          <w:spacing w:val="-2"/>
        </w:rPr>
        <w:t>板非许可类重组问询函【</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16</w:t>
      </w:r>
      <w:r>
        <w:rPr>
          <w:spacing w:val="-2"/>
        </w:rPr>
        <w:t>号）（以下简称</w:t>
      </w:r>
      <w:r>
        <w:rPr>
          <w:rFonts w:ascii="Times New Roman" w:hAnsi="Times New Roman" w:cs="Times New Roman" w:eastAsia="Times New Roman" w:hint="default"/>
          <w:spacing w:val="-2"/>
        </w:rPr>
        <w:t>“</w:t>
      </w:r>
      <w:r>
        <w:rPr>
          <w:spacing w:val="-2"/>
        </w:rPr>
        <w:t>问询函</w:t>
      </w:r>
      <w:r>
        <w:rPr>
          <w:rFonts w:ascii="Times New Roman" w:hAnsi="Times New Roman" w:cs="Times New Roman" w:eastAsia="Times New Roman" w:hint="default"/>
          <w:spacing w:val="-2"/>
        </w:rPr>
        <w:t>”</w:t>
      </w:r>
      <w:r>
        <w:rPr>
          <w:spacing w:val="-2"/>
        </w:rPr>
        <w:t>）。公司积极协调交易相关各方，调整交易方案，组织中介机</w:t>
      </w:r>
      <w:r>
        <w:rPr>
          <w:spacing w:val="-43"/>
        </w:rPr>
        <w:t> </w:t>
      </w:r>
      <w:r>
        <w:rPr>
          <w:spacing w:val="-43"/>
        </w:rPr>
      </w:r>
      <w:r>
        <w:rPr/>
        <w:t>构对问询函中涉及的问题进行逐项落实并于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日提交书面回复。具体内容详见巨潮资讯网。</w:t>
      </w:r>
    </w:p>
    <w:p>
      <w:pPr>
        <w:pStyle w:val="BodyText"/>
        <w:spacing w:line="302" w:lineRule="auto" w:before="133"/>
        <w:ind w:right="19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日，公司与奉佑生、廖洁鸣、侯广凌、宁波梅山保税港区映客常青投资管理合伙企业（有限合伙）（以下</w:t>
      </w:r>
      <w:r>
        <w:rPr/>
        <w:t> </w:t>
      </w:r>
      <w:r>
        <w:rPr>
          <w:spacing w:val="-1"/>
        </w:rPr>
        <w:t>简称</w:t>
      </w:r>
      <w:r>
        <w:rPr>
          <w:rFonts w:ascii="Times New Roman" w:hAnsi="Times New Roman" w:cs="Times New Roman" w:eastAsia="Times New Roman" w:hint="default"/>
          <w:spacing w:val="-1"/>
        </w:rPr>
        <w:t>“</w:t>
      </w:r>
      <w:r>
        <w:rPr>
          <w:spacing w:val="-1"/>
        </w:rPr>
        <w:t>映客常青</w:t>
      </w:r>
      <w:r>
        <w:rPr>
          <w:rFonts w:ascii="Times New Roman" w:hAnsi="Times New Roman" w:cs="Times New Roman" w:eastAsia="Times New Roman" w:hint="default"/>
          <w:spacing w:val="-1"/>
        </w:rPr>
        <w:t>”</w:t>
      </w:r>
      <w:r>
        <w:rPr>
          <w:spacing w:val="-1"/>
        </w:rPr>
        <w:t>）、宁波梅山保税港区映客远达投资管理合伙企业（有限合伙）（以下简称</w:t>
      </w:r>
      <w:r>
        <w:rPr>
          <w:rFonts w:ascii="Times New Roman" w:hAnsi="Times New Roman" w:cs="Times New Roman" w:eastAsia="Times New Roman" w:hint="default"/>
          <w:spacing w:val="-1"/>
        </w:rPr>
        <w:t>“</w:t>
      </w:r>
      <w:r>
        <w:rPr>
          <w:spacing w:val="-1"/>
        </w:rPr>
        <w:t>映客远达</w:t>
      </w:r>
      <w:r>
        <w:rPr>
          <w:rFonts w:ascii="Times New Roman" w:hAnsi="Times New Roman" w:cs="Times New Roman" w:eastAsia="Times New Roman" w:hint="default"/>
          <w:spacing w:val="-1"/>
        </w:rPr>
        <w:t>”</w:t>
      </w:r>
      <w:r>
        <w:rPr>
          <w:spacing w:val="-1"/>
        </w:rPr>
        <w:t>）和宁波梅山保税港</w:t>
      </w:r>
      <w:r>
        <w:rPr>
          <w:spacing w:val="-81"/>
        </w:rPr>
        <w:t> </w:t>
      </w:r>
      <w:r>
        <w:rPr>
          <w:spacing w:val="-81"/>
        </w:rPr>
      </w:r>
      <w:r>
        <w:rPr/>
        <w:t>区映客欢众投资管理合伙企业（有限合伙）（以下简称</w:t>
      </w:r>
      <w:r>
        <w:rPr>
          <w:rFonts w:ascii="Times New Roman" w:hAnsi="Times New Roman" w:cs="Times New Roman" w:eastAsia="Times New Roman" w:hint="default"/>
        </w:rPr>
        <w:t>“</w:t>
      </w:r>
      <w:r>
        <w:rPr/>
        <w:t>映客欢众</w:t>
      </w:r>
      <w:r>
        <w:rPr>
          <w:rFonts w:ascii="Times New Roman" w:hAnsi="Times New Roman" w:cs="Times New Roman" w:eastAsia="Times New Roman" w:hint="default"/>
        </w:rPr>
        <w:t>”</w:t>
      </w:r>
      <w:r>
        <w:rPr/>
        <w:t>）签署《关于</w:t>
      </w:r>
      <w:r>
        <w:rPr>
          <w:rFonts w:ascii="Times New Roman" w:hAnsi="Times New Roman" w:cs="Times New Roman" w:eastAsia="Times New Roman" w:hint="default"/>
        </w:rPr>
        <w:t>&lt;</w:t>
      </w:r>
      <w:r>
        <w:rPr/>
        <w:t>宣亚国际品牌管理（北京）股份有限公司</w:t>
      </w:r>
      <w:r>
        <w:rPr>
          <w:spacing w:val="-76"/>
        </w:rPr>
        <w:t> </w:t>
      </w:r>
      <w:r>
        <w:rPr>
          <w:spacing w:val="-76"/>
        </w:rPr>
      </w:r>
      <w:r>
        <w:rPr/>
        <w:t>现金购买资产协议</w:t>
      </w:r>
      <w:r>
        <w:rPr>
          <w:rFonts w:ascii="Times New Roman" w:hAnsi="Times New Roman" w:cs="Times New Roman" w:eastAsia="Times New Roman" w:hint="default"/>
        </w:rPr>
        <w:t>&gt;</w:t>
      </w:r>
      <w:r>
        <w:rPr/>
        <w:t>之补充协议》，将原《宣亚国际品牌管理（北京）股份有限公司现金购买资产协议》第</w:t>
      </w:r>
      <w:r>
        <w:rPr>
          <w:rFonts w:ascii="Times New Roman" w:hAnsi="Times New Roman" w:cs="Times New Roman" w:eastAsia="Times New Roman" w:hint="default"/>
        </w:rPr>
        <w:t>10.3.5</w:t>
      </w:r>
      <w:r>
        <w:rPr/>
        <w:t>条的约定</w:t>
      </w:r>
      <w:r>
        <w:rPr>
          <w:spacing w:val="-12"/>
        </w:rPr>
        <w:t> </w:t>
      </w:r>
      <w:r>
        <w:rPr/>
        <w:t>调整为：</w:t>
      </w:r>
      <w:r>
        <w:rPr>
          <w:rFonts w:ascii="Times New Roman" w:hAnsi="Times New Roman" w:cs="Times New Roman" w:eastAsia="Times New Roman" w:hint="default"/>
        </w:rPr>
        <w:t>“</w:t>
      </w:r>
      <w:r>
        <w:rPr/>
        <w:t>除非经各交易方一致同意继续实施本次交易，若截至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日，甲方尚未发出召开审议本次交易相关议案</w:t>
      </w:r>
      <w:r>
        <w:rPr>
          <w:spacing w:val="-75"/>
        </w:rPr>
        <w:t> </w:t>
      </w:r>
      <w:r>
        <w:rPr>
          <w:spacing w:val="-75"/>
        </w:rPr>
      </w:r>
      <w:r>
        <w:rPr>
          <w:spacing w:val="-2"/>
        </w:rPr>
        <w:t>的股东大会的通知，本协议自动终止；在该种情况下本协议终止后，本协议项下义务不再履行，各方均不因协议终止对任何</w:t>
      </w:r>
      <w:r>
        <w:rPr>
          <w:spacing w:val="-66"/>
        </w:rPr>
        <w:t> </w:t>
      </w:r>
      <w:r>
        <w:rPr>
          <w:spacing w:val="-66"/>
        </w:rPr>
      </w:r>
      <w:r>
        <w:rPr/>
        <w:t>其他方承担任何形式的违约责任。</w:t>
      </w:r>
      <w:r>
        <w:rPr>
          <w:rFonts w:ascii="Times New Roman" w:hAnsi="Times New Roman" w:cs="Times New Roman" w:eastAsia="Times New Roman" w:hint="default"/>
        </w:rPr>
        <w:t>”</w:t>
      </w:r>
      <w:r>
        <w:rPr/>
        <w:t>上述调整尚需提交上市公司董事会审议通过。具体内容详见巨潮资讯网。</w:t>
      </w:r>
    </w:p>
    <w:p>
      <w:pPr>
        <w:pStyle w:val="BodyText"/>
        <w:spacing w:line="304" w:lineRule="auto" w:before="131"/>
        <w:ind w:right="19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日，公司与奉佑生、廖洁鸣、侯广凌、映客常青、映客远达、映客欢众签署《关于</w:t>
      </w:r>
      <w:r>
        <w:rPr>
          <w:rFonts w:ascii="Times New Roman" w:hAnsi="Times New Roman" w:cs="Times New Roman" w:eastAsia="Times New Roman" w:hint="default"/>
          <w:spacing w:val="-2"/>
        </w:rPr>
        <w:t>&lt;</w:t>
      </w:r>
      <w:r>
        <w:rPr>
          <w:spacing w:val="-2"/>
        </w:rPr>
        <w:t>宣亚国际品牌管理（北</w:t>
      </w:r>
      <w:r>
        <w:rPr/>
        <w:t> 京）股份有限公司现金购买资产协议</w:t>
      </w:r>
      <w:r>
        <w:rPr>
          <w:rFonts w:ascii="Times New Roman" w:hAnsi="Times New Roman" w:cs="Times New Roman" w:eastAsia="Times New Roman" w:hint="default"/>
        </w:rPr>
        <w:t>&gt;</w:t>
      </w:r>
      <w:r>
        <w:rPr/>
        <w:t>之补充协议（二）》，将原《宣亚国际品牌管理（北京）股份有限公司现金购买资产 </w:t>
      </w:r>
      <w:r>
        <w:rPr>
          <w:spacing w:val="-2"/>
        </w:rPr>
        <w:t>协议》第</w:t>
      </w:r>
      <w:r>
        <w:rPr>
          <w:rFonts w:ascii="Times New Roman" w:hAnsi="Times New Roman" w:cs="Times New Roman" w:eastAsia="Times New Roman" w:hint="default"/>
          <w:spacing w:val="-2"/>
        </w:rPr>
        <w:t>10.3.5</w:t>
      </w:r>
      <w:r>
        <w:rPr>
          <w:spacing w:val="-2"/>
        </w:rPr>
        <w:t>条的约定调整为：</w:t>
      </w:r>
      <w:r>
        <w:rPr>
          <w:rFonts w:ascii="Times New Roman" w:hAnsi="Times New Roman" w:cs="Times New Roman" w:eastAsia="Times New Roman" w:hint="default"/>
          <w:spacing w:val="-2"/>
        </w:rPr>
        <w:t>“</w:t>
      </w:r>
      <w:r>
        <w:rPr>
          <w:spacing w:val="-2"/>
        </w:rPr>
        <w:t>除非经各交易方一致同意继续实施本次交易，若截至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日，甲方尚未发出召开</w:t>
      </w:r>
      <w:r>
        <w:rPr>
          <w:spacing w:val="-39"/>
        </w:rPr>
        <w:t> </w:t>
      </w:r>
      <w:r>
        <w:rPr>
          <w:spacing w:val="-39"/>
        </w:rPr>
      </w:r>
      <w:r>
        <w:rPr>
          <w:spacing w:val="-2"/>
        </w:rPr>
        <w:t>审议本次交易相关议案的股东大会的通知，本协议自动终止；在该种情况下本协议终止后，本协议项下义务不再履行，各方</w:t>
      </w:r>
      <w:r>
        <w:rPr>
          <w:spacing w:val="-66"/>
        </w:rPr>
        <w:t> </w:t>
      </w:r>
      <w:r>
        <w:rPr>
          <w:spacing w:val="-66"/>
        </w:rPr>
      </w:r>
      <w:r>
        <w:rPr/>
        <w:t>均不因协议终止对任何其他方承担任何形式的违约责任。</w:t>
      </w:r>
      <w:r>
        <w:rPr>
          <w:rFonts w:ascii="Times New Roman" w:hAnsi="Times New Roman" w:cs="Times New Roman" w:eastAsia="Times New Roman" w:hint="default"/>
        </w:rPr>
        <w:t>”</w:t>
      </w:r>
      <w:r>
        <w:rPr/>
        <w:t>上述调整尚需提交上市公司董事会审议通过。具体内容详见巨潮</w:t>
      </w:r>
      <w:r>
        <w:rPr>
          <w:spacing w:val="-75"/>
        </w:rPr>
        <w:t> </w:t>
      </w:r>
      <w:r>
        <w:rPr>
          <w:spacing w:val="-75"/>
        </w:rPr>
      </w:r>
      <w:r>
        <w:rPr/>
        <w:t>资讯网。</w:t>
      </w:r>
    </w:p>
    <w:p>
      <w:pPr>
        <w:pStyle w:val="BodyText"/>
        <w:spacing w:line="300" w:lineRule="auto" w:before="148"/>
        <w:ind w:right="19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日，公司召开第二届董事会第二十一次会议，审议同意终止本次重大资产重组事项，独立董事发表了事前</w:t>
      </w:r>
      <w:r>
        <w:rPr/>
        <w:t> </w:t>
      </w:r>
      <w:r>
        <w:rPr>
          <w:spacing w:val="4"/>
        </w:rPr>
        <w:t>认可意见以及同意的独立意见，同意终止本次重大资产重组事项。具体内容详见公司</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16</w:t>
      </w:r>
      <w:r>
        <w:rPr>
          <w:spacing w:val="4"/>
        </w:rPr>
        <w:t>日刊登在巨潮资讯网</w:t>
      </w:r>
    </w:p>
    <w:p>
      <w:pPr>
        <w:pStyle w:val="BodyText"/>
        <w:spacing w:line="240" w:lineRule="auto" w:before="13"/>
        <w:ind w:right="92"/>
        <w:jc w:val="left"/>
      </w:pPr>
      <w:r>
        <w:rPr/>
        <w:t>（</w:t>
      </w:r>
      <w:hyperlink r:id="rId11">
        <w:r>
          <w:rPr>
            <w:rFonts w:ascii="Times New Roman" w:hAnsi="Times New Roman" w:cs="Times New Roman" w:eastAsia="Times New Roman" w:hint="default"/>
          </w:rPr>
          <w:t>www.cninfo.com.cn</w:t>
        </w:r>
      </w:hyperlink>
      <w:r>
        <w:rPr/>
        <w:t>）上的相关公告。</w:t>
      </w:r>
    </w:p>
    <w:p>
      <w:pPr>
        <w:spacing w:line="240" w:lineRule="auto" w:before="13"/>
        <w:rPr>
          <w:rFonts w:ascii="宋体" w:hAnsi="宋体" w:cs="宋体" w:eastAsia="宋体" w:hint="default"/>
          <w:sz w:val="13"/>
          <w:szCs w:val="13"/>
        </w:rPr>
      </w:pPr>
    </w:p>
    <w:p>
      <w:pPr>
        <w:pStyle w:val="BodyText"/>
        <w:spacing w:line="302" w:lineRule="auto"/>
        <w:ind w:right="102" w:firstLine="380"/>
        <w:jc w:val="both"/>
      </w:pPr>
      <w:r>
        <w:rPr>
          <w:spacing w:val="-1"/>
        </w:rPr>
        <w:t>根据《上市公司重大资产重组管理办法》、《创业板信息披露业务备忘录第</w:t>
      </w:r>
      <w:r>
        <w:rPr>
          <w:rFonts w:ascii="Times New Roman" w:hAnsi="Times New Roman" w:cs="Times New Roman" w:eastAsia="Times New Roman" w:hint="default"/>
          <w:spacing w:val="-1"/>
        </w:rPr>
        <w:t>22</w:t>
      </w:r>
      <w:r>
        <w:rPr>
          <w:spacing w:val="-1"/>
        </w:rPr>
        <w:t>号：上市公司停复牌业务》的相关规定，</w:t>
      </w:r>
      <w:r>
        <w:rPr/>
        <w:t> 经申请公司股票（证券简称：宣亚国际，证券代码：</w:t>
      </w:r>
      <w:r>
        <w:rPr>
          <w:rFonts w:ascii="Times New Roman" w:hAnsi="Times New Roman" w:cs="Times New Roman" w:eastAsia="Times New Roman" w:hint="default"/>
        </w:rPr>
        <w:t>300612</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日（星期一）开市起复牌。</w:t>
      </w:r>
    </w:p>
    <w:p>
      <w:pPr>
        <w:spacing w:after="0" w:line="302" w:lineRule="auto"/>
        <w:jc w:val="both"/>
        <w:sectPr>
          <w:footerReference w:type="default" r:id="rId18"/>
          <w:pgSz w:w="11910" w:h="16840"/>
          <w:pgMar w:footer="979" w:header="877" w:top="1100" w:bottom="1160" w:left="980" w:right="940"/>
          <w:pgNumType w:start="41"/>
        </w:sectPr>
      </w:pPr>
    </w:p>
    <w:p>
      <w:pPr>
        <w:spacing w:line="240" w:lineRule="auto" w:before="8"/>
        <w:rPr>
          <w:rFonts w:ascii="宋体" w:hAnsi="宋体" w:cs="宋体" w:eastAsia="宋体" w:hint="default"/>
          <w:sz w:val="19"/>
          <w:szCs w:val="19"/>
        </w:rPr>
      </w:pPr>
    </w:p>
    <w:p>
      <w:pPr>
        <w:pStyle w:val="Heading3"/>
        <w:spacing w:line="240" w:lineRule="auto" w:before="26"/>
        <w:ind w:right="0"/>
        <w:jc w:val="both"/>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1" w:right="185" w:hanging="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19</w:t>
      </w:r>
      <w:r>
        <w:rPr/>
        <w:t>日召开第二届董事会第十三次会议，审议通过了《关于全资子公司增资扩股暨放弃部分优先认缴</w:t>
      </w:r>
    </w:p>
    <w:p>
      <w:pPr>
        <w:pStyle w:val="BodyText"/>
        <w:spacing w:line="316" w:lineRule="auto" w:before="3"/>
        <w:ind w:right="190"/>
        <w:jc w:val="both"/>
      </w:pPr>
      <w:r>
        <w:rPr/>
        <w:t>出资权利的议案》，同意公司向北京宣亚国际品牌咨询有限公司增资人民币</w:t>
      </w:r>
      <w:r>
        <w:rPr>
          <w:rFonts w:ascii="宋体" w:hAnsi="宋体" w:cs="宋体" w:eastAsia="宋体" w:hint="default"/>
        </w:rPr>
        <w:t>110</w:t>
      </w:r>
      <w:r>
        <w:rPr/>
        <w:t>万元，品牌咨询引入个人投资者程乐松先生</w:t>
      </w:r>
      <w:r>
        <w:rPr>
          <w:spacing w:val="-82"/>
        </w:rPr>
        <w:t> </w:t>
      </w:r>
      <w:r>
        <w:rPr>
          <w:spacing w:val="-82"/>
        </w:rPr>
      </w:r>
      <w:r>
        <w:rPr/>
        <w:t>对品牌咨询增资人民币</w:t>
      </w:r>
      <w:r>
        <w:rPr>
          <w:rFonts w:ascii="宋体" w:hAnsi="宋体" w:cs="宋体" w:eastAsia="宋体" w:hint="default"/>
        </w:rPr>
        <w:t>490</w:t>
      </w:r>
      <w:r>
        <w:rPr/>
        <w:t>万元，同时，同意公司放弃本次向品牌咨询部分优先认缴出资的权利，并授权董事长就本次品牌</w:t>
      </w:r>
      <w:r>
        <w:rPr>
          <w:spacing w:val="-83"/>
        </w:rPr>
        <w:t> </w:t>
      </w:r>
      <w:r>
        <w:rPr>
          <w:spacing w:val="-83"/>
        </w:rPr>
      </w:r>
      <w:r>
        <w:rPr>
          <w:spacing w:val="-2"/>
        </w:rPr>
        <w:t>咨询增资扩股暨放弃部分优先认缴出资权利事宜签署相关法律文件。具体内容详见公司于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日及</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日刊</w:t>
      </w:r>
      <w:r>
        <w:rPr>
          <w:spacing w:val="-50"/>
        </w:rPr>
        <w:t> </w:t>
      </w:r>
      <w:r>
        <w:rPr/>
        <w:t>登于巨潮资讯网（</w:t>
      </w:r>
      <w:hyperlink r:id="rId11">
        <w:r>
          <w:rPr>
            <w:rFonts w:ascii="宋体" w:hAnsi="宋体" w:cs="宋体" w:eastAsia="宋体" w:hint="default"/>
          </w:rPr>
          <w:t>http://www.cninfo.com.cn</w:t>
        </w:r>
      </w:hyperlink>
      <w:r>
        <w:rPr/>
        <w:t>）的相关公告。</w:t>
      </w:r>
    </w:p>
    <w:p>
      <w:pPr>
        <w:spacing w:line="240" w:lineRule="auto" w:before="5"/>
        <w:rPr>
          <w:rFonts w:ascii="宋体" w:hAnsi="宋体" w:cs="宋体" w:eastAsia="宋体" w:hint="default"/>
          <w:sz w:val="13"/>
          <w:szCs w:val="13"/>
        </w:rPr>
      </w:pPr>
    </w:p>
    <w:p>
      <w:pPr>
        <w:pStyle w:val="BodyText"/>
        <w:spacing w:line="316" w:lineRule="auto"/>
        <w:ind w:right="92" w:firstLine="357"/>
        <w:jc w:val="left"/>
      </w:pPr>
      <w:r>
        <w:rPr>
          <w:rFonts w:ascii="宋体" w:hAnsi="宋体" w:cs="宋体" w:eastAsia="宋体" w:hint="default"/>
          <w:spacing w:val="-2"/>
        </w:rPr>
        <w:t>2.</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日召开第二届董事会第十三次会议，审议通过了《关于放弃控股子公司股权优先受让权的议案》，</w:t>
      </w:r>
      <w:r>
        <w:rPr/>
        <w:t> </w:t>
      </w:r>
      <w:r>
        <w:rPr>
          <w:spacing w:val="-2"/>
        </w:rPr>
        <w:t>同意公司控股子公司宣亚国际品牌管理（湖南）有限公司自然人股东薛真石、伊沙晨子拟将其持有的宣亚湖南全部股权分别</w:t>
      </w:r>
      <w:r>
        <w:rPr>
          <w:spacing w:val="-66"/>
        </w:rPr>
        <w:t> </w:t>
      </w:r>
      <w:r>
        <w:rPr>
          <w:spacing w:val="-66"/>
        </w:rPr>
      </w:r>
      <w:r>
        <w:rPr>
          <w:spacing w:val="-2"/>
        </w:rPr>
        <w:t>转让给薛玲、丁来滨。具体内容详见公司于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日及</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w:t>
      </w:r>
      <w:r>
        <w:rPr>
          <w:spacing w:val="-2"/>
        </w:rPr>
        <w:t>日刊登于巨潮资讯网（</w:t>
      </w:r>
      <w:hyperlink r:id="rId11">
        <w:r>
          <w:rPr>
            <w:rFonts w:ascii="宋体" w:hAnsi="宋体" w:cs="宋体" w:eastAsia="宋体" w:hint="default"/>
            <w:spacing w:val="-2"/>
          </w:rPr>
          <w:t>http://www.cninfo.com.cn</w:t>
        </w:r>
      </w:hyperlink>
      <w:r>
        <w:rPr>
          <w:spacing w:val="-2"/>
        </w:rPr>
        <w:t>）</w:t>
      </w:r>
      <w:r>
        <w:rPr>
          <w:spacing w:val="-28"/>
        </w:rPr>
        <w:t> </w:t>
      </w:r>
      <w:r>
        <w:rPr/>
        <w:t>的相关公告。</w:t>
      </w:r>
    </w:p>
    <w:p>
      <w:pPr>
        <w:spacing w:line="240" w:lineRule="auto" w:before="5"/>
        <w:rPr>
          <w:rFonts w:ascii="宋体" w:hAnsi="宋体" w:cs="宋体" w:eastAsia="宋体" w:hint="default"/>
          <w:sz w:val="13"/>
          <w:szCs w:val="13"/>
        </w:rPr>
      </w:pPr>
    </w:p>
    <w:p>
      <w:pPr>
        <w:pStyle w:val="BodyText"/>
        <w:spacing w:line="316" w:lineRule="auto"/>
        <w:ind w:right="188" w:firstLine="357"/>
        <w:jc w:val="both"/>
      </w:pPr>
      <w:r>
        <w:rPr>
          <w:rFonts w:ascii="宋体" w:hAnsi="宋体" w:cs="宋体" w:eastAsia="宋体" w:hint="default"/>
          <w:spacing w:val="-2"/>
        </w:rPr>
        <w:t>3.</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w:t>
      </w:r>
      <w:r>
        <w:rPr>
          <w:spacing w:val="-2"/>
        </w:rPr>
        <w:t>日召开第二届董事会第十二次会议，审议通过了《关于使用募集资金对全资子公司北京品推宝移动</w:t>
      </w:r>
      <w:r>
        <w:rPr/>
        <w:t> </w:t>
      </w:r>
      <w:r>
        <w:rPr>
          <w:spacing w:val="-2"/>
        </w:rPr>
        <w:t>科技有限公司进行增资的议案》，同意公司使用募集资金</w:t>
      </w:r>
      <w:r>
        <w:rPr>
          <w:rFonts w:ascii="宋体" w:hAnsi="宋体" w:cs="宋体" w:eastAsia="宋体" w:hint="default"/>
          <w:spacing w:val="-2"/>
        </w:rPr>
        <w:t>109,455,694.51</w:t>
      </w:r>
      <w:r>
        <w:rPr>
          <w:spacing w:val="-2"/>
        </w:rPr>
        <w:t>元向全资子公司北京品推宝移动科技有限公司增资</w:t>
      </w:r>
      <w:r>
        <w:rPr>
          <w:spacing w:val="-50"/>
        </w:rPr>
        <w:t> </w:t>
      </w:r>
      <w:r>
        <w:rPr>
          <w:rFonts w:ascii="宋体" w:hAnsi="宋体" w:cs="宋体" w:eastAsia="宋体" w:hint="default"/>
        </w:rPr>
        <w:t>9,500</w:t>
      </w:r>
      <w:r>
        <w:rPr/>
        <w:t>万元，用于“数字营销平台项目”建设。增资完成后，品推宝的注册资本由</w:t>
      </w:r>
      <w:r>
        <w:rPr>
          <w:rFonts w:ascii="宋体" w:hAnsi="宋体" w:cs="宋体" w:eastAsia="宋体" w:hint="default"/>
        </w:rPr>
        <w:t>500</w:t>
      </w:r>
      <w:r>
        <w:rPr/>
        <w:t>万元人民币增加至</w:t>
      </w:r>
      <w:r>
        <w:rPr>
          <w:rFonts w:ascii="宋体" w:hAnsi="宋体" w:cs="宋体" w:eastAsia="宋体" w:hint="default"/>
        </w:rPr>
        <w:t>1</w:t>
      </w:r>
      <w:r>
        <w:rPr/>
        <w:t>亿元人民币，剩余</w:t>
      </w:r>
      <w:r>
        <w:rPr>
          <w:spacing w:val="-83"/>
        </w:rPr>
        <w:t> </w:t>
      </w:r>
      <w:r>
        <w:rPr>
          <w:spacing w:val="-83"/>
        </w:rPr>
      </w:r>
      <w:r>
        <w:rPr/>
        <w:t>的募集资金 </w:t>
      </w:r>
      <w:r>
        <w:rPr>
          <w:rFonts w:ascii="宋体" w:hAnsi="宋体" w:cs="宋体" w:eastAsia="宋体" w:hint="default"/>
        </w:rPr>
        <w:t>14,455,694.51 </w:t>
      </w:r>
      <w:r>
        <w:rPr/>
        <w:t>元人民币计入品推宝资本公积，品推宝仍然为公司的全资子公司。具体内容详见公司</w:t>
      </w:r>
      <w:r>
        <w:rPr>
          <w:rFonts w:ascii="宋体" w:hAnsi="宋体" w:cs="宋体" w:eastAsia="宋体" w:hint="default"/>
        </w:rPr>
        <w:t>2017</w:t>
      </w:r>
      <w:r>
        <w:rPr/>
        <w:t>年</w:t>
      </w:r>
      <w:r>
        <w:rPr>
          <w:rFonts w:ascii="宋体" w:hAnsi="宋体" w:cs="宋体" w:eastAsia="宋体" w:hint="default"/>
        </w:rPr>
        <w:t>3</w:t>
      </w:r>
      <w:r>
        <w:rPr>
          <w:rFonts w:ascii="宋体" w:hAnsi="宋体" w:cs="宋体" w:eastAsia="宋体" w:hint="default"/>
          <w:spacing w:val="-88"/>
        </w:rPr>
        <w:t> </w:t>
      </w:r>
      <w:r>
        <w:rPr/>
        <w:t>月</w:t>
      </w:r>
      <w:r>
        <w:rPr>
          <w:rFonts w:ascii="宋体" w:hAnsi="宋体" w:cs="宋体" w:eastAsia="宋体" w:hint="default"/>
        </w:rPr>
        <w:t>6</w:t>
      </w:r>
      <w:r>
        <w:rPr/>
        <w:t>日及</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13</w:t>
      </w:r>
      <w:r>
        <w:rPr/>
        <w:t>日刊登于巨潮资讯网（</w:t>
      </w:r>
      <w:hyperlink r:id="rId11">
        <w:r>
          <w:rPr>
            <w:rFonts w:ascii="宋体" w:hAnsi="宋体" w:cs="宋体" w:eastAsia="宋体" w:hint="default"/>
          </w:rPr>
          <w:t>http://www.cninfo.com.cn</w:t>
        </w:r>
      </w:hyperlink>
      <w:r>
        <w:rPr/>
        <w:t>）的相关公告</w:t>
      </w:r>
    </w:p>
    <w:p>
      <w:pPr>
        <w:spacing w:line="240" w:lineRule="auto" w:before="5"/>
        <w:rPr>
          <w:rFonts w:ascii="宋体" w:hAnsi="宋体" w:cs="宋体" w:eastAsia="宋体" w:hint="default"/>
          <w:sz w:val="13"/>
          <w:szCs w:val="13"/>
        </w:rPr>
      </w:pPr>
    </w:p>
    <w:p>
      <w:pPr>
        <w:pStyle w:val="BodyText"/>
        <w:spacing w:line="316" w:lineRule="auto"/>
        <w:ind w:right="92" w:firstLine="357"/>
        <w:jc w:val="left"/>
      </w:pPr>
      <w:r>
        <w:rPr>
          <w:rFonts w:ascii="宋体" w:hAnsi="宋体" w:cs="宋体" w:eastAsia="宋体" w:hint="default"/>
          <w:spacing w:val="7"/>
        </w:rPr>
        <w:t>4.</w:t>
      </w:r>
      <w:r>
        <w:rPr>
          <w:spacing w:val="7"/>
        </w:rPr>
        <w:t>公司于</w:t>
      </w:r>
      <w:r>
        <w:rPr>
          <w:spacing w:val="48"/>
        </w:rPr>
        <w:t> </w:t>
      </w:r>
      <w:r>
        <w:rPr>
          <w:rFonts w:ascii="宋体" w:hAnsi="宋体" w:cs="宋体" w:eastAsia="宋体" w:hint="default"/>
          <w:spacing w:val="9"/>
        </w:rPr>
        <w:t>2017</w:t>
      </w:r>
      <w:r>
        <w:rPr>
          <w:spacing w:val="9"/>
        </w:rPr>
        <w:t>年</w:t>
      </w:r>
      <w:r>
        <w:rPr>
          <w:rFonts w:ascii="宋体" w:hAnsi="宋体" w:cs="宋体" w:eastAsia="宋体" w:hint="default"/>
          <w:spacing w:val="9"/>
        </w:rPr>
        <w:t>3</w:t>
      </w:r>
      <w:r>
        <w:rPr>
          <w:spacing w:val="9"/>
        </w:rPr>
        <w:t>月</w:t>
      </w:r>
      <w:r>
        <w:rPr>
          <w:rFonts w:ascii="宋体" w:hAnsi="宋体" w:cs="宋体" w:eastAsia="宋体" w:hint="default"/>
          <w:spacing w:val="9"/>
        </w:rPr>
        <w:t>3</w:t>
      </w:r>
      <w:r>
        <w:rPr>
          <w:spacing w:val="9"/>
        </w:rPr>
        <w:t>日召开第二届董事会第十二次会议，审议通过了《关于使用募集资金对全资子公司</w:t>
      </w:r>
      <w:r>
        <w:rPr>
          <w:rFonts w:ascii="宋体" w:hAnsi="宋体" w:cs="宋体" w:eastAsia="宋体" w:hint="default"/>
          <w:spacing w:val="9"/>
        </w:rPr>
        <w:t>SHUNYA</w:t>
      </w:r>
      <w:r>
        <w:rPr>
          <w:rFonts w:ascii="宋体" w:hAnsi="宋体" w:cs="宋体" w:eastAsia="宋体" w:hint="default"/>
        </w:rPr>
        <w:t> INTERNATIONAL INC.</w:t>
      </w:r>
      <w:r>
        <w:rPr/>
        <w:t>（译为：宣亚国际有限公司）进行增资的议案》 公司以首次公开发行股票募投项目“境外业务网络建</w:t>
      </w:r>
      <w:r>
        <w:rPr>
          <w:spacing w:val="-84"/>
        </w:rPr>
        <w:t> </w:t>
      </w:r>
      <w:r>
        <w:rPr>
          <w:spacing w:val="-84"/>
        </w:rPr>
      </w:r>
      <w:r>
        <w:rPr/>
        <w:t>设项目”募集的资金</w:t>
      </w:r>
      <w:r>
        <w:rPr>
          <w:rFonts w:ascii="宋体" w:hAnsi="宋体" w:cs="宋体" w:eastAsia="宋体" w:hint="default"/>
        </w:rPr>
        <w:t>3,992.01</w:t>
      </w:r>
      <w:r>
        <w:rPr/>
        <w:t>万元人民币全部向全资子公司</w:t>
      </w:r>
      <w:r>
        <w:rPr>
          <w:rFonts w:ascii="宋体" w:hAnsi="宋体" w:cs="宋体" w:eastAsia="宋体" w:hint="default"/>
        </w:rPr>
        <w:t>SHUNYA INTERNATIONAL INC.</w:t>
      </w:r>
      <w:r>
        <w:rPr/>
        <w:t>（译为：宣亚国际有限公司）进行</w:t>
      </w:r>
      <w:r>
        <w:rPr>
          <w:spacing w:val="-85"/>
        </w:rPr>
        <w:t> </w:t>
      </w:r>
      <w:r>
        <w:rPr>
          <w:spacing w:val="-85"/>
        </w:rPr>
      </w:r>
      <w:r>
        <w:rPr/>
        <w:t>增资。宣亚美国拟增资</w:t>
      </w:r>
      <w:r>
        <w:rPr>
          <w:rFonts w:ascii="宋体" w:hAnsi="宋体" w:cs="宋体" w:eastAsia="宋体" w:hint="default"/>
        </w:rPr>
        <w:t>900</w:t>
      </w:r>
      <w:r>
        <w:rPr/>
        <w:t>万美元（约折合</w:t>
      </w:r>
      <w:r>
        <w:rPr>
          <w:rFonts w:ascii="宋体" w:hAnsi="宋体" w:cs="宋体" w:eastAsia="宋体" w:hint="default"/>
        </w:rPr>
        <w:t>6,193.80</w:t>
      </w:r>
      <w:r>
        <w:rPr/>
        <w:t>万元人民币，最终以实际支付当日购汇的汇率为准），用于“境外业务</w:t>
      </w:r>
      <w:r>
        <w:rPr>
          <w:spacing w:val="-83"/>
        </w:rPr>
        <w:t> </w:t>
      </w:r>
      <w:r>
        <w:rPr>
          <w:spacing w:val="-83"/>
        </w:rPr>
      </w:r>
      <w:r>
        <w:rPr>
          <w:spacing w:val="-2"/>
        </w:rPr>
        <w:t>网络建设项目”建设。其中，公司以募集资金</w:t>
      </w:r>
      <w:r>
        <w:rPr>
          <w:rFonts w:ascii="宋体" w:hAnsi="宋体" w:cs="宋体" w:eastAsia="宋体" w:hint="default"/>
          <w:spacing w:val="-2"/>
        </w:rPr>
        <w:t>3,992.01</w:t>
      </w:r>
      <w:r>
        <w:rPr>
          <w:spacing w:val="-2"/>
        </w:rPr>
        <w:t>万元向宣亚美国增资，差额约</w:t>
      </w:r>
      <w:r>
        <w:rPr>
          <w:rFonts w:ascii="宋体" w:hAnsi="宋体" w:cs="宋体" w:eastAsia="宋体" w:hint="default"/>
          <w:spacing w:val="-2"/>
        </w:rPr>
        <w:t>2,201.79</w:t>
      </w:r>
      <w:r>
        <w:rPr>
          <w:spacing w:val="-2"/>
        </w:rPr>
        <w:t>万元人民币由公司以自有资金</w:t>
      </w:r>
      <w:r>
        <w:rPr>
          <w:spacing w:val="-52"/>
        </w:rPr>
        <w:t> </w:t>
      </w:r>
      <w:r>
        <w:rPr/>
        <w:t>补足。增资完成后，宣亚美国的注册资本由</w:t>
      </w:r>
      <w:r>
        <w:rPr>
          <w:rFonts w:ascii="宋体" w:hAnsi="宋体" w:cs="宋体" w:eastAsia="宋体" w:hint="default"/>
        </w:rPr>
        <w:t>100</w:t>
      </w:r>
      <w:r>
        <w:rPr/>
        <w:t>万美元增加至</w:t>
      </w:r>
      <w:r>
        <w:rPr>
          <w:rFonts w:ascii="宋体" w:hAnsi="宋体" w:cs="宋体" w:eastAsia="宋体" w:hint="default"/>
        </w:rPr>
        <w:t>1,000</w:t>
      </w:r>
      <w:r>
        <w:rPr/>
        <w:t>万美元，本次增资后，宣亚美国仍然为公司全资子公司。 </w:t>
      </w:r>
      <w:r>
        <w:rPr>
          <w:spacing w:val="-4"/>
        </w:rPr>
        <w:t>具体内容详见公司</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6</w:t>
      </w:r>
      <w:r>
        <w:rPr>
          <w:spacing w:val="-4"/>
        </w:rPr>
        <w:t>日在巨潮资讯网（</w:t>
      </w:r>
      <w:hyperlink r:id="rId11">
        <w:r>
          <w:rPr>
            <w:rFonts w:ascii="宋体" w:hAnsi="宋体" w:cs="宋体" w:eastAsia="宋体" w:hint="default"/>
            <w:spacing w:val="-4"/>
          </w:rPr>
          <w:t>http://www.cninfo.com.cn</w:t>
        </w:r>
      </w:hyperlink>
      <w:r>
        <w:rPr>
          <w:spacing w:val="-4"/>
        </w:rPr>
        <w:t>）披露的《关于使用募集资金对全资子公司</w:t>
      </w:r>
      <w:r>
        <w:rPr>
          <w:rFonts w:ascii="宋体" w:hAnsi="宋体" w:cs="宋体" w:eastAsia="宋体" w:hint="default"/>
          <w:spacing w:val="-4"/>
        </w:rPr>
        <w:t>SHUNYA</w:t>
      </w:r>
      <w:r>
        <w:rPr>
          <w:rFonts w:ascii="宋体" w:hAnsi="宋体" w:cs="宋体" w:eastAsia="宋体" w:hint="default"/>
          <w:spacing w:val="-62"/>
        </w:rPr>
        <w:t> </w:t>
      </w:r>
      <w:r>
        <w:rPr>
          <w:rFonts w:ascii="宋体" w:hAnsi="宋体" w:cs="宋体" w:eastAsia="宋体" w:hint="default"/>
        </w:rPr>
        <w:t>INTERNATIONAL INC.</w:t>
      </w:r>
      <w:r>
        <w:rPr/>
        <w:t>（译为：宣亚国际有限公司）进行增资的公告》。</w:t>
      </w:r>
    </w:p>
    <w:p>
      <w:pPr>
        <w:spacing w:after="0" w:line="316"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1004"/>
        <w:gridCol w:w="851"/>
        <w:gridCol w:w="992"/>
        <w:gridCol w:w="992"/>
        <w:gridCol w:w="670"/>
        <w:gridCol w:w="464"/>
        <w:gridCol w:w="994"/>
        <w:gridCol w:w="980"/>
        <w:gridCol w:w="794"/>
      </w:tblGrid>
      <w:tr>
        <w:trPr>
          <w:trHeight w:val="402"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70" w:type="dxa"/>
            <w:vMerge/>
            <w:tcBorders>
              <w:left w:val="single" w:sz="4" w:space="0" w:color="000000"/>
              <w:right w:val="single" w:sz="4" w:space="0" w:color="000000"/>
            </w:tcBorders>
            <w:shd w:val="clear" w:color="auto" w:fill="D2D2D2"/>
          </w:tcPr>
          <w:p>
            <w:pPr/>
          </w:p>
        </w:tc>
        <w:tc>
          <w:tcPr>
            <w:tcW w:w="4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46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25,650,000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25,650,000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71.25%</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both"/>
      </w:pPr>
      <w:r>
        <w:rPr/>
        <w:t>股份变动的原因</w:t>
      </w:r>
    </w:p>
    <w:p>
      <w:pPr>
        <w:pStyle w:val="BodyText"/>
        <w:spacing w:line="338" w:lineRule="auto" w:before="117"/>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根据中国证券监督管理委员会《关于核准宣亚国际品牌管理（北京）股份有限公司首次公开发行股票的批复》（证监许</w:t>
      </w:r>
    </w:p>
    <w:p>
      <w:pPr>
        <w:pStyle w:val="BodyText"/>
        <w:spacing w:line="302" w:lineRule="auto" w:before="2"/>
        <w:ind w:right="152"/>
        <w:jc w:val="both"/>
      </w:pPr>
      <w:r>
        <w:rPr/>
        <w:t>可</w:t>
      </w:r>
      <w:r>
        <w:rPr>
          <w:rFonts w:ascii="Times New Roman" w:hAnsi="Times New Roman" w:cs="Times New Roman" w:eastAsia="Times New Roman" w:hint="default"/>
        </w:rPr>
        <w:t>[2017]124</w:t>
      </w:r>
      <w:r>
        <w:rPr/>
        <w:t>号文）核准文件，经深圳证券交易所《关于宣亚国际品牌管理（北京）股份有限公司人民币普通股股票在创业</w:t>
      </w:r>
      <w:r>
        <w:rPr>
          <w:spacing w:val="-36"/>
        </w:rPr>
        <w:t> </w:t>
      </w:r>
      <w:r>
        <w:rPr>
          <w:spacing w:val="-36"/>
        </w:rPr>
      </w:r>
      <w:r>
        <w:rPr>
          <w:spacing w:val="-1"/>
        </w:rPr>
        <w:t>板上市的通知》（深证上</w:t>
      </w:r>
      <w:r>
        <w:rPr>
          <w:rFonts w:ascii="Times New Roman" w:hAnsi="Times New Roman" w:cs="Times New Roman" w:eastAsia="Times New Roman" w:hint="default"/>
          <w:spacing w:val="-1"/>
        </w:rPr>
        <w:t>[2017]106</w:t>
      </w:r>
      <w:r>
        <w:rPr>
          <w:spacing w:val="-1"/>
        </w:rPr>
        <w:t>号）同意，公司首次公开发行人民币普通股（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1,800</w:t>
      </w:r>
      <w:r>
        <w:rPr>
          <w:spacing w:val="-1"/>
        </w:rPr>
        <w:t>万股，并于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日在深</w:t>
      </w:r>
      <w:r>
        <w:rPr>
          <w:spacing w:val="-49"/>
        </w:rPr>
        <w:t> </w:t>
      </w:r>
      <w:r>
        <w:rPr/>
        <w:t>圳证券交易所创业板上市。公司首次公开发行前已发行股份数量为</w:t>
      </w:r>
      <w:r>
        <w:rPr>
          <w:rFonts w:ascii="Times New Roman" w:hAnsi="Times New Roman" w:cs="Times New Roman" w:eastAsia="Times New Roman" w:hint="default"/>
        </w:rPr>
        <w:t>5,400</w:t>
      </w:r>
      <w:r>
        <w:rPr/>
        <w:t>万股，首次公开发行后总股本为</w:t>
      </w:r>
      <w:r>
        <w:rPr>
          <w:rFonts w:ascii="Times New Roman" w:hAnsi="Times New Roman" w:cs="Times New Roman" w:eastAsia="Times New Roman" w:hint="default"/>
        </w:rPr>
        <w:t>7,200</w:t>
      </w:r>
      <w:r>
        <w:rPr/>
        <w:t>万股。</w:t>
      </w:r>
    </w:p>
    <w:p>
      <w:pPr>
        <w:pStyle w:val="BodyText"/>
        <w:spacing w:line="300" w:lineRule="auto" w:before="50"/>
        <w:ind w:right="14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日，公司</w:t>
      </w:r>
      <w:r>
        <w:rPr>
          <w:rFonts w:ascii="Times New Roman" w:hAnsi="Times New Roman" w:cs="Times New Roman" w:eastAsia="Times New Roman" w:hint="default"/>
          <w:spacing w:val="-2"/>
        </w:rPr>
        <w:t>2016</w:t>
      </w:r>
      <w:r>
        <w:rPr>
          <w:spacing w:val="-2"/>
        </w:rPr>
        <w:t>年年度股东大会审议通过了</w:t>
      </w:r>
      <w:r>
        <w:rPr>
          <w:rFonts w:ascii="Times New Roman" w:hAnsi="Times New Roman" w:cs="Times New Roman" w:eastAsia="Times New Roman" w:hint="default"/>
          <w:spacing w:val="-2"/>
        </w:rPr>
        <w:t>2016</w:t>
      </w:r>
      <w:r>
        <w:rPr>
          <w:spacing w:val="-2"/>
        </w:rPr>
        <w:t>年年度权益分派方案：以公司总股本</w:t>
      </w:r>
      <w:r>
        <w:rPr>
          <w:rFonts w:ascii="Times New Roman" w:hAnsi="Times New Roman" w:cs="Times New Roman" w:eastAsia="Times New Roman" w:hint="default"/>
          <w:spacing w:val="-2"/>
        </w:rPr>
        <w:t>72,000,000</w:t>
      </w:r>
      <w:r>
        <w:rPr>
          <w:spacing w:val="-2"/>
        </w:rPr>
        <w:t>股为基数，向</w:t>
      </w:r>
      <w:r>
        <w:rPr/>
        <w:t> </w:t>
      </w:r>
      <w:r>
        <w:rPr>
          <w:spacing w:val="-1"/>
        </w:rPr>
        <w:t>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5.00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，合计派发现金股利人民币</w:t>
      </w:r>
      <w:r>
        <w:rPr>
          <w:rFonts w:ascii="Times New Roman" w:hAnsi="Times New Roman" w:cs="Times New Roman" w:eastAsia="Times New Roman" w:hint="default"/>
          <w:spacing w:val="-1"/>
        </w:rPr>
        <w:t>36,000,000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，同时向全体股东每</w:t>
      </w:r>
      <w:r>
        <w:rPr>
          <w:rFonts w:ascii="Times New Roman" w:hAnsi="Times New Roman" w:cs="Times New Roman" w:eastAsia="Times New Roman" w:hint="default"/>
          <w:spacing w:val="-1"/>
        </w:rPr>
        <w:t>10</w:t>
      </w:r>
      <w:r>
        <w:rPr>
          <w:spacing w:val="-1"/>
        </w:rPr>
        <w:t>股送</w:t>
      </w:r>
      <w:r>
        <w:rPr>
          <w:spacing w:val="-35"/>
        </w:rPr>
        <w:t> </w:t>
      </w:r>
      <w:r>
        <w:rPr/>
        <w:t>红股</w:t>
      </w:r>
      <w:r>
        <w:rPr>
          <w:rFonts w:ascii="Times New Roman" w:hAnsi="Times New Roman" w:cs="Times New Roman" w:eastAsia="Times New Roman" w:hint="default"/>
        </w:rPr>
        <w:t>5</w:t>
      </w:r>
      <w:r>
        <w:rPr/>
        <w:t>股，不以资本公积转增股本。本次权益分派股权登记日为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日。分红前公司</w:t>
      </w:r>
    </w:p>
    <w:p>
      <w:pPr>
        <w:spacing w:after="0" w:line="300" w:lineRule="auto"/>
        <w:jc w:val="both"/>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总股本为</w:t>
      </w:r>
      <w:r>
        <w:rPr>
          <w:rFonts w:ascii="Times New Roman" w:hAnsi="Times New Roman" w:cs="Times New Roman" w:eastAsia="Times New Roman" w:hint="default"/>
        </w:rPr>
        <w:t>7,200</w:t>
      </w:r>
      <w:r>
        <w:rPr/>
        <w:t>万股，分配完成后公司股本总额增至</w:t>
      </w:r>
      <w:r>
        <w:rPr>
          <w:rFonts w:ascii="Times New Roman" w:hAnsi="Times New Roman" w:cs="Times New Roman" w:eastAsia="Times New Roman" w:hint="default"/>
        </w:rPr>
        <w:t>10,800</w:t>
      </w:r>
      <w:r>
        <w:rPr/>
        <w:t>万股。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股份变动的批准情况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38" w:firstLine="290"/>
        <w:jc w:val="left"/>
      </w:pPr>
      <w:r>
        <w:rPr>
          <w:spacing w:val="-2"/>
        </w:rPr>
        <w:t>（</w:t>
      </w:r>
      <w:r>
        <w:rPr>
          <w:rFonts w:ascii="Times New Roman" w:hAnsi="Times New Roman" w:cs="Times New Roman" w:eastAsia="Times New Roman" w:hint="default"/>
          <w:spacing w:val="-2"/>
        </w:rPr>
        <w:t>1</w:t>
      </w:r>
      <w:r>
        <w:rPr>
          <w:spacing w:val="-2"/>
        </w:rPr>
        <w:t>）根据中国证券监督管理委员会《关于核准宣亚国际品牌管理（北京）股份有限公司首次公开发行股票的批复》（证</w:t>
      </w:r>
      <w:r>
        <w:rPr/>
        <w:t> 监许可</w:t>
      </w:r>
      <w:r>
        <w:rPr>
          <w:rFonts w:ascii="Times New Roman" w:hAnsi="Times New Roman" w:cs="Times New Roman" w:eastAsia="Times New Roman" w:hint="default"/>
        </w:rPr>
        <w:t>[2017]124</w:t>
      </w:r>
      <w:r>
        <w:rPr/>
        <w:t>号）核准文件，经深圳证券交易所《关于宣亚国际品牌管理（北京）股份有限公司人民币普通股股票在创 </w:t>
      </w:r>
      <w:r>
        <w:rPr>
          <w:spacing w:val="-1"/>
        </w:rPr>
        <w:t>业板上市的通知》（深证上</w:t>
      </w:r>
      <w:r>
        <w:rPr>
          <w:rFonts w:ascii="Times New Roman" w:hAnsi="Times New Roman" w:cs="Times New Roman" w:eastAsia="Times New Roman" w:hint="default"/>
          <w:spacing w:val="-1"/>
        </w:rPr>
        <w:t>[2017]106</w:t>
      </w:r>
      <w:r>
        <w:rPr>
          <w:spacing w:val="-1"/>
        </w:rPr>
        <w:t>号）同意，公司首次公开发行人民币普通股（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1,800</w:t>
      </w:r>
      <w:r>
        <w:rPr>
          <w:spacing w:val="-1"/>
        </w:rPr>
        <w:t>万股，并于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日在</w:t>
      </w:r>
      <w:r>
        <w:rPr>
          <w:spacing w:val="-47"/>
        </w:rPr>
        <w:t> </w:t>
      </w:r>
      <w:r>
        <w:rPr/>
        <w:t>深圳证券交易所创业板上市。</w:t>
      </w:r>
    </w:p>
    <w:p>
      <w:pPr>
        <w:pStyle w:val="BodyText"/>
        <w:spacing w:line="300" w:lineRule="auto" w:before="31"/>
        <w:ind w:right="150" w:firstLine="434"/>
        <w:jc w:val="both"/>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日召开了第二届董事会第十二次会议、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日召开了</w:t>
      </w:r>
      <w:r>
        <w:rPr>
          <w:rFonts w:ascii="Times New Roman" w:hAnsi="Times New Roman" w:cs="Times New Roman" w:eastAsia="Times New Roman" w:hint="default"/>
          <w:spacing w:val="-2"/>
        </w:rPr>
        <w:t>2017</w:t>
      </w:r>
      <w:r>
        <w:rPr>
          <w:spacing w:val="-2"/>
        </w:rPr>
        <w:t>年第一次临时股东大会，审议通过</w:t>
      </w:r>
      <w:r>
        <w:rPr/>
        <w:t> </w:t>
      </w:r>
      <w:r>
        <w:rPr>
          <w:spacing w:val="-2"/>
        </w:rPr>
        <w:t>了《关于变更公司注册资本的议案》、《关于修订</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及办理工商变更登记的议案》。公司于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日发布《关</w:t>
      </w:r>
      <w:r>
        <w:rPr>
          <w:spacing w:val="-83"/>
        </w:rPr>
        <w:t> </w:t>
      </w:r>
      <w:r>
        <w:rPr>
          <w:spacing w:val="-83"/>
        </w:rPr>
      </w:r>
      <w:r>
        <w:rPr/>
        <w:t>于公司完成工商变更登记的公告》（公告编号：</w:t>
      </w:r>
      <w:r>
        <w:rPr>
          <w:rFonts w:ascii="Times New Roman" w:hAnsi="Times New Roman" w:cs="Times New Roman" w:eastAsia="Times New Roman" w:hint="default"/>
        </w:rPr>
        <w:t>2017-037</w:t>
      </w:r>
      <w:r>
        <w:rPr/>
        <w:t>），公司注册资本由人民币</w:t>
      </w:r>
      <w:r>
        <w:rPr>
          <w:rFonts w:ascii="Times New Roman" w:hAnsi="Times New Roman" w:cs="Times New Roman" w:eastAsia="Times New Roman" w:hint="default"/>
        </w:rPr>
        <w:t>5,400</w:t>
      </w:r>
      <w:r>
        <w:rPr/>
        <w:t>万元变更为人民币</w:t>
      </w:r>
      <w:r>
        <w:rPr>
          <w:rFonts w:ascii="Times New Roman" w:hAnsi="Times New Roman" w:cs="Times New Roman" w:eastAsia="Times New Roman" w:hint="default"/>
        </w:rPr>
        <w:t>7,200</w:t>
      </w:r>
      <w:r>
        <w:rPr/>
        <w:t>万元。</w:t>
      </w:r>
    </w:p>
    <w:p>
      <w:pPr>
        <w:pStyle w:val="BodyText"/>
        <w:spacing w:line="300" w:lineRule="auto" w:before="13"/>
        <w:ind w:right="142" w:firstLine="43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日，公司第二届董事会第十三次会议审议通过了《关于公司</w:t>
      </w:r>
      <w:r>
        <w:rPr>
          <w:rFonts w:ascii="Times New Roman" w:hAnsi="Times New Roman" w:cs="Times New Roman" w:eastAsia="Times New Roman" w:hint="default"/>
        </w:rPr>
        <w:t>2016</w:t>
      </w:r>
      <w:r>
        <w:rPr/>
        <w:t>年度利润分配预案的议案》。公司 根据《公司法》和《公司章程》的相关规定，拟定</w:t>
      </w:r>
      <w:r>
        <w:rPr>
          <w:rFonts w:ascii="Times New Roman" w:hAnsi="Times New Roman" w:cs="Times New Roman" w:eastAsia="Times New Roman" w:hint="default"/>
        </w:rPr>
        <w:t>2016</w:t>
      </w:r>
      <w:r>
        <w:rPr/>
        <w:t>年利润分配方案如下：以现有总股本</w:t>
      </w:r>
      <w:r>
        <w:rPr>
          <w:rFonts w:ascii="Times New Roman" w:hAnsi="Times New Roman" w:cs="Times New Roman" w:eastAsia="Times New Roman" w:hint="default"/>
        </w:rPr>
        <w:t>72,000,000</w:t>
      </w:r>
      <w:r>
        <w:rPr/>
        <w:t>股为基数，向全体股 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5.00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，合计派发现金股利人民币</w:t>
      </w:r>
      <w:r>
        <w:rPr>
          <w:rFonts w:ascii="Times New Roman" w:hAnsi="Times New Roman" w:cs="Times New Roman" w:eastAsia="Times New Roman" w:hint="default"/>
        </w:rPr>
        <w:t>36,000,000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 </w:t>
      </w:r>
      <w:r>
        <w:rPr/>
        <w:t>股，不以资本公积转增股本。分配完成后公司股本总额增至</w:t>
      </w:r>
      <w:r>
        <w:rPr>
          <w:rFonts w:ascii="Times New Roman" w:hAnsi="Times New Roman" w:cs="Times New Roman" w:eastAsia="Times New Roman" w:hint="default"/>
        </w:rPr>
        <w:t>108,000,000</w:t>
      </w:r>
      <w:r>
        <w:rPr/>
        <w:t>股。</w:t>
      </w:r>
    </w:p>
    <w:p>
      <w:pPr>
        <w:pStyle w:val="BodyText"/>
        <w:spacing w:line="240" w:lineRule="auto" w:before="13"/>
        <w:ind w:left="660"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2016</w:t>
      </w:r>
      <w:r>
        <w:rPr/>
        <w:t>年年度股东大会审议通过了《关于公司</w:t>
      </w:r>
      <w:r>
        <w:rPr>
          <w:rFonts w:ascii="Times New Roman" w:hAnsi="Times New Roman" w:cs="Times New Roman" w:eastAsia="Times New Roman" w:hint="default"/>
        </w:rPr>
        <w:t>2016</w:t>
      </w:r>
      <w:r>
        <w:rPr/>
        <w:t>年度利润分配预案的议案》。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股份变动的过户情况</w:t>
      </w:r>
    </w:p>
    <w:p>
      <w:pPr>
        <w:pStyle w:val="BodyText"/>
        <w:spacing w:line="338" w:lineRule="auto" w:before="117"/>
        <w:ind w:left="514" w:right="23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上述股份变动，公司已委托中国证券登记结算有限责任公司深圳分公司进行了相关过户。</w:t>
      </w:r>
    </w:p>
    <w:p>
      <w:pPr>
        <w:pStyle w:val="BodyText"/>
        <w:spacing w:line="240" w:lineRule="auto" w:before="43"/>
        <w:ind w:right="0"/>
        <w:jc w:val="left"/>
      </w:pPr>
      <w:r>
        <w:rPr/>
        <w:t>股份变动对最近一年和最近一期基本每股收益和稀释每股收益、归属于公司普通股股东的每股净资产等财务指标的影响</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38"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2016</w:t>
      </w:r>
      <w:r>
        <w:rPr/>
        <w:t>年度基本每股收益为</w:t>
      </w:r>
      <w:r>
        <w:rPr>
          <w:rFonts w:ascii="Times New Roman" w:hAnsi="Times New Roman" w:cs="Times New Roman" w:eastAsia="Times New Roman" w:hint="default"/>
        </w:rPr>
        <w:t>0.72</w:t>
      </w:r>
      <w:r>
        <w:rPr/>
        <w:t>元，稀释每股收益</w:t>
      </w:r>
      <w:r>
        <w:rPr>
          <w:rFonts w:ascii="Times New Roman" w:hAnsi="Times New Roman" w:cs="Times New Roman" w:eastAsia="Times New Roman" w:hint="default"/>
        </w:rPr>
        <w:t>0.72</w:t>
      </w:r>
      <w:r>
        <w:rPr/>
        <w:t>元，归属于公司普通股股东的每股净资产</w:t>
      </w:r>
      <w:r>
        <w:rPr>
          <w:rFonts w:ascii="Times New Roman" w:hAnsi="Times New Roman" w:cs="Times New Roman" w:eastAsia="Times New Roman" w:hint="default"/>
        </w:rPr>
        <w:t>3.51</w:t>
      </w:r>
      <w:r>
        <w:rPr/>
        <w:t>元。公司</w:t>
      </w:r>
      <w:r>
        <w:rPr>
          <w:rFonts w:ascii="Times New Roman" w:hAnsi="Times New Roman" w:cs="Times New Roman" w:eastAsia="Times New Roman" w:hint="default"/>
        </w:rPr>
        <w:t>2017</w:t>
      </w:r>
      <w:r>
        <w:rPr/>
        <w:t>年</w:t>
      </w:r>
    </w:p>
    <w:p>
      <w:pPr>
        <w:pStyle w:val="BodyText"/>
        <w:spacing w:line="230" w:lineRule="exact"/>
        <w:ind w:right="0"/>
        <w:jc w:val="left"/>
      </w:pPr>
      <w:r>
        <w:rPr/>
        <w:t>度基本每股收益为</w:t>
      </w:r>
      <w:r>
        <w:rPr>
          <w:rFonts w:ascii="Times New Roman" w:hAnsi="Times New Roman" w:cs="Times New Roman" w:eastAsia="Times New Roman" w:hint="default"/>
        </w:rPr>
        <w:t>0.72</w:t>
      </w:r>
      <w:r>
        <w:rPr/>
        <w:t>元，与去年持平，稀释每股收益</w:t>
      </w:r>
      <w:r>
        <w:rPr>
          <w:rFonts w:ascii="Times New Roman" w:hAnsi="Times New Roman" w:cs="Times New Roman" w:eastAsia="Times New Roman" w:hint="default"/>
        </w:rPr>
        <w:t>0.72</w:t>
      </w:r>
      <w:r>
        <w:rPr/>
        <w:t>元，与去年持平，归属于公司普通股股东的每股净资产</w:t>
      </w:r>
      <w:r>
        <w:rPr>
          <w:rFonts w:ascii="Times New Roman" w:hAnsi="Times New Roman" w:cs="Times New Roman" w:eastAsia="Times New Roman" w:hint="default"/>
        </w:rPr>
        <w:t>4.43</w:t>
      </w:r>
      <w:r>
        <w:rPr/>
        <w:t>元，</w:t>
      </w:r>
    </w:p>
    <w:p>
      <w:pPr>
        <w:pStyle w:val="BodyText"/>
        <w:spacing w:line="240" w:lineRule="auto" w:before="64"/>
        <w:ind w:right="0"/>
        <w:jc w:val="left"/>
      </w:pPr>
      <w:r>
        <w:rPr/>
        <w:t>较上年增幅为</w:t>
      </w:r>
      <w:r>
        <w:rPr>
          <w:rFonts w:ascii="Times New Roman" w:hAnsi="Times New Roman" w:cs="Times New Roman" w:eastAsia="Times New Roman" w:hint="default"/>
        </w:rPr>
        <w:t>26.21%</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852"/>
        <w:gridCol w:w="1559"/>
        <w:gridCol w:w="1276"/>
        <w:gridCol w:w="1842"/>
        <w:gridCol w:w="1631"/>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10,950,000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852"/>
        <w:gridCol w:w="1559"/>
        <w:gridCol w:w="1276"/>
        <w:gridCol w:w="1842"/>
        <w:gridCol w:w="1631"/>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81,000,000</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134"/>
        <w:gridCol w:w="1134"/>
        <w:gridCol w:w="1560"/>
        <w:gridCol w:w="1276"/>
        <w:gridCol w:w="922"/>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3" w:right="21" w:hanging="270"/>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5" w:right="95"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16.14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514" w:right="0" w:hanging="360"/>
        <w:jc w:val="left"/>
      </w:pPr>
      <w:r>
        <w:rPr/>
        <w:t>报告期内证券发行（不含优先股）情况的说明 </w:t>
      </w:r>
      <w:r>
        <w:rPr>
          <w:spacing w:val="4"/>
        </w:rPr>
        <w:t>经中国证券监督管理委员会《关于宣亚国际品牌管理（北京）股份有限公司首次公开发行股票的批复》（证监许可</w:t>
      </w:r>
    </w:p>
    <w:p>
      <w:pPr>
        <w:pStyle w:val="BodyText"/>
        <w:spacing w:line="237" w:lineRule="exact"/>
        <w:ind w:right="0"/>
        <w:jc w:val="left"/>
      </w:pPr>
      <w:r>
        <w:rPr>
          <w:rFonts w:ascii="Times New Roman" w:hAnsi="Times New Roman" w:cs="Times New Roman" w:eastAsia="Times New Roman" w:hint="default"/>
          <w:spacing w:val="-1"/>
        </w:rPr>
        <w:t>[2017]124</w:t>
      </w:r>
      <w:r>
        <w:rPr>
          <w:spacing w:val="-1"/>
        </w:rPr>
        <w:t>号文）核准，公司首次公开发行人民币普通股（</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40"/>
        </w:rPr>
        <w:t> </w:t>
      </w:r>
      <w:r>
        <w:rPr>
          <w:spacing w:val="-1"/>
        </w:rPr>
        <w:t>股）</w:t>
      </w:r>
      <w:r>
        <w:rPr>
          <w:rFonts w:ascii="Times New Roman" w:hAnsi="Times New Roman" w:cs="Times New Roman" w:eastAsia="Times New Roman" w:hint="default"/>
          <w:spacing w:val="-1"/>
        </w:rPr>
        <w:t>1,800</w:t>
      </w:r>
      <w:r>
        <w:rPr>
          <w:spacing w:val="-1"/>
        </w:rPr>
        <w:t>万股，发行价格为每股</w:t>
      </w:r>
      <w:r>
        <w:rPr>
          <w:rFonts w:ascii="Times New Roman" w:hAnsi="Times New Roman" w:cs="Times New Roman" w:eastAsia="Times New Roman" w:hint="default"/>
          <w:spacing w:val="-1"/>
        </w:rPr>
        <w:t>16.14</w:t>
      </w:r>
      <w:r>
        <w:rPr>
          <w:spacing w:val="-1"/>
        </w:rPr>
        <w:t>元，募集资金总额人民币</w:t>
      </w:r>
    </w:p>
    <w:p>
      <w:pPr>
        <w:pStyle w:val="BodyText"/>
        <w:spacing w:line="300" w:lineRule="auto" w:before="63"/>
        <w:ind w:right="0"/>
        <w:jc w:val="left"/>
      </w:pPr>
      <w:r>
        <w:rPr>
          <w:rFonts w:ascii="Times New Roman" w:hAnsi="Times New Roman" w:cs="Times New Roman" w:eastAsia="Times New Roman" w:hint="default"/>
        </w:rPr>
        <w:t>290,520,000.00</w:t>
      </w:r>
      <w:r>
        <w:rPr/>
        <w:t>元，扣除发行费用总额 </w:t>
      </w:r>
      <w:r>
        <w:rPr>
          <w:rFonts w:ascii="Times New Roman" w:hAnsi="Times New Roman" w:cs="Times New Roman" w:eastAsia="Times New Roman" w:hint="default"/>
        </w:rPr>
        <w:t>41,849,633.52 </w:t>
      </w:r>
      <w:r>
        <w:rPr/>
        <w:t>元，募集资金净额为 </w:t>
      </w:r>
      <w:r>
        <w:rPr>
          <w:rFonts w:ascii="Times New Roman" w:hAnsi="Times New Roman" w:cs="Times New Roman" w:eastAsia="Times New Roman" w:hint="default"/>
        </w:rPr>
        <w:t>248,670,366.48</w:t>
      </w:r>
      <w:r>
        <w:rPr>
          <w:rFonts w:ascii="Times New Roman" w:hAnsi="Times New Roman" w:cs="Times New Roman" w:eastAsia="Times New Roman" w:hint="default"/>
          <w:spacing w:val="-3"/>
        </w:rPr>
        <w:t> </w:t>
      </w:r>
      <w:r>
        <w:rPr/>
        <w:t>元。公司于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日在深圳 证券交易所创业板成功上市。</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0"/>
        <w:jc w:val="left"/>
      </w:pPr>
      <w:r>
        <w:rPr/>
        <w:t>报告期内公司向社会公众发行普通股（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18,000,000</w:t>
      </w:r>
      <w:r>
        <w:rPr>
          <w:rFonts w:ascii="Times New Roman" w:hAnsi="Times New Roman" w:cs="Times New Roman" w:eastAsia="Times New Roman" w:hint="default"/>
          <w:spacing w:val="5"/>
        </w:rPr>
        <w:t> </w:t>
      </w:r>
      <w:r>
        <w:rPr/>
        <w:t>股，股本由</w:t>
      </w:r>
      <w:r>
        <w:rPr>
          <w:rFonts w:ascii="Times New Roman" w:hAnsi="Times New Roman" w:cs="Times New Roman" w:eastAsia="Times New Roman" w:hint="default"/>
        </w:rPr>
        <w:t>54,000,000</w:t>
      </w:r>
      <w:r>
        <w:rPr/>
        <w:t>股增至</w:t>
      </w:r>
      <w:r>
        <w:rPr>
          <w:rFonts w:ascii="Times New Roman" w:hAnsi="Times New Roman" w:cs="Times New Roman" w:eastAsia="Times New Roman" w:hint="default"/>
        </w:rPr>
        <w:t>72,000,000</w:t>
      </w:r>
      <w:r>
        <w:rPr/>
        <w:t>股。</w:t>
      </w:r>
    </w:p>
    <w:p>
      <w:pPr>
        <w:pStyle w:val="BodyText"/>
        <w:spacing w:line="300" w:lineRule="auto" w:before="102"/>
        <w:ind w:right="14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日，公司</w:t>
      </w:r>
      <w:r>
        <w:rPr>
          <w:rFonts w:ascii="Times New Roman" w:hAnsi="Times New Roman" w:cs="Times New Roman" w:eastAsia="Times New Roman" w:hint="default"/>
          <w:spacing w:val="-2"/>
        </w:rPr>
        <w:t>2016</w:t>
      </w:r>
      <w:r>
        <w:rPr>
          <w:spacing w:val="-2"/>
        </w:rPr>
        <w:t>年年度股东大会审议通过了</w:t>
      </w:r>
      <w:r>
        <w:rPr>
          <w:rFonts w:ascii="Times New Roman" w:hAnsi="Times New Roman" w:cs="Times New Roman" w:eastAsia="Times New Roman" w:hint="default"/>
          <w:spacing w:val="-2"/>
        </w:rPr>
        <w:t>2016</w:t>
      </w:r>
      <w:r>
        <w:rPr>
          <w:spacing w:val="-2"/>
        </w:rPr>
        <w:t>年年度权益分派方案：以公司总股本</w:t>
      </w:r>
      <w:r>
        <w:rPr>
          <w:rFonts w:ascii="Times New Roman" w:hAnsi="Times New Roman" w:cs="Times New Roman" w:eastAsia="Times New Roman" w:hint="default"/>
          <w:spacing w:val="-2"/>
        </w:rPr>
        <w:t>72,000,000</w:t>
      </w:r>
      <w:r>
        <w:rPr>
          <w:spacing w:val="-2"/>
        </w:rPr>
        <w:t>股为基数，向</w:t>
      </w:r>
      <w:r>
        <w:rPr/>
        <w:t> </w:t>
      </w:r>
      <w:r>
        <w:rPr>
          <w:spacing w:val="-1"/>
        </w:rPr>
        <w:t>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5.00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，合计派发现金股利人民币</w:t>
      </w:r>
      <w:r>
        <w:rPr>
          <w:rFonts w:ascii="Times New Roman" w:hAnsi="Times New Roman" w:cs="Times New Roman" w:eastAsia="Times New Roman" w:hint="default"/>
          <w:spacing w:val="-1"/>
        </w:rPr>
        <w:t>36,000,000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，同时向全体股东每</w:t>
      </w:r>
      <w:r>
        <w:rPr>
          <w:rFonts w:ascii="Times New Roman" w:hAnsi="Times New Roman" w:cs="Times New Roman" w:eastAsia="Times New Roman" w:hint="default"/>
          <w:spacing w:val="-1"/>
        </w:rPr>
        <w:t>10</w:t>
      </w:r>
      <w:r>
        <w:rPr>
          <w:spacing w:val="-1"/>
        </w:rPr>
        <w:t>股送</w:t>
      </w:r>
      <w:r>
        <w:rPr>
          <w:spacing w:val="-35"/>
        </w:rPr>
        <w:t> </w:t>
      </w:r>
      <w:r>
        <w:rPr/>
        <w:t>红股</w:t>
      </w:r>
      <w:r>
        <w:rPr>
          <w:rFonts w:ascii="Times New Roman" w:hAnsi="Times New Roman" w:cs="Times New Roman" w:eastAsia="Times New Roman" w:hint="default"/>
        </w:rPr>
        <w:t>5</w:t>
      </w:r>
      <w:r>
        <w:rPr/>
        <w:t>股，不以资本公积转增股本。本次权益分派股权登记日为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日。分红前公司</w:t>
      </w:r>
      <w:r>
        <w:rPr>
          <w:spacing w:val="-82"/>
        </w:rPr>
        <w:t> </w:t>
      </w:r>
      <w:r>
        <w:rPr>
          <w:spacing w:val="-82"/>
        </w:rPr>
      </w:r>
      <w:r>
        <w:rPr/>
        <w:t>总股本</w:t>
      </w:r>
      <w:r>
        <w:rPr>
          <w:rFonts w:ascii="Times New Roman" w:hAnsi="Times New Roman" w:cs="Times New Roman" w:eastAsia="Times New Roman" w:hint="default"/>
        </w:rPr>
        <w:t>72,000,000</w:t>
      </w:r>
      <w:r>
        <w:rPr/>
        <w:t>股，分配完成后公司股本总额增至</w:t>
      </w:r>
      <w:r>
        <w:rPr>
          <w:rFonts w:ascii="Times New Roman" w:hAnsi="Times New Roman" w:cs="Times New Roman" w:eastAsia="Times New Roman" w:hint="default"/>
        </w:rPr>
        <w:t>108,000,000</w:t>
      </w:r>
      <w:r>
        <w:rPr/>
        <w:t>股。</w:t>
      </w:r>
    </w:p>
    <w:p>
      <w:pPr>
        <w:pStyle w:val="BodyText"/>
        <w:spacing w:line="240" w:lineRule="auto" w:before="51"/>
        <w:ind w:left="514" w:right="0"/>
        <w:jc w:val="left"/>
      </w:pPr>
      <w:r>
        <w:rPr/>
        <w:t>报告期末公司总资产为</w:t>
      </w:r>
      <w:r>
        <w:rPr>
          <w:rFonts w:ascii="Times New Roman" w:hAnsi="Times New Roman" w:cs="Times New Roman" w:eastAsia="Times New Roman" w:hint="default"/>
        </w:rPr>
        <w:t>61,862.26</w:t>
      </w:r>
      <w:r>
        <w:rPr/>
        <w:t>万元，比年初增长</w:t>
      </w:r>
      <w:r>
        <w:rPr>
          <w:rFonts w:ascii="Times New Roman" w:hAnsi="Times New Roman" w:cs="Times New Roman" w:eastAsia="Times New Roman" w:hint="default"/>
        </w:rPr>
        <w:t>95%</w:t>
      </w:r>
      <w:r>
        <w:rPr/>
        <w:t>，归属于上市公司股东的所有者权益</w:t>
      </w:r>
      <w:r>
        <w:rPr>
          <w:rFonts w:ascii="Times New Roman" w:hAnsi="Times New Roman" w:cs="Times New Roman" w:eastAsia="Times New Roman" w:hint="default"/>
        </w:rPr>
        <w:t>47,890.06</w:t>
      </w:r>
      <w:r>
        <w:rPr/>
        <w:t>万元，比年初增长</w:t>
      </w:r>
    </w:p>
    <w:p>
      <w:pPr>
        <w:pStyle w:val="BodyText"/>
        <w:spacing w:line="240" w:lineRule="auto" w:before="63"/>
        <w:ind w:right="0"/>
        <w:jc w:val="left"/>
      </w:pPr>
      <w:r>
        <w:rPr>
          <w:rFonts w:ascii="Times New Roman" w:hAnsi="Times New Roman" w:cs="Times New Roman" w:eastAsia="Times New Roman" w:hint="default"/>
        </w:rPr>
        <w:t>152.99%</w:t>
      </w:r>
      <w:r>
        <w:rPr/>
        <w:t>。</w:t>
      </w:r>
    </w:p>
    <w:p>
      <w:pPr>
        <w:pStyle w:val="BodyText"/>
        <w:spacing w:line="240" w:lineRule="auto" w:before="63"/>
        <w:ind w:left="514" w:right="0"/>
        <w:jc w:val="left"/>
      </w:pPr>
      <w:r>
        <w:rPr/>
        <w:t>报告期末公司资产负债率为</w:t>
      </w:r>
      <w:r>
        <w:rPr>
          <w:rFonts w:ascii="Times New Roman" w:hAnsi="Times New Roman" w:cs="Times New Roman" w:eastAsia="Times New Roman" w:hint="default"/>
        </w:rPr>
        <w:t>20.34%,</w:t>
      </w:r>
      <w:r>
        <w:rPr>
          <w:rFonts w:ascii="Times New Roman" w:hAnsi="Times New Roman" w:cs="Times New Roman" w:eastAsia="Times New Roman" w:hint="default"/>
          <w:spacing w:val="23"/>
        </w:rPr>
        <w:t> </w:t>
      </w:r>
      <w:r>
        <w:rPr/>
        <w:t>比年初降低</w:t>
      </w:r>
      <w:r>
        <w:rPr>
          <w:rFonts w:ascii="Times New Roman" w:hAnsi="Times New Roman" w:cs="Times New Roman" w:eastAsia="Times New Roman" w:hint="default"/>
        </w:rPr>
        <w:t>19.25%</w:t>
      </w:r>
      <w:r>
        <w:rPr/>
        <w:t>，公司资本结构得到改善，抗风险能力提高。</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after="0" w:line="240" w:lineRule="auto"/>
        <w:jc w:val="left"/>
        <w:sectPr>
          <w:pgSz w:w="11910" w:h="16840"/>
          <w:pgMar w:header="877" w:footer="979" w:top="1100" w:bottom="1160" w:left="980" w:right="980"/>
        </w:sectPr>
      </w:pPr>
    </w:p>
    <w:p>
      <w:pPr>
        <w:spacing w:line="240" w:lineRule="auto" w:before="13"/>
        <w:rPr>
          <w:rFonts w:ascii="宋体" w:hAnsi="宋体" w:cs="宋体" w:eastAsia="宋体" w:hint="default"/>
          <w:b/>
          <w:bCs/>
          <w:sz w:val="21"/>
          <w:szCs w:val="21"/>
        </w:rPr>
      </w:pPr>
    </w:p>
    <w:p>
      <w:pPr>
        <w:pStyle w:val="BodyText"/>
        <w:spacing w:line="240" w:lineRule="auto" w:before="44"/>
        <w:ind w:left="0" w:right="150"/>
        <w:jc w:val="right"/>
      </w:pPr>
      <w:r>
        <w:rPr/>
        <w:pict>
          <v:shape style="position:absolute;margin-left:449.277008pt;margin-top:70.511726pt;width:85.75pt;height:31.2pt;mso-position-horizontal-relative:page;mso-position-vertical-relative:paragraph;z-index:-773176"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0.511726pt;width:52.65pt;height:31.2pt;mso-position-horizontal-relative:page;mso-position-vertical-relative:paragraph;z-index:-773152" coordorigin="9648,1410" coordsize="1053,624">
            <v:shape style="position:absolute;left:9648;top:1410;width:1053;height:624" coordorigin="9648,1410" coordsize="1053,624" path="m9648,2034l10700,2034,10700,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7"/>
        <w:gridCol w:w="765"/>
        <w:gridCol w:w="127"/>
        <w:gridCol w:w="994"/>
        <w:gridCol w:w="319"/>
        <w:gridCol w:w="673"/>
        <w:gridCol w:w="545"/>
        <w:gridCol w:w="445"/>
        <w:gridCol w:w="862"/>
        <w:gridCol w:w="275"/>
        <w:gridCol w:w="832"/>
        <w:gridCol w:w="1292"/>
        <w:gridCol w:w="508"/>
        <w:gridCol w:w="559"/>
      </w:tblGrid>
      <w:tr>
        <w:trPr>
          <w:trHeight w:val="162" w:hRule="exact"/>
        </w:trPr>
        <w:tc>
          <w:tcPr>
            <w:tcW w:w="1377" w:type="dxa"/>
            <w:vMerge w:val="restart"/>
            <w:tcBorders>
              <w:top w:val="single" w:sz="4" w:space="0" w:color="000000"/>
              <w:left w:val="single" w:sz="4" w:space="0" w:color="000000"/>
              <w:right w:val="single" w:sz="4" w:space="0" w:color="000000"/>
            </w:tcBorders>
            <w:shd w:val="clear" w:color="auto" w:fill="D2D2D2"/>
          </w:tcPr>
          <w:p>
            <w:pPr/>
          </w:p>
        </w:tc>
        <w:tc>
          <w:tcPr>
            <w:tcW w:w="765"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15,088</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18,708</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0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0</w:t>
            </w: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9"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tcBorders>
              <w:top w:val="single" w:sz="4" w:space="0" w:color="000000"/>
              <w:left w:val="single" w:sz="13" w:space="0" w:color="D2D2D2"/>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77" w:type="dxa"/>
            <w:vMerge/>
            <w:tcBorders>
              <w:left w:val="single" w:sz="4" w:space="0" w:color="000000"/>
              <w:right w:val="single" w:sz="4" w:space="0" w:color="000000"/>
            </w:tcBorders>
            <w:shd w:val="clear" w:color="auto" w:fill="D2D2D2"/>
          </w:tcPr>
          <w:p>
            <w:pPr/>
          </w:p>
        </w:tc>
        <w:tc>
          <w:tcPr>
            <w:tcW w:w="765"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vMerge/>
            <w:tcBorders>
              <w:left w:val="single" w:sz="10" w:space="0" w:color="D2D2D2"/>
              <w:right w:val="single" w:sz="13" w:space="0" w:color="D2D2D2"/>
            </w:tcBorders>
          </w:tcPr>
          <w:p>
            <w:pPr/>
          </w:p>
        </w:tc>
        <w:tc>
          <w:tcPr>
            <w:tcW w:w="1292" w:type="dxa"/>
            <w:vMerge/>
            <w:tcBorders>
              <w:left w:val="single" w:sz="4" w:space="0" w:color="000000"/>
              <w:right w:val="single" w:sz="4" w:space="0" w:color="000000"/>
            </w:tcBorders>
            <w:shd w:val="clear" w:color="auto" w:fill="D2D2D2"/>
          </w:tcPr>
          <w:p>
            <w:pPr/>
          </w:p>
        </w:tc>
        <w:tc>
          <w:tcPr>
            <w:tcW w:w="508" w:type="dxa"/>
            <w:vMerge w:val="restart"/>
            <w:tcBorders>
              <w:top w:val="nil" w:sz="6" w:space="0" w:color="auto"/>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77" w:type="dxa"/>
            <w:vMerge/>
            <w:tcBorders>
              <w:left w:val="single" w:sz="4" w:space="0" w:color="000000"/>
              <w:bottom w:val="nil" w:sz="6" w:space="0" w:color="auto"/>
              <w:right w:val="single" w:sz="4" w:space="0" w:color="000000"/>
            </w:tcBorders>
            <w:shd w:val="clear" w:color="auto" w:fill="D2D2D2"/>
          </w:tcPr>
          <w:p>
            <w:pPr/>
          </w:p>
        </w:tc>
        <w:tc>
          <w:tcPr>
            <w:tcW w:w="765"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92" w:type="dxa"/>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65" w:type="dxa"/>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92" w:type="dxa"/>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77" w:type="dxa"/>
            <w:vMerge w:val="restart"/>
            <w:tcBorders>
              <w:top w:val="nil" w:sz="6" w:space="0" w:color="auto"/>
              <w:left w:val="single" w:sz="4" w:space="0" w:color="000000"/>
              <w:right w:val="single" w:sz="4" w:space="0" w:color="000000"/>
            </w:tcBorders>
            <w:shd w:val="clear" w:color="auto" w:fill="D2D2D2"/>
          </w:tcPr>
          <w:p>
            <w:pPr/>
          </w:p>
        </w:tc>
        <w:tc>
          <w:tcPr>
            <w:tcW w:w="765"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92" w:type="dxa"/>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77" w:type="dxa"/>
            <w:vMerge/>
            <w:tcBorders>
              <w:left w:val="single" w:sz="4" w:space="0" w:color="000000"/>
              <w:right w:val="single" w:sz="4" w:space="0" w:color="000000"/>
            </w:tcBorders>
            <w:shd w:val="clear" w:color="auto" w:fill="D2D2D2"/>
          </w:tcPr>
          <w:p>
            <w:pPr/>
          </w:p>
        </w:tc>
        <w:tc>
          <w:tcPr>
            <w:tcW w:w="765"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92" w:type="dxa"/>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77" w:type="dxa"/>
            <w:vMerge/>
            <w:tcBorders>
              <w:left w:val="single" w:sz="4" w:space="0" w:color="000000"/>
              <w:bottom w:val="single" w:sz="4" w:space="0" w:color="000000"/>
              <w:right w:val="single" w:sz="4" w:space="0" w:color="000000"/>
            </w:tcBorders>
            <w:shd w:val="clear" w:color="auto" w:fill="D2D2D2"/>
          </w:tcPr>
          <w:p>
            <w:pPr/>
          </w:p>
        </w:tc>
        <w:tc>
          <w:tcPr>
            <w:tcW w:w="765" w:type="dxa"/>
            <w:vMerge/>
            <w:tcBorders>
              <w:left w:val="single" w:sz="9" w:space="0" w:color="D2D2D2"/>
              <w:bottom w:val="single" w:sz="4" w:space="0" w:color="000000"/>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06" w:type="dxa"/>
            <w:gridSpan w:val="2"/>
            <w:vMerge/>
            <w:tcBorders>
              <w:left w:val="single" w:sz="10" w:space="0" w:color="D2D2D2"/>
              <w:bottom w:val="single" w:sz="4" w:space="0" w:color="000000"/>
              <w:right w:val="single" w:sz="13" w:space="0" w:color="D2D2D2"/>
            </w:tcBorders>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77" w:type="dxa"/>
            <w:vMerge w:val="restart"/>
            <w:tcBorders>
              <w:top w:val="single" w:sz="4" w:space="0" w:color="000000"/>
              <w:left w:val="single" w:sz="4" w:space="0" w:color="000000"/>
              <w:right w:val="single" w:sz="4" w:space="0" w:color="000000"/>
            </w:tcBorders>
            <w:shd w:val="clear" w:color="auto" w:fill="D2D2D2"/>
          </w:tcPr>
          <w:p>
            <w:pPr/>
          </w:p>
        </w:tc>
        <w:tc>
          <w:tcPr>
            <w:tcW w:w="892" w:type="dxa"/>
            <w:gridSpan w:val="2"/>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9" w:right="4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3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55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77" w:type="dxa"/>
            <w:vMerge/>
            <w:tcBorders>
              <w:left w:val="single" w:sz="4" w:space="0" w:color="000000"/>
              <w:bottom w:val="nil" w:sz="6" w:space="0" w:color="auto"/>
              <w:right w:val="single" w:sz="4" w:space="0" w:color="000000"/>
            </w:tcBorders>
            <w:shd w:val="clear" w:color="auto" w:fill="D2D2D2"/>
          </w:tcPr>
          <w:p>
            <w:pPr/>
          </w:p>
        </w:tc>
        <w:tc>
          <w:tcPr>
            <w:tcW w:w="892"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9"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832" w:type="dxa"/>
            <w:vMerge/>
            <w:tcBorders>
              <w:left w:val="single" w:sz="4" w:space="0" w:color="000000"/>
              <w:right w:val="single" w:sz="4" w:space="0" w:color="000000"/>
            </w:tcBorders>
            <w:shd w:val="clear" w:color="auto" w:fill="D2D2D2"/>
          </w:tcPr>
          <w:p>
            <w:pPr/>
          </w:p>
        </w:tc>
        <w:tc>
          <w:tcPr>
            <w:tcW w:w="2360" w:type="dxa"/>
            <w:gridSpan w:val="3"/>
            <w:vMerge/>
            <w:tcBorders>
              <w:left w:val="single" w:sz="4" w:space="0" w:color="000000"/>
              <w:right w:val="single" w:sz="4" w:space="0" w:color="000000"/>
            </w:tcBorders>
            <w:shd w:val="clear" w:color="auto" w:fill="D2D2D2"/>
          </w:tcPr>
          <w:p>
            <w:pPr/>
          </w:p>
        </w:tc>
      </w:tr>
      <w:tr>
        <w:trPr>
          <w:trHeight w:val="140" w:hRule="exact"/>
        </w:trPr>
        <w:tc>
          <w:tcPr>
            <w:tcW w:w="13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gridSpan w:val="2"/>
            <w:vMerge/>
            <w:tcBorders>
              <w:left w:val="single" w:sz="4" w:space="0" w:color="000000"/>
              <w:right w:val="single" w:sz="4" w:space="0" w:color="000000"/>
            </w:tcBorders>
            <w:shd w:val="clear" w:color="auto" w:fill="D2D2D2"/>
          </w:tcPr>
          <w:p>
            <w:pPr/>
          </w:p>
        </w:tc>
        <w:tc>
          <w:tcPr>
            <w:tcW w:w="990"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2360"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77" w:type="dxa"/>
            <w:vMerge/>
            <w:tcBorders>
              <w:left w:val="single" w:sz="4" w:space="0" w:color="000000"/>
              <w:bottom w:val="nil" w:sz="6" w:space="0" w:color="auto"/>
              <w:right w:val="single" w:sz="4" w:space="0" w:color="000000"/>
            </w:tcBorders>
            <w:shd w:val="clear" w:color="auto" w:fill="D2D2D2"/>
          </w:tcPr>
          <w:p>
            <w:pPr/>
          </w:p>
        </w:tc>
        <w:tc>
          <w:tcPr>
            <w:tcW w:w="892"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0"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9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77" w:type="dxa"/>
            <w:vMerge w:val="restart"/>
            <w:tcBorders>
              <w:top w:val="nil" w:sz="6" w:space="0" w:color="auto"/>
              <w:left w:val="single" w:sz="4" w:space="0" w:color="000000"/>
              <w:right w:val="single" w:sz="4" w:space="0" w:color="000000"/>
            </w:tcBorders>
            <w:shd w:val="clear" w:color="auto" w:fill="D2D2D2"/>
          </w:tcPr>
          <w:p>
            <w:pPr/>
          </w:p>
        </w:tc>
        <w:tc>
          <w:tcPr>
            <w:tcW w:w="892" w:type="dxa"/>
            <w:gridSpan w:val="2"/>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0" w:type="dxa"/>
            <w:gridSpan w:val="2"/>
            <w:vMerge/>
            <w:tcBorders>
              <w:left w:val="single" w:sz="4" w:space="0" w:color="000000"/>
              <w:bottom w:val="nil" w:sz="6" w:space="0" w:color="auto"/>
              <w:right w:val="single" w:sz="4" w:space="0" w:color="000000"/>
            </w:tcBorders>
            <w:shd w:val="clear" w:color="auto" w:fill="D2D2D2"/>
          </w:tcPr>
          <w:p>
            <w:pPr/>
          </w:p>
        </w:tc>
        <w:tc>
          <w:tcPr>
            <w:tcW w:w="1136" w:type="dxa"/>
            <w:gridSpan w:val="2"/>
            <w:vMerge/>
            <w:tcBorders>
              <w:left w:val="single" w:sz="4" w:space="0" w:color="000000"/>
              <w:bottom w:val="nil" w:sz="6" w:space="0" w:color="auto"/>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1292"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r>
      <w:tr>
        <w:trPr>
          <w:trHeight w:val="161" w:hRule="exact"/>
        </w:trPr>
        <w:tc>
          <w:tcPr>
            <w:tcW w:w="1377" w:type="dxa"/>
            <w:vMerge/>
            <w:tcBorders>
              <w:left w:val="single" w:sz="4" w:space="0" w:color="000000"/>
              <w:bottom w:val="single" w:sz="4" w:space="0" w:color="000000"/>
              <w:right w:val="single" w:sz="4" w:space="0" w:color="000000"/>
            </w:tcBorders>
            <w:shd w:val="clear" w:color="auto" w:fill="D2D2D2"/>
          </w:tcPr>
          <w:p>
            <w:pPr/>
          </w:p>
        </w:tc>
        <w:tc>
          <w:tcPr>
            <w:tcW w:w="892"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32" w:type="dxa"/>
            <w:vMerge/>
            <w:tcBorders>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4" w:right="9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40,500,000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40,500,000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4" w:space="0" w:color="D2D2D2"/>
              <w:left w:val="single" w:sz="4" w:space="0" w:color="000000"/>
              <w:bottom w:val="single" w:sz="4" w:space="0" w:color="000000"/>
              <w:right w:val="single" w:sz="4" w:space="0" w:color="000000"/>
            </w:tcBorders>
          </w:tcPr>
          <w:p>
            <w:pPr/>
          </w:p>
        </w:tc>
        <w:tc>
          <w:tcPr>
            <w:tcW w:w="1068" w:type="dxa"/>
            <w:gridSpan w:val="2"/>
            <w:tcBorders>
              <w:top w:val="single" w:sz="44" w:space="0" w:color="D2D2D2"/>
              <w:left w:val="single" w:sz="4" w:space="0" w:color="000000"/>
              <w:bottom w:val="single" w:sz="4" w:space="0" w:color="000000"/>
              <w:right w:val="single" w:sz="4" w:space="0" w:color="000000"/>
            </w:tcBorders>
          </w:tcPr>
          <w:p>
            <w:pPr/>
          </w:p>
        </w:tc>
      </w:tr>
      <w:tr>
        <w:trPr>
          <w:trHeight w:val="714"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4" w:right="9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13,500,000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13,500,000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13,500,000</w:t>
            </w:r>
          </w:p>
        </w:tc>
      </w:tr>
      <w:tr>
        <w:trPr>
          <w:trHeight w:val="714"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4" w:right="9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12,000,000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12,000,000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4" w:right="9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10,950,000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3,650,000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10,950,000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4,050,000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1,350,000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2" w:right="0"/>
              <w:jc w:val="left"/>
              <w:rPr>
                <w:rFonts w:ascii="Times New Roman" w:hAnsi="Times New Roman" w:cs="Times New Roman" w:eastAsia="Times New Roman" w:hint="default"/>
                <w:sz w:val="18"/>
                <w:szCs w:val="18"/>
              </w:rPr>
            </w:pPr>
            <w:r>
              <w:rPr>
                <w:rFonts w:ascii="Times New Roman"/>
                <w:sz w:val="18"/>
              </w:rPr>
              <w:t>4,050,000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both"/>
              <w:rPr>
                <w:rFonts w:ascii="宋体" w:hAnsi="宋体" w:cs="宋体" w:eastAsia="宋体" w:hint="default"/>
                <w:sz w:val="18"/>
                <w:szCs w:val="18"/>
              </w:rPr>
            </w:pPr>
            <w:r>
              <w:rPr>
                <w:rFonts w:ascii="宋体" w:hAnsi="宋体" w:cs="宋体" w:eastAsia="宋体" w:hint="default"/>
                <w:sz w:val="18"/>
                <w:szCs w:val="18"/>
              </w:rPr>
              <w:t>中国农业银行股 份有限公司－中 邮信息产业灵活 配置混合型证券 投资基金</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1,849,044</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1,849,044</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1,849,044</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both"/>
              <w:rPr>
                <w:rFonts w:ascii="宋体" w:hAnsi="宋体" w:cs="宋体" w:eastAsia="宋体" w:hint="default"/>
                <w:sz w:val="18"/>
                <w:szCs w:val="18"/>
              </w:rPr>
            </w:pPr>
            <w:r>
              <w:rPr>
                <w:rFonts w:ascii="宋体" w:hAnsi="宋体" w:cs="宋体" w:eastAsia="宋体" w:hint="default"/>
                <w:sz w:val="18"/>
                <w:szCs w:val="18"/>
              </w:rPr>
              <w:t>兴业银行股份有 限公司－中邮战 略新兴产业混合 型证券投资基金</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1,703,140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1,703,140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1,703,140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周锡昌</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4" w:right="9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1,160,635</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1,160,635</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1,160,635</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both"/>
              <w:rPr>
                <w:rFonts w:ascii="宋体" w:hAnsi="宋体" w:cs="宋体" w:eastAsia="宋体" w:hint="default"/>
                <w:sz w:val="18"/>
                <w:szCs w:val="18"/>
              </w:rPr>
            </w:pPr>
            <w:r>
              <w:rPr>
                <w:rFonts w:ascii="宋体" w:hAnsi="宋体" w:cs="宋体" w:eastAsia="宋体" w:hint="default"/>
                <w:sz w:val="18"/>
                <w:szCs w:val="18"/>
              </w:rPr>
              <w:t>中国建设银行－ 华夏红利混合型 开放式证券投资 基金</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660,307</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660,307</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660,307</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77" w:type="dxa"/>
            <w:tcBorders>
              <w:top w:val="single" w:sz="4" w:space="0" w:color="000000"/>
              <w:left w:val="single" w:sz="4" w:space="0" w:color="000000"/>
              <w:bottom w:val="single" w:sz="12" w:space="0" w:color="D2D2D2"/>
              <w:right w:val="single" w:sz="4" w:space="0" w:color="000000"/>
            </w:tcBorders>
          </w:tcPr>
          <w:p>
            <w:pPr>
              <w:pStyle w:val="TableParagraph"/>
              <w:spacing w:line="319" w:lineRule="auto" w:before="52"/>
              <w:ind w:left="22" w:right="82"/>
              <w:jc w:val="both"/>
              <w:rPr>
                <w:rFonts w:ascii="宋体" w:hAnsi="宋体" w:cs="宋体" w:eastAsia="宋体" w:hint="default"/>
                <w:sz w:val="18"/>
                <w:szCs w:val="18"/>
              </w:rPr>
            </w:pPr>
            <w:r>
              <w:rPr>
                <w:rFonts w:ascii="宋体" w:hAnsi="宋体" w:cs="宋体" w:eastAsia="宋体" w:hint="default"/>
                <w:sz w:val="18"/>
                <w:szCs w:val="18"/>
              </w:rPr>
              <w:t>中国银行股份有 限公司－国投瑞 银锐意改革灵活 配置混合型证券 投资基金</w:t>
            </w:r>
          </w:p>
        </w:tc>
        <w:tc>
          <w:tcPr>
            <w:tcW w:w="892"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294,750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294,750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294,750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w:t>
            </w:r>
          </w:p>
        </w:tc>
        <w:tc>
          <w:tcPr>
            <w:tcW w:w="730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44"/>
        <w:ind w:left="0" w:right="157"/>
        <w:jc w:val="right"/>
      </w:pPr>
      <w:r>
        <w:rPr/>
        <w:pict>
          <v:shape style="position:absolute;margin-left:56.459999pt;margin-top:-50.108307pt;width:479.3pt;height:621.0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3"/>
                    <w:gridCol w:w="4969"/>
                    <w:gridCol w:w="1278"/>
                    <w:gridCol w:w="1062"/>
                  </w:tblGrid>
                  <w:tr>
                    <w:trPr>
                      <w:trHeight w:val="674"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15"/>
                          <w:jc w:val="left"/>
                          <w:rPr>
                            <w:rFonts w:ascii="宋体" w:hAnsi="宋体" w:cs="宋体" w:eastAsia="宋体" w:hint="default"/>
                            <w:sz w:val="18"/>
                            <w:szCs w:val="18"/>
                          </w:rPr>
                        </w:pPr>
                        <w:r>
                          <w:rPr>
                            <w:rFonts w:ascii="宋体" w:hAnsi="宋体" w:cs="宋体" w:eastAsia="宋体" w:hint="default"/>
                            <w:sz w:val="18"/>
                            <w:szCs w:val="18"/>
                          </w:rPr>
                          <w:t>售新股成为前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名股东的情 </w:t>
                        </w:r>
                        <w:r>
                          <w:rPr>
                            <w:rFonts w:ascii="宋体" w:hAnsi="宋体" w:cs="宋体" w:eastAsia="宋体" w:hint="default"/>
                            <w:spacing w:val="-10"/>
                            <w:sz w:val="18"/>
                            <w:szCs w:val="18"/>
                          </w:rPr>
                          <w:t>况（如有）（参见注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09" w:type="dxa"/>
                        <w:gridSpan w:val="3"/>
                        <w:tcBorders>
                          <w:top w:val="single" w:sz="4" w:space="0" w:color="000000"/>
                          <w:left w:val="single" w:sz="13" w:space="0" w:color="D2D2D2"/>
                          <w:bottom w:val="single" w:sz="4" w:space="0" w:color="000000"/>
                          <w:right w:val="single" w:sz="4" w:space="0" w:color="000000"/>
                        </w:tcBorders>
                      </w:tcPr>
                      <w:p>
                        <w:pPr/>
                      </w:p>
                    </w:tc>
                  </w:tr>
                  <w:tr>
                    <w:trPr>
                      <w:trHeight w:val="473" w:hRule="exact"/>
                    </w:trPr>
                    <w:tc>
                      <w:tcPr>
                        <w:tcW w:w="2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9" w:type="dxa"/>
                        <w:gridSpan w:val="3"/>
                        <w:vMerge w:val="restart"/>
                        <w:tcBorders>
                          <w:top w:val="single" w:sz="4" w:space="0" w:color="000000"/>
                          <w:left w:val="single" w:sz="9" w:space="0" w:color="D2D2D2"/>
                          <w:right w:val="single" w:sz="4" w:space="0" w:color="000000"/>
                        </w:tcBorders>
                      </w:tcPr>
                      <w:p>
                        <w:pPr>
                          <w:pStyle w:val="TableParagraph"/>
                          <w:spacing w:line="300" w:lineRule="auto" w:before="51"/>
                          <w:ind w:left="21" w:right="23"/>
                          <w:jc w:val="left"/>
                          <w:rPr>
                            <w:rFonts w:ascii="宋体" w:hAnsi="宋体" w:cs="宋体" w:eastAsia="宋体" w:hint="default"/>
                            <w:sz w:val="18"/>
                            <w:szCs w:val="18"/>
                          </w:rPr>
                        </w:pPr>
                        <w:r>
                          <w:rPr>
                            <w:rFonts w:ascii="宋体" w:hAnsi="宋体" w:cs="宋体" w:eastAsia="宋体" w:hint="default"/>
                            <w:sz w:val="18"/>
                            <w:szCs w:val="18"/>
                          </w:rPr>
                          <w:t>张秀兵、万丽莉夫妇持有公司控股股东宣亚投资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的股权，通过宣亚投资间接持有公 司</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37.50%</w:t>
                        </w:r>
                        <w:r>
                          <w:rPr>
                            <w:rFonts w:ascii="宋体" w:hAnsi="宋体" w:cs="宋体" w:eastAsia="宋体" w:hint="default"/>
                            <w:spacing w:val="-3"/>
                            <w:sz w:val="18"/>
                            <w:szCs w:val="18"/>
                          </w:rPr>
                          <w:t>的股权，系公司实际控制人。公司实际控制人与上述其他股东之间不存在关联关系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也不存在一致行动。其中伟岸仲合执行事务合伙人张伟除了持有伟岸仲合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75.00%</w:t>
                        </w:r>
                        <w:r>
                          <w:rPr>
                            <w:rFonts w:ascii="宋体" w:hAnsi="宋体" w:cs="宋体" w:eastAsia="宋体" w:hint="default"/>
                            <w:sz w:val="18"/>
                            <w:szCs w:val="18"/>
                          </w:rPr>
                          <w:t>的财产份额 以外，还同时作为有限合伙人持有金凤银凰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13.70%</w:t>
                        </w:r>
                        <w:r>
                          <w:rPr>
                            <w:rFonts w:ascii="宋体" w:hAnsi="宋体" w:cs="宋体" w:eastAsia="宋体" w:hint="default"/>
                            <w:sz w:val="18"/>
                            <w:szCs w:val="18"/>
                          </w:rPr>
                          <w:t>的财产份额。橙色动力为公司员工持股平 台。除此之外，公司未知前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名其他股东之间是否存在关联关系。</w:t>
                        </w:r>
                      </w:p>
                    </w:tc>
                  </w:tr>
                  <w:tr>
                    <w:trPr>
                      <w:trHeight w:val="705" w:hRule="exact"/>
                    </w:trPr>
                    <w:tc>
                      <w:tcPr>
                        <w:tcW w:w="22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09" w:type="dxa"/>
                        <w:gridSpan w:val="3"/>
                        <w:vMerge/>
                        <w:tcBorders>
                          <w:left w:val="single" w:sz="9" w:space="0" w:color="D2D2D2"/>
                          <w:right w:val="single" w:sz="4" w:space="0" w:color="000000"/>
                        </w:tcBorders>
                      </w:tcPr>
                      <w:p>
                        <w:pPr/>
                      </w:p>
                    </w:tc>
                  </w:tr>
                  <w:tr>
                    <w:trPr>
                      <w:trHeight w:val="473" w:hRule="exact"/>
                    </w:trPr>
                    <w:tc>
                      <w:tcPr>
                        <w:tcW w:w="2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9" w:type="dxa"/>
                        <w:gridSpan w:val="3"/>
                        <w:vMerge/>
                        <w:tcBorders>
                          <w:left w:val="single" w:sz="9" w:space="0" w:color="D2D2D2"/>
                          <w:bottom w:val="single" w:sz="4" w:space="0" w:color="000000"/>
                          <w:right w:val="single" w:sz="4" w:space="0" w:color="000000"/>
                        </w:tcBorders>
                      </w:tcPr>
                      <w:p>
                        <w:pP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2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4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263" w:type="dxa"/>
                        <w:vMerge/>
                        <w:tcBorders>
                          <w:left w:val="single" w:sz="4" w:space="0" w:color="000000"/>
                          <w:bottom w:val="nil" w:sz="6" w:space="0" w:color="auto"/>
                          <w:right w:val="single" w:sz="4" w:space="0" w:color="000000"/>
                        </w:tcBorders>
                        <w:shd w:val="clear" w:color="auto" w:fill="D2D2D2"/>
                      </w:tcPr>
                      <w:p>
                        <w:pPr/>
                      </w:p>
                    </w:tc>
                    <w:tc>
                      <w:tcPr>
                        <w:tcW w:w="4969" w:type="dxa"/>
                        <w:vMerge/>
                        <w:tcBorders>
                          <w:left w:val="single" w:sz="4" w:space="0" w:color="000000"/>
                          <w:bottom w:val="nil" w:sz="6" w:space="0" w:color="auto"/>
                          <w:right w:val="single" w:sz="4" w:space="0" w:color="000000"/>
                        </w:tcBorders>
                        <w:shd w:val="clear" w:color="auto" w:fill="D2D2D2"/>
                      </w:tcPr>
                      <w:p>
                        <w:pP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p>
                        <w:pPr>
                          <w:pStyle w:val="TableParagraph"/>
                          <w:spacing w:line="319" w:lineRule="auto" w:before="75"/>
                          <w:ind w:left="22" w:right="68"/>
                          <w:jc w:val="left"/>
                          <w:rPr>
                            <w:rFonts w:ascii="宋体" w:hAnsi="宋体" w:cs="宋体" w:eastAsia="宋体" w:hint="default"/>
                            <w:sz w:val="18"/>
                            <w:szCs w:val="18"/>
                          </w:rPr>
                        </w:pPr>
                        <w:r>
                          <w:rPr>
                            <w:rFonts w:ascii="宋体" w:hAnsi="宋体" w:cs="宋体" w:eastAsia="宋体" w:hint="default"/>
                            <w:sz w:val="18"/>
                            <w:szCs w:val="18"/>
                          </w:rPr>
                          <w:t>－中邮信息产业灵活配置混 合型证券投资基金</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1,849,044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1,849,044</w:t>
                        </w:r>
                      </w:p>
                    </w:tc>
                  </w:tr>
                  <w:tr>
                    <w:trPr>
                      <w:trHeight w:val="102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兴业银行股份有限公司－中 邮战略新兴产业混合型证券 投资基金</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1,703,140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1,703,140</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周锡昌</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1,160,635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1,160,635</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中国建设银行－华夏红利混 合型开放式证券投资基金</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660,307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660,307</w:t>
                        </w:r>
                      </w:p>
                    </w:tc>
                  </w:tr>
                  <w:tr>
                    <w:trPr>
                      <w:trHeight w:val="102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中国银行股份有限公司－国 投瑞银锐意改革灵活配置混 合型证券投资基金</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294,750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294,750</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唐先洪</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267,100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267,100</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诸丽脂</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171,600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171,600</w:t>
                        </w:r>
                      </w:p>
                    </w:tc>
                  </w:tr>
                  <w:tr>
                    <w:trPr>
                      <w:trHeight w:val="102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p>
                        <w:pPr>
                          <w:pStyle w:val="TableParagraph"/>
                          <w:spacing w:line="319" w:lineRule="auto" w:before="75"/>
                          <w:ind w:left="22" w:right="68"/>
                          <w:jc w:val="left"/>
                          <w:rPr>
                            <w:rFonts w:ascii="宋体" w:hAnsi="宋体" w:cs="宋体" w:eastAsia="宋体" w:hint="default"/>
                            <w:sz w:val="18"/>
                            <w:szCs w:val="18"/>
                          </w:rPr>
                        </w:pPr>
                        <w:r>
                          <w:rPr>
                            <w:rFonts w:ascii="宋体" w:hAnsi="宋体" w:cs="宋体" w:eastAsia="宋体" w:hint="default"/>
                            <w:sz w:val="18"/>
                            <w:szCs w:val="18"/>
                          </w:rPr>
                          <w:t>－国投瑞银融华债券型证券 投资基金</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陈红献</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148,900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148,900</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张慕中</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w:t>
                        </w:r>
                      </w:p>
                    </w:tc>
                  </w:tr>
                  <w:tr>
                    <w:trPr>
                      <w:trHeight w:val="1338"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名无限售流通股股东之</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8"/>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名股东之间关 联关系或一致行动的说明</w:t>
                        </w:r>
                      </w:p>
                    </w:tc>
                    <w:tc>
                      <w:tcPr>
                        <w:tcW w:w="73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8" w:right="23"/>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 存在关联关系。</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9"/>
                            <w:sz w:val="18"/>
                            <w:szCs w:val="18"/>
                          </w:rPr>
                          <w:t>说明（如有）（参见注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3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公司股东唐先洪通过广发证券股份有限公司客户信用交易担保证券账户持有数量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267,100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267,100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1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836"/>
        <w:gridCol w:w="1134"/>
        <w:gridCol w:w="1985"/>
        <w:gridCol w:w="1844"/>
        <w:gridCol w:w="1770"/>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91110105799040854K</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38" w:lineRule="auto" w:before="117"/>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43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张秀兵系公司董事长、首席执行官（总裁）；万丽莉系公司董事、宣亚美国财务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实际控制人报告期内变更</w:t>
      </w:r>
    </w:p>
    <w:p>
      <w:pPr>
        <w:pStyle w:val="BodyText"/>
        <w:spacing w:line="338" w:lineRule="auto" w:before="117"/>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公司与实际控制人之间的产权及控制关系的方框图</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5147" w:lineRule="exact"/>
        <w:ind w:left="1610"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4270442" cy="326869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4270442" cy="3268694"/>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11"/>
        <w:rPr>
          <w:rFonts w:ascii="宋体" w:hAnsi="宋体" w:cs="宋体" w:eastAsia="宋体" w:hint="default"/>
          <w:sz w:val="18"/>
          <w:szCs w:val="18"/>
        </w:rPr>
      </w:pPr>
    </w:p>
    <w:p>
      <w:pPr>
        <w:pStyle w:val="BodyText"/>
        <w:spacing w:line="240" w:lineRule="auto" w:before="44"/>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2268"/>
        <w:gridCol w:w="1837"/>
        <w:gridCol w:w="1637"/>
        <w:gridCol w:w="2124"/>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吴浩</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7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886"/>
        <w:gridCol w:w="533"/>
        <w:gridCol w:w="425"/>
        <w:gridCol w:w="425"/>
        <w:gridCol w:w="1559"/>
        <w:gridCol w:w="1560"/>
        <w:gridCol w:w="708"/>
        <w:gridCol w:w="710"/>
        <w:gridCol w:w="709"/>
        <w:gridCol w:w="709"/>
        <w:gridCol w:w="641"/>
      </w:tblGrid>
      <w:tr>
        <w:trPr>
          <w:trHeight w:val="1337"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67" w:right="78"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7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35" w:right="43"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14"/>
                <w:sz w:val="18"/>
                <w:szCs w:val="18"/>
              </w:rPr>
              <w:t>董事、董事</w:t>
            </w:r>
            <w:r>
              <w:rPr>
                <w:rFonts w:ascii="宋体" w:hAnsi="宋体" w:cs="宋体" w:eastAsia="宋体" w:hint="default"/>
                <w:sz w:val="18"/>
                <w:szCs w:val="18"/>
              </w:rPr>
              <w:t> </w:t>
            </w:r>
            <w:r>
              <w:rPr>
                <w:rFonts w:ascii="宋体" w:hAnsi="宋体" w:cs="宋体" w:eastAsia="宋体" w:hint="default"/>
                <w:spacing w:val="-14"/>
                <w:sz w:val="18"/>
                <w:szCs w:val="18"/>
              </w:rPr>
              <w:t>会秘书、财</w:t>
            </w:r>
            <w:r>
              <w:rPr>
                <w:rFonts w:ascii="宋体" w:hAnsi="宋体" w:cs="宋体" w:eastAsia="宋体" w:hint="default"/>
                <w:sz w:val="18"/>
                <w:szCs w:val="18"/>
              </w:rPr>
              <w:t> 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张二东</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何骁军</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张顺和</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丛日华</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黄硕</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李弘扬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邬涛</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刘妍</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吴卫华</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宣正元</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10"/>
        <w:gridCol w:w="1134"/>
        <w:gridCol w:w="851"/>
        <w:gridCol w:w="1984"/>
        <w:gridCol w:w="4890"/>
      </w:tblGrid>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z w:val="18"/>
                <w:szCs w:val="18"/>
              </w:rPr>
              <w:t>张二东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10"/>
        <w:gridCol w:w="1134"/>
        <w:gridCol w:w="851"/>
        <w:gridCol w:w="1984"/>
        <w:gridCol w:w="4890"/>
      </w:tblGrid>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丛日华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年第一次职工代表大会审议通过</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何骁军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日，第二届董事会第十六次会议审议通过</w:t>
            </w:r>
          </w:p>
        </w:tc>
      </w:tr>
    </w:tbl>
    <w:p>
      <w:pPr>
        <w:spacing w:line="240" w:lineRule="auto" w:before="2"/>
        <w:rPr>
          <w:rFonts w:ascii="宋体" w:hAnsi="宋体" w:cs="宋体" w:eastAsia="宋体" w:hint="default"/>
          <w:sz w:val="18"/>
          <w:szCs w:val="18"/>
        </w:rPr>
      </w:pPr>
    </w:p>
    <w:p>
      <w:pPr>
        <w:pStyle w:val="Heading3"/>
        <w:spacing w:line="240" w:lineRule="auto" w:before="26"/>
        <w:ind w:right="0"/>
        <w:jc w:val="both"/>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512" w:lineRule="exact" w:before="76"/>
        <w:ind w:left="515" w:right="178" w:hanging="72"/>
        <w:jc w:val="left"/>
        <w:rPr>
          <w:rFonts w:ascii="宋体" w:hAnsi="宋体" w:cs="宋体" w:eastAsia="宋体" w:hint="default"/>
          <w:sz w:val="18"/>
          <w:szCs w:val="18"/>
        </w:rPr>
      </w:pPr>
      <w:r>
        <w:rPr>
          <w:rFonts w:ascii="宋体" w:hAnsi="宋体" w:cs="宋体" w:eastAsia="宋体" w:hint="default"/>
          <w:b/>
          <w:bCs/>
          <w:sz w:val="18"/>
          <w:szCs w:val="18"/>
        </w:rPr>
        <w:t>（一）公司董事会成员简历如下：</w:t>
      </w:r>
      <w:r>
        <w:rPr>
          <w:rFonts w:ascii="宋体" w:hAnsi="宋体" w:cs="宋体" w:eastAsia="宋体" w:hint="default"/>
          <w:b/>
          <w:bCs/>
          <w:w w:val="99"/>
          <w:sz w:val="18"/>
          <w:szCs w:val="18"/>
        </w:rPr>
        <w:t> </w:t>
      </w:r>
      <w:r>
        <w:rPr>
          <w:rFonts w:ascii="宋体" w:hAnsi="宋体" w:cs="宋体" w:eastAsia="宋体" w:hint="default"/>
          <w:b/>
          <w:bCs/>
          <w:sz w:val="18"/>
          <w:szCs w:val="18"/>
        </w:rPr>
        <w:t>张秀兵：</w:t>
      </w:r>
      <w:r>
        <w:rPr>
          <w:rFonts w:ascii="宋体" w:hAnsi="宋体" w:cs="宋体" w:eastAsia="宋体" w:hint="default"/>
          <w:sz w:val="18"/>
          <w:szCs w:val="18"/>
        </w:rPr>
        <w:t>男，</w:t>
      </w:r>
      <w:r>
        <w:rPr>
          <w:rFonts w:ascii="Times New Roman" w:hAnsi="Times New Roman" w:cs="Times New Roman" w:eastAsia="Times New Roman" w:hint="default"/>
          <w:sz w:val="18"/>
          <w:szCs w:val="18"/>
        </w:rPr>
        <w:t>1966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月出生，中国国籍，无境外永久居留权，本科学历。</w:t>
      </w:r>
      <w:r>
        <w:rPr>
          <w:rFonts w:ascii="Times New Roman" w:hAnsi="Times New Roman" w:cs="Times New Roman" w:eastAsia="Times New Roman" w:hint="default"/>
          <w:sz w:val="18"/>
          <w:szCs w:val="18"/>
        </w:rPr>
        <w:t>1991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月，担任河北省武安县</w:t>
      </w:r>
    </w:p>
    <w:p>
      <w:pPr>
        <w:pStyle w:val="BodyText"/>
        <w:spacing w:line="300" w:lineRule="auto"/>
        <w:ind w:right="190"/>
        <w:jc w:val="both"/>
      </w:pPr>
      <w:r>
        <w:rPr>
          <w:spacing w:val="-2"/>
        </w:rPr>
        <w:t>第一中学英语教师；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4</w:t>
      </w:r>
      <w:r>
        <w:rPr>
          <w:spacing w:val="-2"/>
        </w:rPr>
        <w:t>月，担任北京博能信息咨询公司部门经理；</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月，担任北京迪思</w:t>
      </w:r>
      <w:r>
        <w:rPr>
          <w:spacing w:val="-45"/>
        </w:rPr>
        <w:t> </w:t>
      </w:r>
      <w:r>
        <w:rPr>
          <w:spacing w:val="-45"/>
        </w:rPr>
      </w:r>
      <w:r>
        <w:rPr>
          <w:spacing w:val="-2"/>
        </w:rPr>
        <w:t>信息咨询公司总经理；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月，担任北京宣亚智杰公关顾问公司总经理；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月担任宣亚国</w:t>
      </w:r>
      <w:r>
        <w:rPr>
          <w:spacing w:val="-46"/>
        </w:rPr>
        <w:t> </w:t>
      </w:r>
      <w:r>
        <w:rPr>
          <w:spacing w:val="-2"/>
        </w:rPr>
        <w:t>际董事长、总经理；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月至今任宣亚投资执行董事，</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月任宣亚投资总经理；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月至今任精彩</w:t>
      </w:r>
      <w:r>
        <w:rPr>
          <w:spacing w:val="-44"/>
        </w:rPr>
        <w:t> </w:t>
      </w:r>
      <w:r>
        <w:rPr/>
        <w:t>时光总经理、执行董事；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月至今任英帕沃总经理、执行董事；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月至今任宣亚湖南董事；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月起至今 任宣亚国际董事长；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月至今任宣亚国际首席执行官（总裁）。</w:t>
      </w:r>
    </w:p>
    <w:p>
      <w:pPr>
        <w:pStyle w:val="BodyText"/>
        <w:spacing w:line="300" w:lineRule="auto" w:before="51"/>
        <w:ind w:right="102" w:firstLine="361"/>
        <w:jc w:val="both"/>
      </w:pPr>
      <w:r>
        <w:rPr>
          <w:rFonts w:ascii="宋体" w:hAnsi="宋体" w:cs="宋体" w:eastAsia="宋体" w:hint="default"/>
          <w:b/>
          <w:bCs/>
          <w:spacing w:val="-2"/>
        </w:rPr>
        <w:t>万丽莉：</w:t>
      </w:r>
      <w:r>
        <w:rPr>
          <w:spacing w:val="-2"/>
        </w:rPr>
        <w:t>女，</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11</w:t>
      </w:r>
      <w:r>
        <w:rPr>
          <w:spacing w:val="-2"/>
        </w:rPr>
        <w:t>月出生，中国国籍，有美国永久居留权，本科学历。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月，担任德加拉集团经</w:t>
      </w:r>
      <w:r>
        <w:rPr/>
        <w:t> 理助理；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月，担任北京宣亚智杰公关顾问有限公司项目经理；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月担任宣亚投资行 </w:t>
      </w:r>
      <w:r>
        <w:rPr>
          <w:spacing w:val="-2"/>
        </w:rPr>
        <w:t>政经理；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月至今担任宣亚投资监事；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月至今担任宣亚国际董事；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月至今同时担任宣亚美国财务经理。</w:t>
      </w:r>
    </w:p>
    <w:p>
      <w:pPr>
        <w:pStyle w:val="BodyText"/>
        <w:spacing w:line="300" w:lineRule="auto" w:before="51"/>
        <w:ind w:right="101" w:firstLine="361"/>
        <w:jc w:val="left"/>
      </w:pPr>
      <w:r>
        <w:rPr>
          <w:rFonts w:ascii="宋体" w:hAnsi="宋体" w:cs="宋体" w:eastAsia="宋体" w:hint="default"/>
          <w:b/>
          <w:bCs/>
        </w:rPr>
        <w:t>宾卫：</w:t>
      </w:r>
      <w:r>
        <w:rPr/>
        <w:t>女，</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月出生，中国国籍，无境外永久居留权，本科学历，中国注册会计师、美国注册管理会计师。</w:t>
      </w:r>
      <w:r>
        <w:rPr>
          <w:rFonts w:ascii="Times New Roman" w:hAnsi="Times New Roman" w:cs="Times New Roman" w:eastAsia="Times New Roman" w:hint="default"/>
        </w:rPr>
        <w:t>1991 </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5</w:t>
      </w:r>
      <w:r>
        <w:rPr>
          <w:spacing w:val="-3"/>
        </w:rPr>
        <w:t>月，担任北京有色金属研究总院助理工程师；</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9</w:t>
      </w:r>
      <w:r>
        <w:rPr>
          <w:spacing w:val="-3"/>
        </w:rPr>
        <w:t>月，担任北京富士彩色设备有限公司会计；</w:t>
      </w:r>
      <w:r>
        <w:rPr>
          <w:spacing w:val="-75"/>
        </w:rPr>
        <w:t> </w:t>
      </w:r>
      <w:r>
        <w:rPr>
          <w:spacing w:val="-75"/>
        </w:rPr>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月，担任爱德曼国际公关（中国）有限公司会计主管；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 </w:t>
      </w:r>
      <w:r>
        <w:rPr/>
        <w:t>月，担任万博宣伟国际公关（中国）有限公司会计主管；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月，先后担任北京宣亚智慧广告有限公司助 </w:t>
      </w:r>
      <w:r>
        <w:rPr>
          <w:spacing w:val="-2"/>
        </w:rPr>
        <w:t>理财务顾问、财务经理；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月，先后担任品推宝公司财务经理、财务总监；</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月，担任</w:t>
      </w:r>
      <w:r>
        <w:rPr>
          <w:spacing w:val="-46"/>
        </w:rPr>
        <w:t> </w:t>
      </w:r>
      <w:r>
        <w:rPr>
          <w:spacing w:val="-46"/>
        </w:rPr>
      </w:r>
      <w:r>
        <w:rPr/>
        <w:t>宣亚国际财务总监；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月至今担任宣亚国际董事、董事会秘书、财务总监；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月至今任橙色动力执行事务合伙 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月至今担任宣亚湖南董事；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月至今担任广州宣亚执行董事；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月至今担任珠海宣亚执行董事。</w:t>
      </w:r>
    </w:p>
    <w:p>
      <w:pPr>
        <w:pStyle w:val="BodyText"/>
        <w:spacing w:line="300" w:lineRule="auto" w:before="52"/>
        <w:ind w:right="190" w:firstLine="361"/>
        <w:jc w:val="both"/>
      </w:pPr>
      <w:r>
        <w:rPr>
          <w:rFonts w:ascii="宋体" w:hAnsi="宋体" w:cs="宋体" w:eastAsia="宋体" w:hint="default"/>
          <w:b/>
          <w:bCs/>
        </w:rPr>
        <w:t>闫贵忠：</w:t>
      </w:r>
      <w:r>
        <w:rPr/>
        <w:t>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月出生，中国国籍，无境外永久居留权，本科学历。</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月，担任河北省阳原一 </w:t>
      </w:r>
      <w:r>
        <w:rPr>
          <w:spacing w:val="-2"/>
        </w:rPr>
        <w:t>中教师；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月，担任北京宣亚智杰公关顾问公司财务经理；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月，担任品推宝公司采购</w:t>
      </w:r>
      <w:r>
        <w:rPr>
          <w:spacing w:val="-45"/>
        </w:rPr>
        <w:t> </w:t>
      </w:r>
      <w:r>
        <w:rPr>
          <w:spacing w:val="-45"/>
        </w:rPr>
      </w:r>
      <w:r>
        <w:rPr>
          <w:spacing w:val="-2"/>
        </w:rPr>
        <w:t>部经理；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月，担任宣亚国际内审部主任；</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日，担任宣</w:t>
      </w:r>
      <w:r>
        <w:rPr>
          <w:spacing w:val="-34"/>
        </w:rPr>
        <w:t> </w:t>
      </w:r>
      <w:r>
        <w:rPr>
          <w:spacing w:val="-34"/>
        </w:rPr>
      </w:r>
      <w:r>
        <w:rPr/>
        <w:t>亚国际监事；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日，担任宣亚国际监事会主席；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月至今，兼任新兵连公司监事；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 至今，兼任品牌咨询公司监事；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月至今，兼任品推宝公司监事、秦皇岛公关公司监事；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月至今，兼任威维 体育监事；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月至今，担任宣亚国际董事长办公室主任；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日至今，担任宣亚国际董事。</w:t>
      </w:r>
    </w:p>
    <w:p>
      <w:pPr>
        <w:pStyle w:val="BodyText"/>
        <w:spacing w:line="302" w:lineRule="auto" w:before="51"/>
        <w:ind w:right="176" w:firstLine="361"/>
        <w:jc w:val="left"/>
      </w:pPr>
      <w:r>
        <w:rPr>
          <w:rFonts w:ascii="宋体" w:hAnsi="宋体" w:cs="宋体" w:eastAsia="宋体" w:hint="default"/>
          <w:b/>
          <w:bCs/>
        </w:rPr>
        <w:t>方军：</w:t>
      </w:r>
      <w:r>
        <w:rPr/>
        <w:t>男，</w:t>
      </w:r>
      <w:r>
        <w:rPr>
          <w:rFonts w:ascii="Times New Roman" w:hAnsi="Times New Roman" w:cs="Times New Roman" w:eastAsia="Times New Roman" w:hint="default"/>
        </w:rPr>
        <w:t>1962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月出生，中国国籍，无境外永久居留权。上海财经大学会计学专业本科毕业，杭州电子科技大学 </w:t>
      </w:r>
      <w:r>
        <w:rPr>
          <w:spacing w:val="-2"/>
        </w:rPr>
        <w:t>管理工程学专业硕士研究生毕业获硕士学位，高级会计师，中国注册会计师。曾在中国电子器件工业总公司、中华人民共和</w:t>
      </w:r>
      <w:r>
        <w:rPr>
          <w:spacing w:val="-66"/>
        </w:rPr>
        <w:t> </w:t>
      </w:r>
      <w:r>
        <w:rPr>
          <w:spacing w:val="-66"/>
        </w:rPr>
      </w:r>
      <w:r>
        <w:rPr/>
        <w:t>国电子工业部部经济调节司工作，</w:t>
      </w:r>
      <w:r>
        <w:rPr>
          <w:rFonts w:ascii="Times New Roman" w:hAnsi="Times New Roman" w:cs="Times New Roman" w:eastAsia="Times New Roman" w:hint="default"/>
        </w:rPr>
        <w:t>1988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月起，进入中国信息信托投资公司、中国电子财务有限责任公司工作，先后 担任人民币业务部经理、计划财务部经理、副总会计师兼部门经理、政策研究部总经理等职，</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月任深圳桑达电 子集团有限公司财务总监，监事会主席等职，</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月至今任中国软件与技术服务股份有限公司财务总监；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月至 今任北京中软融鑫计算机系统工程有限公司董事长；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月至今任中国注册会计师协会审计准则委员会委员；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 </w:t>
      </w:r>
      <w:r>
        <w:rPr>
          <w:spacing w:val="-3"/>
        </w:rPr>
        <w:t>月至今任北京上市公司协会财务总监工作委员会副主任；</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6</w:t>
      </w:r>
      <w:r>
        <w:rPr>
          <w:spacing w:val="-3"/>
        </w:rPr>
        <w:t>月至今任杭州中软安人网络通信股份有限公司董事长；</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4</w:t>
      </w:r>
      <w:r>
        <w:rPr/>
        <w:t>月至今任中标软件有限公司董事；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月至今任宣亚国际独立董事。</w:t>
      </w:r>
    </w:p>
    <w:p>
      <w:pPr>
        <w:pStyle w:val="BodyText"/>
        <w:spacing w:line="300" w:lineRule="auto" w:before="49"/>
        <w:ind w:right="178" w:firstLine="361"/>
        <w:jc w:val="left"/>
      </w:pPr>
      <w:r>
        <w:rPr>
          <w:rFonts w:ascii="宋体" w:hAnsi="宋体" w:cs="宋体" w:eastAsia="宋体" w:hint="default"/>
          <w:b/>
          <w:bCs/>
        </w:rPr>
        <w:t>王正鹏：</w:t>
      </w:r>
      <w:r>
        <w:rPr/>
        <w:t>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8</w:t>
      </w:r>
      <w:r>
        <w:rPr/>
        <w:t>月出生，中国国籍，无境外永久居留权，硕士学历。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1998</w:t>
      </w:r>
      <w:r>
        <w:rPr/>
        <w:t>年</w:t>
      </w:r>
      <w:r>
        <w:rPr>
          <w:spacing w:val="-20"/>
        </w:rPr>
        <w:t> </w:t>
      </w:r>
      <w:r>
        <w:rPr>
          <w:rFonts w:ascii="Times New Roman" w:hAnsi="Times New Roman" w:cs="Times New Roman" w:eastAsia="Times New Roman" w:hint="default"/>
        </w:rPr>
        <w:t>10</w:t>
      </w:r>
      <w:r>
        <w:rPr/>
        <w:t>月，担任国家进出口 </w:t>
      </w:r>
      <w:r>
        <w:rPr>
          <w:spacing w:val="-2"/>
        </w:rPr>
        <w:t>商品检验局内刊《中国商检报》要闻部编辑、记者；</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月至</w:t>
      </w:r>
      <w:r>
        <w:rPr>
          <w:spacing w:val="32"/>
        </w:rPr>
        <w:t> </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月，先后担任北京晨报经济部记者、编辑、经济</w:t>
      </w:r>
    </w:p>
    <w:p>
      <w:pPr>
        <w:spacing w:after="0" w:line="30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98"/>
        <w:jc w:val="left"/>
      </w:pPr>
      <w:r>
        <w:rPr/>
        <w:t>部主任、财经新闻中心主任；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月，在北京奥组委新闻中心任舆情研究工作人员；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 </w:t>
      </w:r>
      <w:r>
        <w:rPr>
          <w:spacing w:val="-2"/>
        </w:rPr>
        <w:t>月，担任和讯网财经新闻中心总监；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月，担任香港</w:t>
      </w:r>
      <w:r>
        <w:rPr>
          <w:rFonts w:ascii="Times New Roman" w:hAnsi="Times New Roman" w:cs="Times New Roman" w:eastAsia="Times New Roman" w:hint="default"/>
          <w:spacing w:val="-2"/>
        </w:rPr>
        <w:t>WISERS</w:t>
      </w:r>
      <w:r>
        <w:rPr>
          <w:spacing w:val="-2"/>
        </w:rPr>
        <w:t>公司（中文新闻数据库）中国区内容总监；</w:t>
      </w:r>
      <w:r>
        <w:rPr>
          <w:spacing w:val="-79"/>
        </w:rPr>
        <w:t> </w:t>
      </w:r>
      <w:r>
        <w:rPr>
          <w:spacing w:val="-79"/>
        </w:rPr>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月先后担任和讯网财经传播事业部总经理、和讯网总编辑；</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月至今担任</w:t>
      </w:r>
      <w:r>
        <w:rPr>
          <w:rFonts w:ascii="Times New Roman" w:hAnsi="Times New Roman" w:cs="Times New Roman" w:eastAsia="Times New Roman" w:hint="default"/>
          <w:spacing w:val="-3"/>
        </w:rPr>
        <w:t>Business </w:t>
      </w:r>
      <w:r>
        <w:rPr>
          <w:rFonts w:ascii="Times New Roman" w:hAnsi="Times New Roman" w:cs="Times New Roman" w:eastAsia="Times New Roman" w:hint="default"/>
        </w:rPr>
        <w:t>Asia Arab TV</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rPr>
        <w:t>Ltd</w:t>
      </w:r>
      <w:r>
        <w:rPr/>
        <w:t>首席执行官、执行董事；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月至今担任宣亚国际独立董事；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月至今担任上海和讯聚信资产管理有限公司董 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月至今担任和讯保险经纪有限公司董事长。</w:t>
      </w:r>
    </w:p>
    <w:p>
      <w:pPr>
        <w:pStyle w:val="BodyText"/>
        <w:spacing w:line="300" w:lineRule="auto" w:before="51"/>
        <w:ind w:right="192" w:firstLine="361"/>
        <w:jc w:val="both"/>
      </w:pPr>
      <w:r>
        <w:rPr>
          <w:rFonts w:ascii="宋体" w:hAnsi="宋体" w:cs="宋体" w:eastAsia="宋体" w:hint="default"/>
          <w:b/>
          <w:bCs/>
        </w:rPr>
        <w:t>徐轶尊：</w:t>
      </w:r>
      <w:r>
        <w:rPr/>
        <w:t>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月出生，中国国籍，无境外永久居留权，博士学历。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月，担任中央电视台经 </w:t>
      </w:r>
      <w:r>
        <w:rPr>
          <w:spacing w:val="-2"/>
        </w:rPr>
        <w:t>济部商务电视编导；</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月，担任雅宝吉利电子商务中国有限公司首席执行官；</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月至今担任北京</w:t>
      </w:r>
      <w:r>
        <w:rPr>
          <w:spacing w:val="-47"/>
        </w:rPr>
        <w:t> </w:t>
      </w:r>
      <w:r>
        <w:rPr/>
        <w:t>均衡博弈信息技术研究院学术委员会主席；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月至今担任宣亚国际独立董事。</w:t>
      </w:r>
    </w:p>
    <w:p>
      <w:pPr>
        <w:spacing w:line="357" w:lineRule="auto" w:before="53"/>
        <w:ind w:left="515" w:right="92" w:firstLine="0"/>
        <w:jc w:val="left"/>
        <w:rPr>
          <w:rFonts w:ascii="宋体" w:hAnsi="宋体" w:cs="宋体" w:eastAsia="宋体" w:hint="default"/>
          <w:sz w:val="18"/>
          <w:szCs w:val="18"/>
        </w:rPr>
      </w:pPr>
      <w:r>
        <w:rPr>
          <w:rFonts w:ascii="宋体" w:hAnsi="宋体" w:cs="宋体" w:eastAsia="宋体" w:hint="default"/>
          <w:b/>
          <w:bCs/>
          <w:sz w:val="18"/>
          <w:szCs w:val="18"/>
        </w:rPr>
        <w:t>（二）公司监事会成员简历如下：</w:t>
      </w:r>
      <w:r>
        <w:rPr>
          <w:rFonts w:ascii="宋体" w:hAnsi="宋体" w:cs="宋体" w:eastAsia="宋体" w:hint="default"/>
          <w:b/>
          <w:bCs/>
          <w:w w:val="99"/>
          <w:sz w:val="18"/>
          <w:szCs w:val="18"/>
        </w:rPr>
        <w:t> </w:t>
      </w:r>
      <w:r>
        <w:rPr>
          <w:rFonts w:ascii="宋体" w:hAnsi="宋体" w:cs="宋体" w:eastAsia="宋体" w:hint="default"/>
          <w:b/>
          <w:bCs/>
          <w:spacing w:val="-2"/>
          <w:sz w:val="18"/>
          <w:szCs w:val="18"/>
        </w:rPr>
        <w:t>黄硕：</w:t>
      </w:r>
      <w:r>
        <w:rPr>
          <w:rFonts w:ascii="宋体" w:hAnsi="宋体" w:cs="宋体" w:eastAsia="宋体" w:hint="default"/>
          <w:spacing w:val="-2"/>
          <w:sz w:val="18"/>
          <w:szCs w:val="18"/>
        </w:rPr>
        <w:t>男，</w:t>
      </w:r>
      <w:r>
        <w:rPr>
          <w:rFonts w:ascii="Times New Roman" w:hAnsi="Times New Roman" w:cs="Times New Roman" w:eastAsia="Times New Roman" w:hint="default"/>
          <w:spacing w:val="-2"/>
          <w:sz w:val="18"/>
          <w:szCs w:val="18"/>
        </w:rPr>
        <w:t>1984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月出生，中国籍，无境外永久居留权，北京体育大学学士，</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月任北京市房山区</w:t>
      </w:r>
    </w:p>
    <w:p>
      <w:pPr>
        <w:pStyle w:val="BodyText"/>
        <w:spacing w:line="214" w:lineRule="exact"/>
        <w:ind w:right="92"/>
        <w:jc w:val="left"/>
        <w:rPr>
          <w:rFonts w:ascii="Times New Roman" w:hAnsi="Times New Roman" w:cs="Times New Roman" w:eastAsia="Times New Roman" w:hint="default"/>
        </w:rPr>
      </w:pPr>
      <w:r>
        <w:rPr/>
        <w:t>大学生村官；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日担任宣亚国际品牌管理（北京）股份有限公司董事长助理；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p>
    <w:p>
      <w:pPr>
        <w:pStyle w:val="BodyText"/>
        <w:spacing w:line="338" w:lineRule="auto" w:before="64"/>
        <w:ind w:left="515" w:right="180" w:hanging="362"/>
        <w:jc w:val="left"/>
      </w:pPr>
      <w:r>
        <w:rPr/>
        <w:t>月</w:t>
      </w:r>
      <w:r>
        <w:rPr>
          <w:rFonts w:ascii="Times New Roman" w:hAnsi="Times New Roman" w:cs="Times New Roman" w:eastAsia="Times New Roman" w:hint="default"/>
        </w:rPr>
        <w:t>18</w:t>
      </w:r>
      <w:r>
        <w:rPr/>
        <w:t>日担任宣亚国际监事；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日至今担任宣亚国际监事会主席、内审部主任。 </w:t>
      </w:r>
      <w:r>
        <w:rPr>
          <w:rFonts w:ascii="宋体" w:hAnsi="宋体" w:cs="宋体" w:eastAsia="宋体" w:hint="default"/>
          <w:b/>
          <w:bCs/>
          <w:spacing w:val="-2"/>
        </w:rPr>
        <w:t>王桢：</w:t>
      </w:r>
      <w:r>
        <w:rPr>
          <w:spacing w:val="-2"/>
        </w:rPr>
        <w:t>女，</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11</w:t>
      </w:r>
      <w:r>
        <w:rPr>
          <w:spacing w:val="-2"/>
        </w:rPr>
        <w:t>月出生，中国国籍，无境外永久居留权，本科学历。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spacing w:val="13"/>
        </w:rPr>
        <w:t> </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4</w:t>
      </w:r>
      <w:r>
        <w:rPr>
          <w:spacing w:val="-1"/>
        </w:rPr>
        <w:t>月，担任乔治国际传播</w:t>
      </w:r>
    </w:p>
    <w:p>
      <w:pPr>
        <w:pStyle w:val="BodyText"/>
        <w:spacing w:line="230" w:lineRule="exact"/>
        <w:ind w:right="92"/>
        <w:jc w:val="left"/>
      </w:pPr>
      <w:r>
        <w:rPr/>
        <w:t>技术（北京）有限公司客户主管；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月担任秦皇岛宣亚广告有限公司北京分公</w:t>
      </w:r>
    </w:p>
    <w:p>
      <w:pPr>
        <w:pStyle w:val="BodyText"/>
        <w:spacing w:line="300" w:lineRule="auto" w:before="63"/>
        <w:ind w:right="192"/>
        <w:jc w:val="both"/>
      </w:pPr>
      <w:r>
        <w:rPr/>
        <w:t>司客户主管；</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月至今历任宣亚国际品牌管理（北京）股份有限公司客户主管、人事主管、高级人事主管、助理人事 </w:t>
      </w:r>
      <w:r>
        <w:rPr>
          <w:spacing w:val="-2"/>
        </w:rPr>
        <w:t>行政经理、人事行政经理；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月至今担任东方伟视网络科技（北京）有限公司监事；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日至今担任宣亚国际</w:t>
      </w:r>
      <w:r>
        <w:rPr>
          <w:spacing w:val="-54"/>
        </w:rPr>
        <w:t> </w:t>
      </w:r>
      <w:r>
        <w:rPr>
          <w:spacing w:val="-54"/>
        </w:rPr>
      </w:r>
      <w:r>
        <w:rPr/>
        <w:t>监事。</w:t>
      </w:r>
    </w:p>
    <w:p>
      <w:pPr>
        <w:pStyle w:val="BodyText"/>
        <w:spacing w:line="302" w:lineRule="auto" w:before="71"/>
        <w:ind w:right="190" w:firstLine="361"/>
        <w:jc w:val="both"/>
      </w:pPr>
      <w:r>
        <w:rPr>
          <w:rFonts w:ascii="宋体" w:hAnsi="宋体" w:cs="宋体" w:eastAsia="宋体" w:hint="default"/>
          <w:b/>
          <w:bCs/>
          <w:spacing w:val="-2"/>
        </w:rPr>
        <w:t>张伟：</w:t>
      </w:r>
      <w:r>
        <w:rPr>
          <w:spacing w:val="-2"/>
        </w:rPr>
        <w:t>男，</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12</w:t>
      </w:r>
      <w:r>
        <w:rPr>
          <w:spacing w:val="-2"/>
        </w:rPr>
        <w:t>月出生，中国国籍，无境外永久居留权，本科学历。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月，就职于北京欧亚互动</w:t>
      </w:r>
      <w:r>
        <w:rPr/>
        <w:t> 数码有限公司，开发部经理；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月至今任宣亚国际软件开发项目经理；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月至今任宣亚国际监事。</w:t>
      </w:r>
    </w:p>
    <w:p>
      <w:pPr>
        <w:spacing w:line="357" w:lineRule="auto" w:before="50"/>
        <w:ind w:left="515" w:right="4768" w:firstLine="0"/>
        <w:jc w:val="left"/>
        <w:rPr>
          <w:rFonts w:ascii="宋体" w:hAnsi="宋体" w:cs="宋体" w:eastAsia="宋体" w:hint="default"/>
          <w:sz w:val="18"/>
          <w:szCs w:val="18"/>
        </w:rPr>
      </w:pPr>
      <w:r>
        <w:rPr>
          <w:rFonts w:ascii="宋体" w:hAnsi="宋体" w:cs="宋体" w:eastAsia="宋体" w:hint="default"/>
          <w:b/>
          <w:bCs/>
          <w:sz w:val="18"/>
          <w:szCs w:val="18"/>
        </w:rPr>
        <w:t>（三）公司高级管理人员简历如下：</w:t>
      </w:r>
      <w:r>
        <w:rPr>
          <w:rFonts w:ascii="宋体" w:hAnsi="宋体" w:cs="宋体" w:eastAsia="宋体" w:hint="default"/>
          <w:b/>
          <w:bCs/>
          <w:w w:val="99"/>
          <w:sz w:val="18"/>
          <w:szCs w:val="18"/>
        </w:rPr>
        <w:t> </w:t>
      </w:r>
      <w:r>
        <w:rPr>
          <w:rFonts w:ascii="宋体" w:hAnsi="宋体" w:cs="宋体" w:eastAsia="宋体" w:hint="default"/>
          <w:b/>
          <w:bCs/>
          <w:sz w:val="18"/>
          <w:szCs w:val="18"/>
        </w:rPr>
        <w:t>张秀兵：</w:t>
      </w:r>
      <w:r>
        <w:rPr>
          <w:rFonts w:ascii="宋体" w:hAnsi="宋体" w:cs="宋体" w:eastAsia="宋体" w:hint="default"/>
          <w:sz w:val="18"/>
          <w:szCs w:val="18"/>
        </w:rPr>
        <w:t>首席执行官（总裁），参见前述董事会成员简历。</w:t>
      </w:r>
    </w:p>
    <w:p>
      <w:pPr>
        <w:pStyle w:val="BodyText"/>
        <w:spacing w:line="300" w:lineRule="auto" w:before="28"/>
        <w:ind w:right="189" w:firstLine="361"/>
        <w:jc w:val="both"/>
      </w:pPr>
      <w:r>
        <w:rPr>
          <w:rFonts w:ascii="宋体" w:hAnsi="宋体" w:cs="宋体" w:eastAsia="宋体" w:hint="default"/>
          <w:b/>
          <w:bCs/>
          <w:spacing w:val="-2"/>
        </w:rPr>
        <w:t>李弘扬：</w:t>
      </w:r>
      <w:r>
        <w:rPr>
          <w:spacing w:val="-2"/>
        </w:rPr>
        <w:t>男，</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9</w:t>
      </w:r>
      <w:r>
        <w:rPr>
          <w:spacing w:val="-2"/>
        </w:rPr>
        <w:t>月出生，中国国籍，无境外永久居留权，本科学历。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月，担任上海灵狮广告</w:t>
      </w:r>
      <w:r>
        <w:rPr/>
        <w:t> 公司后期艺术指导；</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月，担任上海蓝梦广告公司客户策略副总监；</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月，担任上海 </w:t>
      </w:r>
      <w:r>
        <w:rPr>
          <w:spacing w:val="-5"/>
        </w:rPr>
        <w:t>卓越形象广告公司副总经理、董事、创意群总监；</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3</w:t>
      </w:r>
      <w:r>
        <w:rPr>
          <w:spacing w:val="-5"/>
        </w:rPr>
        <w:t>月至</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3</w:t>
      </w:r>
      <w:r>
        <w:rPr>
          <w:spacing w:val="-5"/>
        </w:rPr>
        <w:t>月，担任宣亚国际上海分公司董事总经理，同时，</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月，担任宣亚国际副总经理；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日担任宣亚国际总经理；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月，担</w:t>
      </w:r>
      <w:r>
        <w:rPr>
          <w:spacing w:val="-38"/>
        </w:rPr>
        <w:t> </w:t>
      </w:r>
      <w:r>
        <w:rPr>
          <w:spacing w:val="-38"/>
        </w:rPr>
      </w:r>
      <w:r>
        <w:rPr>
          <w:spacing w:val="-2"/>
        </w:rPr>
        <w:t>任品牌咨询公司执行董事及总经理；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月至今同时兼任品推宝公司执行董事及总经理；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日至今任宣亚国际</w:t>
      </w:r>
      <w:r>
        <w:rPr>
          <w:spacing w:val="-51"/>
        </w:rPr>
        <w:t> </w:t>
      </w:r>
      <w:r>
        <w:rPr/>
        <w:t>副总裁。</w:t>
      </w:r>
    </w:p>
    <w:p>
      <w:pPr>
        <w:pStyle w:val="BodyText"/>
        <w:spacing w:line="300" w:lineRule="auto" w:before="70"/>
        <w:ind w:right="189" w:firstLine="361"/>
        <w:jc w:val="both"/>
      </w:pPr>
      <w:r>
        <w:rPr>
          <w:rFonts w:ascii="宋体" w:hAnsi="宋体" w:cs="宋体" w:eastAsia="宋体" w:hint="default"/>
          <w:b/>
          <w:bCs/>
          <w:spacing w:val="-2"/>
        </w:rPr>
        <w:t>邬涛：</w:t>
      </w:r>
      <w:r>
        <w:rPr>
          <w:spacing w:val="-2"/>
        </w:rPr>
        <w:t>男，</w:t>
      </w:r>
      <w:r>
        <w:rPr>
          <w:rFonts w:ascii="Times New Roman" w:hAnsi="Times New Roman" w:cs="Times New Roman" w:eastAsia="Times New Roman" w:hint="default"/>
          <w:spacing w:val="-2"/>
        </w:rPr>
        <w:t>1977</w:t>
      </w:r>
      <w:r>
        <w:rPr>
          <w:spacing w:val="-2"/>
        </w:rPr>
        <w:t>年出生，中国国籍，无境外永久居留权。北京大学中文系文学学士。</w:t>
      </w:r>
      <w:r>
        <w:rPr>
          <w:rFonts w:ascii="Times New Roman" w:hAnsi="Times New Roman" w:cs="Times New Roman" w:eastAsia="Times New Roman" w:hint="default"/>
          <w:spacing w:val="-2"/>
        </w:rPr>
        <w:t>2003</w:t>
      </w:r>
      <w:r>
        <w:rPr>
          <w:rFonts w:ascii="Times New Roman" w:hAnsi="Times New Roman" w:cs="Times New Roman" w:eastAsia="Times New Roman" w:hint="default"/>
          <w:spacing w:val="10"/>
        </w:rPr>
        <w:t> </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3</w:t>
      </w:r>
      <w:r>
        <w:rPr>
          <w:spacing w:val="-1"/>
        </w:rPr>
        <w:t>月任北京宣</w:t>
      </w:r>
      <w:r>
        <w:rPr/>
        <w:t> </w:t>
      </w:r>
      <w:r>
        <w:rPr>
          <w:spacing w:val="-2"/>
        </w:rPr>
        <w:t>亚智杰公关顾问有限公司广州分公司助理客户经理；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月任北京博诚智杰公关咨询有限公司广州分公司客</w:t>
      </w:r>
      <w:r>
        <w:rPr>
          <w:spacing w:val="-53"/>
        </w:rPr>
        <w:t> </w:t>
      </w:r>
      <w:r>
        <w:rPr/>
        <w:t>户经理；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月任秦皇岛公关公司广州分公司副总经理；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月任广州旗智企业管理咨询 </w:t>
      </w:r>
      <w:r>
        <w:rPr>
          <w:spacing w:val="-2"/>
        </w:rPr>
        <w:t>有限公司总经理；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月任宣亚国际广州分公司总经理；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月至今任广州宣亚总经理；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月至今</w:t>
      </w:r>
      <w:r>
        <w:rPr>
          <w:spacing w:val="-46"/>
        </w:rPr>
        <w:t> </w:t>
      </w:r>
      <w:r>
        <w:rPr/>
        <w:t>任北京爱特康科贸有限责任公司董事；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月至今任宣亚国际副总裁，同时兼任品牌咨询公司执行董事及总经理。</w:t>
      </w:r>
    </w:p>
    <w:p>
      <w:pPr>
        <w:pStyle w:val="BodyText"/>
        <w:spacing w:line="360" w:lineRule="auto" w:before="52"/>
        <w:ind w:right="4769" w:firstLine="361"/>
        <w:jc w:val="left"/>
      </w:pPr>
      <w:r>
        <w:rPr>
          <w:rFonts w:ascii="宋体" w:hAnsi="宋体" w:cs="宋体" w:eastAsia="宋体" w:hint="default"/>
          <w:b/>
          <w:bCs/>
        </w:rPr>
        <w:t>宾卫：</w:t>
      </w:r>
      <w:r>
        <w:rPr/>
        <w:t>董事会秘书、财务总监，参见前述董事会成员简历。 在股东单位任职情况</w:t>
      </w:r>
    </w:p>
    <w:p>
      <w:pPr>
        <w:pStyle w:val="BodyText"/>
        <w:spacing w:line="240" w:lineRule="auto" w:before="26"/>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1351"/>
        <w:gridCol w:w="1984"/>
        <w:gridCol w:w="1843"/>
        <w:gridCol w:w="1601"/>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在其他单位任职情况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2126"/>
        <w:gridCol w:w="1985"/>
        <w:gridCol w:w="1688"/>
        <w:gridCol w:w="1572"/>
        <w:gridCol w:w="1345"/>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精彩时光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英帕沃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宣亚湖南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宣亚美国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宣亚湖南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珠海宣亚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广州宣亚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新兵连公司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品牌咨询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秦皇岛公关公司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威维体育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中国软件与技术服务股份 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北京中软融鑫计算机系统 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杭州中软安人网络通信股 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中标软件有限公司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Business Asia Arab TV</w:t>
            </w:r>
            <w:r>
              <w:rPr>
                <w:rFonts w:ascii="Times New Roman"/>
                <w:spacing w:val="-32"/>
                <w:sz w:val="18"/>
              </w:rPr>
              <w:t> </w:t>
            </w:r>
            <w:r>
              <w:rPr>
                <w:rFonts w:ascii="Times New Roman"/>
                <w:sz w:val="18"/>
              </w:rPr>
              <w:t>Ltd</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首席执行官、执行董事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和讯保险经纪有限公司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上海和讯聚信资产管理有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北京均衡博弈信息技术研 究院学术委员会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东方伟视网络科技（北京 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98.8pt;height:28pt;mso-position-horizontal-relative:char;mso-position-vertical-relative:line" coordorigin="0,0" coordsize="1976,560">
                  <v:group style="position:absolute;left:0;top:0;width:1976;height:156" coordorigin="0,0" coordsize="1976,156">
                    <v:shape style="position:absolute;left:0;top:0;width:1976;height:156" coordorigin="0,0" coordsize="1976,156" path="m0,156l1976,156,1976,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930;height:393" coordorigin="23,156" coordsize="1930,393">
                    <v:shape style="position:absolute;left:23;top:156;width:1930;height:393" coordorigin="23,156" coordsize="1930,393" path="m23,548l1953,548,1953,156,23,156,23,548xe" filled="true" fillcolor="#ffffff" stroked="false">
                      <v:path arrowok="t"/>
                      <v:fill type="solid"/>
                    </v:shape>
                  </v:group>
                </v:group>
              </w:pict>
            </w:r>
            <w:r>
              <w:rPr>
                <w:rFonts w:ascii="宋体" w:hAnsi="宋体" w:cs="宋体" w:eastAsia="宋体" w:hint="default"/>
                <w:position w:val="-10"/>
                <w:sz w:val="20"/>
                <w:szCs w:val="20"/>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李弘扬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品牌咨询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北京爱特康科贸有限责任 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pStyle w:val="Heading3"/>
        <w:spacing w:line="240" w:lineRule="auto" w:before="26"/>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董事、监事、高级管理人员报酬的决策程序：公司独立董事津贴由董事会提议后交股东大会审议通过后实施。 </w:t>
      </w:r>
      <w:r>
        <w:rPr>
          <w:spacing w:val="-2"/>
        </w:rPr>
        <w:t>董事、监事、高级管理人员报酬确定依据：在公司领取薪酬的董事、监事、高级管理人员的薪酬和绩效考核方案根据公司薪</w:t>
      </w:r>
    </w:p>
    <w:p>
      <w:pPr>
        <w:pStyle w:val="BodyText"/>
        <w:spacing w:line="316" w:lineRule="auto" w:before="2"/>
        <w:ind w:right="772"/>
        <w:jc w:val="left"/>
      </w:pPr>
      <w:r>
        <w:rPr/>
        <w:t>酬体系和绩效考核体系实施。公司董事、监事无特殊津贴。 董事、监事和高级管理人员报酬的实际支付情况：报告期内，公司已向董事、监事和高级管理人员全额支付薪酬。</w:t>
      </w:r>
    </w:p>
    <w:p>
      <w:pPr>
        <w:spacing w:line="240" w:lineRule="auto" w:before="0"/>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张二东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何骁军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张顺和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丛日华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李弘扬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邬涛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吴卫华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宣正元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817.86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pStyle w:val="Heading3"/>
        <w:spacing w:line="240" w:lineRule="auto" w:before="26"/>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8"/>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客户服务管理人员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战略咨询中心</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监察部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360"/>
        <w:jc w:val="left"/>
      </w:pPr>
      <w:r>
        <w:rPr>
          <w:spacing w:val="-2"/>
        </w:rPr>
        <w:t>公司的薪酬体系，强调按</w:t>
      </w:r>
      <w:r>
        <w:rPr>
          <w:rFonts w:ascii="Times New Roman" w:hAnsi="Times New Roman" w:cs="Times New Roman" w:eastAsia="Times New Roman" w:hint="default"/>
          <w:spacing w:val="-2"/>
        </w:rPr>
        <w:t>“</w:t>
      </w:r>
      <w:r>
        <w:rPr>
          <w:spacing w:val="-2"/>
        </w:rPr>
        <w:t>价值分配</w:t>
      </w:r>
      <w:r>
        <w:rPr>
          <w:rFonts w:ascii="Times New Roman" w:hAnsi="Times New Roman" w:cs="Times New Roman" w:eastAsia="Times New Roman" w:hint="default"/>
          <w:spacing w:val="-2"/>
        </w:rPr>
        <w:t>”</w:t>
      </w:r>
      <w:r>
        <w:rPr>
          <w:spacing w:val="-2"/>
        </w:rPr>
        <w:t>的基本原则，对能够并愿意创造价值的人员给予更多的回报，同时对乐于突破、能</w:t>
      </w:r>
      <w:r>
        <w:rPr/>
        <w:t> 够创新、勇于承担、拥抱变化、乐于协作的人才重点给予奖励。</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公司培训以适合为本，使企业发展现状、企业需求与员工当前需求相结合。培训计划归为三大类，企业文化渗透类、职</w:t>
      </w:r>
      <w:r>
        <w:rPr/>
        <w:t> 业素养类、业务技能类。</w:t>
      </w:r>
    </w:p>
    <w:p>
      <w:pPr>
        <w:spacing w:after="0" w:line="316"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00" w:lineRule="auto" w:before="44"/>
        <w:ind w:left="514" w:right="3872"/>
        <w:jc w:val="left"/>
      </w:pPr>
      <w:r>
        <w:rPr/>
        <w:t>（</w:t>
      </w:r>
      <w:r>
        <w:rPr>
          <w:rFonts w:ascii="Times New Roman" w:hAnsi="Times New Roman" w:cs="Times New Roman" w:eastAsia="Times New Roman" w:hint="default"/>
        </w:rPr>
        <w:t>1</w:t>
      </w:r>
      <w:r>
        <w:rPr/>
        <w:t>）企业文化渗透类、职业素养类 培训要点：企业文化、企业价值观、企业理念、战略目标及实现进展。</w:t>
      </w:r>
    </w:p>
    <w:p>
      <w:pPr>
        <w:pStyle w:val="BodyText"/>
        <w:spacing w:line="309" w:lineRule="auto" w:before="31"/>
        <w:ind w:left="514" w:right="92"/>
        <w:jc w:val="left"/>
      </w:pPr>
      <w:r>
        <w:rPr/>
        <w:t>（</w:t>
      </w:r>
      <w:r>
        <w:rPr>
          <w:rFonts w:ascii="Times New Roman" w:hAnsi="Times New Roman" w:cs="Times New Roman" w:eastAsia="Times New Roman" w:hint="default"/>
        </w:rPr>
        <w:t>2</w:t>
      </w:r>
      <w:r>
        <w:rPr/>
        <w:t>）业务技能类 专业技能的需求分为管理技能及工作技能。按需求层次主要有四种，即核心人才、管理人员、业务专业人员、新员工。 </w:t>
      </w:r>
      <w:r>
        <w:rPr>
          <w:rFonts w:ascii="Times New Roman" w:hAnsi="Times New Roman" w:cs="Times New Roman" w:eastAsia="Times New Roman" w:hint="default"/>
        </w:rPr>
        <w:t>A.</w:t>
      </w:r>
      <w:r>
        <w:rPr/>
        <w:t>核心人才</w:t>
      </w:r>
    </w:p>
    <w:p>
      <w:pPr>
        <w:pStyle w:val="BodyText"/>
        <w:spacing w:line="240" w:lineRule="auto" w:before="5"/>
        <w:ind w:left="514" w:right="92"/>
        <w:jc w:val="left"/>
      </w:pPr>
      <w:r>
        <w:rPr/>
        <w:t>培训要点：强调战略性思维、领导能力、竞争战术、业务能力。</w:t>
      </w:r>
    </w:p>
    <w:p>
      <w:pPr>
        <w:pStyle w:val="BodyText"/>
        <w:spacing w:line="309" w:lineRule="auto" w:before="76"/>
        <w:ind w:left="514" w:right="2072"/>
        <w:jc w:val="left"/>
      </w:pPr>
      <w:r>
        <w:rPr>
          <w:rFonts w:ascii="Times New Roman" w:hAnsi="Times New Roman" w:cs="Times New Roman" w:eastAsia="Times New Roman" w:hint="default"/>
        </w:rPr>
        <w:t>B.</w:t>
      </w:r>
      <w:r>
        <w:rPr/>
        <w:t>中层管理人员 培训要点：强调创造思维、组织、协调、跨部门联合、管理能力、专业性技能的提高及运用。 </w:t>
      </w:r>
      <w:r>
        <w:rPr>
          <w:rFonts w:ascii="Times New Roman" w:hAnsi="Times New Roman" w:cs="Times New Roman" w:eastAsia="Times New Roman" w:hint="default"/>
        </w:rPr>
        <w:t>C.</w:t>
      </w:r>
      <w:r>
        <w:rPr/>
        <w:t>专业人员</w:t>
      </w:r>
    </w:p>
    <w:p>
      <w:pPr>
        <w:pStyle w:val="BodyText"/>
        <w:spacing w:line="316" w:lineRule="auto" w:before="5"/>
        <w:ind w:right="92" w:firstLine="360"/>
        <w:jc w:val="left"/>
      </w:pPr>
      <w:r>
        <w:rPr>
          <w:spacing w:val="-2"/>
        </w:rPr>
        <w:t>培训要点：强调解决问题、处理问题的思维角度及深度、沟通能力、合作能力、关注企业内外部的客户满意度、对企业</w:t>
      </w:r>
      <w:r>
        <w:rPr/>
        <w:t> 文化的认同及忠诚。对某些单一业务技能强化训练。</w:t>
      </w:r>
    </w:p>
    <w:p>
      <w:pPr>
        <w:pStyle w:val="BodyText"/>
        <w:spacing w:line="300" w:lineRule="auto" w:before="19"/>
        <w:ind w:left="514" w:right="2072"/>
        <w:jc w:val="left"/>
      </w:pPr>
      <w:r>
        <w:rPr>
          <w:rFonts w:ascii="Times New Roman" w:hAnsi="Times New Roman" w:cs="Times New Roman" w:eastAsia="Times New Roman" w:hint="default"/>
        </w:rPr>
        <w:t>D.</w:t>
      </w:r>
      <w:r>
        <w:rPr/>
        <w:t>新员工 培训要点：熟悉、了解、认同公司，对企业文化、管理制度、工作流程、组织业务范围的培训</w:t>
      </w:r>
    </w:p>
    <w:p>
      <w:pPr>
        <w:spacing w:line="240" w:lineRule="auto" w:before="6"/>
        <w:rPr>
          <w:rFonts w:ascii="宋体" w:hAnsi="宋体" w:cs="宋体" w:eastAsia="宋体" w:hint="default"/>
          <w:sz w:val="23"/>
          <w:szCs w:val="23"/>
        </w:rPr>
      </w:pPr>
    </w:p>
    <w:p>
      <w:pPr>
        <w:pStyle w:val="Heading4"/>
        <w:spacing w:line="240" w:lineRule="auto"/>
        <w:ind w:right="92"/>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469"/>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2"/>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2" w:firstLine="360"/>
        <w:jc w:val="left"/>
      </w:pPr>
      <w:r>
        <w:rPr/>
        <w:t>根据《公司法》、《证券法》、《深圳证券交易所创业板上市公司规范运作指引》等法律、法规和规范性文件的规定， </w:t>
      </w:r>
      <w:r>
        <w:rPr>
          <w:spacing w:val="-2"/>
        </w:rPr>
        <w:t>本公司建立了由股东大会、董事会、监事会和高级管理人员组成的公司治理架构，形成了权力机构、决策机构、监督机构和</w:t>
      </w:r>
      <w:r>
        <w:rPr>
          <w:spacing w:val="-66"/>
        </w:rPr>
        <w:t> </w:t>
      </w:r>
      <w:r>
        <w:rPr>
          <w:spacing w:val="-66"/>
        </w:rPr>
      </w:r>
      <w:r>
        <w:rPr/>
        <w:t>管理层之间权责明确、运作规范的相互协调和相互制衡机制。</w:t>
      </w:r>
    </w:p>
    <w:p>
      <w:pPr>
        <w:pStyle w:val="BodyText"/>
        <w:spacing w:line="300" w:lineRule="auto" w:before="19"/>
        <w:ind w:right="192" w:firstLine="360"/>
        <w:jc w:val="both"/>
      </w:pPr>
      <w:r>
        <w:rPr>
          <w:spacing w:val="-2"/>
        </w:rPr>
        <w:t>股份公司设立之初，公司未聘请独立董事。为提升公司治理水平，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月，公司聘请了</w:t>
      </w:r>
      <w:r>
        <w:rPr>
          <w:rFonts w:ascii="Times New Roman" w:hAnsi="Times New Roman" w:cs="Times New Roman" w:eastAsia="Times New Roman" w:hint="default"/>
          <w:spacing w:val="-2"/>
        </w:rPr>
        <w:t>3</w:t>
      </w:r>
      <w:r>
        <w:rPr>
          <w:spacing w:val="-2"/>
        </w:rPr>
        <w:t>名独立董事，参与公司重大</w:t>
      </w:r>
      <w:r>
        <w:rPr/>
        <w:t> 决策，在公司法人治理结构的完善与规范化运作等方面发挥了积极的作用。</w:t>
      </w:r>
    </w:p>
    <w:p>
      <w:pPr>
        <w:pStyle w:val="BodyText"/>
        <w:spacing w:line="240" w:lineRule="auto" w:before="31"/>
        <w:ind w:left="514" w:right="92"/>
        <w:jc w:val="left"/>
      </w:pPr>
      <w:r>
        <w:rPr>
          <w:spacing w:val="-4"/>
        </w:rPr>
        <w:t>根据相关法律、法规及规范性文件的规定，本公司制定了《公司章程》、《股东大会议事规则》、《董事会议事规则》、</w:t>
      </w:r>
    </w:p>
    <w:p>
      <w:pPr>
        <w:pStyle w:val="BodyText"/>
        <w:spacing w:line="316" w:lineRule="auto" w:before="76"/>
        <w:ind w:right="191"/>
        <w:jc w:val="both"/>
      </w:pPr>
      <w:r>
        <w:rPr>
          <w:spacing w:val="-2"/>
        </w:rPr>
        <w:t>《监事会议事规则》、《总经理工作细则》、《独立董事工作制度》、《董事会秘书工作制度》等规章制度，为公司治理的</w:t>
      </w:r>
      <w:r>
        <w:rPr>
          <w:spacing w:val="-71"/>
        </w:rPr>
        <w:t> </w:t>
      </w:r>
      <w:r>
        <w:rPr>
          <w:spacing w:val="-71"/>
        </w:rPr>
      </w:r>
      <w:r>
        <w:rPr>
          <w:spacing w:val="-2"/>
        </w:rPr>
        <w:t>规范化运行进一步提供了制度保证。公司董事会设立了审计委员会、提名委员会、薪酬与考核委员会、战略委员会四个专门</w:t>
      </w:r>
      <w:r>
        <w:rPr>
          <w:spacing w:val="-66"/>
        </w:rPr>
        <w:t> </w:t>
      </w:r>
      <w:r>
        <w:rPr>
          <w:spacing w:val="-66"/>
        </w:rPr>
      </w:r>
      <w:r>
        <w:rPr/>
        <w:t>委员会，并制订了相应的议事规则，明确了权责和决策程序。</w:t>
      </w:r>
    </w:p>
    <w:p>
      <w:pPr>
        <w:pStyle w:val="BodyText"/>
        <w:spacing w:line="240" w:lineRule="auto" w:before="19"/>
        <w:ind w:left="514" w:right="92"/>
        <w:jc w:val="left"/>
      </w:pPr>
      <w:r>
        <w:rPr/>
        <w:t>报告期，公司已建立了完善的法人治理结构，各项规章制度已建立健全，并得到有效执行。</w:t>
      </w:r>
    </w:p>
    <w:p>
      <w:pPr>
        <w:pStyle w:val="BodyText"/>
        <w:spacing w:line="316" w:lineRule="auto" w:before="76"/>
        <w:ind w:left="514" w:right="92" w:firstLine="1"/>
        <w:jc w:val="left"/>
      </w:pPr>
      <w:r>
        <w:rPr>
          <w:rFonts w:ascii="宋体" w:hAnsi="宋体" w:cs="宋体" w:eastAsia="宋体" w:hint="default"/>
          <w:b/>
          <w:bCs/>
        </w:rPr>
        <w:t>（一）股东大会</w:t>
      </w:r>
      <w:r>
        <w:rPr>
          <w:rFonts w:ascii="宋体" w:hAnsi="宋体" w:cs="宋体" w:eastAsia="宋体" w:hint="default"/>
          <w:b/>
          <w:bCs/>
          <w:w w:val="99"/>
        </w:rPr>
        <w:t> </w:t>
      </w:r>
      <w:r>
        <w:rPr>
          <w:spacing w:val="-2"/>
        </w:rPr>
        <w:t>报告期，公司股东依法履行股东义务、行使股东权利。历次股东大会的召集、召开、表决程序合法，决议合法有效，会</w:t>
      </w:r>
    </w:p>
    <w:p>
      <w:pPr>
        <w:pStyle w:val="BodyText"/>
        <w:spacing w:line="240" w:lineRule="auto" w:before="19"/>
        <w:ind w:right="92"/>
        <w:jc w:val="left"/>
      </w:pPr>
      <w:r>
        <w:rPr/>
        <w:t>议记录规范。不存在董事会或高级管理人员违反《公司法》及其他规定行使职权的情形。</w:t>
      </w:r>
    </w:p>
    <w:p>
      <w:pPr>
        <w:pStyle w:val="BodyText"/>
        <w:spacing w:line="316" w:lineRule="auto" w:before="76"/>
        <w:ind w:left="514" w:right="92" w:firstLine="1"/>
        <w:jc w:val="left"/>
      </w:pPr>
      <w:r>
        <w:rPr>
          <w:rFonts w:ascii="宋体" w:hAnsi="宋体" w:cs="宋体" w:eastAsia="宋体" w:hint="default"/>
          <w:b/>
          <w:bCs/>
        </w:rPr>
        <w:t>（二）董事会</w:t>
      </w:r>
      <w:r>
        <w:rPr>
          <w:rFonts w:ascii="宋体" w:hAnsi="宋体" w:cs="宋体" w:eastAsia="宋体" w:hint="default"/>
          <w:b/>
          <w:bCs/>
          <w:w w:val="99"/>
        </w:rPr>
        <w:t> </w:t>
      </w:r>
      <w:r>
        <w:rPr>
          <w:spacing w:val="-4"/>
        </w:rPr>
        <w:t>报告期，公司历次董事会会议严格按照《公司章程》规定的职权范围对公司各项事务进行了讨论决策，并形成有效决议。</w:t>
      </w:r>
    </w:p>
    <w:p>
      <w:pPr>
        <w:pStyle w:val="BodyText"/>
        <w:spacing w:line="240" w:lineRule="auto" w:before="19"/>
        <w:ind w:right="92"/>
        <w:jc w:val="left"/>
      </w:pPr>
      <w:r>
        <w:rPr>
          <w:spacing w:val="-4"/>
        </w:rPr>
        <w:t>历次会议通知、召开、表决方式符合《公司法》和《公司章程》的规定，会议记录完整规范。董事会依法履行了《公司法》、</w:t>
      </w:r>
    </w:p>
    <w:p>
      <w:pPr>
        <w:pStyle w:val="BodyText"/>
        <w:spacing w:line="240" w:lineRule="auto" w:before="77"/>
        <w:ind w:right="92"/>
        <w:jc w:val="left"/>
      </w:pPr>
      <w:r>
        <w:rPr/>
        <w:t>《公司章程》赋予的权利和义务，董事会制度运行良好，不存在违反相关法律、法规行使职权的行为。</w:t>
      </w:r>
    </w:p>
    <w:p>
      <w:pPr>
        <w:pStyle w:val="BodyText"/>
        <w:spacing w:line="316" w:lineRule="auto" w:before="76"/>
        <w:ind w:left="514" w:right="92" w:firstLine="1"/>
        <w:jc w:val="left"/>
      </w:pPr>
      <w:r>
        <w:rPr>
          <w:rFonts w:ascii="宋体" w:hAnsi="宋体" w:cs="宋体" w:eastAsia="宋体" w:hint="default"/>
          <w:b/>
          <w:bCs/>
        </w:rPr>
        <w:t>（三）监事会</w:t>
      </w:r>
      <w:r>
        <w:rPr>
          <w:rFonts w:ascii="宋体" w:hAnsi="宋体" w:cs="宋体" w:eastAsia="宋体" w:hint="default"/>
          <w:b/>
          <w:bCs/>
          <w:w w:val="99"/>
        </w:rPr>
        <w:t> </w:t>
      </w:r>
      <w:r>
        <w:rPr>
          <w:spacing w:val="-2"/>
        </w:rPr>
        <w:t>报告期，公司历次监事会会议的召集、提案、出席、议事、表决、决议及会议记录均按照《公司法》、《公司章程》的</w:t>
      </w:r>
    </w:p>
    <w:p>
      <w:pPr>
        <w:pStyle w:val="BodyText"/>
        <w:spacing w:line="316" w:lineRule="auto" w:before="19"/>
        <w:ind w:right="92"/>
        <w:jc w:val="left"/>
      </w:pPr>
      <w:r>
        <w:rPr>
          <w:spacing w:val="-2"/>
        </w:rPr>
        <w:t>要求规范运作，对公司财务状况、董事会运作情况、董事及高级管理人员履职行为情况、公司主要管理制度的制订与执行和</w:t>
      </w:r>
      <w:r>
        <w:rPr>
          <w:spacing w:val="-66"/>
        </w:rPr>
        <w:t> </w:t>
      </w:r>
      <w:r>
        <w:rPr>
          <w:spacing w:val="-66"/>
        </w:rPr>
      </w:r>
      <w:r>
        <w:rPr/>
        <w:t>公司对外投资项目等重大事宜实施了有效监督，不存在违反相关法律、法规行使职权的行为。</w:t>
      </w:r>
    </w:p>
    <w:p>
      <w:pPr>
        <w:pStyle w:val="BodyText"/>
        <w:spacing w:line="316" w:lineRule="auto" w:before="19"/>
        <w:ind w:left="514" w:right="92" w:firstLine="1"/>
        <w:jc w:val="left"/>
      </w:pPr>
      <w:r>
        <w:rPr>
          <w:rFonts w:ascii="宋体" w:hAnsi="宋体" w:cs="宋体" w:eastAsia="宋体" w:hint="default"/>
          <w:b/>
          <w:bCs/>
        </w:rPr>
        <w:t>（四）独立董事制度</w:t>
      </w:r>
      <w:r>
        <w:rPr>
          <w:rFonts w:ascii="宋体" w:hAnsi="宋体" w:cs="宋体" w:eastAsia="宋体" w:hint="default"/>
          <w:b/>
          <w:bCs/>
          <w:w w:val="99"/>
        </w:rPr>
        <w:t> </w:t>
      </w:r>
      <w:r>
        <w:rPr>
          <w:spacing w:val="-2"/>
        </w:rPr>
        <w:t>为进一步完善公司的法人治理结构及公司董事会结构，促进公司的规范运作，</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日，公司召开</w:t>
      </w:r>
      <w:r>
        <w:rPr>
          <w:rFonts w:ascii="Times New Roman" w:hAnsi="Times New Roman" w:cs="Times New Roman" w:eastAsia="Times New Roman" w:hint="default"/>
          <w:spacing w:val="-2"/>
        </w:rPr>
        <w:t>2015</w:t>
      </w:r>
      <w:r>
        <w:rPr>
          <w:spacing w:val="-2"/>
        </w:rPr>
        <w:t>年第二次临</w:t>
      </w:r>
    </w:p>
    <w:p>
      <w:pPr>
        <w:pStyle w:val="BodyText"/>
        <w:spacing w:line="300" w:lineRule="auto"/>
        <w:ind w:right="92"/>
        <w:jc w:val="left"/>
      </w:pPr>
      <w:r>
        <w:rPr>
          <w:spacing w:val="-2"/>
        </w:rPr>
        <w:t>时股东大会，审议通过了《独立董事工作制度》。公司</w:t>
      </w:r>
      <w:r>
        <w:rPr>
          <w:rFonts w:ascii="Times New Roman" w:hAnsi="Times New Roman" w:cs="Times New Roman" w:eastAsia="Times New Roman" w:hint="default"/>
          <w:spacing w:val="-2"/>
        </w:rPr>
        <w:t>2017</w:t>
      </w:r>
      <w:r>
        <w:rPr>
          <w:spacing w:val="-2"/>
        </w:rPr>
        <w:t>年度独立董事为张顺和、王正鹏和徐轶尊。其中张顺和为会计专</w:t>
      </w:r>
      <w:r>
        <w:rPr>
          <w:spacing w:val="-64"/>
        </w:rPr>
        <w:t> </w:t>
      </w:r>
      <w:r>
        <w:rPr>
          <w:spacing w:val="-64"/>
        </w:rPr>
      </w:r>
      <w:r>
        <w:rPr/>
        <w:t>业人士。</w:t>
      </w:r>
    </w:p>
    <w:p>
      <w:pPr>
        <w:pStyle w:val="BodyText"/>
        <w:spacing w:line="316" w:lineRule="auto" w:before="31"/>
        <w:ind w:right="192" w:firstLine="360"/>
        <w:jc w:val="both"/>
      </w:pPr>
      <w:r>
        <w:rPr>
          <w:spacing w:val="-2"/>
        </w:rPr>
        <w:t>自独立董事聘任以来，本公司独立董事严格依据有关法律、法规、《公司章程》及《独立董事工作制度》的规定，独立</w:t>
      </w:r>
      <w:r>
        <w:rPr/>
        <w:t> </w:t>
      </w:r>
      <w:r>
        <w:rPr>
          <w:spacing w:val="-2"/>
        </w:rPr>
        <w:t>履职、勤勉尽责，及时了解公司经营、积极参与公司决策，在公司重大决策、法人治理结构的完善与规范化运作等方面发挥</w:t>
      </w:r>
      <w:r>
        <w:rPr>
          <w:spacing w:val="-66"/>
        </w:rPr>
        <w:t> </w:t>
      </w:r>
      <w:r>
        <w:rPr>
          <w:spacing w:val="-66"/>
        </w:rPr>
      </w:r>
      <w:r>
        <w:rPr/>
        <w:t>了积极的作用。</w:t>
      </w:r>
    </w:p>
    <w:p>
      <w:pPr>
        <w:pStyle w:val="BodyText"/>
        <w:spacing w:line="316" w:lineRule="auto" w:before="19"/>
        <w:ind w:left="514" w:right="92" w:firstLine="1"/>
        <w:jc w:val="left"/>
      </w:pPr>
      <w:r>
        <w:rPr>
          <w:rFonts w:ascii="宋体" w:hAnsi="宋体" w:cs="宋体" w:eastAsia="宋体" w:hint="default"/>
          <w:b/>
          <w:bCs/>
        </w:rPr>
        <w:t>（五）董事会秘书制度</w:t>
      </w:r>
      <w:r>
        <w:rPr>
          <w:rFonts w:ascii="宋体" w:hAnsi="宋体" w:cs="宋体" w:eastAsia="宋体" w:hint="default"/>
          <w:b/>
          <w:bCs/>
          <w:w w:val="99"/>
        </w:rPr>
        <w:t> </w:t>
      </w:r>
      <w:r>
        <w:rPr>
          <w:spacing w:val="-2"/>
        </w:rPr>
        <w:t>公司制定了《董事会秘书工作细则》，经公司第一届董事会第一次会议决议，由宾卫女士担任公司董事会秘书。自董事</w:t>
      </w:r>
    </w:p>
    <w:p>
      <w:pPr>
        <w:pStyle w:val="BodyText"/>
        <w:spacing w:line="316" w:lineRule="auto" w:before="19"/>
        <w:ind w:right="92"/>
        <w:jc w:val="left"/>
      </w:pPr>
      <w:r>
        <w:rPr>
          <w:spacing w:val="-2"/>
        </w:rPr>
        <w:t>会秘书聘任以来，严格依据有关法律、法规、《公司章程》和《董事会秘书工作细则》的规定，积极负责筹备并出席了历次</w:t>
      </w:r>
      <w:r>
        <w:rPr>
          <w:spacing w:val="-67"/>
        </w:rPr>
        <w:t> </w:t>
      </w:r>
      <w:r>
        <w:rPr>
          <w:spacing w:val="-67"/>
        </w:rPr>
      </w:r>
      <w:r>
        <w:rPr>
          <w:spacing w:val="-2"/>
        </w:rPr>
        <w:t>股东大会、董事会，确保了公司董事会和股东大会依法召开、依法行使职权；历次股东大会、董事会召开前，董事会秘书均</w:t>
      </w:r>
      <w:r>
        <w:rPr>
          <w:spacing w:val="-68"/>
        </w:rPr>
        <w:t> </w:t>
      </w:r>
      <w:r>
        <w:rPr>
          <w:spacing w:val="-68"/>
        </w:rPr>
      </w:r>
      <w:r>
        <w:rPr/>
        <w:t>及时为股东、董事提供会议材料、会议通知等相关文件，较好地履行了相关职责。董事会秘书在公司法人治理结构的完善、 与监管部门和股东的沟通协调、管理制度的制定等方面亦发挥了重大作用。</w:t>
      </w:r>
    </w:p>
    <w:p>
      <w:pPr>
        <w:pStyle w:val="Heading6"/>
        <w:spacing w:line="240" w:lineRule="auto" w:before="19"/>
        <w:ind w:right="92"/>
        <w:jc w:val="left"/>
        <w:rPr>
          <w:b w:val="0"/>
          <w:bCs w:val="0"/>
        </w:rPr>
      </w:pPr>
      <w:r>
        <w:rPr/>
        <w:t>（六）董事会专门委员会</w:t>
      </w:r>
      <w:r>
        <w:rPr>
          <w:b w:val="0"/>
          <w:bCs w:val="0"/>
        </w:rPr>
      </w:r>
    </w:p>
    <w:p>
      <w:pPr>
        <w:pStyle w:val="BodyText"/>
        <w:spacing w:line="300" w:lineRule="auto" w:before="76"/>
        <w:ind w:right="19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日，公司第一届董事会第五次会议审议通过了《关于董事会设立战略、审计、薪酬与考核、提名委员会的 议案》，经</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2</w:t>
      </w:r>
      <w:r>
        <w:rPr/>
        <w:t>次临时股东大会决议，公司董事会决定下设战略委员会、审计委员会、提名委员会、薪酬与考核委员</w:t>
      </w:r>
      <w:r>
        <w:rPr>
          <w:spacing w:val="-83"/>
        </w:rPr>
        <w:t> </w:t>
      </w:r>
      <w:r>
        <w:rPr>
          <w:spacing w:val="-83"/>
        </w:rPr>
      </w:r>
      <w:r>
        <w:rPr>
          <w:spacing w:val="-2"/>
        </w:rPr>
        <w:t>会四个专门委员会。专门委员会是董事会下设的专门工作机构，对董事会负责，在董事会授权下开展工作，为董事会的决策</w:t>
      </w:r>
    </w:p>
    <w:p>
      <w:pPr>
        <w:spacing w:after="0" w:line="300"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240" w:lineRule="auto" w:before="44"/>
        <w:ind w:right="92"/>
        <w:jc w:val="left"/>
      </w:pPr>
      <w:r>
        <w:rPr/>
        <w:t>提供咨询意见，并向董事会提交工作报告。</w:t>
      </w:r>
    </w:p>
    <w:p>
      <w:pPr>
        <w:pStyle w:val="BodyText"/>
        <w:spacing w:line="240" w:lineRule="auto" w:before="76"/>
        <w:ind w:left="514" w:right="92"/>
        <w:jc w:val="left"/>
      </w:pPr>
      <w:r>
        <w:rPr>
          <w:rFonts w:ascii="Times New Roman" w:hAnsi="Times New Roman" w:cs="Times New Roman" w:eastAsia="Times New Roman" w:hint="default"/>
        </w:rPr>
        <w:t>2017</w:t>
      </w:r>
      <w:r>
        <w:rPr/>
        <w:t>年度董事会各专门委员会现任委员名单如下：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510"/>
        <w:gridCol w:w="3118"/>
        <w:gridCol w:w="2963"/>
      </w:tblGrid>
      <w:tr>
        <w:trPr>
          <w:trHeight w:val="347" w:hRule="exact"/>
        </w:trPr>
        <w:tc>
          <w:tcPr>
            <w:tcW w:w="3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1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010"/>
              <w:jc w:val="right"/>
              <w:rPr>
                <w:rFonts w:ascii="宋体" w:hAnsi="宋体" w:cs="宋体" w:eastAsia="宋体" w:hint="default"/>
                <w:sz w:val="18"/>
                <w:szCs w:val="18"/>
              </w:rPr>
            </w:pPr>
            <w:r>
              <w:rPr>
                <w:rFonts w:ascii="宋体" w:hAnsi="宋体" w:cs="宋体" w:eastAsia="宋体" w:hint="default"/>
                <w:sz w:val="18"/>
                <w:szCs w:val="18"/>
              </w:rPr>
              <w:t>主任委员</w:t>
            </w:r>
          </w:p>
        </w:tc>
        <w:tc>
          <w:tcPr>
            <w:tcW w:w="2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委员</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战略委员会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00"/>
              <w:jc w:val="right"/>
              <w:rPr>
                <w:rFonts w:ascii="宋体" w:hAnsi="宋体" w:cs="宋体" w:eastAsia="宋体" w:hint="default"/>
                <w:sz w:val="18"/>
                <w:szCs w:val="18"/>
              </w:rPr>
            </w:pPr>
            <w:r>
              <w:rPr>
                <w:rFonts w:ascii="宋体" w:hAnsi="宋体" w:cs="宋体" w:eastAsia="宋体" w:hint="default"/>
                <w:sz w:val="18"/>
                <w:szCs w:val="18"/>
              </w:rPr>
              <w:t>张秀兵</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2"/>
              <w:jc w:val="right"/>
              <w:rPr>
                <w:rFonts w:ascii="宋体" w:hAnsi="宋体" w:cs="宋体" w:eastAsia="宋体" w:hint="default"/>
                <w:sz w:val="18"/>
                <w:szCs w:val="18"/>
              </w:rPr>
            </w:pPr>
            <w:r>
              <w:rPr>
                <w:rFonts w:ascii="宋体" w:hAnsi="宋体" w:cs="宋体" w:eastAsia="宋体" w:hint="default"/>
                <w:sz w:val="18"/>
                <w:szCs w:val="18"/>
              </w:rPr>
              <w:t>徐轶尊、王正鹏</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提名委员会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00"/>
              <w:jc w:val="right"/>
              <w:rPr>
                <w:rFonts w:ascii="宋体" w:hAnsi="宋体" w:cs="宋体" w:eastAsia="宋体" w:hint="default"/>
                <w:sz w:val="18"/>
                <w:szCs w:val="18"/>
              </w:rPr>
            </w:pPr>
            <w:r>
              <w:rPr>
                <w:rFonts w:ascii="宋体" w:hAnsi="宋体" w:cs="宋体" w:eastAsia="宋体" w:hint="default"/>
                <w:sz w:val="18"/>
                <w:szCs w:val="18"/>
              </w:rPr>
              <w:t>王正鹏</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2"/>
              <w:jc w:val="right"/>
              <w:rPr>
                <w:rFonts w:ascii="宋体" w:hAnsi="宋体" w:cs="宋体" w:eastAsia="宋体" w:hint="default"/>
                <w:sz w:val="18"/>
                <w:szCs w:val="18"/>
              </w:rPr>
            </w:pPr>
            <w:r>
              <w:rPr>
                <w:rFonts w:ascii="宋体" w:hAnsi="宋体" w:cs="宋体" w:eastAsia="宋体" w:hint="default"/>
                <w:sz w:val="18"/>
                <w:szCs w:val="18"/>
              </w:rPr>
              <w:t>张秀兵、徐轶尊</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审计委员会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00"/>
              <w:jc w:val="right"/>
              <w:rPr>
                <w:rFonts w:ascii="宋体" w:hAnsi="宋体" w:cs="宋体" w:eastAsia="宋体" w:hint="default"/>
                <w:sz w:val="18"/>
                <w:szCs w:val="18"/>
              </w:rPr>
            </w:pPr>
            <w:r>
              <w:rPr>
                <w:rFonts w:ascii="宋体" w:hAnsi="宋体" w:cs="宋体" w:eastAsia="宋体" w:hint="default"/>
                <w:sz w:val="18"/>
                <w:szCs w:val="18"/>
              </w:rPr>
              <w:t>张顺和</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2"/>
              <w:jc w:val="right"/>
              <w:rPr>
                <w:rFonts w:ascii="宋体" w:hAnsi="宋体" w:cs="宋体" w:eastAsia="宋体" w:hint="default"/>
                <w:sz w:val="18"/>
                <w:szCs w:val="18"/>
              </w:rPr>
            </w:pPr>
            <w:r>
              <w:rPr>
                <w:rFonts w:ascii="宋体" w:hAnsi="宋体" w:cs="宋体" w:eastAsia="宋体" w:hint="default"/>
                <w:sz w:val="18"/>
                <w:szCs w:val="18"/>
              </w:rPr>
              <w:t>闫贵忠、王正鹏</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宋体" w:hAnsi="宋体" w:cs="宋体" w:eastAsia="宋体" w:hint="default"/>
                <w:sz w:val="18"/>
                <w:szCs w:val="18"/>
              </w:rPr>
              <w:t>薪酬与考核委员会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00"/>
              <w:jc w:val="right"/>
              <w:rPr>
                <w:rFonts w:ascii="宋体" w:hAnsi="宋体" w:cs="宋体" w:eastAsia="宋体" w:hint="default"/>
                <w:sz w:val="18"/>
                <w:szCs w:val="18"/>
              </w:rPr>
            </w:pPr>
            <w:r>
              <w:rPr>
                <w:rFonts w:ascii="宋体" w:hAnsi="宋体" w:cs="宋体" w:eastAsia="宋体" w:hint="default"/>
                <w:sz w:val="18"/>
                <w:szCs w:val="18"/>
              </w:rPr>
              <w:t>张顺和</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2"/>
              <w:jc w:val="right"/>
              <w:rPr>
                <w:rFonts w:ascii="宋体" w:hAnsi="宋体" w:cs="宋体" w:eastAsia="宋体" w:hint="default"/>
                <w:sz w:val="18"/>
                <w:szCs w:val="18"/>
              </w:rPr>
            </w:pPr>
            <w:r>
              <w:rPr>
                <w:rFonts w:ascii="宋体" w:hAnsi="宋体" w:cs="宋体" w:eastAsia="宋体" w:hint="default"/>
                <w:sz w:val="18"/>
                <w:szCs w:val="18"/>
              </w:rPr>
              <w:t>宾卫、王正鹏</w:t>
            </w:r>
          </w:p>
        </w:tc>
      </w:tr>
    </w:tbl>
    <w:p>
      <w:pPr>
        <w:pStyle w:val="BodyText"/>
        <w:spacing w:line="240" w:lineRule="auto" w:before="10"/>
        <w:ind w:left="514" w:right="92"/>
        <w:jc w:val="left"/>
      </w:pPr>
      <w:r>
        <w:rPr/>
        <w:t>董事会各专门委员会自设立以来，运行情况良好。</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338" w:lineRule="auto" w:before="117"/>
        <w:ind w:right="2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2" w:firstLine="360"/>
        <w:jc w:val="left"/>
      </w:pPr>
      <w:r>
        <w:rPr>
          <w:spacing w:val="-4"/>
        </w:rPr>
        <w:t>公司成立以来，按照《公司法》和《公司章程》规范运作，逐步建立健全公司法人治理结构，业务、人员、资产、机构、</w:t>
      </w:r>
      <w:r>
        <w:rPr/>
        <w:t> 财务等方面均独立运营，具有完整的业务体系和面向市场自主经营的能力。</w:t>
      </w:r>
    </w:p>
    <w:p>
      <w:pPr>
        <w:pStyle w:val="BodyText"/>
        <w:spacing w:line="300" w:lineRule="auto" w:before="19"/>
        <w:ind w:left="514" w:right="92" w:firstLine="1"/>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99"/>
        </w:rPr>
        <w:t> </w:t>
      </w:r>
      <w:r>
        <w:rPr>
          <w:spacing w:val="-2"/>
        </w:rPr>
        <w:t>公司的业务完全独立于控股股东、实际控制人和实际控制人控制的其他企业，与其不存在同业竞争或显失公平的关联交</w:t>
      </w:r>
    </w:p>
    <w:p>
      <w:pPr>
        <w:pStyle w:val="BodyText"/>
        <w:spacing w:line="240" w:lineRule="auto" w:before="31"/>
        <w:ind w:right="0"/>
        <w:jc w:val="both"/>
      </w:pPr>
      <w:r>
        <w:rPr/>
        <w:t>易。同时，公司控股股东及实际控制人已向公司出具承诺函，承诺避免与公司发生同业竞争。</w:t>
      </w:r>
    </w:p>
    <w:p>
      <w:pPr>
        <w:pStyle w:val="BodyText"/>
        <w:spacing w:line="300" w:lineRule="auto" w:before="76"/>
        <w:ind w:left="514" w:right="92" w:firstLine="1"/>
        <w:jc w:val="left"/>
      </w:pP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spacing w:val="-2"/>
        </w:rPr>
        <w:t>公司董事、监事及高级管理人员均依《公司法》、《公司章程》等规定的合法程序选举或聘任，不存在超越董事会和股</w:t>
      </w:r>
    </w:p>
    <w:p>
      <w:pPr>
        <w:pStyle w:val="BodyText"/>
        <w:spacing w:line="316" w:lineRule="auto" w:before="31"/>
        <w:ind w:left="514" w:right="92" w:hanging="360"/>
        <w:jc w:val="left"/>
      </w:pPr>
      <w:r>
        <w:rPr/>
        <w:t>东大会作出人事任免决定的情况。 公司总经理、副总经理、财务负责人、董事会秘书等高级管理人员均专职于公司工作并领取报酬，不存在在控股股东、</w:t>
      </w:r>
    </w:p>
    <w:p>
      <w:pPr>
        <w:pStyle w:val="BodyText"/>
        <w:spacing w:line="316" w:lineRule="auto" w:before="19"/>
        <w:ind w:right="92"/>
        <w:jc w:val="left"/>
      </w:pPr>
      <w:r>
        <w:rPr>
          <w:spacing w:val="-2"/>
        </w:rPr>
        <w:t>实际控制人及其控制的其他企业担任除董事、监事以外的其他职务或领薪的情况。公司财务人员不存在在控股股东、实际控</w:t>
      </w:r>
      <w:r>
        <w:rPr>
          <w:spacing w:val="-66"/>
        </w:rPr>
        <w:t> </w:t>
      </w:r>
      <w:r>
        <w:rPr>
          <w:spacing w:val="-66"/>
        </w:rPr>
      </w:r>
      <w:r>
        <w:rPr/>
        <w:t>制人及其控制的其他企业中兼职的情形。</w:t>
      </w:r>
    </w:p>
    <w:p>
      <w:pPr>
        <w:pStyle w:val="BodyText"/>
        <w:spacing w:line="300" w:lineRule="auto" w:before="19"/>
        <w:ind w:left="514" w:right="1712" w:firstLine="1"/>
        <w:jc w:val="left"/>
      </w:pPr>
      <w:r>
        <w:rPr>
          <w:rFonts w:ascii="Times New Roman" w:hAnsi="Times New Roman" w:cs="Times New Roman" w:eastAsia="Times New Roman" w:hint="default"/>
          <w:b/>
          <w:bCs/>
        </w:rPr>
        <w:t>3</w:t>
      </w:r>
      <w:r>
        <w:rPr>
          <w:rFonts w:ascii="宋体" w:hAnsi="宋体" w:cs="宋体" w:eastAsia="宋体" w:hint="default"/>
          <w:b/>
          <w:bCs/>
        </w:rPr>
        <w:t>、资产完整</w:t>
      </w:r>
      <w:r>
        <w:rPr>
          <w:rFonts w:ascii="宋体" w:hAnsi="宋体" w:cs="宋体" w:eastAsia="宋体" w:hint="default"/>
          <w:b/>
          <w:bCs/>
          <w:w w:val="99"/>
        </w:rPr>
        <w:t> </w:t>
      </w:r>
      <w:r>
        <w:rPr/>
        <w:t>公司拥有独立于发起人股东的生产经营场所，拥有独立完整的与经营有关的业务体系和相关资产。</w:t>
      </w:r>
    </w:p>
    <w:p>
      <w:pPr>
        <w:pStyle w:val="BodyText"/>
        <w:spacing w:line="316" w:lineRule="auto" w:before="31"/>
        <w:ind w:right="92" w:firstLine="360"/>
        <w:jc w:val="left"/>
      </w:pPr>
      <w:r>
        <w:rPr>
          <w:spacing w:val="-2"/>
        </w:rPr>
        <w:t>公司对所有资产拥有完全的控制和支配权，不存在资金、资产被控股股东、实际控制人及其控制的其他企业占用而损害</w:t>
      </w:r>
      <w:r>
        <w:rPr/>
        <w:t> 公司利益的情况，也不存在公司为股东和其他个人违规提供担保的情形。</w:t>
      </w:r>
    </w:p>
    <w:p>
      <w:pPr>
        <w:pStyle w:val="BodyText"/>
        <w:spacing w:line="300" w:lineRule="auto" w:before="19"/>
        <w:ind w:left="514" w:right="92" w:firstLine="1"/>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2"/>
        </w:rPr>
        <w:t>公司依照《公司法》等有关法律法规和《公司章程》建立了以股东大会为权力机构、董事会为决策机构、监事会为监督</w:t>
      </w:r>
    </w:p>
    <w:p>
      <w:pPr>
        <w:pStyle w:val="BodyText"/>
        <w:spacing w:line="316" w:lineRule="auto" w:before="31"/>
        <w:ind w:right="193"/>
        <w:jc w:val="both"/>
      </w:pPr>
      <w:r>
        <w:rPr>
          <w:spacing w:val="-2"/>
        </w:rPr>
        <w:t>机构、经理层为执行机构的法人治理结构。公司拥有独立于控股股东和实际控制人的经营和办公场所，所有的组织机构均不</w:t>
      </w:r>
      <w:r>
        <w:rPr>
          <w:spacing w:val="-66"/>
        </w:rPr>
        <w:t> </w:t>
      </w:r>
      <w:r>
        <w:rPr>
          <w:spacing w:val="-66"/>
        </w:rPr>
      </w:r>
      <w:r>
        <w:rPr>
          <w:spacing w:val="-2"/>
        </w:rPr>
        <w:t>存在与控股股东、实际控制人及其控制的其他企业混合经营、合署办公的情况，机构设置和生产经营活动不存在受控股股东</w:t>
      </w:r>
      <w:r>
        <w:rPr>
          <w:spacing w:val="-66"/>
        </w:rPr>
        <w:t> </w:t>
      </w:r>
      <w:r>
        <w:rPr>
          <w:spacing w:val="-66"/>
        </w:rPr>
      </w:r>
      <w:r>
        <w:rPr/>
        <w:t>及其他单位或个人干预的情形。</w:t>
      </w:r>
    </w:p>
    <w:p>
      <w:pPr>
        <w:pStyle w:val="BodyText"/>
        <w:spacing w:line="300" w:lineRule="auto" w:before="19"/>
        <w:ind w:left="514" w:right="92" w:firstLine="1"/>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99"/>
        </w:rPr>
        <w:t> </w:t>
      </w:r>
      <w:r>
        <w:rPr>
          <w:spacing w:val="-2"/>
        </w:rPr>
        <w:t>公司设有独立的财务部门。公司根据现行法律法规，结合公司实际，制定了财务管理制度，建立了独立完善的财务核算</w:t>
      </w:r>
    </w:p>
    <w:p>
      <w:pPr>
        <w:pStyle w:val="BodyText"/>
        <w:spacing w:line="316" w:lineRule="auto" w:before="31"/>
        <w:ind w:right="92"/>
        <w:jc w:val="left"/>
      </w:pPr>
      <w:r>
        <w:rPr>
          <w:spacing w:val="-2"/>
        </w:rPr>
        <w:t>体系。公司在银行开设了独立账户，独立支配自有资金和资产，公司独立对外签订合同，不存在与控股股东、实际控制人及</w:t>
      </w:r>
      <w:r>
        <w:rPr>
          <w:spacing w:val="-66"/>
        </w:rPr>
        <w:t> </w:t>
      </w:r>
      <w:r>
        <w:rPr>
          <w:spacing w:val="-66"/>
        </w:rPr>
      </w:r>
      <w:r>
        <w:rPr/>
        <w:t>其控制的其他企业共用银行账户的情形。公司作为独立的纳税人进行纳税申报及履行纳税义务。</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877" w:footer="979" w:top="1100" w:bottom="1160" w:left="980" w:right="940"/>
        </w:sectPr>
      </w:pPr>
    </w:p>
    <w:p>
      <w:pPr>
        <w:spacing w:line="240" w:lineRule="auto" w:before="8"/>
        <w:rPr>
          <w:rFonts w:ascii="宋体" w:hAnsi="宋体" w:cs="宋体" w:eastAsia="宋体" w:hint="default"/>
          <w:sz w:val="19"/>
          <w:szCs w:val="19"/>
        </w:rPr>
      </w:pPr>
    </w:p>
    <w:p>
      <w:pPr>
        <w:pStyle w:val="Heading3"/>
        <w:spacing w:line="240" w:lineRule="auto" w:before="26"/>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098"/>
        <w:gridCol w:w="1594"/>
        <w:gridCol w:w="1594"/>
        <w:gridCol w:w="159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3" w:right="92"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张顺和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707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5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5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42"/>
        <w:ind w:left="514" w:right="0"/>
        <w:jc w:val="left"/>
      </w:pPr>
      <w:r>
        <w:rPr/>
        <w:t>报告期内，公司全体独立董事根据《公司法》、《证券法》、《关于在上市公司建立独立董事的指导意见》、《深圳证</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92"/>
        <w:jc w:val="left"/>
      </w:pPr>
      <w:r>
        <w:rPr>
          <w:spacing w:val="-2"/>
        </w:rPr>
        <w:t>券交易所股票上市规则》等法律、法规、行政规则及《公司章程》、《公司独立董事工作细则》等规章制度的相关要求，勤</w:t>
      </w:r>
      <w:r>
        <w:rPr>
          <w:spacing w:val="-68"/>
        </w:rPr>
        <w:t> </w:t>
      </w:r>
      <w:r>
        <w:rPr>
          <w:spacing w:val="-68"/>
        </w:rPr>
      </w:r>
      <w:r>
        <w:rPr>
          <w:spacing w:val="-4"/>
        </w:rPr>
        <w:t>勉尽责，积极出席公司董事会会议，对会议议案进行认真研究审议；积极与公司高管沟通，了解掌握公司各方面的经营信息，</w:t>
      </w:r>
      <w:r>
        <w:rPr>
          <w:spacing w:val="-46"/>
        </w:rPr>
        <w:t> </w:t>
      </w:r>
      <w:r>
        <w:rPr>
          <w:spacing w:val="-46"/>
        </w:rPr>
      </w:r>
      <w:r>
        <w:rPr>
          <w:spacing w:val="-2"/>
        </w:rPr>
        <w:t>并运用各自的专业知识就重大事项进行客观公正评价，并及时发表独立意见，充分发挥独立董事的作用，有效地提高董事会</w:t>
      </w:r>
      <w:r>
        <w:rPr>
          <w:spacing w:val="-66"/>
        </w:rPr>
        <w:t> </w:t>
      </w:r>
      <w:r>
        <w:rPr>
          <w:spacing w:val="-66"/>
        </w:rPr>
      </w:r>
      <w:r>
        <w:rPr/>
        <w:t>决策的科学性和规范性，切实维护公司和全体股东的合法权益。</w:t>
      </w:r>
    </w:p>
    <w:p>
      <w:pPr>
        <w:spacing w:line="240" w:lineRule="auto" w:before="10"/>
        <w:rPr>
          <w:rFonts w:ascii="宋体" w:hAnsi="宋体" w:cs="宋体" w:eastAsia="宋体" w:hint="default"/>
          <w:sz w:val="20"/>
          <w:szCs w:val="20"/>
        </w:rPr>
      </w:pPr>
    </w:p>
    <w:p>
      <w:pPr>
        <w:pStyle w:val="Heading3"/>
        <w:spacing w:line="240" w:lineRule="auto"/>
        <w:ind w:right="92"/>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1" w:firstLine="360"/>
        <w:jc w:val="both"/>
      </w:pPr>
      <w:r>
        <w:rPr>
          <w:spacing w:val="-2"/>
        </w:rPr>
        <w:t>公司董事会设审计、提名、战略、薪酬与考核等四个专业委员会，并制定了《董事会审计委员会议事规则》、《董事会</w:t>
      </w:r>
      <w:r>
        <w:rPr/>
        <w:t> </w:t>
      </w:r>
      <w:r>
        <w:rPr>
          <w:spacing w:val="-2"/>
        </w:rPr>
        <w:t>提名委员会议事规则》、《董事会战略委员会议事规则》、《董事会薪酬与考核委员会议事规则》，各委员会按照各自议事</w:t>
      </w:r>
      <w:r>
        <w:rPr>
          <w:spacing w:val="-67"/>
        </w:rPr>
        <w:t> </w:t>
      </w:r>
      <w:r>
        <w:rPr>
          <w:spacing w:val="-67"/>
        </w:rPr>
      </w:r>
      <w:r>
        <w:rPr>
          <w:spacing w:val="-2"/>
        </w:rPr>
        <w:t>规则，对公司运作过程中出现的各自专业领域事项积极审议，向董事会提供专业意见。报告期内，各专门委员会积极审议有</w:t>
      </w:r>
      <w:r>
        <w:rPr>
          <w:spacing w:val="-66"/>
        </w:rPr>
        <w:t> </w:t>
      </w:r>
      <w:r>
        <w:rPr>
          <w:spacing w:val="-66"/>
        </w:rPr>
      </w:r>
      <w:r>
        <w:rPr/>
        <w:t>关事项，提供的专业意见对董事会起到了有益的参考作用。</w:t>
      </w:r>
    </w:p>
    <w:p>
      <w:pPr>
        <w:pStyle w:val="BodyText"/>
        <w:spacing w:line="316" w:lineRule="auto" w:before="19"/>
        <w:ind w:right="192" w:firstLine="360"/>
        <w:jc w:val="both"/>
      </w:pPr>
      <w:r>
        <w:rPr>
          <w:spacing w:val="-2"/>
        </w:rPr>
        <w:t>报告期内，审计委员会对公司的定期报告、财务管理制度、内部控制制度等事项进行讨论，并发表意见，对会计师事务</w:t>
      </w:r>
      <w:r>
        <w:rPr/>
        <w:t> </w:t>
      </w:r>
      <w:r>
        <w:rPr>
          <w:spacing w:val="-2"/>
        </w:rPr>
        <w:t>所审计工作进行督促情况，维护审计的独立性，督促和指导公司审计部门对公司财务管理运行情况进行定期和不定期的检查</w:t>
      </w:r>
      <w:r>
        <w:rPr>
          <w:spacing w:val="-64"/>
        </w:rPr>
        <w:t> </w:t>
      </w:r>
      <w:r>
        <w:rPr>
          <w:spacing w:val="-64"/>
        </w:rPr>
      </w:r>
      <w:r>
        <w:rPr/>
        <w:t>和评估，委员会认为公司内控制度体系符合法律、法规及《公司章程》的要求，适应当前公司实际情况的需要。</w:t>
      </w:r>
    </w:p>
    <w:p>
      <w:pPr>
        <w:pStyle w:val="BodyText"/>
        <w:spacing w:line="316" w:lineRule="auto" w:before="19"/>
        <w:ind w:left="514" w:right="92"/>
        <w:jc w:val="left"/>
      </w:pPr>
      <w:r>
        <w:rPr/>
        <w:t>提名委员会对独立董事候选人、副总经理候选人进行审议并向董事会提出建议。 </w:t>
      </w:r>
      <w:r>
        <w:rPr>
          <w:spacing w:val="-4"/>
        </w:rPr>
        <w:t>战略委员对公司的长期发展规划、经营目标、发展方针等进行研究并提出建议，并对重大投资方案和重大事项进行研究，</w:t>
      </w:r>
    </w:p>
    <w:p>
      <w:pPr>
        <w:pStyle w:val="BodyText"/>
        <w:spacing w:line="316" w:lineRule="auto" w:before="19"/>
        <w:ind w:left="514" w:right="92" w:hanging="360"/>
        <w:jc w:val="left"/>
      </w:pPr>
      <w:r>
        <w:rPr/>
        <w:t>向董事会提出建议。 </w:t>
      </w:r>
      <w:r>
        <w:rPr>
          <w:spacing w:val="-2"/>
        </w:rPr>
        <w:t>薪酬与考核委员对公司</w:t>
      </w:r>
      <w:r>
        <w:rPr>
          <w:rFonts w:ascii="Times New Roman" w:hAnsi="Times New Roman" w:cs="Times New Roman" w:eastAsia="Times New Roman" w:hint="default"/>
          <w:spacing w:val="-2"/>
        </w:rPr>
        <w:t>2017</w:t>
      </w:r>
      <w:r>
        <w:rPr>
          <w:spacing w:val="-2"/>
        </w:rPr>
        <w:t>年度董监高薪酬方案进行了审议并对董事、监事、高级管理人员薪酬进行评估与考核，根据</w:t>
      </w:r>
    </w:p>
    <w:p>
      <w:pPr>
        <w:pStyle w:val="BodyText"/>
        <w:spacing w:line="235" w:lineRule="exact"/>
        <w:ind w:right="92"/>
        <w:jc w:val="left"/>
      </w:pPr>
      <w:r>
        <w:rPr/>
        <w:t>公司整体经营业绩情况确定董事、高级管理人员的薪酬政策与方案。</w:t>
      </w:r>
    </w:p>
    <w:p>
      <w:pPr>
        <w:spacing w:line="240" w:lineRule="auto" w:before="2"/>
        <w:rPr>
          <w:rFonts w:ascii="宋体" w:hAnsi="宋体" w:cs="宋体" w:eastAsia="宋体" w:hint="default"/>
          <w:sz w:val="25"/>
          <w:szCs w:val="25"/>
        </w:rPr>
      </w:pPr>
    </w:p>
    <w:p>
      <w:pPr>
        <w:pStyle w:val="Heading3"/>
        <w:spacing w:line="240" w:lineRule="auto"/>
        <w:ind w:right="92"/>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监事会在报告期内的监督活动中发现公司是否存在风险</w:t>
      </w:r>
    </w:p>
    <w:p>
      <w:pPr>
        <w:pStyle w:val="BodyText"/>
        <w:spacing w:line="340" w:lineRule="auto" w:before="116"/>
        <w:ind w:right="63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3"/>
        <w:spacing w:line="240" w:lineRule="auto"/>
        <w:ind w:right="92"/>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360"/>
        <w:jc w:val="both"/>
      </w:pPr>
      <w:r>
        <w:rPr>
          <w:spacing w:val="-2"/>
        </w:rPr>
        <w:t>报告期内，公司已按照目标责任制管理办法对高级管理人员的工作能力、履职情况、责任目标完成情况等进行了考核和</w:t>
      </w:r>
      <w:r>
        <w:rPr/>
        <w:t> 评价，并已在年度绩效奖励的发放中予以体现。</w:t>
      </w:r>
    </w:p>
    <w:p>
      <w:pPr>
        <w:spacing w:line="240" w:lineRule="auto" w:before="10"/>
        <w:rPr>
          <w:rFonts w:ascii="宋体" w:hAnsi="宋体" w:cs="宋体" w:eastAsia="宋体" w:hint="default"/>
          <w:sz w:val="20"/>
          <w:szCs w:val="20"/>
        </w:rPr>
      </w:pPr>
    </w:p>
    <w:p>
      <w:pPr>
        <w:pStyle w:val="Heading3"/>
        <w:spacing w:line="240" w:lineRule="auto"/>
        <w:ind w:right="92"/>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92"/>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10"/>
        <w:rPr>
          <w:rFonts w:ascii="Times New Roman" w:hAnsi="Times New Roman" w:cs="Times New Roman" w:eastAsia="Times New Roman" w:hint="default"/>
          <w:sz w:val="27"/>
          <w:szCs w:val="27"/>
        </w:rPr>
      </w:pPr>
      <w:r>
        <w:rPr/>
        <w:pict>
          <v:group style="position:absolute;margin-left:383.980011pt;margin-top:189.439987pt;width:149.8pt;height:31.2pt;mso-position-horizontal-relative:page;mso-position-vertical-relative:page;z-index:-773080" coordorigin="7680,3789" coordsize="2996,624">
            <v:group style="position:absolute;left:7680;top:3789;width:2996;height:312" coordorigin="7680,3789" coordsize="2996,312">
              <v:shape style="position:absolute;left:7680;top:3789;width:2996;height:312" coordorigin="7680,3789" coordsize="2996,312" path="m7680,4101l10675,4101,10675,3789,7680,3789,7680,4101xe" filled="true" fillcolor="#ffffff" stroked="false">
                <v:path arrowok="t"/>
                <v:fill type="solid"/>
              </v:shape>
            </v:group>
            <v:group style="position:absolute;left:7680;top:4101;width:2996;height:312" coordorigin="7680,4101" coordsize="2996,312">
              <v:shape style="position:absolute;left:7680;top:4101;width:2996;height:312" coordorigin="7680,4101" coordsize="2996,312" path="m7680,4413l10675,4413,10675,4101,7680,4101,7680,4413xe" filled="true" fillcolor="#ffffff" stroked="false">
                <v:path arrowok="t"/>
                <v:fill type="solid"/>
              </v:shape>
            </v:group>
            <w10:wrap type="none"/>
          </v:group>
        </w:pict>
      </w:r>
      <w:r>
        <w:rPr/>
        <w:pict>
          <v:group style="position:absolute;margin-left:383.980011pt;margin-top:267.439972pt;width:149.8pt;height:31.2pt;mso-position-horizontal-relative:page;mso-position-vertical-relative:page;z-index:-773056" coordorigin="7680,5349" coordsize="2996,624">
            <v:group style="position:absolute;left:7680;top:5349;width:2996;height:312" coordorigin="7680,5349" coordsize="2996,312">
              <v:shape style="position:absolute;left:7680;top:5349;width:2996;height:312" coordorigin="7680,5349" coordsize="2996,312" path="m7680,5661l10675,5661,10675,5349,7680,5349,7680,5661xe" filled="true" fillcolor="#ffffff" stroked="false">
                <v:path arrowok="t"/>
                <v:fill type="solid"/>
              </v:shape>
            </v:group>
            <v:group style="position:absolute;left:7680;top:5661;width:2996;height:312" coordorigin="7680,5661" coordsize="2996,312">
              <v:shape style="position:absolute;left:7680;top:5661;width:2996;height:312" coordorigin="7680,5661" coordsize="2996,312" path="m7680,5973l10675,5973,10675,5661,7680,5661,7680,5973xe" filled="true" fillcolor="#ffffff" stroked="false">
                <v:path arrowok="t"/>
                <v:fill type="solid"/>
              </v:shape>
            </v:group>
            <w10:wrap type="none"/>
          </v:group>
        </w:pict>
      </w:r>
      <w:r>
        <w:rPr/>
        <w:pict>
          <v:group style="position:absolute;margin-left:383.980011pt;margin-top:423.459991pt;width:149.8pt;height:31.2pt;mso-position-horizontal-relative:page;mso-position-vertical-relative:page;z-index:-773032" coordorigin="7680,8469" coordsize="2996,624">
            <v:group style="position:absolute;left:7680;top:8469;width:2996;height:312" coordorigin="7680,8469" coordsize="2996,312">
              <v:shape style="position:absolute;left:7680;top:8469;width:2996;height:312" coordorigin="7680,8469" coordsize="2996,312" path="m7680,8781l10675,8781,10675,8469,7680,8469,7680,8781xe" filled="true" fillcolor="#ffffff" stroked="false">
                <v:path arrowok="t"/>
                <v:fill type="solid"/>
              </v:shape>
            </v:group>
            <v:group style="position:absolute;left:7680;top:8781;width:2996;height:312" coordorigin="7680,8781" coordsize="2996,312">
              <v:shape style="position:absolute;left:7680;top:8781;width:2996;height:312" coordorigin="7680,8781" coordsize="2996,312" path="m7680,9093l10675,9093,10675,8781,7680,8781,7680,909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12"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①重大缺陷：单独缺陷或连同其他缺陷导 致不能及时防止或发现并纠正财务报告中 的重大错报。出现下列情形的，认定为重 </w:t>
            </w:r>
            <w:r>
              <w:rPr>
                <w:rFonts w:ascii="宋体" w:hAnsi="宋体" w:cs="宋体" w:eastAsia="宋体" w:hint="default"/>
                <w:spacing w:val="-8"/>
                <w:sz w:val="18"/>
                <w:szCs w:val="18"/>
              </w:rPr>
              <w:t>大缺陷：</w:t>
            </w:r>
            <w:r>
              <w:rPr>
                <w:rFonts w:ascii="Times New Roman" w:hAnsi="Times New Roman" w:cs="Times New Roman" w:eastAsia="Times New Roman" w:hint="default"/>
                <w:spacing w:val="-8"/>
                <w:sz w:val="18"/>
                <w:szCs w:val="18"/>
              </w:rPr>
              <w:t>A</w:t>
            </w:r>
            <w:r>
              <w:rPr>
                <w:rFonts w:ascii="宋体" w:hAnsi="宋体" w:cs="宋体" w:eastAsia="宋体" w:hint="default"/>
                <w:spacing w:val="-8"/>
                <w:sz w:val="18"/>
                <w:szCs w:val="18"/>
              </w:rPr>
              <w:t>）控制环境无效；</w:t>
            </w:r>
            <w:r>
              <w:rPr>
                <w:rFonts w:ascii="Times New Roman" w:hAnsi="Times New Roman" w:cs="Times New Roman" w:eastAsia="Times New Roman" w:hint="default"/>
                <w:spacing w:val="-8"/>
                <w:sz w:val="18"/>
                <w:szCs w:val="18"/>
              </w:rPr>
              <w:t>B</w:t>
            </w:r>
            <w:r>
              <w:rPr>
                <w:rFonts w:ascii="宋体" w:hAnsi="宋体" w:cs="宋体" w:eastAsia="宋体" w:hint="default"/>
                <w:spacing w:val="-8"/>
                <w:sz w:val="18"/>
                <w:szCs w:val="18"/>
              </w:rPr>
              <w:t>）公司董事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监事和高级管理人员舞弊并给企业造成重 大损失和不利影响；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）外部审计发现当 期财务报告存在重大错报，公司未能首先 发现错报；</w:t>
            </w:r>
            <w:r>
              <w:rPr>
                <w:rFonts w:ascii="Times New Roman" w:hAnsi="Times New Roman" w:cs="Times New Roman" w:eastAsia="Times New Roman" w:hint="default"/>
                <w:sz w:val="18"/>
                <w:szCs w:val="18"/>
              </w:rPr>
              <w:t>D</w:t>
            </w:r>
            <w:r>
              <w:rPr>
                <w:rFonts w:ascii="宋体" w:hAnsi="宋体" w:cs="宋体" w:eastAsia="宋体" w:hint="default"/>
                <w:sz w:val="18"/>
                <w:szCs w:val="18"/>
              </w:rPr>
              <w:t>）已经发现并报告给管理层 的重大缺陷在合理的时间内未加改正；</w:t>
            </w:r>
            <w:r>
              <w:rPr>
                <w:rFonts w:ascii="Times New Roman" w:hAnsi="Times New Roman" w:cs="Times New Roman" w:eastAsia="Times New Roman" w:hint="default"/>
                <w:sz w:val="18"/>
                <w:szCs w:val="18"/>
              </w:rPr>
              <w:t>E </w:t>
            </w:r>
            <w:r>
              <w:rPr>
                <w:rFonts w:ascii="宋体" w:hAnsi="宋体" w:cs="宋体" w:eastAsia="宋体" w:hint="default"/>
                <w:sz w:val="18"/>
                <w:szCs w:val="18"/>
              </w:rPr>
              <w:t>公司审计委员会和公司内审部对内部控制 的监督无效。</w:t>
            </w:r>
            <w:r>
              <w:rPr>
                <w:rFonts w:ascii="宋体" w:hAnsi="宋体" w:cs="宋体" w:eastAsia="宋体" w:hint="default"/>
                <w:spacing w:val="-29"/>
                <w:sz w:val="18"/>
                <w:szCs w:val="18"/>
              </w:rPr>
              <w:t> </w:t>
            </w:r>
            <w:r>
              <w:rPr>
                <w:rFonts w:ascii="宋体" w:hAnsi="宋体" w:cs="宋体" w:eastAsia="宋体" w:hint="default"/>
                <w:spacing w:val="-3"/>
                <w:sz w:val="18"/>
                <w:szCs w:val="18"/>
              </w:rPr>
              <w:t>②重要缺陷：严重程度低于</w:t>
            </w:r>
            <w:r>
              <w:rPr>
                <w:rFonts w:ascii="宋体" w:hAnsi="宋体" w:cs="宋体" w:eastAsia="宋体" w:hint="default"/>
                <w:sz w:val="18"/>
                <w:szCs w:val="18"/>
              </w:rPr>
              <w:t> 重大缺陷，但导致企业无法及时防范或发 现严重偏离整体控制目标的严重程度依然 重大，需引起管理关注。公司财务报告内 部控制重要缺陷的定性标准：</w:t>
            </w:r>
            <w:r>
              <w:rPr>
                <w:rFonts w:ascii="Times New Roman" w:hAnsi="Times New Roman" w:cs="Times New Roman" w:eastAsia="Times New Roman" w:hint="default"/>
                <w:sz w:val="18"/>
                <w:szCs w:val="18"/>
              </w:rPr>
              <w:t>A</w:t>
            </w:r>
            <w:r>
              <w:rPr>
                <w:rFonts w:ascii="宋体" w:hAnsi="宋体" w:cs="宋体" w:eastAsia="宋体" w:hint="default"/>
                <w:sz w:val="18"/>
                <w:szCs w:val="18"/>
              </w:rPr>
              <w:t>）未按公 认会计准则选择和应用会计政策；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 建立防止舞弊和重要缺陷的制衡制度和控 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）财务报告过程中出现单独或 </w:t>
            </w:r>
            <w:r>
              <w:rPr>
                <w:rFonts w:ascii="宋体" w:hAnsi="宋体" w:cs="宋体" w:eastAsia="宋体" w:hint="default"/>
                <w:spacing w:val="-4"/>
                <w:sz w:val="18"/>
                <w:szCs w:val="18"/>
              </w:rPr>
              <w:t>多项缺陷，虽然未达到重要缺陷认定标准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但影响到财务报告的真实、准确目标。</w:t>
            </w:r>
            <w:r>
              <w:rPr>
                <w:rFonts w:ascii="宋体" w:hAnsi="宋体" w:cs="宋体" w:eastAsia="宋体" w:hint="default"/>
                <w:spacing w:val="-54"/>
                <w:sz w:val="18"/>
                <w:szCs w:val="18"/>
              </w:rPr>
              <w:t> </w:t>
            </w:r>
            <w:r>
              <w:rPr>
                <w:rFonts w:ascii="宋体" w:hAnsi="宋体" w:cs="宋体" w:eastAsia="宋体" w:hint="default"/>
                <w:sz w:val="18"/>
                <w:szCs w:val="18"/>
              </w:rPr>
              <w:t>③</w:t>
            </w:r>
            <w:r>
              <w:rPr>
                <w:rFonts w:ascii="宋体" w:hAnsi="宋体" w:cs="宋体" w:eastAsia="宋体" w:hint="default"/>
                <w:sz w:val="18"/>
                <w:szCs w:val="18"/>
              </w:rPr>
              <w:t> 一般缺陷：未构成重大缺陷、重要缺陷标 准的其他内部控制缺陷。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20" w:lineRule="atLeast"/>
              <w:ind w:left="16" w:right="21"/>
              <w:jc w:val="left"/>
              <w:rPr>
                <w:rFonts w:ascii="宋体" w:hAnsi="宋体" w:cs="宋体" w:eastAsia="宋体" w:hint="default"/>
                <w:sz w:val="18"/>
                <w:szCs w:val="18"/>
              </w:rPr>
            </w:pPr>
            <w:r>
              <w:rPr>
                <w:rFonts w:ascii="宋体" w:hAnsi="宋体" w:cs="宋体" w:eastAsia="宋体" w:hint="default"/>
                <w:spacing w:val="-4"/>
                <w:sz w:val="18"/>
                <w:szCs w:val="18"/>
              </w:rPr>
              <w:t>①非财务报告内部控制重大缺陷。出现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下列情形的，认定为重大缺陷：</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）违</w:t>
            </w:r>
            <w:r>
              <w:rPr>
                <w:rFonts w:ascii="宋体" w:hAnsi="宋体" w:cs="宋体" w:eastAsia="宋体" w:hint="default"/>
                <w:sz w:val="18"/>
                <w:szCs w:val="18"/>
              </w:rPr>
            </w:r>
          </w:p>
          <w:p>
            <w:pPr>
              <w:pStyle w:val="TableParagraph"/>
              <w:spacing w:line="103"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反国家法律、法规或规范性文件；</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p>
            <w:pPr>
              <w:pStyle w:val="TableParagraph"/>
              <w:spacing w:line="312" w:lineRule="exact" w:before="23"/>
              <w:ind w:left="16" w:right="20"/>
              <w:jc w:val="left"/>
              <w:rPr>
                <w:rFonts w:ascii="宋体" w:hAnsi="宋体" w:cs="宋体" w:eastAsia="宋体" w:hint="default"/>
                <w:sz w:val="18"/>
                <w:szCs w:val="18"/>
              </w:rPr>
            </w:pPr>
            <w:r>
              <w:rPr>
                <w:rFonts w:ascii="宋体" w:hAnsi="宋体" w:cs="宋体" w:eastAsia="宋体" w:hint="default"/>
                <w:sz w:val="18"/>
                <w:szCs w:val="18"/>
              </w:rPr>
              <w:t>决策程序不科学导致重大决策失误； </w:t>
            </w:r>
            <w:r>
              <w:rPr>
                <w:rFonts w:ascii="Times New Roman" w:hAnsi="Times New Roman" w:cs="Times New Roman" w:eastAsia="Times New Roman" w:hint="default"/>
                <w:sz w:val="18"/>
                <w:szCs w:val="18"/>
              </w:rPr>
              <w:t>C</w:t>
            </w:r>
            <w:r>
              <w:rPr>
                <w:rFonts w:ascii="宋体" w:hAnsi="宋体" w:cs="宋体" w:eastAsia="宋体" w:hint="default"/>
                <w:sz w:val="18"/>
                <w:szCs w:val="18"/>
              </w:rPr>
              <w:t>）重要业务制度性缺失或系统性失 </w:t>
            </w:r>
            <w:r>
              <w:rPr>
                <w:rFonts w:ascii="宋体" w:hAnsi="宋体" w:cs="宋体" w:eastAsia="宋体" w:hint="default"/>
                <w:spacing w:val="-1"/>
                <w:sz w:val="18"/>
                <w:szCs w:val="18"/>
              </w:rPr>
              <w:t>效；</w:t>
            </w: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）重大或重要缺陷不能得到有效</w:t>
            </w:r>
            <w:r>
              <w:rPr>
                <w:rFonts w:ascii="宋体" w:hAnsi="宋体" w:cs="宋体" w:eastAsia="宋体" w:hint="default"/>
                <w:sz w:val="18"/>
                <w:szCs w:val="18"/>
              </w:rPr>
              <w:t> 整改；</w:t>
            </w:r>
            <w:r>
              <w:rPr>
                <w:rFonts w:ascii="Times New Roman" w:hAnsi="Times New Roman" w:cs="Times New Roman" w:eastAsia="Times New Roman" w:hint="default"/>
                <w:sz w:val="18"/>
                <w:szCs w:val="18"/>
              </w:rPr>
              <w:t>E</w:t>
            </w:r>
            <w:r>
              <w:rPr>
                <w:rFonts w:ascii="宋体" w:hAnsi="宋体" w:cs="宋体" w:eastAsia="宋体" w:hint="default"/>
                <w:sz w:val="18"/>
                <w:szCs w:val="18"/>
              </w:rPr>
              <w:t>）安全事故对公司造成重大负</w:t>
            </w:r>
          </w:p>
          <w:p>
            <w:pPr>
              <w:pStyle w:val="TableParagraph"/>
              <w:spacing w:line="79"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面影响的情形；</w:t>
            </w:r>
            <w:r>
              <w:rPr>
                <w:rFonts w:ascii="Times New Roman" w:hAnsi="Times New Roman" w:cs="Times New Roman" w:eastAsia="Times New Roman" w:hint="default"/>
                <w:sz w:val="18"/>
                <w:szCs w:val="18"/>
              </w:rPr>
              <w:t>F</w:t>
            </w:r>
            <w:r>
              <w:rPr>
                <w:rFonts w:ascii="宋体" w:hAnsi="宋体" w:cs="宋体" w:eastAsia="宋体" w:hint="default"/>
                <w:sz w:val="18"/>
                <w:szCs w:val="18"/>
              </w:rPr>
              <w:t>）其他对公司产生重</w:t>
            </w:r>
          </w:p>
          <w:p>
            <w:pPr>
              <w:pStyle w:val="TableParagraph"/>
              <w:spacing w:line="309" w:lineRule="auto" w:before="63"/>
              <w:ind w:left="16" w:right="20"/>
              <w:jc w:val="both"/>
              <w:rPr>
                <w:rFonts w:ascii="宋体" w:hAnsi="宋体" w:cs="宋体" w:eastAsia="宋体" w:hint="default"/>
                <w:sz w:val="18"/>
                <w:szCs w:val="18"/>
              </w:rPr>
            </w:pPr>
            <w:r>
              <w:rPr>
                <w:rFonts w:ascii="宋体" w:hAnsi="宋体" w:cs="宋体" w:eastAsia="宋体" w:hint="default"/>
                <w:sz w:val="18"/>
                <w:szCs w:val="18"/>
              </w:rPr>
              <w:t>大负面影响的情形。 ②非财务报告内 </w:t>
            </w:r>
            <w:r>
              <w:rPr>
                <w:rFonts w:ascii="宋体" w:hAnsi="宋体" w:cs="宋体" w:eastAsia="宋体" w:hint="default"/>
                <w:spacing w:val="-4"/>
                <w:sz w:val="18"/>
                <w:szCs w:val="18"/>
              </w:rPr>
              <w:t>部控制重要缺陷。出现下列情形的，认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定为重要缺陷：</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）重要业务制度或系</w:t>
            </w:r>
            <w:r>
              <w:rPr>
                <w:rFonts w:ascii="宋体" w:hAnsi="宋体" w:cs="宋体" w:eastAsia="宋体" w:hint="default"/>
                <w:sz w:val="18"/>
                <w:szCs w:val="18"/>
              </w:rPr>
              <w:t> 统存在的缺陷；</w:t>
            </w:r>
            <w:r>
              <w:rPr>
                <w:rFonts w:ascii="Times New Roman" w:hAnsi="Times New Roman" w:cs="Times New Roman" w:eastAsia="Times New Roman" w:hint="default"/>
                <w:sz w:val="18"/>
                <w:szCs w:val="18"/>
              </w:rPr>
              <w:t>B</w:t>
            </w:r>
            <w:r>
              <w:rPr>
                <w:rFonts w:ascii="宋体" w:hAnsi="宋体" w:cs="宋体" w:eastAsia="宋体" w:hint="default"/>
                <w:sz w:val="18"/>
                <w:szCs w:val="18"/>
              </w:rPr>
              <w:t>）内部控制内部监督 发现的重要缺陷未及时整改；</w:t>
            </w:r>
            <w:r>
              <w:rPr>
                <w:rFonts w:ascii="Times New Roman" w:hAnsi="Times New Roman" w:cs="Times New Roman" w:eastAsia="Times New Roman" w:hint="default"/>
                <w:sz w:val="18"/>
                <w:szCs w:val="18"/>
              </w:rPr>
              <w:t>C</w:t>
            </w:r>
            <w:r>
              <w:rPr>
                <w:rFonts w:ascii="宋体" w:hAnsi="宋体" w:cs="宋体" w:eastAsia="宋体" w:hint="default"/>
                <w:sz w:val="18"/>
                <w:szCs w:val="18"/>
              </w:rPr>
              <w:t>）其他 对公司产生较大负面影响的情形。 ③ </w:t>
            </w:r>
            <w:r>
              <w:rPr>
                <w:rFonts w:ascii="宋体" w:hAnsi="宋体" w:cs="宋体" w:eastAsia="宋体" w:hint="default"/>
                <w:spacing w:val="-4"/>
                <w:sz w:val="18"/>
                <w:szCs w:val="18"/>
              </w:rPr>
              <w:t>非财务报告内部控制一般缺陷。出现下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列情形的，认定为一般缺陷：</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）一般</w:t>
            </w:r>
          </w:p>
          <w:p>
            <w:pPr>
              <w:pStyle w:val="TableParagraph"/>
              <w:spacing w:line="203" w:lineRule="exact" w:before="5"/>
              <w:ind w:left="16" w:right="0"/>
              <w:jc w:val="left"/>
              <w:rPr>
                <w:rFonts w:ascii="宋体" w:hAnsi="宋体" w:cs="宋体" w:eastAsia="宋体" w:hint="default"/>
                <w:sz w:val="18"/>
                <w:szCs w:val="18"/>
              </w:rPr>
            </w:pPr>
            <w:r>
              <w:rPr>
                <w:rFonts w:ascii="宋体" w:hAnsi="宋体" w:cs="宋体" w:eastAsia="宋体" w:hint="default"/>
                <w:sz w:val="18"/>
                <w:szCs w:val="18"/>
              </w:rPr>
              <w:t>业务制度或系统存在缺陷；</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）内</w:t>
            </w:r>
          </w:p>
          <w:p>
            <w:pPr>
              <w:pStyle w:val="TableParagraph"/>
              <w:spacing w:line="14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部控制内部监督发现的一般缺陷未及</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时整改。</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32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248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04"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①符合下列条件之一的，可以认定为重大 缺陷：项目</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利润总额潜在错报 ，缺陷影 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 在错报，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营业收入潜在错报</w:t>
            </w:r>
            <w:r>
              <w:rPr>
                <w:rFonts w:ascii="宋体" w:hAnsi="宋体" w:cs="宋体" w:eastAsia="宋体" w:hint="default"/>
                <w:spacing w:val="-4"/>
                <w:sz w:val="18"/>
                <w:szCs w:val="18"/>
              </w:rPr>
              <w:t> </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p>
          <w:p>
            <w:pPr>
              <w:pStyle w:val="TableParagraph"/>
              <w:spacing w:line="300" w:lineRule="auto" w:before="9"/>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②符合下列条件之 </w:t>
            </w:r>
            <w:r>
              <w:rPr>
                <w:rFonts w:ascii="宋体" w:hAnsi="宋体" w:cs="宋体" w:eastAsia="宋体" w:hint="default"/>
                <w:spacing w:val="-2"/>
                <w:sz w:val="18"/>
                <w:szCs w:val="18"/>
              </w:rPr>
              <w:t>一的，可以认定为重要缺陷：项目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利润总</w:t>
            </w:r>
            <w:r>
              <w:rPr>
                <w:rFonts w:ascii="宋体" w:hAnsi="宋体" w:cs="宋体" w:eastAsia="宋体" w:hint="default"/>
                <w:spacing w:val="-86"/>
                <w:sz w:val="18"/>
                <w:szCs w:val="18"/>
              </w:rPr>
              <w:t> </w:t>
            </w:r>
            <w:r>
              <w:rPr>
                <w:rFonts w:ascii="宋体" w:hAnsi="宋体" w:cs="宋体" w:eastAsia="宋体" w:hint="default"/>
                <w:sz w:val="18"/>
                <w:szCs w:val="18"/>
              </w:rPr>
              <w:t>额潜在错报，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 报＜利润总额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48"/>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 报，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 产总额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营业收入总额潜在错 报 缺陷影响</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 营业收入总额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；③符合下列条件之一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的，可以认定为一般缺陷：项目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利润总额</w:t>
            </w:r>
            <w:r>
              <w:rPr>
                <w:rFonts w:ascii="宋体" w:hAnsi="宋体" w:cs="宋体" w:eastAsia="宋体" w:hint="default"/>
                <w:spacing w:val="-86"/>
                <w:sz w:val="18"/>
                <w:szCs w:val="18"/>
              </w:rPr>
              <w:t> </w:t>
            </w:r>
            <w:r>
              <w:rPr>
                <w:rFonts w:ascii="宋体" w:hAnsi="宋体" w:cs="宋体" w:eastAsia="宋体" w:hint="default"/>
                <w:sz w:val="18"/>
                <w:szCs w:val="18"/>
              </w:rPr>
              <w:t>潜在错报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资产总额潜在错报 ，缺陷影 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2" w:lineRule="auto"/>
              <w:ind w:left="16" w:right="20"/>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损失与利润表有关的，以营业收入指标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衡量。如果该缺陷单独或连同其他缺陷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可能导致财务报告错报金额超过营业 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，则认定为重大缺陷；如果超 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，则为重</w:t>
            </w:r>
            <w:r>
              <w:rPr>
                <w:rFonts w:ascii="宋体" w:hAnsi="宋体" w:cs="宋体" w:eastAsia="宋体" w:hint="default"/>
                <w:sz w:val="18"/>
                <w:szCs w:val="18"/>
              </w:rPr>
              <w:t> 要缺陷；如果小于营业收入的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w:t>
            </w:r>
            <w:r>
              <w:rPr>
                <w:rFonts w:ascii="宋体" w:hAnsi="宋体" w:cs="宋体" w:eastAsia="宋体" w:hint="default"/>
                <w:spacing w:val="-4"/>
                <w:sz w:val="18"/>
                <w:szCs w:val="18"/>
              </w:rPr>
              <w:t>则认定为一般缺陷。内部控制缺陷可能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导致或导致损失与资产管理相关的，以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资产总额指标衡量。如果该缺陷单独或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连同其他缺陷可能导致财务报告错报 金额超过资产总额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 缺陷；如果超过资产总额的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，则为重要缺陷；如果小于资产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48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总额潜在错报， 缺陷影响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错报＜营业收 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left="0" w:right="160"/>
        <w:jc w:val="right"/>
      </w:pPr>
      <w:r>
        <w:rPr/>
        <w:pict>
          <v:shape style="position:absolute;margin-left:56.459999pt;margin-top:-206.518295pt;width:479.2pt;height:507.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813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82" w:right="53" w:hanging="36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宣亚国际品牌管理（北京）股份有限公司全体股东： 我们接受委托，审核了后附的宣亚国际品牌管理（北京）股份有限公司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以下简称“贵公司”</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管理层按照《企业内部</w:t>
                        </w:r>
                      </w:p>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控制基本规范》及相关规定对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日与财务报表相关的内部控制有效性作出的认定。</w:t>
                        </w:r>
                      </w:p>
                      <w:p>
                        <w:pPr>
                          <w:pStyle w:val="TableParagraph"/>
                          <w:spacing w:line="357" w:lineRule="auto" w:before="103"/>
                          <w:ind w:left="382" w:right="23" w:hanging="360"/>
                          <w:jc w:val="left"/>
                          <w:rPr>
                            <w:rFonts w:ascii="宋体" w:hAnsi="宋体" w:cs="宋体" w:eastAsia="宋体" w:hint="default"/>
                            <w:sz w:val="18"/>
                            <w:szCs w:val="18"/>
                          </w:rPr>
                        </w:pPr>
                        <w:r>
                          <w:rPr>
                            <w:rFonts w:ascii="宋体" w:hAnsi="宋体" w:cs="宋体" w:eastAsia="宋体" w:hint="default"/>
                            <w:sz w:val="18"/>
                            <w:szCs w:val="18"/>
                          </w:rPr>
                          <w:t>一、重大固有限制的说明 </w:t>
                        </w:r>
                        <w:r>
                          <w:rPr>
                            <w:rFonts w:ascii="宋体" w:hAnsi="宋体" w:cs="宋体" w:eastAsia="宋体" w:hint="default"/>
                            <w:spacing w:val="-1"/>
                            <w:sz w:val="18"/>
                            <w:szCs w:val="18"/>
                          </w:rPr>
                          <w:t>内部控制具有固有限制，存在由于错误或舞弊而导致错报发生且未被发现的可能性。此外，由于情况的变化可能导致</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内部控制变得不恰当，或降低对控制政策、程序遵循的程度，根据内部控制评价结果推测未来内部控制有效性具有一定的</w:t>
                        </w:r>
                      </w:p>
                      <w:p>
                        <w:pPr>
                          <w:pStyle w:val="TableParagraph"/>
                          <w:spacing w:line="357" w:lineRule="auto" w:before="77"/>
                          <w:ind w:left="22" w:right="6654"/>
                          <w:jc w:val="left"/>
                          <w:rPr>
                            <w:rFonts w:ascii="宋体" w:hAnsi="宋体" w:cs="宋体" w:eastAsia="宋体" w:hint="default"/>
                            <w:sz w:val="18"/>
                            <w:szCs w:val="18"/>
                          </w:rPr>
                        </w:pPr>
                        <w:r>
                          <w:rPr>
                            <w:rFonts w:ascii="宋体" w:hAnsi="宋体" w:cs="宋体" w:eastAsia="宋体" w:hint="default"/>
                            <w:sz w:val="18"/>
                            <w:szCs w:val="18"/>
                          </w:rPr>
                          <w:t>风险。 二、对报告使用者和使用目的的限定</w:t>
                        </w:r>
                      </w:p>
                      <w:p>
                        <w:pPr>
                          <w:pStyle w:val="TableParagraph"/>
                          <w:spacing w:line="302" w:lineRule="auto" w:before="28"/>
                          <w:ind w:left="22" w:right="22" w:firstLine="360"/>
                          <w:jc w:val="left"/>
                          <w:rPr>
                            <w:rFonts w:ascii="宋体" w:hAnsi="宋体" w:cs="宋体" w:eastAsia="宋体" w:hint="default"/>
                            <w:sz w:val="18"/>
                            <w:szCs w:val="18"/>
                          </w:rPr>
                        </w:pPr>
                        <w:r>
                          <w:rPr>
                            <w:rFonts w:ascii="宋体" w:hAnsi="宋体" w:cs="宋体" w:eastAsia="宋体" w:hint="default"/>
                            <w:sz w:val="18"/>
                            <w:szCs w:val="18"/>
                          </w:rPr>
                          <w:t>本鉴证报告仅供</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公司年度报告披露时使用，不得用作任何其他目的。我们同意将本鉴证报告作为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年度报告 的必备文件，随同其他文件一起报送并对外披露。</w:t>
                        </w:r>
                      </w:p>
                      <w:p>
                        <w:pPr>
                          <w:pStyle w:val="TableParagraph"/>
                          <w:spacing w:line="357" w:lineRule="auto" w:before="69"/>
                          <w:ind w:left="382" w:right="112" w:hanging="360"/>
                          <w:jc w:val="left"/>
                          <w:rPr>
                            <w:rFonts w:ascii="宋体" w:hAnsi="宋体" w:cs="宋体" w:eastAsia="宋体" w:hint="default"/>
                            <w:sz w:val="18"/>
                            <w:szCs w:val="18"/>
                          </w:rPr>
                        </w:pPr>
                        <w:r>
                          <w:rPr>
                            <w:rFonts w:ascii="宋体" w:hAnsi="宋体" w:cs="宋体" w:eastAsia="宋体" w:hint="default"/>
                            <w:sz w:val="18"/>
                            <w:szCs w:val="18"/>
                          </w:rPr>
                          <w:t>三、管理层的责任 </w:t>
                        </w:r>
                        <w:r>
                          <w:rPr>
                            <w:rFonts w:ascii="宋体" w:hAnsi="宋体" w:cs="宋体" w:eastAsia="宋体" w:hint="default"/>
                            <w:spacing w:val="-3"/>
                            <w:sz w:val="18"/>
                            <w:szCs w:val="18"/>
                          </w:rPr>
                          <w:t>贵公司管理层的责任是建立健全内部控制并保持其有效性，同时按照财政部等五部委颁布的《企业内部控制基本规范</w:t>
                        </w:r>
                      </w:p>
                      <w:p>
                        <w:pPr>
                          <w:pStyle w:val="TableParagraph"/>
                          <w:spacing w:line="340" w:lineRule="auto"/>
                          <w:ind w:left="22" w:right="111"/>
                          <w:jc w:val="left"/>
                          <w:rPr>
                            <w:rFonts w:ascii="宋体" w:hAnsi="宋体" w:cs="宋体" w:eastAsia="宋体" w:hint="default"/>
                            <w:sz w:val="18"/>
                            <w:szCs w:val="18"/>
                          </w:rPr>
                        </w:pP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号）及相关规定对</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日与财务报表相关的内部控制有效性作出认定，并对上述认定负责 四、注册会计师的责任</w:t>
                        </w:r>
                      </w:p>
                      <w:p>
                        <w:pPr>
                          <w:pStyle w:val="TableParagraph"/>
                          <w:spacing w:line="357" w:lineRule="auto" w:before="40"/>
                          <w:ind w:left="22" w:right="3414" w:firstLine="360"/>
                          <w:jc w:val="left"/>
                          <w:rPr>
                            <w:rFonts w:ascii="宋体" w:hAnsi="宋体" w:cs="宋体" w:eastAsia="宋体" w:hint="default"/>
                            <w:sz w:val="18"/>
                            <w:szCs w:val="18"/>
                          </w:rPr>
                        </w:pPr>
                        <w:r>
                          <w:rPr>
                            <w:rFonts w:ascii="宋体" w:hAnsi="宋体" w:cs="宋体" w:eastAsia="宋体" w:hint="default"/>
                            <w:sz w:val="18"/>
                            <w:szCs w:val="18"/>
                          </w:rPr>
                          <w:t>我们的责任是在实施鉴证工作的基础上对内部控制有效性发表鉴证意见。 五、工作概述</w:t>
                        </w:r>
                      </w:p>
                      <w:p>
                        <w:pPr>
                          <w:pStyle w:val="TableParagraph"/>
                          <w:spacing w:line="312" w:lineRule="auto" w:before="28"/>
                          <w:ind w:left="22" w:right="23" w:firstLine="360"/>
                          <w:jc w:val="left"/>
                          <w:rPr>
                            <w:rFonts w:ascii="宋体" w:hAnsi="宋体" w:cs="宋体" w:eastAsia="宋体" w:hint="default"/>
                            <w:sz w:val="18"/>
                            <w:szCs w:val="18"/>
                          </w:rPr>
                        </w:pPr>
                        <w:r>
                          <w:rPr>
                            <w:rFonts w:ascii="宋体" w:hAnsi="宋体" w:cs="宋体" w:eastAsia="宋体" w:hint="default"/>
                            <w:sz w:val="18"/>
                            <w:szCs w:val="18"/>
                          </w:rPr>
                          <w:t>我们按照《中国注册会计师其他鉴证业务准则第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历史财务信息审计或审阅以外的鉴证业务》的规定执行了 </w:t>
                        </w:r>
                        <w:r>
                          <w:rPr>
                            <w:rFonts w:ascii="宋体" w:hAnsi="宋体" w:cs="宋体" w:eastAsia="宋体" w:hint="default"/>
                            <w:spacing w:val="-3"/>
                            <w:sz w:val="18"/>
                            <w:szCs w:val="18"/>
                          </w:rPr>
                          <w:t>鉴证业务。上述规定要求我们计划和实施鉴证工作，以对鉴证对象信息是否不存在重大错报获取合理保证。在鉴证过程中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
                            <w:sz w:val="18"/>
                            <w:szCs w:val="18"/>
                          </w:rPr>
                          <w:t>我们实施了包括了解、测试和评价内部控制设计的合理性和执行的有效性，以及我们认为必要的其他程序。我们相信，我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们的鉴证工作为发表意见提供了合理的基础。</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六、鉴证结论</w:t>
                        </w:r>
                      </w:p>
                      <w:p>
                        <w:pPr>
                          <w:pStyle w:val="TableParagraph"/>
                          <w:spacing w:line="302" w:lineRule="auto" w:before="115"/>
                          <w:ind w:left="22" w:right="84" w:firstLine="360"/>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 大方面保持了与财务报表相关的有效的内部控制。</w:t>
                        </w:r>
                      </w:p>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bl>
                <w:p>
                  <w:pPr/>
                </w:p>
              </w:txbxContent>
            </v:textbox>
            <w10:wrap type="none"/>
          </v:shape>
        </w:pict>
      </w:r>
      <w:r>
        <w:rPr/>
        <w:t>》</w:t>
      </w:r>
    </w:p>
    <w:p>
      <w:pPr>
        <w:pStyle w:val="BodyText"/>
        <w:spacing w:line="240" w:lineRule="auto" w:before="77"/>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pStyle w:val="BodyText"/>
        <w:spacing w:line="240" w:lineRule="auto"/>
        <w:ind w:left="0" w:right="161"/>
        <w:jc w:val="right"/>
      </w:pPr>
      <w:r>
        <w:rPr/>
        <w:t>，</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32" w:hRule="exact"/>
        </w:trPr>
        <w:tc>
          <w:tcPr>
            <w:tcW w:w="2662" w:type="dxa"/>
            <w:tcBorders>
              <w:top w:val="nil" w:sz="6" w:space="0" w:color="auto"/>
              <w:left w:val="nil" w:sz="6" w:space="0" w:color="auto"/>
              <w:bottom w:val="single" w:sz="4" w:space="0" w:color="000000"/>
              <w:right w:val="nil" w:sz="6" w:space="0" w:color="auto"/>
            </w:tcBorders>
          </w:tcPr>
          <w:p>
            <w:pPr/>
          </w:p>
        </w:tc>
        <w:tc>
          <w:tcPr>
            <w:tcW w:w="690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772984" coordorigin="1104,-740" coordsize="9700,2">
            <v:shape style="position:absolute;left:1104;top:-740;width:9700;height:2" coordorigin="1104,-740" coordsize="9700,0" path="m1104,-740l10804,-740e" filled="false" stroked="true" strokeweight=".72pt" strokecolor="#000000">
              <v:path arrowok="t"/>
            </v:shape>
            <w10:wrap type="none"/>
          </v:group>
        </w:pict>
      </w:r>
      <w:r>
        <w:rPr/>
        <w:t>会计师事务所是否出具非标准意见的内部控制鉴证报告</w:t>
      </w:r>
    </w:p>
    <w:p>
      <w:pPr>
        <w:pStyle w:val="BodyText"/>
        <w:spacing w:line="338" w:lineRule="auto" w:before="117"/>
        <w:ind w:right="36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126" w:right="0"/>
        <w:jc w:val="left"/>
        <w:rPr>
          <w:b w:val="0"/>
          <w:bCs w:val="0"/>
        </w:rPr>
      </w:pPr>
      <w:bookmarkStart w:name="第十节 公司债券相关情况" w:id="148"/>
      <w:bookmarkEnd w:id="148"/>
      <w:r>
        <w:rPr>
          <w:b w:val="0"/>
          <w:bCs w:val="0"/>
        </w:rPr>
      </w:r>
      <w:bookmarkStart w:name="_bookmark9" w:id="149"/>
      <w:bookmarkEnd w:id="14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113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9"/>
        <w:jc w:val="center"/>
        <w:rPr>
          <w:b w:val="0"/>
          <w:bCs w:val="0"/>
        </w:rPr>
      </w:pPr>
      <w:bookmarkStart w:name="第十一节 财务报告" w:id="150"/>
      <w:bookmarkEnd w:id="150"/>
      <w:r>
        <w:rPr>
          <w:b w:val="0"/>
          <w:bCs w:val="0"/>
        </w:rPr>
      </w:r>
      <w:bookmarkStart w:name="_bookmark10" w:id="151"/>
      <w:bookmarkEnd w:id="15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2"/>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ZG11078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赵斌、孟庆祥</w:t>
            </w:r>
          </w:p>
        </w:tc>
      </w:tr>
    </w:tbl>
    <w:p>
      <w:pPr>
        <w:spacing w:line="240" w:lineRule="auto" w:before="8"/>
        <w:rPr>
          <w:rFonts w:ascii="宋体" w:hAnsi="宋体" w:cs="宋体" w:eastAsia="宋体" w:hint="default"/>
          <w:b/>
          <w:bCs/>
          <w:sz w:val="5"/>
          <w:szCs w:val="5"/>
        </w:rPr>
      </w:pPr>
    </w:p>
    <w:p>
      <w:pPr>
        <w:spacing w:line="460" w:lineRule="exact" w:before="0"/>
        <w:ind w:left="3431" w:right="3467" w:firstLine="0"/>
        <w:jc w:val="center"/>
        <w:rPr>
          <w:rFonts w:ascii="宋体" w:hAnsi="宋体" w:cs="宋体" w:eastAsia="宋体" w:hint="default"/>
          <w:sz w:val="36"/>
          <w:szCs w:val="36"/>
        </w:rPr>
      </w:pPr>
      <w:r>
        <w:rPr>
          <w:rFonts w:ascii="宋体" w:hAnsi="宋体" w:cs="宋体" w:eastAsia="宋体" w:hint="default"/>
          <w:b/>
          <w:bCs/>
          <w:sz w:val="36"/>
          <w:szCs w:val="36"/>
        </w:rPr>
        <w:t>审计报告正文</w:t>
      </w:r>
      <w:r>
        <w:rPr>
          <w:rFonts w:ascii="宋体" w:hAnsi="宋体" w:cs="宋体" w:eastAsia="宋体" w:hint="default"/>
          <w:sz w:val="36"/>
          <w:szCs w:val="36"/>
        </w:rPr>
      </w:r>
    </w:p>
    <w:p>
      <w:pPr>
        <w:pStyle w:val="Heading2"/>
        <w:spacing w:line="408" w:lineRule="auto" w:before="254"/>
        <w:ind w:right="3532"/>
        <w:jc w:val="left"/>
        <w:rPr>
          <w:b w:val="0"/>
          <w:bCs w:val="0"/>
        </w:rPr>
      </w:pPr>
      <w:r>
        <w:rPr>
          <w:w w:val="95"/>
        </w:rPr>
        <w:t>宣亚国际品牌管理（北京）股份有限公司全体股东：</w:t>
      </w:r>
      <w:r>
        <w:rPr>
          <w:spacing w:val="40"/>
          <w:w w:val="95"/>
        </w:rPr>
        <w:t> </w:t>
      </w:r>
      <w:r>
        <w:rPr>
          <w:spacing w:val="40"/>
          <w:w w:val="95"/>
        </w:rPr>
      </w:r>
      <w:r>
        <w:rPr/>
        <w:t>一、审计意见</w:t>
      </w:r>
      <w:r>
        <w:rPr>
          <w:b w:val="0"/>
          <w:bCs w:val="0"/>
        </w:rPr>
      </w:r>
    </w:p>
    <w:p>
      <w:pPr>
        <w:pStyle w:val="BodyText"/>
        <w:spacing w:line="300" w:lineRule="auto" w:before="28"/>
        <w:ind w:right="200" w:firstLine="360"/>
        <w:jc w:val="both"/>
      </w:pPr>
      <w:r>
        <w:rPr/>
        <w:t>我们审计了宣亚国际品牌管理（北京）股份有限公司（以下简称贵公司）财务报表，包括</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 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年度的合并及母公司利润表、合并及母公司现金流量表、合并及母公司股东权益变动表以及相关 财务报表附注。</w:t>
      </w:r>
    </w:p>
    <w:p>
      <w:pPr>
        <w:pStyle w:val="BodyText"/>
        <w:spacing w:line="240" w:lineRule="auto" w:before="70"/>
        <w:ind w:left="514" w:right="92"/>
        <w:jc w:val="left"/>
      </w:pPr>
      <w:r>
        <w:rPr/>
        <w:t>我们认为，后附的财务报表在所有重大方面按照企业会计准则的规定编制，公允反映了贵公司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w:t>
      </w:r>
    </w:p>
    <w:p>
      <w:pPr>
        <w:pStyle w:val="BodyText"/>
        <w:spacing w:line="240" w:lineRule="auto" w:before="64"/>
        <w:ind w:right="92"/>
        <w:jc w:val="left"/>
      </w:pPr>
      <w:r>
        <w:rPr/>
        <w:t>并及母公司财务状况以及</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年度的合并及母公司经营成果和现金流量。</w:t>
      </w:r>
    </w:p>
    <w:p>
      <w:pPr>
        <w:spacing w:line="240" w:lineRule="auto" w:before="5"/>
        <w:rPr>
          <w:rFonts w:ascii="宋体" w:hAnsi="宋体" w:cs="宋体" w:eastAsia="宋体" w:hint="default"/>
          <w:sz w:val="13"/>
          <w:szCs w:val="13"/>
        </w:rPr>
      </w:pPr>
    </w:p>
    <w:p>
      <w:pPr>
        <w:pStyle w:val="Heading2"/>
        <w:spacing w:line="240" w:lineRule="auto"/>
        <w:ind w:right="92"/>
        <w:jc w:val="left"/>
        <w:rPr>
          <w:b w:val="0"/>
          <w:bCs w:val="0"/>
        </w:rPr>
      </w:pPr>
      <w:r>
        <w:rPr/>
        <w:t>二、形成审计意见的基础</w:t>
      </w:r>
      <w:r>
        <w:rPr>
          <w:b w:val="0"/>
          <w:bCs w:val="0"/>
        </w:rPr>
      </w:r>
    </w:p>
    <w:p>
      <w:pPr>
        <w:pStyle w:val="BodyText"/>
        <w:spacing w:line="309" w:lineRule="auto" w:before="224"/>
        <w:ind w:right="19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阐述了我们在这些准则下的责任。按照中国注册会计师职业道德守则，我们独立于贵公司，并履行了职业道德方面的其他责</w:t>
      </w:r>
      <w:r>
        <w:rPr>
          <w:spacing w:val="-66"/>
        </w:rPr>
        <w:t> </w:t>
      </w:r>
      <w:r>
        <w:rPr>
          <w:spacing w:val="-66"/>
        </w:rPr>
      </w:r>
      <w:r>
        <w:rPr/>
        <w:t>任。我们相信，我们获取的审计证据是充分、适当的，为发表审计意见提供了基础。</w:t>
      </w:r>
    </w:p>
    <w:p>
      <w:pPr>
        <w:pStyle w:val="Heading2"/>
        <w:spacing w:line="240" w:lineRule="auto" w:before="136"/>
        <w:ind w:right="92"/>
        <w:jc w:val="left"/>
        <w:rPr>
          <w:b w:val="0"/>
          <w:bCs w:val="0"/>
        </w:rPr>
      </w:pPr>
      <w:r>
        <w:rPr/>
        <w:t>三、关键审计事项</w:t>
      </w:r>
      <w:r>
        <w:rPr>
          <w:b w:val="0"/>
          <w:bCs w:val="0"/>
        </w:rPr>
      </w:r>
    </w:p>
    <w:p>
      <w:pPr>
        <w:pStyle w:val="BodyText"/>
        <w:spacing w:line="316" w:lineRule="auto" w:before="224"/>
        <w:ind w:right="103" w:firstLine="360"/>
        <w:jc w:val="both"/>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84"/>
        <w:ind w:left="0" w:right="110"/>
        <w:jc w:val="right"/>
      </w:pPr>
      <w:r>
        <w:rPr/>
        <w:pict>
          <v:shape style="position:absolute;margin-left:56.34pt;margin-top:-108.668251pt;width:483.15pt;height:144.8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8"/>
                    <w:gridCol w:w="4962"/>
                  </w:tblGrid>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3" w:right="0"/>
                          <w:jc w:val="left"/>
                          <w:rPr>
                            <w:rFonts w:ascii="宋体" w:hAnsi="宋体" w:cs="宋体" w:eastAsia="宋体" w:hint="default"/>
                            <w:sz w:val="18"/>
                            <w:szCs w:val="18"/>
                          </w:rPr>
                        </w:pPr>
                        <w:r>
                          <w:rPr>
                            <w:rFonts w:ascii="宋体" w:hAnsi="宋体" w:cs="宋体" w:eastAsia="宋体" w:hint="default"/>
                            <w:sz w:val="18"/>
                            <w:szCs w:val="18"/>
                          </w:rPr>
                          <w:t>该事项在审计中是如何应对的</w:t>
                        </w:r>
                      </w:p>
                    </w:tc>
                  </w:tr>
                  <w:tr>
                    <w:trPr>
                      <w:trHeight w:val="427" w:hRule="exact"/>
                    </w:trPr>
                    <w:tc>
                      <w:tcPr>
                        <w:tcW w:w="9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应收账款的坏账准备</w:t>
                        </w:r>
                      </w:p>
                    </w:tc>
                  </w:tr>
                  <w:tr>
                    <w:trPr>
                      <w:trHeight w:val="20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日，贵公司应收账款原值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p>
                        <w:pPr>
                          <w:pStyle w:val="TableParagraph"/>
                          <w:spacing w:line="338" w:lineRule="auto" w:before="64"/>
                          <w:ind w:left="362" w:right="1" w:hanging="360"/>
                          <w:jc w:val="left"/>
                          <w:rPr>
                            <w:rFonts w:ascii="宋体" w:hAnsi="宋体" w:cs="宋体" w:eastAsia="宋体" w:hint="default"/>
                            <w:sz w:val="18"/>
                            <w:szCs w:val="18"/>
                          </w:rPr>
                        </w:pPr>
                        <w:r>
                          <w:rPr>
                            <w:rFonts w:ascii="宋体" w:hAnsi="宋体" w:cs="宋体" w:eastAsia="宋体" w:hint="default"/>
                            <w:sz w:val="18"/>
                            <w:szCs w:val="18"/>
                          </w:rPr>
                          <w:t>元，坏账准备为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管理层在对应收账款的可回收性进行评估时，需要综合</w:t>
                        </w:r>
                      </w:p>
                      <w:p>
                        <w:pPr>
                          <w:pStyle w:val="TableParagraph"/>
                          <w:spacing w:line="316" w:lineRule="auto" w:before="2"/>
                          <w:ind w:left="2" w:right="1"/>
                          <w:jc w:val="both"/>
                          <w:rPr>
                            <w:rFonts w:ascii="宋体" w:hAnsi="宋体" w:cs="宋体" w:eastAsia="宋体" w:hint="default"/>
                            <w:sz w:val="18"/>
                            <w:szCs w:val="18"/>
                          </w:rPr>
                        </w:pPr>
                        <w:r>
                          <w:rPr>
                            <w:rFonts w:ascii="宋体" w:hAnsi="宋体" w:cs="宋体" w:eastAsia="宋体" w:hint="default"/>
                            <w:spacing w:val="-1"/>
                            <w:sz w:val="18"/>
                            <w:szCs w:val="18"/>
                          </w:rPr>
                          <w:t>考虑应收账款的账龄、债务人的还款记录、债务人的行业现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状等。由于应收账款余额重大，坏账准备的评估涉及复杂且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金额对财务报表整体重大，因此我们将其作为关键审计事项</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3" w:right="0"/>
                          <w:jc w:val="left"/>
                          <w:rPr>
                            <w:rFonts w:ascii="宋体" w:hAnsi="宋体" w:cs="宋体" w:eastAsia="宋体" w:hint="default"/>
                            <w:sz w:val="18"/>
                            <w:szCs w:val="18"/>
                          </w:rPr>
                        </w:pPr>
                        <w:r>
                          <w:rPr>
                            <w:rFonts w:ascii="宋体" w:hAnsi="宋体" w:cs="宋体" w:eastAsia="宋体" w:hint="default"/>
                            <w:sz w:val="18"/>
                            <w:szCs w:val="18"/>
                          </w:rPr>
                          <w:t>在针对该重要事项的审计过程中：我们执行了下列程序：</w:t>
                        </w:r>
                      </w:p>
                      <w:p>
                        <w:pPr>
                          <w:pStyle w:val="TableParagraph"/>
                          <w:spacing w:line="309" w:lineRule="auto" w:before="116"/>
                          <w:ind w:left="3" w:right="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了解管理层与信用控制、账款回收和评估应收款项减值准</w:t>
                        </w:r>
                        <w:r>
                          <w:rPr>
                            <w:rFonts w:ascii="宋体" w:hAnsi="宋体" w:cs="宋体" w:eastAsia="宋体" w:hint="default"/>
                            <w:sz w:val="18"/>
                            <w:szCs w:val="18"/>
                          </w:rPr>
                          <w:t> 备相关的关键财务报告内部控制，并评价这些内部控制的设计 和运行有效性及是否与上期保持一致；</w:t>
                        </w:r>
                      </w:p>
                      <w:p>
                        <w:pPr>
                          <w:pStyle w:val="TableParagraph"/>
                          <w:spacing w:line="300" w:lineRule="auto" w:before="62"/>
                          <w:ind w:left="3" w:right="8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我们取得了截止</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日应收账款账龄明细表 根据抽样原则，通过核对记账凭证、发票等支持性记录检查了</w:t>
                        </w:r>
                      </w:p>
                    </w:tc>
                  </w:tr>
                </w:tbl>
                <w:p>
                  <w:pPr/>
                </w:p>
              </w:txbxContent>
            </v:textbox>
            <w10:wrap type="none"/>
          </v:shape>
        </w:pict>
      </w:r>
      <w:r>
        <w:rPr/>
        <w:t>，</w:t>
      </w:r>
    </w:p>
    <w:p>
      <w:pPr>
        <w:spacing w:after="0" w:line="240" w:lineRule="auto"/>
        <w:jc w:val="right"/>
        <w:sectPr>
          <w:pgSz w:w="11910" w:h="16840"/>
          <w:pgMar w:header="87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678"/>
        <w:gridCol w:w="4962"/>
      </w:tblGrid>
      <w:tr>
        <w:trPr>
          <w:trHeight w:val="1716"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进行关注。</w:t>
            </w:r>
          </w:p>
          <w:p>
            <w:pPr>
              <w:pStyle w:val="TableParagraph"/>
              <w:spacing w:line="309" w:lineRule="auto" w:before="115"/>
              <w:ind w:left="2" w:right="1" w:firstLine="36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该会计政策、重大会计判断和估计以及相关财务报表披</w:t>
            </w:r>
            <w:r>
              <w:rPr>
                <w:rFonts w:ascii="宋体" w:hAnsi="宋体" w:cs="宋体" w:eastAsia="宋体" w:hint="default"/>
                <w:sz w:val="18"/>
                <w:szCs w:val="18"/>
              </w:rPr>
              <w:t> 露参见</w:t>
            </w:r>
            <w:r>
              <w:rPr>
                <w:rFonts w:ascii="Times New Roman" w:hAnsi="Times New Roman" w:cs="Times New Roman" w:eastAsia="Times New Roman" w:hint="default"/>
                <w:sz w:val="18"/>
                <w:szCs w:val="18"/>
              </w:rPr>
              <w:t>“</w:t>
            </w:r>
            <w:r>
              <w:rPr>
                <w:rFonts w:ascii="宋体" w:hAnsi="宋体" w:cs="宋体" w:eastAsia="宋体" w:hint="default"/>
                <w:sz w:val="18"/>
                <w:szCs w:val="18"/>
              </w:rPr>
              <w:t>本附注五、重要会计政策及会计估计</w:t>
            </w:r>
            <w:r>
              <w:rPr>
                <w:rFonts w:ascii="Times New Roman" w:hAnsi="Times New Roman" w:cs="Times New Roman" w:eastAsia="Times New Roman" w:hint="default"/>
                <w:sz w:val="18"/>
                <w:szCs w:val="18"/>
              </w:rPr>
              <w:t>(11)</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本附注七、合并财务注释</w:t>
            </w:r>
            <w:r>
              <w:rPr>
                <w:rFonts w:ascii="Times New Roman" w:hAnsi="Times New Roman" w:cs="Times New Roman" w:eastAsia="Times New Roman" w:hint="default"/>
                <w:sz w:val="18"/>
                <w:szCs w:val="18"/>
              </w:rPr>
              <w:t>(5)</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82"/>
              <w:jc w:val="left"/>
              <w:rPr>
                <w:rFonts w:ascii="宋体" w:hAnsi="宋体" w:cs="宋体" w:eastAsia="宋体" w:hint="default"/>
                <w:sz w:val="18"/>
                <w:szCs w:val="18"/>
              </w:rPr>
            </w:pPr>
            <w:r>
              <w:rPr>
                <w:rFonts w:ascii="宋体" w:hAnsi="宋体" w:cs="宋体" w:eastAsia="宋体" w:hint="default"/>
                <w:sz w:val="18"/>
                <w:szCs w:val="18"/>
              </w:rPr>
              <w:t>应收账款账龄明细表的准确性，评价按账龄组合计提坏账准备 的应收账款的账龄区间划分是否恰当；</w:t>
            </w:r>
          </w:p>
          <w:p>
            <w:pPr>
              <w:pStyle w:val="TableParagraph"/>
              <w:spacing w:line="302" w:lineRule="auto" w:before="55"/>
              <w:ind w:left="3" w:right="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对金额重大的应收账款发生额及余额实施了函证程序，确</w:t>
            </w:r>
            <w:r>
              <w:rPr>
                <w:rFonts w:ascii="宋体" w:hAnsi="宋体" w:cs="宋体" w:eastAsia="宋体" w:hint="default"/>
                <w:sz w:val="18"/>
                <w:szCs w:val="18"/>
              </w:rPr>
              <w:t> 认是否双方就应收账款金额已达成一致意见；</w:t>
            </w:r>
          </w:p>
          <w:p>
            <w:pPr>
              <w:pStyle w:val="TableParagraph"/>
              <w:spacing w:line="240" w:lineRule="auto" w:before="69"/>
              <w:ind w:left="3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检查历史还款记录以及期后还款的相关信息。</w:t>
            </w:r>
          </w:p>
        </w:tc>
      </w:tr>
    </w:tbl>
    <w:p>
      <w:pPr>
        <w:spacing w:line="240" w:lineRule="auto" w:before="6"/>
        <w:rPr>
          <w:rFonts w:ascii="宋体" w:hAnsi="宋体" w:cs="宋体" w:eastAsia="宋体" w:hint="default"/>
          <w:sz w:val="5"/>
          <w:szCs w:val="5"/>
        </w:rPr>
      </w:pPr>
    </w:p>
    <w:p>
      <w:pPr>
        <w:pStyle w:val="Heading2"/>
        <w:spacing w:line="240" w:lineRule="auto" w:before="13"/>
        <w:ind w:right="92"/>
        <w:jc w:val="left"/>
        <w:rPr>
          <w:b w:val="0"/>
          <w:bCs w:val="0"/>
        </w:rPr>
      </w:pPr>
      <w:r>
        <w:rPr/>
        <w:t>四、其他信息</w:t>
      </w:r>
      <w:r>
        <w:rPr>
          <w:b w:val="0"/>
          <w:bCs w:val="0"/>
        </w:rPr>
      </w:r>
    </w:p>
    <w:p>
      <w:pPr>
        <w:pStyle w:val="BodyText"/>
        <w:spacing w:line="300" w:lineRule="auto" w:before="224"/>
        <w:ind w:right="183" w:firstLine="360"/>
        <w:jc w:val="left"/>
      </w:pPr>
      <w:r>
        <w:rPr/>
        <w:t>贵公司管理层（以下简称管理层）对其他信息负责。其他信息包括贵公司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年年度报告中涵盖的信息，但不包括财 务报表和我们的审计报告。</w:t>
      </w:r>
    </w:p>
    <w:p>
      <w:pPr>
        <w:pStyle w:val="BodyText"/>
        <w:spacing w:line="357" w:lineRule="auto" w:before="71"/>
        <w:ind w:left="514" w:right="9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514" w:right="92"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92"/>
        <w:jc w:val="left"/>
      </w:pPr>
      <w:r>
        <w:rPr/>
        <w:t>报告。</w:t>
      </w:r>
    </w:p>
    <w:p>
      <w:pPr>
        <w:spacing w:line="240" w:lineRule="auto" w:before="6"/>
        <w:rPr>
          <w:rFonts w:ascii="宋体" w:hAnsi="宋体" w:cs="宋体" w:eastAsia="宋体" w:hint="default"/>
          <w:sz w:val="14"/>
          <w:szCs w:val="14"/>
        </w:rPr>
      </w:pPr>
    </w:p>
    <w:p>
      <w:pPr>
        <w:pStyle w:val="Heading2"/>
        <w:spacing w:line="240" w:lineRule="auto"/>
        <w:ind w:right="92"/>
        <w:jc w:val="left"/>
        <w:rPr>
          <w:b w:val="0"/>
          <w:bCs w:val="0"/>
        </w:rPr>
      </w:pPr>
      <w:r>
        <w:rPr/>
        <w:t>五、管理层和治理层对财务报表的责任</w:t>
      </w:r>
      <w:r>
        <w:rPr>
          <w:b w:val="0"/>
          <w:bCs w:val="0"/>
        </w:rPr>
      </w:r>
    </w:p>
    <w:p>
      <w:pPr>
        <w:pStyle w:val="BodyText"/>
        <w:spacing w:line="319" w:lineRule="auto" w:before="224"/>
        <w:ind w:right="92"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9" w:lineRule="auto" w:before="55"/>
        <w:ind w:right="196" w:firstLine="360"/>
        <w:jc w:val="left"/>
      </w:pPr>
      <w:r>
        <w:rPr>
          <w:spacing w:val="-2"/>
        </w:rPr>
        <w:t>在编制财务报表时，管理层负责评估贵公司的持续经营能力，披露与持续经营相关的事项（如适用），并运用持续经营</w:t>
      </w:r>
      <w:r>
        <w:rPr/>
        <w:t> 假设，除非计划进行清算、终止运营或别无其他现实的选择。</w:t>
      </w:r>
    </w:p>
    <w:p>
      <w:pPr>
        <w:pStyle w:val="BodyText"/>
        <w:spacing w:line="240" w:lineRule="auto" w:before="56"/>
        <w:ind w:left="514" w:right="92"/>
        <w:jc w:val="left"/>
      </w:pPr>
      <w:r>
        <w:rPr/>
        <w:t>治理层负责监督贵公司的财务报告过程。</w:t>
      </w:r>
    </w:p>
    <w:p>
      <w:pPr>
        <w:spacing w:line="240" w:lineRule="auto" w:before="7"/>
        <w:rPr>
          <w:rFonts w:ascii="宋体" w:hAnsi="宋体" w:cs="宋体" w:eastAsia="宋体" w:hint="default"/>
          <w:sz w:val="14"/>
          <w:szCs w:val="14"/>
        </w:rPr>
      </w:pPr>
    </w:p>
    <w:p>
      <w:pPr>
        <w:pStyle w:val="Heading2"/>
        <w:spacing w:line="240" w:lineRule="auto"/>
        <w:ind w:right="92"/>
        <w:jc w:val="left"/>
        <w:rPr>
          <w:b w:val="0"/>
          <w:bCs w:val="0"/>
        </w:rPr>
      </w:pPr>
      <w:r>
        <w:rPr/>
        <w:t>六、注册会计师对财务报表审计的责任</w:t>
      </w:r>
      <w:r>
        <w:rPr>
          <w:b w:val="0"/>
          <w:bCs w:val="0"/>
        </w:rPr>
      </w:r>
    </w:p>
    <w:p>
      <w:pPr>
        <w:pStyle w:val="BodyText"/>
        <w:spacing w:line="316" w:lineRule="auto" w:before="224"/>
        <w:ind w:right="19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8"/>
        <w:ind w:left="514" w:right="92"/>
        <w:jc w:val="left"/>
      </w:pPr>
      <w:r>
        <w:rPr/>
        <w:t>在按照审计准则执行审计工作的过程中，我们运用职业判断，并保持职业怀疑。同时，我们也执行以下工作：</w:t>
      </w:r>
    </w:p>
    <w:p>
      <w:pPr>
        <w:pStyle w:val="BodyText"/>
        <w:spacing w:line="309" w:lineRule="auto" w:before="116"/>
        <w:ind w:right="92"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64"/>
        <w:ind w:left="514" w:right="92"/>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102"/>
        <w:ind w:left="514" w:right="92"/>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2"/>
        <w:ind w:right="19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）对管理层使用持续经营假设的恰当性得出结论。同时，根据获取的审计证据，就可能导致对贵公司持续经营能力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截至审计报告日可获得的信息。然而，未来的事项或情况可能导致贵公司不能持续经营。</w:t>
      </w:r>
    </w:p>
    <w:p>
      <w:pPr>
        <w:pStyle w:val="BodyText"/>
        <w:spacing w:line="240" w:lineRule="auto" w:before="62"/>
        <w:ind w:left="514" w:right="92"/>
        <w:jc w:val="left"/>
      </w:pPr>
      <w:r>
        <w:rPr/>
        <w:t>（</w:t>
      </w:r>
      <w:r>
        <w:rPr>
          <w:rFonts w:ascii="Times New Roman" w:hAnsi="Times New Roman" w:cs="Times New Roman" w:eastAsia="Times New Roman" w:hint="default"/>
        </w:rPr>
        <w:t>5</w:t>
      </w:r>
      <w:r>
        <w:rPr/>
        <w:t>）评价财务报表的总体列报、结构和内容（包括披露</w:t>
      </w:r>
      <w:r>
        <w:rPr>
          <w:spacing w:val="-90"/>
        </w:rPr>
        <w:t>）</w:t>
      </w:r>
      <w:r>
        <w:rPr/>
        <w:t>，并评价财务报表是否公允反映相关交易和事项。</w:t>
      </w:r>
    </w:p>
    <w:p>
      <w:pPr>
        <w:pStyle w:val="BodyText"/>
        <w:spacing w:line="302" w:lineRule="auto" w:before="101"/>
        <w:ind w:right="92" w:firstLine="360"/>
        <w:jc w:val="left"/>
      </w:pPr>
      <w:r>
        <w:rPr>
          <w:spacing w:val="-2"/>
        </w:rPr>
        <w:t>（</w:t>
      </w:r>
      <w:r>
        <w:rPr>
          <w:rFonts w:ascii="Times New Roman" w:hAnsi="Times New Roman" w:cs="Times New Roman" w:eastAsia="Times New Roman" w:hint="default"/>
          <w:spacing w:val="-2"/>
        </w:rPr>
        <w:t>6</w:t>
      </w:r>
      <w:r>
        <w:rPr>
          <w:spacing w:val="-2"/>
        </w:rPr>
        <w:t>）就贵公司中实体或业务活动的财务信息获取充分、适当的审计证据，以对财务报表发表审计意见。我们负责指导、</w:t>
      </w:r>
      <w:r>
        <w:rPr/>
        <w:t> 监督和执行集团审计，并对审计意见承担全部责任。</w:t>
      </w:r>
    </w:p>
    <w:p>
      <w:pPr>
        <w:pStyle w:val="BodyText"/>
        <w:spacing w:line="319" w:lineRule="auto" w:before="69"/>
        <w:ind w:right="92" w:firstLine="360"/>
        <w:jc w:val="left"/>
      </w:pPr>
      <w:r>
        <w:rPr>
          <w:spacing w:val="-2"/>
        </w:rPr>
        <w:t>我们与治理层就计划的审计范围、时间安排和重大审计发现等事项进行沟通，包括沟通我们在审计中识别出的值得关注</w:t>
      </w:r>
      <w:r>
        <w:rPr/>
        <w:t> 的内部控制缺陷。</w:t>
      </w:r>
    </w:p>
    <w:p>
      <w:pPr>
        <w:spacing w:after="0" w:line="319" w:lineRule="auto"/>
        <w:jc w:val="left"/>
        <w:sectPr>
          <w:pgSz w:w="11910" w:h="16840"/>
          <w:pgMar w:header="87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151"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0"/>
        </w:rPr>
        <w:t>）</w:t>
      </w:r>
      <w:r>
        <w:rPr/>
        <w:t>。</w:t>
      </w:r>
    </w:p>
    <w:p>
      <w:pPr>
        <w:pStyle w:val="BodyText"/>
        <w:spacing w:line="319" w:lineRule="auto" w:before="55"/>
        <w:ind w:right="15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980"/>
        </w:sectPr>
      </w:pPr>
    </w:p>
    <w:p>
      <w:pPr>
        <w:pStyle w:val="BodyText"/>
        <w:spacing w:line="240" w:lineRule="auto" w:before="44"/>
        <w:ind w:right="0"/>
        <w:jc w:val="left"/>
      </w:pPr>
      <w:r>
        <w:rPr/>
        <w:t>编制单位：宣亚国际品牌管理（北京）股份有限公司</w:t>
      </w:r>
    </w:p>
    <w:p>
      <w:pPr>
        <w:pStyle w:val="BodyText"/>
        <w:spacing w:line="240" w:lineRule="auto" w:before="117"/>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5716" w:space="3203"/>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259,040,480.88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106,337,488.35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35,225,088.50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11,190,167.50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253,694,732.65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154,228,192.14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126,573.98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3,060,264.79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18,518,926.70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3,720,011.18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7,503,501.31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15,469,288.14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2,030,094.31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1,792,672.72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576,139,398.33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295,798,084.82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1,923,934.95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7,483,551.02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5,220,591.55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8,945,905.72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7,257,954.01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2,110,880.86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3,067,443.28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798,691.06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798,691.06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869,880.93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1,899,069.82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2,885,611.19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1,544,647.18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42,483,214.89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21,712,331.85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618,622,613.22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317,510,416.67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87,500,950.66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75,469,228.81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1,842,264.94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1,687,045.96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7,646,915.73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10,803,873.46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27,175,332.14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25,489,385.57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1,347,015.51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1,692,044.55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905,830.00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125,857,508.02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125,702,379.31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125,857,568.02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125,702,858.76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254,205,305.28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21,296,280.30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85,640.42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344,057.07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22,657,676.31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17,317,939.35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93,952,015.24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96,335,269.67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478,900,637.25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189,293,546.39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13,864,407.95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2,514,011.52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492,765,045.20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191,807,557.91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618,622,613.22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317,510,416.67</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249"/>
        <w:jc w:val="right"/>
      </w:pPr>
      <w:r>
        <w:rPr/>
        <w:t>法定代表人：张秀兵</w:t>
        <w:tab/>
        <w:t>主管会计工作负责人：宾卫</w:t>
        <w:tab/>
        <w:t>会计机构负责人：张靖</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130,329,823.34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57,423,385.57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35,225,088.50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11,190,167.50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220,075,738.59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147,558,250.16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3,022,507.06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23,083,199.20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24,835,693.89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2,162,597.26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6,730,032.85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6,242,465.60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14,057,501.66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1,249,215.20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653,727.68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418,378,264.49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265,471,266.37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162,510,402.87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49,691,748.89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1,873,292.47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2,795,725.34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664,647.64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1,330,416.00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189,160.96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378,322.36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2,840,650.93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1,489,402.01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168,078,154.87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55,685,614.60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586,456,419.36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321,156,880.97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91,506,666.57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85,514,713.14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240,803.77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1,673,882.45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5,958,913.68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8,781,446.00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19,630,422.67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18,754,012.41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5,071,511.14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691,120.05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122,408,317.83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125,415,174.05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122,408,317.83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125,415,174.05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259,303,490.61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26,394,465.63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21,383,122.95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16,043,385.99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75,361,487.97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99,303,855.30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464,048,101.53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195,741,706.92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586,456,419.36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321,156,880.97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504,510,269.50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467,441,970.49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504,510,269.50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467,441,970.49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01.219971pt;width:157.7pt;height:19.650pt;mso-position-horizontal-relative:page;mso-position-vertical-relative:page;z-index:-772912" coordorigin="4242,10024" coordsize="3154,393">
            <v:shape style="position:absolute;left:4242;top:10024;width:3154;height:393" coordorigin="4242,10024" coordsize="3154,393" path="m4242,10417l7396,10417,7396,10024,4242,10024,4242,10417xe" filled="true" fillcolor="#ffffff" stroked="false">
              <v:path arrowok="t"/>
              <v:fill type="solid"/>
            </v:shape>
            <w10:wrap type="none"/>
          </v:group>
        </w:pict>
      </w:r>
      <w:r>
        <w:rPr/>
        <w:pict>
          <v:group style="position:absolute;margin-left:212.119995pt;margin-top:637.419983pt;width:157.7pt;height:19.650pt;mso-position-horizontal-relative:page;mso-position-vertical-relative:page;z-index:-772888" coordorigin="4242,12748" coordsize="3154,393">
            <v:shape style="position:absolute;left:4242;top:12748;width:3154;height:393" coordorigin="4242,12748" coordsize="3154,393" path="m4242,13141l7396,13141,7396,12748,4242,12748,4242,1314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405,911,346.01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387,287,496.87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270,641,404.86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254,960,829.34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2,301,287.70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2,156,190.61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76,401,292.04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92,730,924.21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51,688,600.00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37,038,966.42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-931,071.42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-308,942.45</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5,809,832.83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709,528.74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2,262,959.47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1,901,783.60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tcBorders>
              <w:top w:val="single" w:sz="4" w:space="0" w:color="000000"/>
              <w:left w:val="single" w:sz="9" w:space="0" w:color="FFFFFF"/>
              <w:bottom w:val="single" w:sz="4" w:space="0" w:color="000000"/>
              <w:right w:val="single" w:sz="4" w:space="0" w:color="000000"/>
            </w:tcBorders>
          </w:tcPr>
          <w:p>
            <w:pPr>
              <w:pStyle w:val="TableParagraph"/>
              <w:tabs>
                <w:tab w:pos="2856" w:val="left" w:leader="none"/>
              </w:tabs>
              <w:spacing w:line="240" w:lineRule="auto" w:before="51"/>
              <w:ind w:left="-144"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100,861,882.96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82,056,257.22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186,637.79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1,251,767.12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37,528.08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62,852.63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1" w:type="dxa"/>
            <w:tcBorders>
              <w:top w:val="single" w:sz="4" w:space="0" w:color="000000"/>
              <w:left w:val="single" w:sz="9" w:space="0" w:color="FFFFFF"/>
              <w:bottom w:val="single" w:sz="4" w:space="0" w:color="000000"/>
              <w:right w:val="single" w:sz="4" w:space="0" w:color="000000"/>
            </w:tcBorders>
          </w:tcPr>
          <w:p>
            <w:pPr>
              <w:pStyle w:val="TableParagraph"/>
              <w:tabs>
                <w:tab w:pos="2046" w:val="left" w:leader="none"/>
              </w:tabs>
              <w:spacing w:line="240" w:lineRule="auto" w:before="51"/>
              <w:ind w:left="-12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101,010,992.67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83,245,171.71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19,088,992.61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24,050,202.78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81,922,000.06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59,194,968.93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81,922,000.06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59,194,968.93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74,956,482.53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58,710,099.47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6,965,517.53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484,869.46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327,357.07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327,357.07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327,357.07</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327,357.07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81,663,583.41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59,522,326.00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74,698,056.45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59,037,456.54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6,965,526.96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484,869.46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r>
    </w:tbl>
    <w:p>
      <w:pPr>
        <w:spacing w:line="240" w:lineRule="auto" w:before="3"/>
        <w:rPr>
          <w:rFonts w:ascii="Times New Roman" w:hAnsi="Times New Roman" w:cs="Times New Roman" w:eastAsia="Times New Roman" w:hint="default"/>
          <w:sz w:val="23"/>
          <w:szCs w:val="23"/>
        </w:rPr>
      </w:pPr>
    </w:p>
    <w:p>
      <w:pPr>
        <w:pStyle w:val="BodyText"/>
        <w:tabs>
          <w:tab w:pos="3754" w:val="left" w:leader="none"/>
          <w:tab w:pos="7895" w:val="left" w:leader="none"/>
        </w:tabs>
        <w:spacing w:line="240" w:lineRule="auto" w:before="44"/>
        <w:ind w:right="0"/>
        <w:jc w:val="left"/>
      </w:pPr>
      <w:r>
        <w:rPr/>
        <w:t>法定代表人：张秀兵</w:t>
        <w:tab/>
        <w:t>主管会计工作负责人：宾卫</w:t>
        <w:tab/>
        <w:t>会计机构负责人：张靖</w:t>
      </w:r>
    </w:p>
    <w:p>
      <w:pPr>
        <w:spacing w:after="0" w:line="240" w:lineRule="auto"/>
        <w:jc w:val="left"/>
        <w:sectPr>
          <w:pgSz w:w="11910" w:h="16840"/>
          <w:pgMar w:header="87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431,227,325.22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405,920,530.49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260,060,738.03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235,173,130.32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1,672,047.94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1,765,242.03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65,980,981.98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72,777,235.75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30,290,518.24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21,101,328.60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-457,227.85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173,888.48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5,809,832.83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900,302.41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2,481,025.71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31,153,914.31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70,351,459.76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105,183,317.21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137,712.00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1,158,003.35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70,489,171.76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106,341,320.56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17,091,802.13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20,887,496.58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53,397,369.63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85,453,823.98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53,397,369.63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85,453,823.98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53,397,369.63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85,453,823.98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445,317,830.08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461,100,172.09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34,832,825.85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33,015,812.46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480,150,655.93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494,115,984.55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293,049,503.59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203,536,866.36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97,532,791.22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87,058,196.96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35,388,785.88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42,218,878.16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83,941,085.86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110,324,333.37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509,912,166.55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443,138,274.85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-29,761,510.62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50,977,709.70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99,993.38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254,993.38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4,316,074.00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5,072,171.31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2,014,591.57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21,816,074.00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7,086,762.88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-21,676,074.00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-6,831,769.50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264,686,366.48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264,686,366.48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37,920,296.70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12,592,356.78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12,367,075.98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60,287,372.68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22,792,356.78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204,398,993.80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-12,547,356.78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445,088.84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152,702,992.53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32,043,672.26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106,337,488.35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74,293,816.09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259,040,480.88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106,337,488.35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363,516,285.71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353,086,211.24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41,376,841.93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29,599,230.80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404,893,127.64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382,685,442.04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256,140,110.58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158,393,528.16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72,527,815.45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67,543,130.08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29,738,070.80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34,760,157.45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72,253,665.66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94,462,677.45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430,659,662.49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355,159,493.14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-25,766,534.85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27,525,948.90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1,970,560.93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9,041,555.96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182,206.53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1,970,560.93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9,223,762.49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292,400.00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109,455,694.51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109,455,694.51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292,400.00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-107,485,133.58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8,931,362.49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264,686,366.48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264,686,366.48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36,161,184.30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11,245,341.24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12,367,075.98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58,528,260.28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21,445,341.24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206,158,106.20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-11,445,341.24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72,906,437.77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25,011,970.15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57,423,385.57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32,411,415.42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130,329,823.34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57,423,385.57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4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520"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520" w:right="0"/>
        <w:jc w:val="left"/>
      </w:pPr>
      <w:r>
        <w:rPr/>
        <w:t>本期金额</w:t>
      </w:r>
    </w:p>
    <w:p>
      <w:pPr>
        <w:pStyle w:val="BodyText"/>
        <w:spacing w:line="240" w:lineRule="auto" w:before="116"/>
        <w:ind w:left="0" w:right="715"/>
        <w:jc w:val="right"/>
      </w:pPr>
      <w:r>
        <w:rPr/>
        <w:t>单位：元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17"/>
        <w:gridCol w:w="1276"/>
        <w:gridCol w:w="709"/>
        <w:gridCol w:w="871"/>
        <w:gridCol w:w="546"/>
        <w:gridCol w:w="1232"/>
        <w:gridCol w:w="610"/>
        <w:gridCol w:w="1277"/>
        <w:gridCol w:w="566"/>
        <w:gridCol w:w="1134"/>
        <w:gridCol w:w="709"/>
        <w:gridCol w:w="1134"/>
        <w:gridCol w:w="1276"/>
        <w:gridCol w:w="1417"/>
      </w:tblGrid>
      <w:tr>
        <w:trPr>
          <w:trHeight w:val="402" w:hRule="exact"/>
        </w:trPr>
        <w:tc>
          <w:tcPr>
            <w:tcW w:w="2117" w:type="dxa"/>
            <w:vMerge w:val="restart"/>
            <w:tcBorders>
              <w:top w:val="single" w:sz="4" w:space="0" w:color="000000"/>
              <w:left w:val="single" w:sz="4" w:space="0" w:color="000000"/>
              <w:right w:val="single" w:sz="4" w:space="0" w:color="000000"/>
            </w:tcBorders>
            <w:shd w:val="clear" w:color="auto" w:fill="D2D2D2"/>
          </w:tcPr>
          <w:p>
            <w:pPr/>
          </w:p>
        </w:tc>
        <w:tc>
          <w:tcPr>
            <w:tcW w:w="1275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2117" w:type="dxa"/>
            <w:vMerge/>
            <w:tcBorders>
              <w:left w:val="single" w:sz="4" w:space="0" w:color="000000"/>
              <w:bottom w:val="nil" w:sz="6" w:space="0" w:color="auto"/>
              <w:right w:val="single" w:sz="4" w:space="0" w:color="000000"/>
            </w:tcBorders>
            <w:shd w:val="clear" w:color="auto" w:fill="D2D2D2"/>
          </w:tcPr>
          <w:p>
            <w:pPr/>
          </w:p>
        </w:tc>
        <w:tc>
          <w:tcPr>
            <w:tcW w:w="10065"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21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065" w:type="dxa"/>
            <w:gridSpan w:val="11"/>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2117" w:type="dxa"/>
            <w:vMerge/>
            <w:tcBorders>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6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9" w:right="29"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1" w:hRule="exact"/>
        </w:trPr>
        <w:tc>
          <w:tcPr>
            <w:tcW w:w="2117"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2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5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10"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117"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32" w:type="dxa"/>
            <w:vMerge/>
            <w:tcBorders>
              <w:left w:val="single" w:sz="4" w:space="0" w:color="000000"/>
              <w:bottom w:val="nil" w:sz="6" w:space="0" w:color="auto"/>
              <w:right w:val="single" w:sz="4" w:space="0" w:color="000000"/>
            </w:tcBorders>
            <w:shd w:val="clear" w:color="auto" w:fill="D2D2D2"/>
          </w:tcPr>
          <w:p>
            <w:pPr/>
          </w:p>
        </w:tc>
        <w:tc>
          <w:tcPr>
            <w:tcW w:w="61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2117"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546" w:type="dxa"/>
            <w:vMerge/>
            <w:tcBorders>
              <w:left w:val="single" w:sz="4" w:space="0" w:color="000000"/>
              <w:bottom w:val="single" w:sz="4" w:space="0" w:color="000000"/>
              <w:right w:val="single" w:sz="4" w:space="0" w:color="000000"/>
            </w:tcBorders>
            <w:shd w:val="clear" w:color="auto" w:fill="D2D2D2"/>
          </w:tcPr>
          <w:p>
            <w:pPr/>
          </w:p>
        </w:tc>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61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298"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02" w:right="0"/>
              <w:jc w:val="left"/>
              <w:rPr>
                <w:rFonts w:ascii="Times New Roman" w:hAnsi="Times New Roman" w:cs="Times New Roman" w:eastAsia="Times New Roman" w:hint="default"/>
                <w:sz w:val="18"/>
                <w:szCs w:val="18"/>
              </w:rPr>
            </w:pPr>
            <w:r>
              <w:rPr>
                <w:rFonts w:ascii="Times New Roman"/>
                <w:sz w:val="18"/>
              </w:rPr>
              <w:t>54,000,000.00</w:t>
            </w:r>
          </w:p>
        </w:tc>
        <w:tc>
          <w:tcPr>
            <w:tcW w:w="70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65" w:right="0"/>
              <w:jc w:val="left"/>
              <w:rPr>
                <w:rFonts w:ascii="Times New Roman" w:hAnsi="Times New Roman" w:cs="Times New Roman" w:eastAsia="Times New Roman" w:hint="default"/>
                <w:sz w:val="18"/>
                <w:szCs w:val="18"/>
              </w:rPr>
            </w:pPr>
            <w:r>
              <w:rPr>
                <w:rFonts w:ascii="Times New Roman"/>
                <w:sz w:val="18"/>
              </w:rPr>
              <w:t>21,296,280.30</w:t>
            </w:r>
          </w:p>
        </w:tc>
        <w:tc>
          <w:tcPr>
            <w:tcW w:w="610" w:type="dxa"/>
            <w:vMerge w:val="restart"/>
            <w:tcBorders>
              <w:top w:val="single" w:sz="22" w:space="0" w:color="D2D2D2"/>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34" w:right="0"/>
              <w:jc w:val="left"/>
              <w:rPr>
                <w:rFonts w:ascii="Times New Roman" w:hAnsi="Times New Roman" w:cs="Times New Roman" w:eastAsia="Times New Roman" w:hint="default"/>
                <w:sz w:val="18"/>
                <w:szCs w:val="18"/>
              </w:rPr>
            </w:pPr>
            <w:r>
              <w:rPr>
                <w:rFonts w:ascii="Times New Roman"/>
                <w:sz w:val="18"/>
              </w:rPr>
              <w:t>344,057.07</w:t>
            </w:r>
          </w:p>
        </w:tc>
        <w:tc>
          <w:tcPr>
            <w:tcW w:w="566" w:type="dxa"/>
            <w:vMerge w:val="restart"/>
            <w:tcBorders>
              <w:top w:val="single" w:sz="22" w:space="0" w:color="D2D2D2"/>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5" w:right="0"/>
              <w:jc w:val="left"/>
              <w:rPr>
                <w:rFonts w:ascii="Times New Roman" w:hAnsi="Times New Roman" w:cs="Times New Roman" w:eastAsia="Times New Roman" w:hint="default"/>
                <w:sz w:val="18"/>
                <w:szCs w:val="18"/>
              </w:rPr>
            </w:pPr>
            <w:r>
              <w:rPr>
                <w:rFonts w:ascii="Times New Roman"/>
                <w:sz w:val="18"/>
              </w:rPr>
              <w:t>17,317,939.35</w:t>
            </w:r>
          </w:p>
        </w:tc>
        <w:tc>
          <w:tcPr>
            <w:tcW w:w="709" w:type="dxa"/>
            <w:vMerge w:val="restart"/>
            <w:tcBorders>
              <w:top w:val="single" w:sz="22" w:space="0" w:color="D2D2D2"/>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5" w:right="0"/>
              <w:jc w:val="left"/>
              <w:rPr>
                <w:rFonts w:ascii="Times New Roman" w:hAnsi="Times New Roman" w:cs="Times New Roman" w:eastAsia="Times New Roman" w:hint="default"/>
                <w:sz w:val="18"/>
                <w:szCs w:val="18"/>
              </w:rPr>
            </w:pPr>
            <w:r>
              <w:rPr>
                <w:rFonts w:ascii="Times New Roman"/>
                <w:sz w:val="18"/>
              </w:rPr>
              <w:t>96,335,269.67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03" w:right="0"/>
              <w:jc w:val="left"/>
              <w:rPr>
                <w:rFonts w:ascii="Times New Roman" w:hAnsi="Times New Roman" w:cs="Times New Roman" w:eastAsia="Times New Roman" w:hint="default"/>
                <w:sz w:val="18"/>
                <w:szCs w:val="18"/>
              </w:rPr>
            </w:pPr>
            <w:r>
              <w:rPr>
                <w:rFonts w:ascii="Times New Roman"/>
                <w:sz w:val="18"/>
              </w:rPr>
              <w:t>2,514,011.52</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60" w:right="0"/>
              <w:jc w:val="left"/>
              <w:rPr>
                <w:rFonts w:ascii="Times New Roman" w:hAnsi="Times New Roman" w:cs="Times New Roman" w:eastAsia="Times New Roman" w:hint="default"/>
                <w:sz w:val="18"/>
                <w:szCs w:val="18"/>
              </w:rPr>
            </w:pPr>
            <w:r>
              <w:rPr>
                <w:rFonts w:ascii="Times New Roman"/>
                <w:sz w:val="18"/>
              </w:rPr>
              <w:t>191,807,557.91</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6"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1232"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298"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152"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3" w:space="0" w:color="D2D2D2"/>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1232"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6" w:type="dxa"/>
            <w:vMerge/>
            <w:tcBorders>
              <w:left w:val="single" w:sz="13"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1232"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15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3"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152"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3" w:space="0" w:color="D2D2D2"/>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1232"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76" w:type="dxa"/>
            <w:vMerge/>
            <w:tcBorders>
              <w:left w:val="single" w:sz="13"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1232"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15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3"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714"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27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2"/>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99"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02" w:right="0"/>
              <w:jc w:val="left"/>
              <w:rPr>
                <w:rFonts w:ascii="Times New Roman" w:hAnsi="Times New Roman" w:cs="Times New Roman" w:eastAsia="Times New Roman" w:hint="default"/>
                <w:sz w:val="18"/>
                <w:szCs w:val="18"/>
              </w:rPr>
            </w:pPr>
            <w:r>
              <w:rPr>
                <w:rFonts w:ascii="Times New Roman"/>
                <w:sz w:val="18"/>
              </w:rPr>
              <w:t>54,000,000.00</w:t>
            </w:r>
          </w:p>
        </w:tc>
        <w:tc>
          <w:tcPr>
            <w:tcW w:w="70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65" w:right="0"/>
              <w:jc w:val="left"/>
              <w:rPr>
                <w:rFonts w:ascii="Times New Roman" w:hAnsi="Times New Roman" w:cs="Times New Roman" w:eastAsia="Times New Roman" w:hint="default"/>
                <w:sz w:val="18"/>
                <w:szCs w:val="18"/>
              </w:rPr>
            </w:pPr>
            <w:r>
              <w:rPr>
                <w:rFonts w:ascii="Times New Roman"/>
                <w:sz w:val="18"/>
              </w:rPr>
              <w:t>21,296,280.30</w:t>
            </w:r>
          </w:p>
        </w:tc>
        <w:tc>
          <w:tcPr>
            <w:tcW w:w="610"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434" w:right="0"/>
              <w:jc w:val="left"/>
              <w:rPr>
                <w:rFonts w:ascii="Times New Roman" w:hAnsi="Times New Roman" w:cs="Times New Roman" w:eastAsia="Times New Roman" w:hint="default"/>
                <w:sz w:val="18"/>
                <w:szCs w:val="18"/>
              </w:rPr>
            </w:pPr>
            <w:r>
              <w:rPr>
                <w:rFonts w:ascii="Times New Roman"/>
                <w:sz w:val="18"/>
              </w:rPr>
              <w:t>344,057.07</w:t>
            </w:r>
          </w:p>
        </w:tc>
        <w:tc>
          <w:tcPr>
            <w:tcW w:w="56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65" w:right="0"/>
              <w:jc w:val="left"/>
              <w:rPr>
                <w:rFonts w:ascii="Times New Roman" w:hAnsi="Times New Roman" w:cs="Times New Roman" w:eastAsia="Times New Roman" w:hint="default"/>
                <w:sz w:val="18"/>
                <w:szCs w:val="18"/>
              </w:rPr>
            </w:pPr>
            <w:r>
              <w:rPr>
                <w:rFonts w:ascii="Times New Roman"/>
                <w:sz w:val="18"/>
              </w:rPr>
              <w:t>17,317,939.35</w:t>
            </w:r>
          </w:p>
        </w:tc>
        <w:tc>
          <w:tcPr>
            <w:tcW w:w="70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65" w:right="0"/>
              <w:jc w:val="left"/>
              <w:rPr>
                <w:rFonts w:ascii="Times New Roman" w:hAnsi="Times New Roman" w:cs="Times New Roman" w:eastAsia="Times New Roman" w:hint="default"/>
                <w:sz w:val="18"/>
                <w:szCs w:val="18"/>
              </w:rPr>
            </w:pPr>
            <w:r>
              <w:rPr>
                <w:rFonts w:ascii="Times New Roman"/>
                <w:sz w:val="18"/>
              </w:rPr>
              <w:t>96,335,269.67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03" w:right="0"/>
              <w:jc w:val="left"/>
              <w:rPr>
                <w:rFonts w:ascii="Times New Roman" w:hAnsi="Times New Roman" w:cs="Times New Roman" w:eastAsia="Times New Roman" w:hint="default"/>
                <w:sz w:val="18"/>
                <w:szCs w:val="18"/>
              </w:rPr>
            </w:pPr>
            <w:r>
              <w:rPr>
                <w:rFonts w:ascii="Times New Roman"/>
                <w:sz w:val="18"/>
              </w:rPr>
              <w:t>2,514,011.52</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60" w:right="0"/>
              <w:jc w:val="left"/>
              <w:rPr>
                <w:rFonts w:ascii="Times New Roman" w:hAnsi="Times New Roman" w:cs="Times New Roman" w:eastAsia="Times New Roman" w:hint="default"/>
                <w:sz w:val="18"/>
                <w:szCs w:val="18"/>
              </w:rPr>
            </w:pPr>
            <w:r>
              <w:rPr>
                <w:rFonts w:ascii="Times New Roman"/>
                <w:sz w:val="18"/>
              </w:rPr>
              <w:t>191,807,557.91</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6"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1232"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298"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150"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96" w:right="0"/>
              <w:jc w:val="left"/>
              <w:rPr>
                <w:rFonts w:ascii="Times New Roman" w:hAnsi="Times New Roman" w:cs="Times New Roman" w:eastAsia="Times New Roman" w:hint="default"/>
                <w:sz w:val="18"/>
                <w:szCs w:val="18"/>
              </w:rPr>
            </w:pPr>
            <w:r>
              <w:rPr>
                <w:rFonts w:ascii="Times New Roman"/>
                <w:sz w:val="18"/>
              </w:rPr>
              <w:t>54,000,000.00</w:t>
            </w:r>
          </w:p>
        </w:tc>
        <w:tc>
          <w:tcPr>
            <w:tcW w:w="70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75" w:right="0"/>
              <w:jc w:val="left"/>
              <w:rPr>
                <w:rFonts w:ascii="Times New Roman" w:hAnsi="Times New Roman" w:cs="Times New Roman" w:eastAsia="Times New Roman" w:hint="default"/>
                <w:sz w:val="18"/>
                <w:szCs w:val="18"/>
              </w:rPr>
            </w:pPr>
            <w:r>
              <w:rPr>
                <w:rFonts w:ascii="Times New Roman"/>
                <w:sz w:val="18"/>
              </w:rPr>
              <w:t>232,909,024.98</w:t>
            </w:r>
          </w:p>
        </w:tc>
        <w:tc>
          <w:tcPr>
            <w:tcW w:w="610"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374" w:right="0"/>
              <w:jc w:val="left"/>
              <w:rPr>
                <w:rFonts w:ascii="Times New Roman" w:hAnsi="Times New Roman" w:cs="Times New Roman" w:eastAsia="Times New Roman" w:hint="default"/>
                <w:sz w:val="18"/>
                <w:szCs w:val="18"/>
              </w:rPr>
            </w:pPr>
            <w:r>
              <w:rPr>
                <w:rFonts w:ascii="Times New Roman"/>
                <w:sz w:val="18"/>
              </w:rPr>
              <w:t>-258,416.65</w:t>
            </w:r>
          </w:p>
        </w:tc>
        <w:tc>
          <w:tcPr>
            <w:tcW w:w="56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55" w:right="0"/>
              <w:jc w:val="left"/>
              <w:rPr>
                <w:rFonts w:ascii="Times New Roman" w:hAnsi="Times New Roman" w:cs="Times New Roman" w:eastAsia="Times New Roman" w:hint="default"/>
                <w:sz w:val="18"/>
                <w:szCs w:val="18"/>
              </w:rPr>
            </w:pPr>
            <w:r>
              <w:rPr>
                <w:rFonts w:ascii="Times New Roman"/>
                <w:sz w:val="18"/>
              </w:rPr>
              <w:t>5,339,736.96</w:t>
            </w:r>
          </w:p>
        </w:tc>
        <w:tc>
          <w:tcPr>
            <w:tcW w:w="70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95" w:right="0"/>
              <w:jc w:val="left"/>
              <w:rPr>
                <w:rFonts w:ascii="Times New Roman" w:hAnsi="Times New Roman" w:cs="Times New Roman" w:eastAsia="Times New Roman" w:hint="default"/>
                <w:sz w:val="18"/>
                <w:szCs w:val="18"/>
              </w:rPr>
            </w:pPr>
            <w:r>
              <w:rPr>
                <w:rFonts w:ascii="Times New Roman"/>
                <w:sz w:val="18"/>
              </w:rPr>
              <w:t>-2,383,254.43</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13" w:right="0"/>
              <w:jc w:val="left"/>
              <w:rPr>
                <w:rFonts w:ascii="Times New Roman" w:hAnsi="Times New Roman" w:cs="Times New Roman" w:eastAsia="Times New Roman" w:hint="default"/>
                <w:sz w:val="18"/>
                <w:szCs w:val="18"/>
              </w:rPr>
            </w:pPr>
            <w:r>
              <w:rPr>
                <w:rFonts w:ascii="Times New Roman"/>
                <w:sz w:val="18"/>
              </w:rPr>
              <w:t>11,350,396.43</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60" w:right="0"/>
              <w:jc w:val="left"/>
              <w:rPr>
                <w:rFonts w:ascii="Times New Roman" w:hAnsi="Times New Roman" w:cs="Times New Roman" w:eastAsia="Times New Roman" w:hint="default"/>
                <w:sz w:val="18"/>
                <w:szCs w:val="18"/>
              </w:rPr>
            </w:pPr>
            <w:r>
              <w:rPr>
                <w:rFonts w:ascii="Times New Roman"/>
                <w:sz w:val="18"/>
              </w:rPr>
              <w:t>300,957,487.29</w:t>
            </w:r>
          </w:p>
        </w:tc>
      </w:tr>
      <w:tr>
        <w:trPr>
          <w:trHeight w:val="704"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6" w:type="dxa"/>
            <w:vMerge/>
            <w:tcBorders>
              <w:left w:val="single" w:sz="13"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1232"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149"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3"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-258,416.65</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74,956,482.53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7" w:right="0"/>
              <w:jc w:val="left"/>
              <w:rPr>
                <w:rFonts w:ascii="Times New Roman" w:hAnsi="Times New Roman" w:cs="Times New Roman" w:eastAsia="Times New Roman" w:hint="default"/>
                <w:sz w:val="18"/>
                <w:szCs w:val="18"/>
              </w:rPr>
            </w:pPr>
            <w:r>
              <w:rPr>
                <w:rFonts w:ascii="Times New Roman"/>
                <w:sz w:val="18"/>
              </w:rPr>
              <w:t>6,965,517.53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0" w:right="0"/>
              <w:jc w:val="left"/>
              <w:rPr>
                <w:rFonts w:ascii="Times New Roman" w:hAnsi="Times New Roman" w:cs="Times New Roman" w:eastAsia="Times New Roman" w:hint="default"/>
                <w:sz w:val="18"/>
                <w:szCs w:val="18"/>
              </w:rPr>
            </w:pPr>
            <w:r>
              <w:rPr>
                <w:rFonts w:ascii="Times New Roman"/>
                <w:sz w:val="18"/>
              </w:rPr>
              <w:t>81,663,583.41</w:t>
            </w:r>
          </w:p>
        </w:tc>
      </w:tr>
    </w:tbl>
    <w:p>
      <w:pPr>
        <w:spacing w:after="0" w:line="240" w:lineRule="auto"/>
        <w:jc w:val="left"/>
        <w:rPr>
          <w:rFonts w:ascii="Times New Roman" w:hAnsi="Times New Roman" w:cs="Times New Roman" w:eastAsia="Times New Roman" w:hint="default"/>
          <w:sz w:val="18"/>
          <w:szCs w:val="18"/>
        </w:rPr>
        <w:sectPr>
          <w:headerReference w:type="default" r:id="rId20"/>
          <w:footerReference w:type="default" r:id="rId21"/>
          <w:pgSz w:w="16840" w:h="11910" w:orient="landscape"/>
          <w:pgMar w:header="867" w:footer="979" w:top="1060" w:bottom="1160" w:left="920" w:right="820"/>
          <w:pgNumType w:start="81"/>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127"/>
        <w:gridCol w:w="1276"/>
        <w:gridCol w:w="709"/>
        <w:gridCol w:w="871"/>
        <w:gridCol w:w="546"/>
        <w:gridCol w:w="1232"/>
        <w:gridCol w:w="610"/>
        <w:gridCol w:w="1277"/>
        <w:gridCol w:w="566"/>
        <w:gridCol w:w="1134"/>
        <w:gridCol w:w="709"/>
        <w:gridCol w:w="1134"/>
        <w:gridCol w:w="1276"/>
        <w:gridCol w:w="1417"/>
      </w:tblGrid>
      <w:tr>
        <w:trPr>
          <w:trHeight w:val="1018" w:hRule="exact"/>
        </w:trPr>
        <w:tc>
          <w:tcPr>
            <w:tcW w:w="21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709" w:type="dxa"/>
            <w:tcBorders>
              <w:top w:val="single" w:sz="15" w:space="0" w:color="000000"/>
              <w:left w:val="single" w:sz="4" w:space="0" w:color="000000"/>
              <w:bottom w:val="single" w:sz="4" w:space="0" w:color="000000"/>
              <w:right w:val="single" w:sz="4" w:space="0" w:color="000000"/>
            </w:tcBorders>
          </w:tcPr>
          <w:p>
            <w:pPr/>
          </w:p>
        </w:tc>
        <w:tc>
          <w:tcPr>
            <w:tcW w:w="871" w:type="dxa"/>
            <w:tcBorders>
              <w:top w:val="single" w:sz="15" w:space="0" w:color="000000"/>
              <w:left w:val="single" w:sz="4" w:space="0" w:color="000000"/>
              <w:bottom w:val="single" w:sz="4" w:space="0" w:color="000000"/>
              <w:right w:val="single" w:sz="4" w:space="0" w:color="000000"/>
            </w:tcBorders>
          </w:tcPr>
          <w:p>
            <w:pPr/>
          </w:p>
        </w:tc>
        <w:tc>
          <w:tcPr>
            <w:tcW w:w="546" w:type="dxa"/>
            <w:tcBorders>
              <w:top w:val="single" w:sz="15" w:space="0" w:color="000000"/>
              <w:left w:val="single" w:sz="4" w:space="0" w:color="000000"/>
              <w:bottom w:val="single" w:sz="4" w:space="0" w:color="000000"/>
              <w:right w:val="single" w:sz="4" w:space="0" w:color="000000"/>
            </w:tcBorders>
          </w:tcPr>
          <w:p>
            <w:pPr/>
          </w:p>
        </w:tc>
        <w:tc>
          <w:tcPr>
            <w:tcW w:w="12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232,909,024.98</w:t>
            </w:r>
          </w:p>
        </w:tc>
        <w:tc>
          <w:tcPr>
            <w:tcW w:w="610"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255,809,024.98</w:t>
            </w:r>
          </w:p>
        </w:tc>
      </w:tr>
      <w:tr>
        <w:trPr>
          <w:trHeight w:val="98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232,909,024.98</w:t>
            </w: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255,809,024.98</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98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-77,339,736.9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-515,121.10</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-36,515,121.10</w:t>
            </w:r>
          </w:p>
        </w:tc>
      </w:tr>
      <w:tr>
        <w:trPr>
          <w:trHeight w:val="696"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-5,339,736.96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68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0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-515,121.10</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-36,515,121.10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68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9"/>
                <w:sz w:val="18"/>
                <w:szCs w:val="18"/>
              </w:rPr>
              <w:t>）</w:t>
            </w:r>
            <w:r>
              <w:rPr>
                <w:rFonts w:ascii="宋体" w:hAnsi="宋体" w:cs="宋体" w:eastAsia="宋体" w:hint="default"/>
                <w:sz w:val="18"/>
                <w:szCs w:val="18"/>
              </w:rPr>
              <w:t>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90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127"/>
        <w:gridCol w:w="1276"/>
        <w:gridCol w:w="709"/>
        <w:gridCol w:w="871"/>
        <w:gridCol w:w="546"/>
        <w:gridCol w:w="1232"/>
        <w:gridCol w:w="610"/>
        <w:gridCol w:w="1277"/>
        <w:gridCol w:w="566"/>
        <w:gridCol w:w="1134"/>
        <w:gridCol w:w="709"/>
        <w:gridCol w:w="1134"/>
        <w:gridCol w:w="1276"/>
        <w:gridCol w:w="1417"/>
      </w:tblGrid>
      <w:tr>
        <w:trPr>
          <w:trHeight w:val="729" w:hRule="exact"/>
        </w:trPr>
        <w:tc>
          <w:tcPr>
            <w:tcW w:w="21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276"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71" w:type="dxa"/>
            <w:tcBorders>
              <w:top w:val="single" w:sz="15" w:space="0" w:color="000000"/>
              <w:left w:val="single" w:sz="4" w:space="0" w:color="000000"/>
              <w:bottom w:val="single" w:sz="4" w:space="0" w:color="000000"/>
              <w:right w:val="single" w:sz="4" w:space="0" w:color="000000"/>
            </w:tcBorders>
          </w:tcPr>
          <w:p>
            <w:pPr/>
          </w:p>
        </w:tc>
        <w:tc>
          <w:tcPr>
            <w:tcW w:w="546" w:type="dxa"/>
            <w:tcBorders>
              <w:top w:val="single" w:sz="15" w:space="0" w:color="000000"/>
              <w:left w:val="single" w:sz="4" w:space="0" w:color="000000"/>
              <w:bottom w:val="single" w:sz="4" w:space="0" w:color="000000"/>
              <w:right w:val="single" w:sz="4" w:space="0" w:color="000000"/>
            </w:tcBorders>
          </w:tcPr>
          <w:p>
            <w:pPr/>
          </w:p>
        </w:tc>
        <w:tc>
          <w:tcPr>
            <w:tcW w:w="1232" w:type="dxa"/>
            <w:tcBorders>
              <w:top w:val="single" w:sz="15" w:space="0" w:color="000000"/>
              <w:left w:val="single" w:sz="4" w:space="0" w:color="000000"/>
              <w:bottom w:val="single" w:sz="4" w:space="0" w:color="000000"/>
              <w:right w:val="single" w:sz="4" w:space="0" w:color="000000"/>
            </w:tcBorders>
          </w:tcPr>
          <w:p>
            <w:pPr/>
          </w:p>
        </w:tc>
        <w:tc>
          <w:tcPr>
            <w:tcW w:w="610"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68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108,000,000.00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254,205,305.28</w:t>
            </w:r>
          </w:p>
        </w:tc>
        <w:tc>
          <w:tcPr>
            <w:tcW w:w="6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85,640.42</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22,657,676.31</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93,952,015.24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13,864,407.95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492,765,045.20</w:t>
            </w:r>
          </w:p>
        </w:tc>
      </w:tr>
    </w:tbl>
    <w:p>
      <w:pPr>
        <w:pStyle w:val="BodyText"/>
        <w:spacing w:line="240" w:lineRule="auto" w:before="51"/>
        <w:ind w:left="540" w:right="0"/>
        <w:jc w:val="left"/>
      </w:pPr>
      <w:r>
        <w:rPr/>
        <w:t>上期金额</w:t>
      </w:r>
    </w:p>
    <w:p>
      <w:pPr>
        <w:pStyle w:val="BodyText"/>
        <w:spacing w:line="240" w:lineRule="auto" w:before="117"/>
        <w:ind w:left="0" w:right="715"/>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841"/>
        <w:gridCol w:w="1552"/>
        <w:gridCol w:w="709"/>
        <w:gridCol w:w="850"/>
        <w:gridCol w:w="568"/>
        <w:gridCol w:w="1276"/>
        <w:gridCol w:w="566"/>
        <w:gridCol w:w="1277"/>
        <w:gridCol w:w="566"/>
        <w:gridCol w:w="1134"/>
        <w:gridCol w:w="709"/>
        <w:gridCol w:w="1134"/>
        <w:gridCol w:w="1276"/>
        <w:gridCol w:w="1417"/>
      </w:tblGrid>
      <w:tr>
        <w:trPr>
          <w:trHeight w:val="402" w:hRule="exact"/>
        </w:trPr>
        <w:tc>
          <w:tcPr>
            <w:tcW w:w="1841" w:type="dxa"/>
            <w:vMerge w:val="restart"/>
            <w:tcBorders>
              <w:top w:val="single" w:sz="4" w:space="0" w:color="000000"/>
              <w:left w:val="single" w:sz="4" w:space="0" w:color="000000"/>
              <w:right w:val="single" w:sz="4" w:space="0" w:color="000000"/>
            </w:tcBorders>
            <w:shd w:val="clear" w:color="auto" w:fill="D2D2D2"/>
          </w:tcPr>
          <w:p>
            <w:pPr/>
          </w:p>
        </w:tc>
        <w:tc>
          <w:tcPr>
            <w:tcW w:w="1303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1841" w:type="dxa"/>
            <w:vMerge/>
            <w:tcBorders>
              <w:left w:val="single" w:sz="4" w:space="0" w:color="000000"/>
              <w:bottom w:val="nil" w:sz="6" w:space="0" w:color="auto"/>
              <w:right w:val="single" w:sz="4" w:space="0" w:color="000000"/>
            </w:tcBorders>
            <w:shd w:val="clear" w:color="auto" w:fill="D2D2D2"/>
          </w:tcPr>
          <w:p>
            <w:pPr/>
          </w:p>
        </w:tc>
        <w:tc>
          <w:tcPr>
            <w:tcW w:w="1034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18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1" w:type="dxa"/>
            <w:gridSpan w:val="11"/>
            <w:vMerge/>
            <w:tcBorders>
              <w:left w:val="single" w:sz="4" w:space="0" w:color="000000"/>
              <w:bottom w:val="single" w:sz="4" w:space="0" w:color="FFFFFF"/>
              <w:right w:val="single" w:sz="4" w:space="0" w:color="000000"/>
            </w:tcBorders>
            <w:shd w:val="clear" w:color="auto" w:fill="D2D2D2"/>
          </w:tcPr>
          <w:p>
            <w:pPr/>
          </w:p>
        </w:tc>
        <w:tc>
          <w:tcPr>
            <w:tcW w:w="1276" w:type="dxa"/>
            <w:vMerge/>
            <w:tcBorders>
              <w:left w:val="single" w:sz="4" w:space="0" w:color="000000"/>
              <w:bottom w:val="single" w:sz="4" w:space="0" w:color="FFFFFF"/>
              <w:right w:val="single" w:sz="4" w:space="0" w:color="000000"/>
            </w:tcBorders>
            <w:shd w:val="clear" w:color="auto" w:fill="D2D2D2"/>
          </w:tcPr>
          <w:p>
            <w:pPr/>
          </w:p>
        </w:tc>
        <w:tc>
          <w:tcPr>
            <w:tcW w:w="1417" w:type="dxa"/>
            <w:vMerge/>
            <w:tcBorders>
              <w:left w:val="single" w:sz="4" w:space="0" w:color="000000"/>
              <w:bottom w:val="single" w:sz="4" w:space="0" w:color="FFFFFF"/>
              <w:right w:val="single" w:sz="4" w:space="0" w:color="000000"/>
            </w:tcBorders>
            <w:shd w:val="clear" w:color="auto" w:fill="D2D2D2"/>
          </w:tcPr>
          <w:p>
            <w:pPr/>
          </w:p>
        </w:tc>
      </w:tr>
      <w:tr>
        <w:trPr>
          <w:trHeight w:val="204" w:hRule="exact"/>
        </w:trPr>
        <w:tc>
          <w:tcPr>
            <w:tcW w:w="1841" w:type="dxa"/>
            <w:vMerge/>
            <w:tcBorders>
              <w:left w:val="single" w:sz="4" w:space="0" w:color="000000"/>
              <w:bottom w:val="single" w:sz="4" w:space="0" w:color="FFFFFF"/>
              <w:right w:val="single" w:sz="4" w:space="0" w:color="000000"/>
            </w:tcBorders>
            <w:shd w:val="clear" w:color="auto" w:fill="D2D2D2"/>
          </w:tcPr>
          <w:p>
            <w:pPr/>
          </w:p>
        </w:tc>
        <w:tc>
          <w:tcPr>
            <w:tcW w:w="1552" w:type="dxa"/>
            <w:tcBorders>
              <w:top w:val="single" w:sz="4" w:space="0" w:color="FFFFFF"/>
              <w:left w:val="single" w:sz="4" w:space="0" w:color="000000"/>
              <w:bottom w:val="single" w:sz="4" w:space="0" w:color="FFFFFF"/>
              <w:right w:val="single" w:sz="4" w:space="0" w:color="000000"/>
            </w:tcBorders>
            <w:shd w:val="clear" w:color="auto" w:fill="D2D2D2"/>
          </w:tcPr>
          <w:p>
            <w:pPr/>
          </w:p>
        </w:tc>
        <w:tc>
          <w:tcPr>
            <w:tcW w:w="2126"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7" w:type="dxa"/>
            <w:tcBorders>
              <w:top w:val="single" w:sz="4" w:space="0" w:color="FFFFFF"/>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FFFFFF"/>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34" w:type="dxa"/>
            <w:tcBorders>
              <w:top w:val="single" w:sz="4" w:space="0" w:color="FFFFFF"/>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1" w:hRule="exact"/>
        </w:trPr>
        <w:tc>
          <w:tcPr>
            <w:tcW w:w="1841" w:type="dxa"/>
            <w:vMerge w:val="restart"/>
            <w:tcBorders>
              <w:top w:val="single" w:sz="4" w:space="0" w:color="FFFFFF"/>
              <w:left w:val="single" w:sz="4" w:space="0" w:color="000000"/>
              <w:right w:val="single" w:sz="4" w:space="0" w:color="000000"/>
            </w:tcBorders>
            <w:shd w:val="clear" w:color="auto" w:fill="D2D2D2"/>
          </w:tcPr>
          <w:p>
            <w:pPr/>
          </w:p>
        </w:tc>
        <w:tc>
          <w:tcPr>
            <w:tcW w:w="15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841" w:type="dxa"/>
            <w:vMerge/>
            <w:tcBorders>
              <w:left w:val="single" w:sz="4" w:space="0" w:color="000000"/>
              <w:right w:val="single" w:sz="4" w:space="0" w:color="000000"/>
            </w:tcBorders>
            <w:shd w:val="clear" w:color="auto" w:fill="D2D2D2"/>
          </w:tcPr>
          <w:p>
            <w:pPr/>
          </w:p>
        </w:tc>
        <w:tc>
          <w:tcPr>
            <w:tcW w:w="1552"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1841" w:type="dxa"/>
            <w:vMerge/>
            <w:tcBorders>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21,296,280.30</w:t>
            </w:r>
          </w:p>
        </w:tc>
        <w:tc>
          <w:tcPr>
            <w:tcW w:w="566" w:type="dxa"/>
            <w:tcBorders>
              <w:top w:val="single" w:sz="18" w:space="0" w:color="D2D2D2"/>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tc>
        <w:tc>
          <w:tcPr>
            <w:tcW w:w="566"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8,772,556.95</w:t>
            </w:r>
          </w:p>
        </w:tc>
        <w:tc>
          <w:tcPr>
            <w:tcW w:w="709"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56,970,552.60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2,177,938.97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143,234,028.82</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5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55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21,296,280.30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8,772,556.95</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56,970,552.60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2,177,938.97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143,234,028.82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900" w:right="820"/>
        </w:sectPr>
      </w:pPr>
    </w:p>
    <w:p>
      <w:pPr>
        <w:spacing w:line="240" w:lineRule="auto" w:before="4"/>
        <w:rPr>
          <w:rFonts w:ascii="Times New Roman" w:hAnsi="Times New Roman" w:cs="Times New Roman" w:eastAsia="Times New Roman" w:hint="default"/>
          <w:sz w:val="3"/>
          <w:szCs w:val="3"/>
        </w:rPr>
      </w:pPr>
      <w:r>
        <w:rPr/>
        <w:pict>
          <v:group style="position:absolute;margin-left:144.139999pt;margin-top:336.220001pt;width:76.5pt;height:28pt;mso-position-horizontal-relative:page;mso-position-vertical-relative:page;z-index:-772840" coordorigin="2883,6724" coordsize="1530,560">
            <v:group style="position:absolute;left:2883;top:6724;width:1530;height:156" coordorigin="2883,6724" coordsize="1530,156">
              <v:shape style="position:absolute;left:2883;top:6724;width:1530;height:156" coordorigin="2883,6724" coordsize="1530,156" path="m2883,6880l4413,6880,4413,6724,2883,6724,2883,6880xe" filled="true" fillcolor="#ffffff" stroked="false">
                <v:path arrowok="t"/>
                <v:fill type="solid"/>
              </v:shape>
            </v:group>
            <v:group style="position:absolute;left:2894;top:6880;width:2;height:393" coordorigin="2894,6880" coordsize="2,393">
              <v:shape style="position:absolute;left:2894;top:6880;width:2;height:393" coordorigin="2894,6880" coordsize="0,393" path="m2894,6880l2894,7273e" filled="false" stroked="true" strokeweight="1.140pt" strokecolor="#ffffff">
                <v:path arrowok="t"/>
              </v:shape>
            </v:group>
            <v:group style="position:absolute;left:2906;top:6880;width:1484;height:393" coordorigin="2906,6880" coordsize="1484,393">
              <v:shape style="position:absolute;left:2906;top:6880;width:1484;height:393" coordorigin="2906,6880" coordsize="1484,393" path="m2906,7273l4389,7273,4389,6880,2906,6880,2906,7273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63"/>
        <w:gridCol w:w="1540"/>
        <w:gridCol w:w="709"/>
        <w:gridCol w:w="850"/>
        <w:gridCol w:w="568"/>
        <w:gridCol w:w="1276"/>
        <w:gridCol w:w="566"/>
        <w:gridCol w:w="1277"/>
        <w:gridCol w:w="566"/>
        <w:gridCol w:w="1134"/>
        <w:gridCol w:w="709"/>
        <w:gridCol w:w="1134"/>
        <w:gridCol w:w="1276"/>
        <w:gridCol w:w="1417"/>
      </w:tblGrid>
      <w:tr>
        <w:trPr>
          <w:trHeight w:val="729" w:hRule="exact"/>
        </w:trPr>
        <w:tc>
          <w:tcPr>
            <w:tcW w:w="1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4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327,357.07</w:t>
            </w:r>
          </w:p>
        </w:tc>
        <w:tc>
          <w:tcPr>
            <w:tcW w:w="56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8,545,382.40</w:t>
            </w:r>
          </w:p>
        </w:tc>
        <w:tc>
          <w:tcPr>
            <w:tcW w:w="709"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39,364,717.07</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336,072.55</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48,573,529.09</w:t>
            </w: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327,357.07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58,710,099.47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484,869.46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59,522,326.00</w:t>
            </w: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-148,796.91</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-148,796.91</w:t>
            </w:r>
            <w:r>
              <w:rPr>
                <w:rFonts w:ascii="Times New Roman"/>
                <w:sz w:val="18"/>
              </w:rPr>
            </w: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-148,796.91</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-148,796.91</w:t>
            </w:r>
            <w:r>
              <w:rPr>
                <w:rFonts w:ascii="Times New Roman"/>
                <w:sz w:val="18"/>
              </w:rPr>
            </w: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投入资本</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权益的金额</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8,545,382.40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-19,345,382.4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8,545,382.40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-8,545,382.40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4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90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852"/>
        <w:gridCol w:w="1552"/>
        <w:gridCol w:w="709"/>
        <w:gridCol w:w="850"/>
        <w:gridCol w:w="568"/>
        <w:gridCol w:w="1276"/>
        <w:gridCol w:w="566"/>
        <w:gridCol w:w="1277"/>
        <w:gridCol w:w="566"/>
        <w:gridCol w:w="1134"/>
        <w:gridCol w:w="709"/>
        <w:gridCol w:w="1134"/>
        <w:gridCol w:w="1276"/>
        <w:gridCol w:w="1417"/>
      </w:tblGrid>
      <w:tr>
        <w:trPr>
          <w:trHeight w:val="416" w:hRule="exact"/>
        </w:trPr>
        <w:tc>
          <w:tcPr>
            <w:tcW w:w="1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2" w:type="dxa"/>
            <w:tcBorders>
              <w:top w:val="single" w:sz="15" w:space="0" w:color="000000"/>
              <w:left w:val="single" w:sz="13" w:space="0" w:color="D2D2D2"/>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54,000,000.00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21,296,280.30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344,057.07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17,317,939.35</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96,335,269.67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2,514,011.52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191,807,557.91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540"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540" w:right="0"/>
        <w:jc w:val="left"/>
      </w:pPr>
      <w:r>
        <w:rPr/>
        <w:t>本期金额</w:t>
      </w:r>
    </w:p>
    <w:p>
      <w:pPr>
        <w:pStyle w:val="BodyText"/>
        <w:spacing w:line="240" w:lineRule="auto" w:before="117"/>
        <w:ind w:left="0" w:right="715"/>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844"/>
        <w:gridCol w:w="2257"/>
        <w:gridCol w:w="1417"/>
        <w:gridCol w:w="1276"/>
        <w:gridCol w:w="566"/>
        <w:gridCol w:w="1277"/>
        <w:gridCol w:w="566"/>
        <w:gridCol w:w="1134"/>
        <w:gridCol w:w="709"/>
        <w:gridCol w:w="1134"/>
        <w:gridCol w:w="1276"/>
        <w:gridCol w:w="1417"/>
      </w:tblGrid>
      <w:tr>
        <w:trPr>
          <w:trHeight w:val="397"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9"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22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259" w:type="dxa"/>
            <w:gridSpan w:val="3"/>
            <w:vMerge/>
            <w:tcBorders>
              <w:left w:val="single" w:sz="4" w:space="0" w:color="000000"/>
              <w:bottom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2257"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6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22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26,394,465.63</w:t>
            </w:r>
          </w:p>
        </w:tc>
        <w:tc>
          <w:tcPr>
            <w:tcW w:w="566"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22" w:space="0" w:color="D2D2D2"/>
              <w:left w:val="single" w:sz="4" w:space="0" w:color="000000"/>
              <w:bottom w:val="single" w:sz="4" w:space="0" w:color="000000"/>
              <w:right w:val="single" w:sz="4" w:space="0" w:color="000000"/>
            </w:tcBorders>
          </w:tcPr>
          <w:p>
            <w:pPr/>
          </w:p>
        </w:tc>
        <w:tc>
          <w:tcPr>
            <w:tcW w:w="709"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16,043,385.99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99,303,855.30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195,741,706.92</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2257"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2257"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其他</w:t>
            </w:r>
          </w:p>
        </w:tc>
        <w:tc>
          <w:tcPr>
            <w:tcW w:w="2257"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22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26,394,465.63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16,043,385.99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99,303,855.30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195,741,706.92</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232,909,024.98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-23,942,367.33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268,306,394.61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2257"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53,397,369.63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53,397,369.63</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22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232,909,024.98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250,909,024.98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22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232,909,024.98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250,909,024.98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900" w:right="820"/>
        </w:sectPr>
      </w:pPr>
    </w:p>
    <w:p>
      <w:pPr>
        <w:spacing w:line="240" w:lineRule="auto" w:before="4"/>
        <w:rPr>
          <w:rFonts w:ascii="Times New Roman" w:hAnsi="Times New Roman" w:cs="Times New Roman" w:eastAsia="Times New Roman" w:hint="default"/>
          <w:sz w:val="3"/>
          <w:szCs w:val="3"/>
        </w:rPr>
      </w:pPr>
      <w:r>
        <w:rPr/>
        <w:pict>
          <v:group style="position:absolute;margin-left:144.320007pt;margin-top:188.900009pt;width:111.8pt;height:28pt;mso-position-horizontal-relative:page;mso-position-vertical-relative:page;z-index:-772816" coordorigin="2886,3778" coordsize="2236,560">
            <v:group style="position:absolute;left:2886;top:3778;width:2236;height:156" coordorigin="2886,3778" coordsize="2236,156">
              <v:shape style="position:absolute;left:2886;top:3778;width:2236;height:156" coordorigin="2886,3778" coordsize="2236,156" path="m2886,3934l5122,3934,5122,3778,2886,3778,2886,3934xe" filled="true" fillcolor="#ffffff" stroked="false">
                <v:path arrowok="t"/>
                <v:fill type="solid"/>
              </v:shape>
            </v:group>
            <v:group style="position:absolute;left:2898;top:3934;width:2;height:393" coordorigin="2898,3934" coordsize="2,393">
              <v:shape style="position:absolute;left:2898;top:3934;width:2;height:393" coordorigin="2898,3934" coordsize="0,393" path="m2898,3934l2898,4326e" filled="false" stroked="true" strokeweight="1.140pt" strokecolor="#ffffff">
                <v:path arrowok="t"/>
              </v:shape>
            </v:group>
            <v:group style="position:absolute;left:2909;top:3934;width:2189;height:393" coordorigin="2909,3934" coordsize="2189,393">
              <v:shape style="position:absolute;left:2909;top:3934;width:2189;height:393" coordorigin="2909,3934" coordsize="2189,393" path="m2909,4326l5098,4326,5098,3934,2909,3934,2909,4326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68"/>
        <w:gridCol w:w="2245"/>
        <w:gridCol w:w="1417"/>
        <w:gridCol w:w="1276"/>
        <w:gridCol w:w="566"/>
        <w:gridCol w:w="1277"/>
        <w:gridCol w:w="566"/>
        <w:gridCol w:w="1134"/>
        <w:gridCol w:w="709"/>
        <w:gridCol w:w="1134"/>
        <w:gridCol w:w="1276"/>
        <w:gridCol w:w="1417"/>
      </w:tblGrid>
      <w:tr>
        <w:trPr>
          <w:trHeight w:val="729" w:hRule="exact"/>
        </w:trPr>
        <w:tc>
          <w:tcPr>
            <w:tcW w:w="18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投入资本</w:t>
            </w:r>
          </w:p>
        </w:tc>
        <w:tc>
          <w:tcPr>
            <w:tcW w:w="2245"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权益的金额</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-77,339,736.96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177" w:right="0"/>
              <w:jc w:val="left"/>
              <w:rPr>
                <w:rFonts w:ascii="Times New Roman" w:hAnsi="Times New Roman" w:cs="Times New Roman" w:eastAsia="Times New Roman" w:hint="default"/>
                <w:sz w:val="18"/>
                <w:szCs w:val="18"/>
              </w:rPr>
            </w:pPr>
            <w:r>
              <w:rPr>
                <w:rFonts w:ascii="Times New Roman"/>
                <w:sz w:val="18"/>
              </w:rPr>
              <w:t>36,000,000.00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2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259,303,490.61</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21,383,122.95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75,361,487.97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464,048,101.53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900" w:right="820"/>
        </w:sectPr>
      </w:pPr>
    </w:p>
    <w:p>
      <w:pPr>
        <w:spacing w:line="240" w:lineRule="auto" w:before="4"/>
        <w:rPr>
          <w:rFonts w:ascii="Times New Roman" w:hAnsi="Times New Roman" w:cs="Times New Roman" w:eastAsia="Times New Roman" w:hint="default"/>
          <w:sz w:val="3"/>
          <w:szCs w:val="3"/>
        </w:rPr>
      </w:pPr>
    </w:p>
    <w:p>
      <w:pPr>
        <w:spacing w:line="20" w:lineRule="exact"/>
        <w:ind w:left="5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540" w:right="0"/>
        <w:jc w:val="left"/>
      </w:pPr>
      <w:r>
        <w:rPr/>
        <w:t>上期金额</w:t>
      </w:r>
    </w:p>
    <w:p>
      <w:pPr>
        <w:pStyle w:val="BodyText"/>
        <w:spacing w:line="240" w:lineRule="auto" w:before="116"/>
        <w:ind w:left="0" w:right="715"/>
        <w:jc w:val="right"/>
      </w:pPr>
      <w:r>
        <w:rPr/>
        <w:t>单位：元</w:t>
      </w:r>
    </w:p>
    <w:p>
      <w:pPr>
        <w:spacing w:line="240" w:lineRule="auto" w:before="1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394"/>
        <w:gridCol w:w="708"/>
        <w:gridCol w:w="709"/>
        <w:gridCol w:w="568"/>
        <w:gridCol w:w="1276"/>
        <w:gridCol w:w="993"/>
        <w:gridCol w:w="850"/>
        <w:gridCol w:w="851"/>
        <w:gridCol w:w="1559"/>
        <w:gridCol w:w="1986"/>
        <w:gridCol w:w="2126"/>
      </w:tblGrid>
      <w:tr>
        <w:trPr>
          <w:trHeight w:val="424"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05" w:hRule="exact"/>
        </w:trPr>
        <w:tc>
          <w:tcPr>
            <w:tcW w:w="18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4"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36" w:space="0" w:color="D2D2D2"/>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
        </w:tc>
        <w:tc>
          <w:tcPr>
            <w:tcW w:w="1986" w:type="dxa"/>
            <w:vMerge w:val="restart"/>
            <w:tcBorders>
              <w:top w:val="single" w:sz="4" w:space="0" w:color="000000"/>
              <w:left w:val="single" w:sz="4" w:space="0" w:color="000000"/>
              <w:right w:val="single" w:sz="4" w:space="0" w:color="000000"/>
            </w:tcBorders>
            <w:shd w:val="clear" w:color="auto" w:fill="D2D2D2"/>
          </w:tcPr>
          <w:p>
            <w:pPr/>
          </w:p>
        </w:tc>
        <w:tc>
          <w:tcPr>
            <w:tcW w:w="212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868" w:type="dxa"/>
            <w:vMerge/>
            <w:tcBorders>
              <w:left w:val="single" w:sz="4" w:space="0" w:color="000000"/>
              <w:right w:val="single" w:sz="4" w:space="0" w:color="000000"/>
            </w:tcBorders>
            <w:shd w:val="clear" w:color="auto" w:fill="D2D2D2"/>
          </w:tcPr>
          <w:p>
            <w:pPr/>
          </w:p>
        </w:tc>
        <w:tc>
          <w:tcPr>
            <w:tcW w:w="1394" w:type="dxa"/>
            <w:vMerge/>
            <w:tcBorders>
              <w:left w:val="single" w:sz="4" w:space="0" w:color="000000"/>
              <w:bottom w:val="nil" w:sz="6" w:space="0" w:color="auto"/>
              <w:right w:val="single" w:sz="4" w:space="0" w:color="000000"/>
            </w:tcBorders>
            <w:shd w:val="clear" w:color="auto" w:fill="D2D2D2"/>
          </w:tcPr>
          <w:p>
            <w:pPr/>
          </w:p>
        </w:tc>
        <w:tc>
          <w:tcPr>
            <w:tcW w:w="1985" w:type="dxa"/>
            <w:gridSpan w:val="3"/>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51"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986" w:type="dxa"/>
            <w:vMerge/>
            <w:tcBorders>
              <w:left w:val="single" w:sz="4" w:space="0" w:color="000000"/>
              <w:bottom w:val="nil" w:sz="6" w:space="0" w:color="auto"/>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1868" w:type="dxa"/>
            <w:vMerge/>
            <w:tcBorders>
              <w:left w:val="single" w:sz="4" w:space="0" w:color="000000"/>
              <w:bottom w:val="nil" w:sz="6" w:space="0" w:color="auto"/>
              <w:right w:val="single" w:sz="4" w:space="0" w:color="000000"/>
            </w:tcBorders>
            <w:shd w:val="clear" w:color="auto" w:fill="D2D2D2"/>
          </w:tcPr>
          <w:p>
            <w:pPr/>
          </w:p>
        </w:tc>
        <w:tc>
          <w:tcPr>
            <w:tcW w:w="13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9" w:hRule="exact"/>
        </w:trPr>
        <w:tc>
          <w:tcPr>
            <w:tcW w:w="1868" w:type="dxa"/>
            <w:vMerge w:val="restart"/>
            <w:tcBorders>
              <w:top w:val="nil" w:sz="6" w:space="0" w:color="auto"/>
              <w:left w:val="single" w:sz="4" w:space="0" w:color="000000"/>
              <w:right w:val="single" w:sz="4" w:space="0" w:color="000000"/>
            </w:tcBorders>
            <w:shd w:val="clear" w:color="auto" w:fill="D2D2D2"/>
          </w:tcPr>
          <w:p>
            <w:pPr/>
          </w:p>
        </w:tc>
        <w:tc>
          <w:tcPr>
            <w:tcW w:w="1394"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986" w:type="dxa"/>
            <w:vMerge/>
            <w:tcBorders>
              <w:left w:val="single" w:sz="4" w:space="0" w:color="000000"/>
              <w:bottom w:val="nil" w:sz="6" w:space="0" w:color="auto"/>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868" w:type="dxa"/>
            <w:vMerge/>
            <w:tcBorders>
              <w:left w:val="single" w:sz="4" w:space="0" w:color="000000"/>
              <w:right w:val="single" w:sz="4" w:space="0" w:color="000000"/>
            </w:tcBorders>
            <w:shd w:val="clear" w:color="auto" w:fill="D2D2D2"/>
          </w:tcPr>
          <w:p>
            <w:pPr/>
          </w:p>
        </w:tc>
        <w:tc>
          <w:tcPr>
            <w:tcW w:w="1394"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
        </w:tc>
        <w:tc>
          <w:tcPr>
            <w:tcW w:w="1986" w:type="dxa"/>
            <w:vMerge w:val="restart"/>
            <w:tcBorders>
              <w:top w:val="nil" w:sz="6" w:space="0" w:color="auto"/>
              <w:left w:val="single" w:sz="4" w:space="0" w:color="000000"/>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
        </w:tc>
      </w:tr>
      <w:tr>
        <w:trPr>
          <w:trHeight w:val="95" w:hRule="exact"/>
        </w:trPr>
        <w:tc>
          <w:tcPr>
            <w:tcW w:w="1868" w:type="dxa"/>
            <w:vMerge/>
            <w:tcBorders>
              <w:left w:val="single" w:sz="4" w:space="0" w:color="000000"/>
              <w:bottom w:val="single" w:sz="4" w:space="0" w:color="000000"/>
              <w:right w:val="single" w:sz="4" w:space="0" w:color="000000"/>
            </w:tcBorders>
            <w:shd w:val="clear" w:color="auto" w:fill="D2D2D2"/>
          </w:tcPr>
          <w:p>
            <w:pPr/>
          </w:p>
        </w:tc>
        <w:tc>
          <w:tcPr>
            <w:tcW w:w="13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986" w:type="dxa"/>
            <w:vMerge/>
            <w:tcBorders>
              <w:left w:val="single" w:sz="4" w:space="0" w:color="000000"/>
              <w:bottom w:val="single" w:sz="4" w:space="0" w:color="000000"/>
              <w:right w:val="single" w:sz="4" w:space="0" w:color="000000"/>
            </w:tcBorders>
            <w:shd w:val="clear" w:color="auto" w:fill="D2D2D2"/>
          </w:tcPr>
          <w:p>
            <w:pPr/>
          </w:p>
        </w:tc>
        <w:tc>
          <w:tcPr>
            <w:tcW w:w="2126" w:type="dxa"/>
            <w:vMerge/>
            <w:tcBorders>
              <w:left w:val="single" w:sz="4" w:space="0" w:color="000000"/>
              <w:bottom w:val="single" w:sz="4" w:space="0" w:color="000000"/>
              <w:right w:val="single" w:sz="4" w:space="0" w:color="000000"/>
            </w:tcBorders>
            <w:shd w:val="clear" w:color="auto" w:fill="D2D2D2"/>
          </w:tcPr>
          <w:p>
            <w:pPr/>
          </w:p>
        </w:tc>
      </w:tr>
      <w:tr>
        <w:trPr>
          <w:trHeight w:val="4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708" w:type="dxa"/>
            <w:tcBorders>
              <w:top w:val="single" w:sz="13" w:space="0" w:color="D2D2D2"/>
              <w:left w:val="single" w:sz="4" w:space="0" w:color="000000"/>
              <w:bottom w:val="single" w:sz="4" w:space="0" w:color="000000"/>
              <w:right w:val="single" w:sz="4" w:space="0" w:color="000000"/>
            </w:tcBorders>
          </w:tcPr>
          <w:p>
            <w:pPr/>
          </w:p>
        </w:tc>
        <w:tc>
          <w:tcPr>
            <w:tcW w:w="709" w:type="dxa"/>
            <w:tcBorders>
              <w:top w:val="single" w:sz="13" w:space="0" w:color="D2D2D2"/>
              <w:left w:val="single" w:sz="4" w:space="0" w:color="000000"/>
              <w:bottom w:val="single" w:sz="4" w:space="0" w:color="000000"/>
              <w:right w:val="single" w:sz="4" w:space="0" w:color="000000"/>
            </w:tcBorders>
          </w:tcPr>
          <w:p>
            <w:pPr/>
          </w:p>
        </w:tc>
        <w:tc>
          <w:tcPr>
            <w:tcW w:w="568" w:type="dxa"/>
            <w:tcBorders>
              <w:top w:val="single" w:sz="13"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26,394,465.63</w:t>
            </w: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0" w:space="0" w:color="D2D2D2"/>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7,498,003.59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33,195,413.72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121,087,882.94</w:t>
            </w: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
              <w:jc w:val="center"/>
              <w:rPr>
                <w:rFonts w:ascii="宋体" w:hAnsi="宋体" w:cs="宋体" w:eastAsia="宋体" w:hint="default"/>
                <w:sz w:val="18"/>
                <w:szCs w:val="18"/>
              </w:rPr>
            </w:pP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86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9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708"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568" w:type="dxa"/>
            <w:tcBorders>
              <w:top w:val="single" w:sz="4" w:space="0" w:color="000000"/>
              <w:left w:val="single" w:sz="4" w:space="0" w:color="000000"/>
              <w:bottom w:val="single" w:sz="4" w:space="0" w:color="FFFFFF"/>
              <w:right w:val="single" w:sz="4" w:space="0" w:color="000000"/>
            </w:tcBorders>
          </w:tcPr>
          <w:p>
            <w:pPr/>
          </w:p>
        </w:tc>
        <w:tc>
          <w:tcPr>
            <w:tcW w:w="12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26,394,465.63</w:t>
            </w:r>
          </w:p>
        </w:tc>
        <w:tc>
          <w:tcPr>
            <w:tcW w:w="993" w:type="dxa"/>
            <w:tcBorders>
              <w:top w:val="single" w:sz="4" w:space="0" w:color="000000"/>
              <w:left w:val="single" w:sz="4" w:space="0" w:color="000000"/>
              <w:bottom w:val="single" w:sz="4" w:space="0" w:color="FFFFFF"/>
              <w:right w:val="single" w:sz="4" w:space="0" w:color="000000"/>
            </w:tcBorders>
          </w:tcPr>
          <w:p>
            <w:pPr/>
          </w:p>
        </w:tc>
        <w:tc>
          <w:tcPr>
            <w:tcW w:w="850" w:type="dxa"/>
            <w:tcBorders>
              <w:top w:val="single" w:sz="4" w:space="0" w:color="000000"/>
              <w:left w:val="single" w:sz="4" w:space="0" w:color="000000"/>
              <w:bottom w:val="single" w:sz="4" w:space="0" w:color="FFFFFF"/>
              <w:right w:val="single" w:sz="4" w:space="0" w:color="000000"/>
            </w:tcBorders>
          </w:tcPr>
          <w:p>
            <w:pPr/>
          </w:p>
        </w:tc>
        <w:tc>
          <w:tcPr>
            <w:tcW w:w="851" w:type="dxa"/>
            <w:tcBorders>
              <w:top w:val="single" w:sz="4" w:space="0" w:color="000000"/>
              <w:left w:val="single" w:sz="4" w:space="0" w:color="000000"/>
              <w:bottom w:val="single" w:sz="4" w:space="0" w:color="FFFFFF"/>
              <w:right w:val="single" w:sz="4" w:space="0" w:color="000000"/>
            </w:tcBorders>
          </w:tcPr>
          <w:p>
            <w:pPr/>
          </w:p>
        </w:tc>
        <w:tc>
          <w:tcPr>
            <w:tcW w:w="15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7,498,003.59</w:t>
            </w:r>
          </w:p>
        </w:tc>
        <w:tc>
          <w:tcPr>
            <w:tcW w:w="198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33,195,413.72</w:t>
            </w:r>
          </w:p>
        </w:tc>
        <w:tc>
          <w:tcPr>
            <w:tcW w:w="212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121,087,882.94</w:t>
            </w:r>
          </w:p>
        </w:tc>
      </w:tr>
      <w:tr>
        <w:trPr>
          <w:trHeight w:val="799" w:hRule="exact"/>
        </w:trPr>
        <w:tc>
          <w:tcPr>
            <w:tcW w:w="18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4" w:type="dxa"/>
            <w:tcBorders>
              <w:top w:val="single" w:sz="4" w:space="0" w:color="FFFFFF"/>
              <w:left w:val="single" w:sz="4" w:space="0" w:color="000000"/>
              <w:bottom w:val="single" w:sz="4" w:space="0" w:color="000000"/>
              <w:right w:val="single" w:sz="4" w:space="0" w:color="000000"/>
            </w:tcBorders>
          </w:tcPr>
          <w:p>
            <w:pPr/>
          </w:p>
        </w:tc>
        <w:tc>
          <w:tcPr>
            <w:tcW w:w="708" w:type="dxa"/>
            <w:tcBorders>
              <w:top w:val="single" w:sz="4" w:space="0" w:color="FFFFFF"/>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568" w:type="dxa"/>
            <w:tcBorders>
              <w:top w:val="single" w:sz="4" w:space="0" w:color="FFFFFF"/>
              <w:left w:val="single" w:sz="4" w:space="0" w:color="000000"/>
              <w:bottom w:val="single" w:sz="4" w:space="0" w:color="000000"/>
              <w:right w:val="single" w:sz="4" w:space="0" w:color="000000"/>
            </w:tcBorders>
          </w:tcPr>
          <w:p>
            <w:pPr/>
          </w:p>
        </w:tc>
        <w:tc>
          <w:tcPr>
            <w:tcW w:w="1276" w:type="dxa"/>
            <w:tcBorders>
              <w:top w:val="single" w:sz="4" w:space="0" w:color="FFFFFF"/>
              <w:left w:val="single" w:sz="4" w:space="0" w:color="000000"/>
              <w:bottom w:val="single" w:sz="4" w:space="0" w:color="000000"/>
              <w:right w:val="single" w:sz="4" w:space="0" w:color="000000"/>
            </w:tcBorders>
          </w:tcPr>
          <w:p>
            <w:pPr/>
          </w:p>
        </w:tc>
        <w:tc>
          <w:tcPr>
            <w:tcW w:w="993"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FFFFFF"/>
              <w:left w:val="single" w:sz="4" w:space="0" w:color="000000"/>
              <w:bottom w:val="single" w:sz="4" w:space="0" w:color="000000"/>
              <w:right w:val="single" w:sz="4" w:space="0" w:color="000000"/>
            </w:tcBorders>
          </w:tcPr>
          <w:p>
            <w:pPr/>
          </w:p>
        </w:tc>
        <w:tc>
          <w:tcPr>
            <w:tcW w:w="851" w:type="dxa"/>
            <w:tcBorders>
              <w:top w:val="single" w:sz="4" w:space="0" w:color="FFFFFF"/>
              <w:left w:val="single" w:sz="4" w:space="0" w:color="000000"/>
              <w:bottom w:val="single" w:sz="4" w:space="0" w:color="000000"/>
              <w:right w:val="single" w:sz="4" w:space="0" w:color="000000"/>
            </w:tcBorders>
          </w:tcPr>
          <w:p>
            <w:pPr/>
          </w:p>
        </w:tc>
        <w:tc>
          <w:tcPr>
            <w:tcW w:w="15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8,545,382.40</w:t>
            </w:r>
          </w:p>
        </w:tc>
        <w:tc>
          <w:tcPr>
            <w:tcW w:w="19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66,108,441.58</w:t>
            </w:r>
          </w:p>
        </w:tc>
        <w:tc>
          <w:tcPr>
            <w:tcW w:w="21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74,653,823.98</w:t>
            </w:r>
          </w:p>
        </w:tc>
      </w:tr>
      <w:tr>
        <w:trPr>
          <w:trHeight w:val="4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85,453,823.98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85,453,823.98</w:t>
            </w:r>
          </w:p>
        </w:tc>
      </w:tr>
      <w:tr>
        <w:trPr>
          <w:trHeight w:val="78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6"/>
              <w:ind w:left="22" w:right="33"/>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86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94" w:type="dxa"/>
            <w:tcBorders>
              <w:top w:val="single" w:sz="4" w:space="0" w:color="000000"/>
              <w:left w:val="single" w:sz="4" w:space="0" w:color="000000"/>
              <w:bottom w:val="single" w:sz="4" w:space="0" w:color="FFFFFF"/>
              <w:right w:val="single" w:sz="4" w:space="0" w:color="000000"/>
            </w:tcBorders>
          </w:tcPr>
          <w:p>
            <w:pPr/>
          </w:p>
        </w:tc>
        <w:tc>
          <w:tcPr>
            <w:tcW w:w="708"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568" w:type="dxa"/>
            <w:tcBorders>
              <w:top w:val="single" w:sz="4" w:space="0" w:color="000000"/>
              <w:left w:val="single" w:sz="4" w:space="0" w:color="000000"/>
              <w:bottom w:val="single" w:sz="4" w:space="0" w:color="FFFFFF"/>
              <w:right w:val="single" w:sz="4" w:space="0" w:color="000000"/>
            </w:tcBorders>
          </w:tcPr>
          <w:p>
            <w:pPr/>
          </w:p>
        </w:tc>
        <w:tc>
          <w:tcPr>
            <w:tcW w:w="1276" w:type="dxa"/>
            <w:tcBorders>
              <w:top w:val="single" w:sz="4" w:space="0" w:color="000000"/>
              <w:left w:val="single" w:sz="4" w:space="0" w:color="000000"/>
              <w:bottom w:val="single" w:sz="4" w:space="0" w:color="FFFFFF"/>
              <w:right w:val="single" w:sz="4" w:space="0" w:color="000000"/>
            </w:tcBorders>
          </w:tcPr>
          <w:p>
            <w:pPr/>
          </w:p>
        </w:tc>
        <w:tc>
          <w:tcPr>
            <w:tcW w:w="993" w:type="dxa"/>
            <w:tcBorders>
              <w:top w:val="single" w:sz="4" w:space="0" w:color="000000"/>
              <w:left w:val="single" w:sz="4" w:space="0" w:color="000000"/>
              <w:bottom w:val="single" w:sz="4" w:space="0" w:color="FFFFFF"/>
              <w:right w:val="single" w:sz="4" w:space="0" w:color="000000"/>
            </w:tcBorders>
          </w:tcPr>
          <w:p>
            <w:pPr/>
          </w:p>
        </w:tc>
        <w:tc>
          <w:tcPr>
            <w:tcW w:w="850" w:type="dxa"/>
            <w:tcBorders>
              <w:top w:val="single" w:sz="4" w:space="0" w:color="000000"/>
              <w:left w:val="single" w:sz="4" w:space="0" w:color="000000"/>
              <w:bottom w:val="single" w:sz="4" w:space="0" w:color="FFFFFF"/>
              <w:right w:val="single" w:sz="4" w:space="0" w:color="000000"/>
            </w:tcBorders>
          </w:tcPr>
          <w:p>
            <w:pPr/>
          </w:p>
        </w:tc>
        <w:tc>
          <w:tcPr>
            <w:tcW w:w="851" w:type="dxa"/>
            <w:tcBorders>
              <w:top w:val="single" w:sz="4" w:space="0" w:color="000000"/>
              <w:left w:val="single" w:sz="4" w:space="0" w:color="000000"/>
              <w:bottom w:val="single" w:sz="4" w:space="0" w:color="FFFFFF"/>
              <w:right w:val="single" w:sz="4" w:space="0" w:color="000000"/>
            </w:tcBorders>
          </w:tcPr>
          <w:p>
            <w:pPr/>
          </w:p>
        </w:tc>
        <w:tc>
          <w:tcPr>
            <w:tcW w:w="1559" w:type="dxa"/>
            <w:tcBorders>
              <w:top w:val="single" w:sz="4" w:space="0" w:color="000000"/>
              <w:left w:val="single" w:sz="4" w:space="0" w:color="000000"/>
              <w:bottom w:val="single" w:sz="4" w:space="0" w:color="FFFFFF"/>
              <w:right w:val="single" w:sz="4" w:space="0" w:color="000000"/>
            </w:tcBorders>
          </w:tcPr>
          <w:p>
            <w:pPr/>
          </w:p>
        </w:tc>
        <w:tc>
          <w:tcPr>
            <w:tcW w:w="1986" w:type="dxa"/>
            <w:tcBorders>
              <w:top w:val="single" w:sz="4" w:space="0" w:color="000000"/>
              <w:left w:val="single" w:sz="4" w:space="0" w:color="000000"/>
              <w:bottom w:val="single" w:sz="4" w:space="0" w:color="FFFFFF"/>
              <w:right w:val="single" w:sz="4" w:space="0" w:color="000000"/>
            </w:tcBorders>
          </w:tcPr>
          <w:p>
            <w:pPr/>
          </w:p>
        </w:tc>
        <w:tc>
          <w:tcPr>
            <w:tcW w:w="2126" w:type="dxa"/>
            <w:tcBorders>
              <w:top w:val="single" w:sz="4" w:space="0" w:color="000000"/>
              <w:left w:val="single" w:sz="4" w:space="0" w:color="000000"/>
              <w:bottom w:val="single" w:sz="4" w:space="0" w:color="FFFFFF"/>
              <w:right w:val="single" w:sz="4" w:space="0" w:color="000000"/>
            </w:tcBorders>
          </w:tcPr>
          <w:p>
            <w:pPr/>
          </w:p>
        </w:tc>
      </w:tr>
      <w:tr>
        <w:trPr>
          <w:trHeight w:val="800" w:hRule="exact"/>
        </w:trPr>
        <w:tc>
          <w:tcPr>
            <w:tcW w:w="18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02" w:lineRule="auto" w:before="93"/>
              <w:ind w:left="22"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投入资本</w:t>
            </w:r>
          </w:p>
        </w:tc>
        <w:tc>
          <w:tcPr>
            <w:tcW w:w="1394" w:type="dxa"/>
            <w:tcBorders>
              <w:top w:val="single" w:sz="4" w:space="0" w:color="FFFFFF"/>
              <w:left w:val="single" w:sz="4" w:space="0" w:color="000000"/>
              <w:bottom w:val="single" w:sz="4" w:space="0" w:color="000000"/>
              <w:right w:val="single" w:sz="4" w:space="0" w:color="000000"/>
            </w:tcBorders>
          </w:tcPr>
          <w:p>
            <w:pPr/>
          </w:p>
        </w:tc>
        <w:tc>
          <w:tcPr>
            <w:tcW w:w="708" w:type="dxa"/>
            <w:tcBorders>
              <w:top w:val="single" w:sz="4" w:space="0" w:color="FFFFFF"/>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568" w:type="dxa"/>
            <w:tcBorders>
              <w:top w:val="single" w:sz="4" w:space="0" w:color="FFFFFF"/>
              <w:left w:val="single" w:sz="4" w:space="0" w:color="000000"/>
              <w:bottom w:val="single" w:sz="4" w:space="0" w:color="000000"/>
              <w:right w:val="single" w:sz="4" w:space="0" w:color="000000"/>
            </w:tcBorders>
          </w:tcPr>
          <w:p>
            <w:pPr/>
          </w:p>
        </w:tc>
        <w:tc>
          <w:tcPr>
            <w:tcW w:w="1276" w:type="dxa"/>
            <w:tcBorders>
              <w:top w:val="single" w:sz="4" w:space="0" w:color="FFFFFF"/>
              <w:left w:val="single" w:sz="4" w:space="0" w:color="000000"/>
              <w:bottom w:val="single" w:sz="4" w:space="0" w:color="000000"/>
              <w:right w:val="single" w:sz="4" w:space="0" w:color="000000"/>
            </w:tcBorders>
          </w:tcPr>
          <w:p>
            <w:pPr/>
          </w:p>
        </w:tc>
        <w:tc>
          <w:tcPr>
            <w:tcW w:w="993"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FFFFFF"/>
              <w:left w:val="single" w:sz="4" w:space="0" w:color="000000"/>
              <w:bottom w:val="single" w:sz="4" w:space="0" w:color="000000"/>
              <w:right w:val="single" w:sz="4" w:space="0" w:color="000000"/>
            </w:tcBorders>
          </w:tcPr>
          <w:p>
            <w:pPr/>
          </w:p>
        </w:tc>
        <w:tc>
          <w:tcPr>
            <w:tcW w:w="851" w:type="dxa"/>
            <w:tcBorders>
              <w:top w:val="single" w:sz="4" w:space="0" w:color="FFFFFF"/>
              <w:left w:val="single" w:sz="4" w:space="0" w:color="000000"/>
              <w:bottom w:val="single" w:sz="4" w:space="0" w:color="000000"/>
              <w:right w:val="single" w:sz="4" w:space="0" w:color="000000"/>
            </w:tcBorders>
          </w:tcPr>
          <w:p>
            <w:pPr/>
          </w:p>
        </w:tc>
        <w:tc>
          <w:tcPr>
            <w:tcW w:w="1559" w:type="dxa"/>
            <w:tcBorders>
              <w:top w:val="single" w:sz="4" w:space="0" w:color="FFFFFF"/>
              <w:left w:val="single" w:sz="4" w:space="0" w:color="000000"/>
              <w:bottom w:val="single" w:sz="4" w:space="0" w:color="000000"/>
              <w:right w:val="single" w:sz="4" w:space="0" w:color="000000"/>
            </w:tcBorders>
          </w:tcPr>
          <w:p>
            <w:pPr/>
          </w:p>
        </w:tc>
        <w:tc>
          <w:tcPr>
            <w:tcW w:w="1986" w:type="dxa"/>
            <w:tcBorders>
              <w:top w:val="single" w:sz="4" w:space="0" w:color="FFFFFF"/>
              <w:left w:val="single" w:sz="4" w:space="0" w:color="000000"/>
              <w:bottom w:val="single" w:sz="4" w:space="0" w:color="000000"/>
              <w:right w:val="single" w:sz="4" w:space="0" w:color="000000"/>
            </w:tcBorders>
          </w:tcPr>
          <w:p>
            <w:pPr/>
          </w:p>
        </w:tc>
        <w:tc>
          <w:tcPr>
            <w:tcW w:w="2126" w:type="dxa"/>
            <w:tcBorders>
              <w:top w:val="single" w:sz="4" w:space="0" w:color="FFFFFF"/>
              <w:left w:val="single" w:sz="4" w:space="0" w:color="000000"/>
              <w:bottom w:val="single" w:sz="4" w:space="0" w:color="000000"/>
              <w:right w:val="single" w:sz="4" w:space="0" w:color="000000"/>
            </w:tcBorders>
          </w:tcPr>
          <w:p>
            <w:pPr/>
          </w:p>
        </w:tc>
      </w:tr>
      <w:tr>
        <w:trPr>
          <w:trHeight w:val="78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85"/>
              <w:ind w:left="22"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权益的金额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8,545,382.40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-19,345,382.40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-10,800,000.00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900" w:right="820"/>
        </w:sectPr>
      </w:pPr>
    </w:p>
    <w:p>
      <w:pPr>
        <w:spacing w:line="240" w:lineRule="auto" w:before="4"/>
        <w:rPr>
          <w:rFonts w:ascii="Times New Roman" w:hAnsi="Times New Roman" w:cs="Times New Roman" w:eastAsia="Times New Roman" w:hint="default"/>
          <w:sz w:val="3"/>
          <w:szCs w:val="3"/>
        </w:rPr>
      </w:pPr>
      <w:r>
        <w:rPr/>
        <w:pict>
          <v:group style="position:absolute;margin-left:144.320007pt;margin-top:79.500008pt;width:69.2pt;height:29.7pt;mso-position-horizontal-relative:page;mso-position-vertical-relative:page;z-index:-772744" coordorigin="2886,1590" coordsize="1384,594">
            <v:group style="position:absolute;left:2886;top:1590;width:1384;height:190" coordorigin="2886,1590" coordsize="1384,190">
              <v:shape style="position:absolute;left:2886;top:1590;width:1384;height:190" coordorigin="2886,1590" coordsize="1384,190" path="m2886,1780l4270,1780,4270,1590,2886,1590,2886,1780xe" filled="true" fillcolor="#ffffff" stroked="false">
                <v:path arrowok="t"/>
                <v:fill type="solid"/>
              </v:shape>
            </v:group>
            <v:group style="position:absolute;left:2898;top:1780;width:2;height:393" coordorigin="2898,1780" coordsize="2,393">
              <v:shape style="position:absolute;left:2898;top:1780;width:2;height:393" coordorigin="2898,1780" coordsize="0,393" path="m2898,1780l2898,2172e" filled="false" stroked="true" strokeweight="1.140pt" strokecolor="#ffffff">
                <v:path arrowok="t"/>
              </v:shape>
            </v:group>
            <v:group style="position:absolute;left:2909;top:1780;width:1338;height:393" coordorigin="2909,1780" coordsize="1338,393">
              <v:shape style="position:absolute;left:2909;top:1780;width:1338;height:393" coordorigin="2909,1780" coordsize="1338,393" path="m2909,2172l4247,2172,4247,1780,2909,1780,2909,2172xe" filled="true" fillcolor="#ffffff" stroked="false">
                <v:path arrowok="t"/>
                <v:fill type="solid"/>
              </v:shape>
            </v:group>
            <w10:wrap type="none"/>
          </v:group>
        </w:pict>
      </w:r>
    </w:p>
    <w:p>
      <w:pPr>
        <w:spacing w:line="20" w:lineRule="exact"/>
        <w:ind w:left="5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09" w:type="dxa"/>
        <w:tblLayout w:type="fixed"/>
        <w:tblCellMar>
          <w:top w:w="0" w:type="dxa"/>
          <w:left w:w="0" w:type="dxa"/>
          <w:bottom w:w="0" w:type="dxa"/>
          <w:right w:w="0" w:type="dxa"/>
        </w:tblCellMar>
        <w:tblLook w:val="01E0"/>
      </w:tblPr>
      <w:tblGrid>
        <w:gridCol w:w="1868"/>
        <w:gridCol w:w="1394"/>
        <w:gridCol w:w="708"/>
        <w:gridCol w:w="709"/>
        <w:gridCol w:w="568"/>
        <w:gridCol w:w="1276"/>
        <w:gridCol w:w="993"/>
        <w:gridCol w:w="850"/>
        <w:gridCol w:w="851"/>
        <w:gridCol w:w="1559"/>
        <w:gridCol w:w="1986"/>
        <w:gridCol w:w="2126"/>
      </w:tblGrid>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8,545,382.40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-8,545,382.40</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8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85"/>
              <w:ind w:left="22"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82" w:hRule="exact"/>
        </w:trPr>
        <w:tc>
          <w:tcPr>
            <w:tcW w:w="186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86"/>
              <w:ind w:left="22" w:right="33"/>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394" w:type="dxa"/>
            <w:tcBorders>
              <w:top w:val="single" w:sz="4" w:space="0" w:color="000000"/>
              <w:left w:val="single" w:sz="4" w:space="0" w:color="000000"/>
              <w:bottom w:val="single" w:sz="4" w:space="0" w:color="FFFFFF"/>
              <w:right w:val="single" w:sz="4" w:space="0" w:color="000000"/>
            </w:tcBorders>
          </w:tcPr>
          <w:p>
            <w:pPr/>
          </w:p>
        </w:tc>
        <w:tc>
          <w:tcPr>
            <w:tcW w:w="708"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568" w:type="dxa"/>
            <w:tcBorders>
              <w:top w:val="single" w:sz="4" w:space="0" w:color="000000"/>
              <w:left w:val="single" w:sz="4" w:space="0" w:color="000000"/>
              <w:bottom w:val="single" w:sz="4" w:space="0" w:color="FFFFFF"/>
              <w:right w:val="single" w:sz="4" w:space="0" w:color="000000"/>
            </w:tcBorders>
          </w:tcPr>
          <w:p>
            <w:pPr/>
          </w:p>
        </w:tc>
        <w:tc>
          <w:tcPr>
            <w:tcW w:w="1276" w:type="dxa"/>
            <w:tcBorders>
              <w:top w:val="single" w:sz="4" w:space="0" w:color="000000"/>
              <w:left w:val="single" w:sz="4" w:space="0" w:color="000000"/>
              <w:bottom w:val="single" w:sz="4" w:space="0" w:color="FFFFFF"/>
              <w:right w:val="single" w:sz="4" w:space="0" w:color="000000"/>
            </w:tcBorders>
          </w:tcPr>
          <w:p>
            <w:pPr/>
          </w:p>
        </w:tc>
        <w:tc>
          <w:tcPr>
            <w:tcW w:w="993" w:type="dxa"/>
            <w:tcBorders>
              <w:top w:val="single" w:sz="4" w:space="0" w:color="000000"/>
              <w:left w:val="single" w:sz="4" w:space="0" w:color="000000"/>
              <w:bottom w:val="single" w:sz="4" w:space="0" w:color="FFFFFF"/>
              <w:right w:val="single" w:sz="4" w:space="0" w:color="000000"/>
            </w:tcBorders>
          </w:tcPr>
          <w:p>
            <w:pPr/>
          </w:p>
        </w:tc>
        <w:tc>
          <w:tcPr>
            <w:tcW w:w="850" w:type="dxa"/>
            <w:tcBorders>
              <w:top w:val="single" w:sz="4" w:space="0" w:color="000000"/>
              <w:left w:val="single" w:sz="4" w:space="0" w:color="000000"/>
              <w:bottom w:val="single" w:sz="4" w:space="0" w:color="FFFFFF"/>
              <w:right w:val="single" w:sz="4" w:space="0" w:color="000000"/>
            </w:tcBorders>
          </w:tcPr>
          <w:p>
            <w:pPr/>
          </w:p>
        </w:tc>
        <w:tc>
          <w:tcPr>
            <w:tcW w:w="851" w:type="dxa"/>
            <w:tcBorders>
              <w:top w:val="single" w:sz="4" w:space="0" w:color="000000"/>
              <w:left w:val="single" w:sz="4" w:space="0" w:color="000000"/>
              <w:bottom w:val="single" w:sz="4" w:space="0" w:color="FFFFFF"/>
              <w:right w:val="single" w:sz="4" w:space="0" w:color="000000"/>
            </w:tcBorders>
          </w:tcPr>
          <w:p>
            <w:pPr/>
          </w:p>
        </w:tc>
        <w:tc>
          <w:tcPr>
            <w:tcW w:w="1559" w:type="dxa"/>
            <w:tcBorders>
              <w:top w:val="single" w:sz="4" w:space="0" w:color="000000"/>
              <w:left w:val="single" w:sz="4" w:space="0" w:color="000000"/>
              <w:bottom w:val="single" w:sz="4" w:space="0" w:color="FFFFFF"/>
              <w:right w:val="single" w:sz="4" w:space="0" w:color="000000"/>
            </w:tcBorders>
          </w:tcPr>
          <w:p>
            <w:pPr/>
          </w:p>
        </w:tc>
        <w:tc>
          <w:tcPr>
            <w:tcW w:w="1986" w:type="dxa"/>
            <w:tcBorders>
              <w:top w:val="single" w:sz="4" w:space="0" w:color="000000"/>
              <w:left w:val="single" w:sz="4" w:space="0" w:color="000000"/>
              <w:bottom w:val="single" w:sz="4" w:space="0" w:color="FFFFFF"/>
              <w:right w:val="single" w:sz="4" w:space="0" w:color="000000"/>
            </w:tcBorders>
          </w:tcPr>
          <w:p>
            <w:pPr/>
          </w:p>
        </w:tc>
        <w:tc>
          <w:tcPr>
            <w:tcW w:w="2126" w:type="dxa"/>
            <w:tcBorders>
              <w:top w:val="single" w:sz="4" w:space="0" w:color="000000"/>
              <w:left w:val="single" w:sz="4" w:space="0" w:color="000000"/>
              <w:bottom w:val="single" w:sz="4" w:space="0" w:color="FFFFFF"/>
              <w:right w:val="single" w:sz="4" w:space="0" w:color="000000"/>
            </w:tcBorders>
          </w:tcPr>
          <w:p>
            <w:pPr/>
          </w:p>
        </w:tc>
      </w:tr>
      <w:tr>
        <w:trPr>
          <w:trHeight w:val="799" w:hRule="exact"/>
        </w:trPr>
        <w:tc>
          <w:tcPr>
            <w:tcW w:w="186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9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94" w:type="dxa"/>
            <w:tcBorders>
              <w:top w:val="single" w:sz="4" w:space="0" w:color="FFFFFF"/>
              <w:left w:val="single" w:sz="4" w:space="0" w:color="000000"/>
              <w:bottom w:val="single" w:sz="4" w:space="0" w:color="FFFFFF"/>
              <w:right w:val="single" w:sz="4" w:space="0" w:color="000000"/>
            </w:tcBorders>
          </w:tcPr>
          <w:p>
            <w:pPr/>
          </w:p>
        </w:tc>
        <w:tc>
          <w:tcPr>
            <w:tcW w:w="708" w:type="dxa"/>
            <w:tcBorders>
              <w:top w:val="single" w:sz="4" w:space="0" w:color="FFFFFF"/>
              <w:left w:val="single" w:sz="4" w:space="0" w:color="000000"/>
              <w:bottom w:val="single" w:sz="4" w:space="0" w:color="FFFFFF"/>
              <w:right w:val="single" w:sz="4" w:space="0" w:color="000000"/>
            </w:tcBorders>
          </w:tcPr>
          <w:p>
            <w:pPr/>
          </w:p>
        </w:tc>
        <w:tc>
          <w:tcPr>
            <w:tcW w:w="709" w:type="dxa"/>
            <w:tcBorders>
              <w:top w:val="single" w:sz="4" w:space="0" w:color="FFFFFF"/>
              <w:left w:val="single" w:sz="4" w:space="0" w:color="000000"/>
              <w:bottom w:val="single" w:sz="4" w:space="0" w:color="FFFFFF"/>
              <w:right w:val="single" w:sz="4" w:space="0" w:color="000000"/>
            </w:tcBorders>
          </w:tcPr>
          <w:p>
            <w:pPr/>
          </w:p>
        </w:tc>
        <w:tc>
          <w:tcPr>
            <w:tcW w:w="568" w:type="dxa"/>
            <w:tcBorders>
              <w:top w:val="single" w:sz="4" w:space="0" w:color="FFFFFF"/>
              <w:left w:val="single" w:sz="4" w:space="0" w:color="000000"/>
              <w:bottom w:val="single" w:sz="4" w:space="0" w:color="FFFFFF"/>
              <w:right w:val="single" w:sz="4" w:space="0" w:color="000000"/>
            </w:tcBorders>
          </w:tcPr>
          <w:p>
            <w:pPr/>
          </w:p>
        </w:tc>
        <w:tc>
          <w:tcPr>
            <w:tcW w:w="1276" w:type="dxa"/>
            <w:tcBorders>
              <w:top w:val="single" w:sz="4" w:space="0" w:color="FFFFFF"/>
              <w:left w:val="single" w:sz="4" w:space="0" w:color="000000"/>
              <w:bottom w:val="single" w:sz="4" w:space="0" w:color="FFFFFF"/>
              <w:right w:val="single" w:sz="4" w:space="0" w:color="000000"/>
            </w:tcBorders>
          </w:tcPr>
          <w:p>
            <w:pPr/>
          </w:p>
        </w:tc>
        <w:tc>
          <w:tcPr>
            <w:tcW w:w="993" w:type="dxa"/>
            <w:tcBorders>
              <w:top w:val="single" w:sz="4" w:space="0" w:color="FFFFFF"/>
              <w:left w:val="single" w:sz="4" w:space="0" w:color="000000"/>
              <w:bottom w:val="single" w:sz="4" w:space="0" w:color="FFFFFF"/>
              <w:right w:val="single" w:sz="4" w:space="0" w:color="000000"/>
            </w:tcBorders>
          </w:tcPr>
          <w:p>
            <w:pPr/>
          </w:p>
        </w:tc>
        <w:tc>
          <w:tcPr>
            <w:tcW w:w="850" w:type="dxa"/>
            <w:tcBorders>
              <w:top w:val="single" w:sz="4" w:space="0" w:color="FFFFFF"/>
              <w:left w:val="single" w:sz="4" w:space="0" w:color="000000"/>
              <w:bottom w:val="single" w:sz="4" w:space="0" w:color="FFFFFF"/>
              <w:right w:val="single" w:sz="4" w:space="0" w:color="000000"/>
            </w:tcBorders>
          </w:tcPr>
          <w:p>
            <w:pPr/>
          </w:p>
        </w:tc>
        <w:tc>
          <w:tcPr>
            <w:tcW w:w="851" w:type="dxa"/>
            <w:tcBorders>
              <w:top w:val="single" w:sz="4" w:space="0" w:color="FFFFFF"/>
              <w:left w:val="single" w:sz="4" w:space="0" w:color="000000"/>
              <w:bottom w:val="single" w:sz="4" w:space="0" w:color="FFFFFF"/>
              <w:right w:val="single" w:sz="4" w:space="0" w:color="000000"/>
            </w:tcBorders>
          </w:tcPr>
          <w:p>
            <w:pPr/>
          </w:p>
        </w:tc>
        <w:tc>
          <w:tcPr>
            <w:tcW w:w="1559" w:type="dxa"/>
            <w:tcBorders>
              <w:top w:val="single" w:sz="4" w:space="0" w:color="FFFFFF"/>
              <w:left w:val="single" w:sz="4" w:space="0" w:color="000000"/>
              <w:bottom w:val="single" w:sz="4" w:space="0" w:color="FFFFFF"/>
              <w:right w:val="single" w:sz="4" w:space="0" w:color="000000"/>
            </w:tcBorders>
          </w:tcPr>
          <w:p>
            <w:pPr/>
          </w:p>
        </w:tc>
        <w:tc>
          <w:tcPr>
            <w:tcW w:w="1986" w:type="dxa"/>
            <w:tcBorders>
              <w:top w:val="single" w:sz="4" w:space="0" w:color="FFFFFF"/>
              <w:left w:val="single" w:sz="4" w:space="0" w:color="000000"/>
              <w:bottom w:val="single" w:sz="4" w:space="0" w:color="FFFFFF"/>
              <w:right w:val="single" w:sz="4" w:space="0" w:color="000000"/>
            </w:tcBorders>
          </w:tcPr>
          <w:p>
            <w:pPr/>
          </w:p>
        </w:tc>
        <w:tc>
          <w:tcPr>
            <w:tcW w:w="2126" w:type="dxa"/>
            <w:tcBorders>
              <w:top w:val="single" w:sz="4" w:space="0" w:color="FFFFFF"/>
              <w:left w:val="single" w:sz="4" w:space="0" w:color="000000"/>
              <w:bottom w:val="single" w:sz="4" w:space="0" w:color="FFFFFF"/>
              <w:right w:val="single" w:sz="4" w:space="0" w:color="000000"/>
            </w:tcBorders>
          </w:tcPr>
          <w:p>
            <w:pPr/>
          </w:p>
        </w:tc>
      </w:tr>
      <w:tr>
        <w:trPr>
          <w:trHeight w:val="798" w:hRule="exact"/>
        </w:trPr>
        <w:tc>
          <w:tcPr>
            <w:tcW w:w="18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94" w:type="dxa"/>
            <w:tcBorders>
              <w:top w:val="single" w:sz="4" w:space="0" w:color="FFFFFF"/>
              <w:left w:val="single" w:sz="4" w:space="0" w:color="000000"/>
              <w:bottom w:val="single" w:sz="4" w:space="0" w:color="000000"/>
              <w:right w:val="single" w:sz="4" w:space="0" w:color="000000"/>
            </w:tcBorders>
          </w:tcPr>
          <w:p>
            <w:pPr/>
          </w:p>
        </w:tc>
        <w:tc>
          <w:tcPr>
            <w:tcW w:w="708" w:type="dxa"/>
            <w:tcBorders>
              <w:top w:val="single" w:sz="4" w:space="0" w:color="FFFFFF"/>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568" w:type="dxa"/>
            <w:tcBorders>
              <w:top w:val="single" w:sz="4" w:space="0" w:color="FFFFFF"/>
              <w:left w:val="single" w:sz="4" w:space="0" w:color="000000"/>
              <w:bottom w:val="single" w:sz="4" w:space="0" w:color="000000"/>
              <w:right w:val="single" w:sz="4" w:space="0" w:color="000000"/>
            </w:tcBorders>
          </w:tcPr>
          <w:p>
            <w:pPr/>
          </w:p>
        </w:tc>
        <w:tc>
          <w:tcPr>
            <w:tcW w:w="1276" w:type="dxa"/>
            <w:tcBorders>
              <w:top w:val="single" w:sz="4" w:space="0" w:color="FFFFFF"/>
              <w:left w:val="single" w:sz="4" w:space="0" w:color="000000"/>
              <w:bottom w:val="single" w:sz="4" w:space="0" w:color="000000"/>
              <w:right w:val="single" w:sz="4" w:space="0" w:color="000000"/>
            </w:tcBorders>
          </w:tcPr>
          <w:p>
            <w:pPr/>
          </w:p>
        </w:tc>
        <w:tc>
          <w:tcPr>
            <w:tcW w:w="993"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FFFFFF"/>
              <w:left w:val="single" w:sz="4" w:space="0" w:color="000000"/>
              <w:bottom w:val="single" w:sz="4" w:space="0" w:color="000000"/>
              <w:right w:val="single" w:sz="4" w:space="0" w:color="000000"/>
            </w:tcBorders>
          </w:tcPr>
          <w:p>
            <w:pPr/>
          </w:p>
        </w:tc>
        <w:tc>
          <w:tcPr>
            <w:tcW w:w="851" w:type="dxa"/>
            <w:tcBorders>
              <w:top w:val="single" w:sz="4" w:space="0" w:color="FFFFFF"/>
              <w:left w:val="single" w:sz="4" w:space="0" w:color="000000"/>
              <w:bottom w:val="single" w:sz="4" w:space="0" w:color="000000"/>
              <w:right w:val="single" w:sz="4" w:space="0" w:color="000000"/>
            </w:tcBorders>
          </w:tcPr>
          <w:p>
            <w:pPr/>
          </w:p>
        </w:tc>
        <w:tc>
          <w:tcPr>
            <w:tcW w:w="1559" w:type="dxa"/>
            <w:tcBorders>
              <w:top w:val="single" w:sz="4" w:space="0" w:color="FFFFFF"/>
              <w:left w:val="single" w:sz="4" w:space="0" w:color="000000"/>
              <w:bottom w:val="single" w:sz="4" w:space="0" w:color="000000"/>
              <w:right w:val="single" w:sz="4" w:space="0" w:color="000000"/>
            </w:tcBorders>
          </w:tcPr>
          <w:p>
            <w:pPr/>
          </w:p>
        </w:tc>
        <w:tc>
          <w:tcPr>
            <w:tcW w:w="1986" w:type="dxa"/>
            <w:tcBorders>
              <w:top w:val="single" w:sz="4" w:space="0" w:color="FFFFFF"/>
              <w:left w:val="single" w:sz="4" w:space="0" w:color="000000"/>
              <w:bottom w:val="single" w:sz="4" w:space="0" w:color="000000"/>
              <w:right w:val="single" w:sz="4" w:space="0" w:color="000000"/>
            </w:tcBorders>
          </w:tcPr>
          <w:p>
            <w:pPr/>
          </w:p>
        </w:tc>
        <w:tc>
          <w:tcPr>
            <w:tcW w:w="2126" w:type="dxa"/>
            <w:tcBorders>
              <w:top w:val="single" w:sz="4" w:space="0" w:color="FFFFFF"/>
              <w:left w:val="single" w:sz="4" w:space="0" w:color="000000"/>
              <w:bottom w:val="single" w:sz="4" w:space="0" w:color="000000"/>
              <w:right w:val="single" w:sz="4" w:space="0" w:color="000000"/>
            </w:tcBorders>
          </w:tcPr>
          <w:p>
            <w:pPr/>
          </w:p>
        </w:tc>
      </w:tr>
      <w:tr>
        <w:trPr>
          <w:trHeight w:val="430"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47"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26" w:right="0"/>
              <w:jc w:val="left"/>
              <w:rPr>
                <w:rFonts w:ascii="Times New Roman" w:hAnsi="Times New Roman" w:cs="Times New Roman" w:eastAsia="Times New Roman" w:hint="default"/>
                <w:sz w:val="18"/>
                <w:szCs w:val="18"/>
              </w:rPr>
            </w:pPr>
            <w:r>
              <w:rPr>
                <w:rFonts w:ascii="Times New Roman"/>
                <w:sz w:val="18"/>
              </w:rPr>
              <w:t>54,000,000.00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08" w:right="0"/>
              <w:jc w:val="left"/>
              <w:rPr>
                <w:rFonts w:ascii="Times New Roman" w:hAnsi="Times New Roman" w:cs="Times New Roman" w:eastAsia="Times New Roman" w:hint="default"/>
                <w:sz w:val="18"/>
                <w:szCs w:val="18"/>
              </w:rPr>
            </w:pPr>
            <w:r>
              <w:rPr>
                <w:rFonts w:ascii="Times New Roman"/>
                <w:sz w:val="18"/>
              </w:rPr>
              <w:t>26,394,465.63</w:t>
            </w: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16,043,385.99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99,303,855.30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195,741,706.92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900" w:right="82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1"/>
          <w:szCs w:val="21"/>
        </w:rPr>
      </w:pPr>
    </w:p>
    <w:p>
      <w:pPr>
        <w:pStyle w:val="Heading3"/>
        <w:spacing w:line="240" w:lineRule="auto" w:before="26"/>
        <w:ind w:right="92"/>
        <w:jc w:val="left"/>
        <w:rPr>
          <w:b w:val="0"/>
          <w:bCs w:val="0"/>
        </w:rPr>
      </w:pPr>
      <w:bookmarkStart w:name="三、公司基本情况" w:id="162"/>
      <w:bookmarkEnd w:id="162"/>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78"/>
        <w:jc w:val="both"/>
      </w:pPr>
      <w:r>
        <w:rPr>
          <w:spacing w:val="-1"/>
        </w:rPr>
        <w:t>宣亚国际品牌管理（北京）股份有限公司前身为北京宣亚智慧市场行销顾问有限公司，成立于</w:t>
      </w:r>
      <w:r>
        <w:rPr>
          <w:rFonts w:ascii="宋体" w:hAnsi="宋体" w:cs="宋体" w:eastAsia="宋体" w:hint="default"/>
          <w:spacing w:val="-1"/>
        </w:rPr>
        <w:t>2007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19</w:t>
      </w:r>
      <w:r>
        <w:rPr>
          <w:spacing w:val="-1"/>
        </w:rPr>
        <w:t>日，系在北</w:t>
      </w:r>
      <w:r>
        <w:rPr/>
        <w:t> 京市工商行政管理局登记注册的有限责任公司。</w:t>
      </w:r>
    </w:p>
    <w:p>
      <w:pPr>
        <w:pStyle w:val="BodyText"/>
        <w:spacing w:line="316" w:lineRule="auto" w:before="19"/>
        <w:ind w:right="102" w:firstLine="450"/>
        <w:jc w:val="both"/>
      </w:pP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12</w:t>
      </w:r>
      <w:r>
        <w:rPr>
          <w:spacing w:val="-3"/>
        </w:rPr>
        <w:t>日经北京市人民政府批准，领取了中华人民共和国台港澳侨投资企业批准证，“商外资京资</w:t>
      </w:r>
      <w:r>
        <w:rPr>
          <w:rFonts w:ascii="宋体" w:hAnsi="宋体" w:cs="宋体" w:eastAsia="宋体" w:hint="default"/>
          <w:spacing w:val="-3"/>
        </w:rPr>
        <w:t>[2007]05544</w:t>
      </w:r>
      <w:r>
        <w:rPr>
          <w:spacing w:val="-3"/>
        </w:rPr>
        <w:t>”</w:t>
      </w:r>
      <w:r>
        <w:rPr/>
        <w:t> 号中华人民共和国台港澳侨投资企业批准证书。</w:t>
      </w:r>
    </w:p>
    <w:p>
      <w:pPr>
        <w:pStyle w:val="BodyText"/>
        <w:spacing w:line="316" w:lineRule="auto" w:before="19"/>
        <w:ind w:right="92" w:firstLine="360"/>
        <w:jc w:val="left"/>
      </w:pPr>
      <w:r>
        <w:rPr/>
        <w:t>根据</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1</w:t>
      </w:r>
      <w:r>
        <w:rPr/>
        <w:t>日董事会关于公司整体变更为股份公司的决议以及整体变更后公司章程的规定，公司以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 </w:t>
      </w:r>
      <w:r>
        <w:rPr>
          <w:spacing w:val="-2"/>
        </w:rPr>
        <w:t>日的净资产</w:t>
      </w:r>
      <w:r>
        <w:rPr>
          <w:rFonts w:ascii="宋体" w:hAnsi="宋体" w:cs="宋体" w:eastAsia="宋体" w:hint="default"/>
          <w:spacing w:val="-2"/>
        </w:rPr>
        <w:t>49,694,695.12</w:t>
      </w:r>
      <w:r>
        <w:rPr>
          <w:spacing w:val="-2"/>
        </w:rPr>
        <w:t>元，按照</w:t>
      </w:r>
      <w:r>
        <w:rPr>
          <w:rFonts w:ascii="宋体" w:hAnsi="宋体" w:cs="宋体" w:eastAsia="宋体" w:hint="default"/>
          <w:spacing w:val="-2"/>
        </w:rPr>
        <w:t>1:0.90552925</w:t>
      </w:r>
      <w:r>
        <w:rPr>
          <w:spacing w:val="-2"/>
        </w:rPr>
        <w:t>的比例折合成股份公司股本总额</w:t>
      </w:r>
      <w:r>
        <w:rPr>
          <w:rFonts w:ascii="宋体" w:hAnsi="宋体" w:cs="宋体" w:eastAsia="宋体" w:hint="default"/>
          <w:spacing w:val="-2"/>
        </w:rPr>
        <w:t>45,000,000.00</w:t>
      </w:r>
      <w:r>
        <w:rPr>
          <w:spacing w:val="-2"/>
        </w:rPr>
        <w:t>元，差额</w:t>
      </w:r>
      <w:r>
        <w:rPr>
          <w:rFonts w:ascii="宋体" w:hAnsi="宋体" w:cs="宋体" w:eastAsia="宋体" w:hint="default"/>
          <w:spacing w:val="-2"/>
        </w:rPr>
        <w:t>4,694,695.12</w:t>
      </w:r>
      <w:r>
        <w:rPr>
          <w:spacing w:val="-2"/>
        </w:rPr>
        <w:t>元计</w:t>
      </w:r>
      <w:r>
        <w:rPr>
          <w:spacing w:val="-14"/>
        </w:rPr>
        <w:t> </w:t>
      </w:r>
      <w:r>
        <w:rPr/>
        <w:t>入股份公司的资本公积。变更前后公司股东持股比例不变，同时名称变更为“宣亚国际品牌管理（北京）股份有限公司”， 并换发了中华人民共和国台港澳侨投资企业批准证书，“商外资京资</w:t>
      </w:r>
      <w:r>
        <w:rPr>
          <w:rFonts w:ascii="宋体" w:hAnsi="宋体" w:cs="宋体" w:eastAsia="宋体" w:hint="default"/>
        </w:rPr>
        <w:t>[2007]20892</w:t>
      </w:r>
      <w:r>
        <w:rPr/>
        <w:t>”号中华人民共和国台港澳侨投资企业批</w:t>
      </w:r>
      <w:r>
        <w:rPr>
          <w:spacing w:val="-83"/>
        </w:rPr>
        <w:t> </w:t>
      </w:r>
      <w:r>
        <w:rPr>
          <w:spacing w:val="-83"/>
        </w:rPr>
      </w:r>
      <w:r>
        <w:rPr/>
        <w:t>准证书。</w:t>
      </w:r>
    </w:p>
    <w:p>
      <w:pPr>
        <w:pStyle w:val="BodyText"/>
        <w:spacing w:line="316" w:lineRule="auto" w:before="19"/>
        <w:ind w:right="190" w:firstLine="360"/>
        <w:jc w:val="both"/>
      </w:pPr>
      <w:r>
        <w:rPr/>
        <w:t>根据</w:t>
      </w:r>
      <w:r>
        <w:rPr>
          <w:rFonts w:ascii="宋体" w:hAnsi="宋体" w:cs="宋体" w:eastAsia="宋体" w:hint="default"/>
        </w:rPr>
        <w:t>2013 </w:t>
      </w:r>
      <w:r>
        <w:rPr/>
        <w:t>年 </w:t>
      </w:r>
      <w:r>
        <w:rPr>
          <w:rFonts w:ascii="宋体" w:hAnsi="宋体" w:cs="宋体" w:eastAsia="宋体" w:hint="default"/>
        </w:rPr>
        <w:t>8 </w:t>
      </w:r>
      <w:r>
        <w:rPr/>
        <w:t>月，宣亚投资、</w:t>
      </w:r>
      <w:r>
        <w:rPr>
          <w:rFonts w:ascii="宋体" w:hAnsi="宋体" w:cs="宋体" w:eastAsia="宋体" w:hint="default"/>
        </w:rPr>
        <w:t>BBDO</w:t>
      </w:r>
      <w:r>
        <w:rPr>
          <w:rFonts w:ascii="宋体" w:hAnsi="宋体" w:cs="宋体" w:eastAsia="宋体" w:hint="default"/>
          <w:spacing w:val="7"/>
        </w:rPr>
        <w:t> </w:t>
      </w:r>
      <w:r>
        <w:rPr/>
        <w:t>亚太和橙色动力签订《宣亚国际品牌管理（北京）股份有限公司之增资协议》， 约定由橙色动力对宣亚国际进行增资，其中增加注册资本</w:t>
      </w:r>
      <w:r>
        <w:rPr>
          <w:spacing w:val="-40"/>
        </w:rPr>
        <w:t> </w:t>
      </w:r>
      <w:r>
        <w:rPr>
          <w:rFonts w:ascii="宋体" w:hAnsi="宋体" w:cs="宋体" w:eastAsia="宋体" w:hint="default"/>
        </w:rPr>
        <w:t>3,080,000.00</w:t>
      </w:r>
      <w:r>
        <w:rPr/>
        <w:t>元，增加资本公积</w:t>
      </w:r>
      <w:r>
        <w:rPr>
          <w:spacing w:val="-40"/>
        </w:rPr>
        <w:t> </w:t>
      </w:r>
      <w:r>
        <w:rPr>
          <w:rFonts w:ascii="宋体" w:hAnsi="宋体" w:cs="宋体" w:eastAsia="宋体" w:hint="default"/>
        </w:rPr>
        <w:t>2,186,800.00</w:t>
      </w:r>
      <w:r>
        <w:rPr/>
        <w:t>元。对该次增资事 项，</w:t>
      </w:r>
      <w:r>
        <w:rPr>
          <w:rFonts w:ascii="宋体" w:hAnsi="宋体" w:cs="宋体" w:eastAsia="宋体" w:hint="default"/>
        </w:rPr>
        <w:t>2014 </w:t>
      </w:r>
      <w:r>
        <w:rPr/>
        <w:t>年 </w:t>
      </w:r>
      <w:r>
        <w:rPr>
          <w:rFonts w:ascii="宋体" w:hAnsi="宋体" w:cs="宋体" w:eastAsia="宋体" w:hint="default"/>
        </w:rPr>
        <w:t>1 </w:t>
      </w:r>
      <w:r>
        <w:rPr/>
        <w:t>月 </w:t>
      </w:r>
      <w:r>
        <w:rPr>
          <w:rFonts w:ascii="宋体" w:hAnsi="宋体" w:cs="宋体" w:eastAsia="宋体" w:hint="default"/>
        </w:rPr>
        <w:t>25 </w:t>
      </w:r>
      <w:r>
        <w:rPr/>
        <w:t>日，北京中天华茂会计师事务所出具中天华茂验字</w:t>
      </w:r>
      <w:r>
        <w:rPr>
          <w:rFonts w:ascii="宋体" w:hAnsi="宋体" w:cs="宋体" w:eastAsia="宋体" w:hint="default"/>
        </w:rPr>
        <w:t>[2014]010</w:t>
      </w:r>
      <w:r>
        <w:rPr/>
        <w:t>号《验资报告》。</w:t>
      </w:r>
      <w:r>
        <w:rPr>
          <w:rFonts w:ascii="宋体" w:hAnsi="宋体" w:cs="宋体" w:eastAsia="宋体" w:hint="default"/>
        </w:rPr>
        <w:t>2014 </w:t>
      </w:r>
      <w:r>
        <w:rPr/>
        <w:t>年 </w:t>
      </w:r>
      <w:r>
        <w:rPr>
          <w:rFonts w:ascii="宋体" w:hAnsi="宋体" w:cs="宋体" w:eastAsia="宋体" w:hint="default"/>
        </w:rPr>
        <w:t>7</w:t>
      </w:r>
      <w:r>
        <w:rPr>
          <w:rFonts w:ascii="宋体" w:hAnsi="宋体" w:cs="宋体" w:eastAsia="宋体" w:hint="default"/>
          <w:spacing w:val="6"/>
        </w:rPr>
        <w:t> </w:t>
      </w:r>
      <w:r>
        <w:rPr/>
        <w:t>月，橙色 </w:t>
      </w:r>
      <w:r>
        <w:rPr>
          <w:spacing w:val="4"/>
        </w:rPr>
        <w:t>动力再次签订《宣亚国际品牌管理（北京）股份有限公司之增资扩股协议》，对宣亚国际进行增资，其中新增注册资本</w:t>
      </w:r>
      <w:r>
        <w:rPr>
          <w:spacing w:val="-68"/>
        </w:rPr>
        <w:t> </w:t>
      </w:r>
      <w:r>
        <w:rPr>
          <w:spacing w:val="-68"/>
        </w:rPr>
      </w:r>
      <w:r>
        <w:rPr>
          <w:rFonts w:ascii="宋体" w:hAnsi="宋体" w:cs="宋体" w:eastAsia="宋体" w:hint="default"/>
        </w:rPr>
        <w:t>5,920,000.00</w:t>
      </w:r>
      <w:r>
        <w:rPr/>
        <w:t>元，新增资本公积 </w:t>
      </w:r>
      <w:r>
        <w:rPr>
          <w:rFonts w:ascii="宋体" w:hAnsi="宋体" w:cs="宋体" w:eastAsia="宋体" w:hint="default"/>
        </w:rPr>
        <w:t>5,860,800.00</w:t>
      </w:r>
      <w:r>
        <w:rPr/>
        <w:t>元。对该次增资事项，</w:t>
      </w:r>
      <w:r>
        <w:rPr>
          <w:rFonts w:ascii="宋体" w:hAnsi="宋体" w:cs="宋体" w:eastAsia="宋体" w:hint="default"/>
        </w:rPr>
        <w:t>2015 </w:t>
      </w:r>
      <w:r>
        <w:rPr/>
        <w:t>年 </w:t>
      </w:r>
      <w:r>
        <w:rPr>
          <w:rFonts w:ascii="宋体" w:hAnsi="宋体" w:cs="宋体" w:eastAsia="宋体" w:hint="default"/>
        </w:rPr>
        <w:t>4 </w:t>
      </w:r>
      <w:r>
        <w:rPr/>
        <w:t>月 </w:t>
      </w:r>
      <w:r>
        <w:rPr>
          <w:rFonts w:ascii="宋体" w:hAnsi="宋体" w:cs="宋体" w:eastAsia="宋体" w:hint="default"/>
        </w:rPr>
        <w:t>16</w:t>
      </w:r>
      <w:r>
        <w:rPr>
          <w:rFonts w:ascii="宋体" w:hAnsi="宋体" w:cs="宋体" w:eastAsia="宋体" w:hint="default"/>
          <w:spacing w:val="5"/>
        </w:rPr>
        <w:t> </w:t>
      </w:r>
      <w:r>
        <w:rPr/>
        <w:t>日，立信所出具信会师报字</w:t>
      </w:r>
      <w:r>
        <w:rPr>
          <w:rFonts w:ascii="宋体" w:hAnsi="宋体" w:cs="宋体" w:eastAsia="宋体" w:hint="default"/>
        </w:rPr>
        <w:t>[2015] </w:t>
      </w:r>
      <w:r>
        <w:rPr/>
        <w:t>第 </w:t>
      </w:r>
      <w:r>
        <w:rPr>
          <w:rFonts w:ascii="宋体" w:hAnsi="宋体" w:cs="宋体" w:eastAsia="宋体" w:hint="default"/>
        </w:rPr>
        <w:t>711223 </w:t>
      </w:r>
      <w:r>
        <w:rPr/>
        <w:t>号《验资报告》。</w:t>
      </w:r>
    </w:p>
    <w:p>
      <w:pPr>
        <w:pStyle w:val="BodyText"/>
        <w:spacing w:line="316" w:lineRule="auto" w:before="19"/>
        <w:ind w:right="189" w:firstLine="360"/>
        <w:jc w:val="both"/>
      </w:pPr>
      <w:r>
        <w:rPr>
          <w:spacing w:val="2"/>
        </w:rPr>
        <w:t>根据本公司 </w:t>
      </w:r>
      <w:r>
        <w:rPr>
          <w:rFonts w:ascii="宋体" w:hAnsi="宋体" w:cs="宋体" w:eastAsia="宋体" w:hint="default"/>
        </w:rPr>
        <w:t>2016 </w:t>
      </w:r>
      <w:r>
        <w:rPr/>
        <w:t>年 </w:t>
      </w:r>
      <w:r>
        <w:rPr>
          <w:rFonts w:ascii="宋体" w:hAnsi="宋体" w:cs="宋体" w:eastAsia="宋体" w:hint="default"/>
        </w:rPr>
        <w:t>2 </w:t>
      </w:r>
      <w:r>
        <w:rPr/>
        <w:t>月 </w:t>
      </w:r>
      <w:r>
        <w:rPr>
          <w:rFonts w:ascii="宋体" w:hAnsi="宋体" w:cs="宋体" w:eastAsia="宋体" w:hint="default"/>
        </w:rPr>
        <w:t>29 </w:t>
      </w:r>
      <w:r>
        <w:rPr>
          <w:spacing w:val="2"/>
        </w:rPr>
        <w:t>日召开的 </w:t>
      </w:r>
      <w:r>
        <w:rPr>
          <w:rFonts w:ascii="宋体" w:hAnsi="宋体" w:cs="宋体" w:eastAsia="宋体" w:hint="default"/>
        </w:rPr>
        <w:t>2016 </w:t>
      </w:r>
      <w:r>
        <w:rPr>
          <w:spacing w:val="3"/>
        </w:rPr>
        <w:t>年第二届董事会第七次会议决议和 </w:t>
      </w:r>
      <w:r>
        <w:rPr>
          <w:rFonts w:ascii="宋体" w:hAnsi="宋体" w:cs="宋体" w:eastAsia="宋体" w:hint="default"/>
        </w:rPr>
        <w:t>2016 </w:t>
      </w:r>
      <w:r>
        <w:rPr/>
        <w:t>年 </w:t>
      </w:r>
      <w:r>
        <w:rPr>
          <w:rFonts w:ascii="宋体" w:hAnsi="宋体" w:cs="宋体" w:eastAsia="宋体" w:hint="default"/>
        </w:rPr>
        <w:t>3 </w:t>
      </w:r>
      <w:r>
        <w:rPr/>
        <w:t>月 </w:t>
      </w:r>
      <w:r>
        <w:rPr>
          <w:rFonts w:ascii="宋体" w:hAnsi="宋体" w:cs="宋体" w:eastAsia="宋体" w:hint="default"/>
        </w:rPr>
        <w:t>15 </w:t>
      </w:r>
      <w:r>
        <w:rPr>
          <w:spacing w:val="2"/>
        </w:rPr>
        <w:t>日召开的</w:t>
      </w:r>
      <w:r>
        <w:rPr>
          <w:spacing w:val="91"/>
        </w:rPr>
        <w:t> </w:t>
      </w:r>
      <w:r>
        <w:rPr>
          <w:rFonts w:ascii="宋体" w:hAnsi="宋体" w:cs="宋体" w:eastAsia="宋体" w:hint="default"/>
        </w:rPr>
        <w:t>2016 </w:t>
      </w:r>
      <w:r>
        <w:rPr>
          <w:spacing w:val="-2"/>
        </w:rPr>
        <w:t>年度第一次临时股东大会决议，并经中国证券监督管理委员会《关于核准宣亚国际品牌管理（北京）股份有限公司首次公开</w:t>
      </w:r>
      <w:r>
        <w:rPr>
          <w:spacing w:val="-66"/>
        </w:rPr>
        <w:t> </w:t>
      </w:r>
      <w:r>
        <w:rPr>
          <w:spacing w:val="-66"/>
        </w:rPr>
      </w:r>
      <w:r>
        <w:rPr/>
        <w:t>发行股票的批复》（证监许可</w:t>
      </w:r>
      <w:r>
        <w:rPr>
          <w:rFonts w:ascii="宋体" w:hAnsi="宋体" w:cs="宋体" w:eastAsia="宋体" w:hint="default"/>
        </w:rPr>
        <w:t>[2017]124</w:t>
      </w:r>
      <w:r>
        <w:rPr/>
        <w:t>号文件）核准，本公司首次公开发行</w:t>
      </w:r>
      <w:r>
        <w:rPr>
          <w:rFonts w:ascii="宋体" w:hAnsi="宋体" w:cs="宋体" w:eastAsia="宋体" w:hint="default"/>
        </w:rPr>
        <w:t>1,800</w:t>
      </w:r>
      <w:r>
        <w:rPr/>
        <w:t>万股新股。公司于</w:t>
      </w:r>
      <w:r>
        <w:rPr>
          <w:rFonts w:ascii="宋体" w:hAnsi="宋体" w:cs="宋体" w:eastAsia="宋体" w:hint="default"/>
        </w:rPr>
        <w:t>2017 </w:t>
      </w:r>
      <w:r>
        <w:rPr/>
        <w:t>年 </w:t>
      </w:r>
      <w:r>
        <w:rPr>
          <w:rFonts w:ascii="宋体" w:hAnsi="宋体" w:cs="宋体" w:eastAsia="宋体" w:hint="default"/>
        </w:rPr>
        <w:t>5 </w:t>
      </w:r>
      <w:r>
        <w:rPr/>
        <w:t>月</w:t>
      </w:r>
      <w:r>
        <w:rPr>
          <w:rFonts w:ascii="宋体" w:hAnsi="宋体" w:cs="宋体" w:eastAsia="宋体" w:hint="default"/>
        </w:rPr>
        <w:t>11</w:t>
      </w:r>
      <w:r>
        <w:rPr>
          <w:rFonts w:ascii="宋体" w:hAnsi="宋体" w:cs="宋体" w:eastAsia="宋体" w:hint="default"/>
          <w:spacing w:val="6"/>
        </w:rPr>
        <w:t> </w:t>
      </w:r>
      <w:r>
        <w:rPr/>
        <w:t>日召 开了 </w:t>
      </w:r>
      <w:r>
        <w:rPr>
          <w:rFonts w:ascii="宋体" w:hAnsi="宋体" w:cs="宋体" w:eastAsia="宋体" w:hint="default"/>
        </w:rPr>
        <w:t>2016 </w:t>
      </w:r>
      <w:r>
        <w:rPr>
          <w:spacing w:val="-3"/>
        </w:rPr>
        <w:t>年年度股东会议，通过了《关于公司 </w:t>
      </w:r>
      <w:r>
        <w:rPr>
          <w:rFonts w:ascii="宋体" w:hAnsi="宋体" w:cs="宋体" w:eastAsia="宋体" w:hint="default"/>
        </w:rPr>
        <w:t>2016</w:t>
      </w:r>
      <w:r>
        <w:rPr>
          <w:rFonts w:ascii="宋体" w:hAnsi="宋体" w:cs="宋体" w:eastAsia="宋体" w:hint="default"/>
          <w:spacing w:val="-32"/>
        </w:rPr>
        <w:t> </w:t>
      </w:r>
      <w:r>
        <w:rPr/>
        <w:t>年度利润分配预案的议案》，公司总股本</w:t>
      </w:r>
      <w:r>
        <w:rPr>
          <w:rFonts w:ascii="宋体" w:hAnsi="宋体" w:cs="宋体" w:eastAsia="宋体" w:hint="default"/>
        </w:rPr>
        <w:t>72,000,000</w:t>
      </w:r>
      <w:r>
        <w:rPr/>
        <w:t>股为基数进行分 </w:t>
      </w:r>
      <w:r>
        <w:rPr>
          <w:spacing w:val="-2"/>
        </w:rPr>
        <w:t>配。每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5.00</w:t>
      </w:r>
      <w:r>
        <w:rPr>
          <w:spacing w:val="-2"/>
        </w:rPr>
        <w:t>元（含税），共计</w:t>
      </w:r>
      <w:r>
        <w:rPr>
          <w:rFonts w:ascii="宋体" w:hAnsi="宋体" w:cs="宋体" w:eastAsia="宋体" w:hint="default"/>
          <w:spacing w:val="-2"/>
        </w:rPr>
        <w:t>36,000,000.00</w:t>
      </w:r>
      <w:r>
        <w:rPr>
          <w:spacing w:val="-2"/>
        </w:rPr>
        <w:t>元，同时向全体股东每</w:t>
      </w:r>
      <w:r>
        <w:rPr>
          <w:rFonts w:ascii="宋体" w:hAnsi="宋体" w:cs="宋体" w:eastAsia="宋体" w:hint="default"/>
          <w:spacing w:val="-2"/>
        </w:rPr>
        <w:t>10</w:t>
      </w:r>
      <w:r>
        <w:rPr>
          <w:spacing w:val="-2"/>
        </w:rPr>
        <w:t>股送红股</w:t>
      </w:r>
      <w:r>
        <w:rPr>
          <w:rFonts w:ascii="宋体" w:hAnsi="宋体" w:cs="宋体" w:eastAsia="宋体" w:hint="default"/>
          <w:spacing w:val="-2"/>
        </w:rPr>
        <w:t>5</w:t>
      </w:r>
      <w:r>
        <w:rPr>
          <w:spacing w:val="-2"/>
        </w:rPr>
        <w:t>股。分配完成后公司股本</w:t>
      </w:r>
      <w:r>
        <w:rPr>
          <w:spacing w:val="-47"/>
        </w:rPr>
        <w:t> </w:t>
      </w:r>
      <w:r>
        <w:rPr>
          <w:spacing w:val="-47"/>
        </w:rPr>
      </w:r>
      <w:r>
        <w:rPr/>
        <w:t>总额增至</w:t>
      </w:r>
      <w:r>
        <w:rPr>
          <w:rFonts w:ascii="宋体" w:hAnsi="宋体" w:cs="宋体" w:eastAsia="宋体" w:hint="default"/>
        </w:rPr>
        <w:t>108,000,000</w:t>
      </w:r>
      <w:r>
        <w:rPr/>
        <w:t>股。</w:t>
      </w:r>
    </w:p>
    <w:p>
      <w:pPr>
        <w:pStyle w:val="BodyText"/>
        <w:spacing w:line="316" w:lineRule="auto" w:before="19"/>
        <w:ind w:right="192" w:firstLine="360"/>
        <w:jc w:val="both"/>
      </w:pPr>
      <w:r>
        <w:rPr>
          <w:spacing w:val="12"/>
        </w:rPr>
        <w:t>截至</w:t>
      </w:r>
      <w:r>
        <w:rPr>
          <w:spacing w:val="-66"/>
        </w:rPr>
        <w:t> </w:t>
      </w:r>
      <w:r>
        <w:rPr>
          <w:rFonts w:ascii="宋体" w:hAnsi="宋体" w:cs="宋体" w:eastAsia="宋体" w:hint="default"/>
        </w:rPr>
        <w:t>2017</w:t>
      </w:r>
      <w:r>
        <w:rPr>
          <w:rFonts w:ascii="宋体" w:hAnsi="宋体" w:cs="宋体" w:eastAsia="宋体" w:hint="default"/>
          <w:spacing w:val="-66"/>
        </w:rPr>
        <w:t> </w:t>
      </w:r>
      <w:r>
        <w:rPr/>
        <w:t>年</w:t>
      </w:r>
      <w:r>
        <w:rPr>
          <w:spacing w:val="-67"/>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w:t>
      </w:r>
      <w:r>
        <w:rPr>
          <w:spacing w:val="-66"/>
        </w:rPr>
        <w:t> </w:t>
      </w:r>
      <w:r>
        <w:rPr/>
        <w:t>止</w:t>
      </w:r>
      <w:r>
        <w:rPr>
          <w:spacing w:val="-68"/>
        </w:rPr>
        <w:t> </w:t>
      </w:r>
      <w:r>
        <w:rPr/>
        <w:t>，</w:t>
      </w:r>
      <w:r>
        <w:rPr>
          <w:spacing w:val="-66"/>
        </w:rPr>
        <w:t> </w:t>
      </w:r>
      <w:r>
        <w:rPr/>
        <w:t>本</w:t>
      </w:r>
      <w:r>
        <w:rPr>
          <w:spacing w:val="-66"/>
        </w:rPr>
        <w:t> </w:t>
      </w:r>
      <w:r>
        <w:rPr/>
        <w:t>公</w:t>
      </w:r>
      <w:r>
        <w:rPr>
          <w:spacing w:val="-66"/>
        </w:rPr>
        <w:t> </w:t>
      </w:r>
      <w:r>
        <w:rPr/>
        <w:t>司</w:t>
      </w:r>
      <w:r>
        <w:rPr>
          <w:spacing w:val="-66"/>
        </w:rPr>
        <w:t> </w:t>
      </w:r>
      <w:r>
        <w:rPr/>
        <w:t>累</w:t>
      </w:r>
      <w:r>
        <w:rPr>
          <w:spacing w:val="-68"/>
        </w:rPr>
        <w:t> </w:t>
      </w:r>
      <w:r>
        <w:rPr/>
        <w:t>计</w:t>
      </w:r>
      <w:r>
        <w:rPr>
          <w:spacing w:val="-66"/>
        </w:rPr>
        <w:t> </w:t>
      </w:r>
      <w:r>
        <w:rPr/>
        <w:t>股</w:t>
      </w:r>
      <w:r>
        <w:rPr>
          <w:spacing w:val="-66"/>
        </w:rPr>
        <w:t> </w:t>
      </w:r>
      <w:r>
        <w:rPr/>
        <w:t>本</w:t>
      </w:r>
      <w:r>
        <w:rPr>
          <w:spacing w:val="-66"/>
        </w:rPr>
        <w:t> </w:t>
      </w:r>
      <w:r>
        <w:rPr/>
        <w:t>总</w:t>
      </w:r>
      <w:r>
        <w:rPr>
          <w:spacing w:val="-66"/>
        </w:rPr>
        <w:t> </w:t>
      </w:r>
      <w:r>
        <w:rPr/>
        <w:t>数</w:t>
      </w:r>
      <w:r>
        <w:rPr>
          <w:spacing w:val="-64"/>
        </w:rPr>
        <w:t> </w:t>
      </w:r>
      <w:r>
        <w:rPr>
          <w:rFonts w:ascii="宋体" w:hAnsi="宋体" w:cs="宋体" w:eastAsia="宋体" w:hint="default"/>
        </w:rPr>
        <w:t>10,800</w:t>
      </w:r>
      <w:r>
        <w:rPr>
          <w:rFonts w:ascii="宋体" w:hAnsi="宋体" w:cs="宋体" w:eastAsia="宋体" w:hint="default"/>
          <w:spacing w:val="-66"/>
        </w:rPr>
        <w:t> </w:t>
      </w:r>
      <w:r>
        <w:rPr/>
        <w:t>万</w:t>
      </w:r>
      <w:r>
        <w:rPr>
          <w:spacing w:val="-66"/>
        </w:rPr>
        <w:t> </w:t>
      </w:r>
      <w:r>
        <w:rPr/>
        <w:t>股</w:t>
      </w:r>
      <w:r>
        <w:rPr>
          <w:spacing w:val="-66"/>
        </w:rPr>
        <w:t> </w:t>
      </w:r>
      <w:r>
        <w:rPr/>
        <w:t>，</w:t>
      </w:r>
      <w:r>
        <w:rPr>
          <w:spacing w:val="-66"/>
        </w:rPr>
        <w:t> </w:t>
      </w:r>
      <w:r>
        <w:rPr/>
        <w:t>注</w:t>
      </w:r>
      <w:r>
        <w:rPr>
          <w:spacing w:val="-68"/>
        </w:rPr>
        <w:t> </w:t>
      </w:r>
      <w:r>
        <w:rPr/>
        <w:t>册</w:t>
      </w:r>
      <w:r>
        <w:rPr>
          <w:spacing w:val="-66"/>
        </w:rPr>
        <w:t> </w:t>
      </w:r>
      <w:r>
        <w:rPr/>
        <w:t>资</w:t>
      </w:r>
      <w:r>
        <w:rPr>
          <w:spacing w:val="-66"/>
        </w:rPr>
        <w:t> </w:t>
      </w:r>
      <w:r>
        <w:rPr/>
        <w:t>本</w:t>
      </w:r>
      <w:r>
        <w:rPr>
          <w:spacing w:val="-66"/>
        </w:rPr>
        <w:t> </w:t>
      </w:r>
      <w:r>
        <w:rPr/>
        <w:t>为</w:t>
      </w:r>
      <w:r>
        <w:rPr>
          <w:spacing w:val="-65"/>
        </w:rPr>
        <w:t> </w:t>
      </w:r>
      <w:r>
        <w:rPr>
          <w:rFonts w:ascii="宋体" w:hAnsi="宋体" w:cs="宋体" w:eastAsia="宋体" w:hint="default"/>
        </w:rPr>
        <w:t>10,800</w:t>
      </w:r>
      <w:r>
        <w:rPr>
          <w:rFonts w:ascii="宋体" w:hAnsi="宋体" w:cs="宋体" w:eastAsia="宋体" w:hint="default"/>
          <w:spacing w:val="-66"/>
        </w:rPr>
        <w:t> </w:t>
      </w:r>
      <w:r>
        <w:rPr/>
        <w:t>万</w:t>
      </w:r>
      <w:r>
        <w:rPr>
          <w:spacing w:val="-66"/>
        </w:rPr>
        <w:t> </w:t>
      </w:r>
      <w:r>
        <w:rPr/>
        <w:t>元</w:t>
      </w:r>
      <w:r>
        <w:rPr>
          <w:spacing w:val="-66"/>
        </w:rPr>
        <w:t> </w:t>
      </w:r>
      <w:r>
        <w:rPr/>
        <w:t>，</w:t>
      </w:r>
      <w:r>
        <w:rPr>
          <w:spacing w:val="-66"/>
        </w:rPr>
        <w:t> </w:t>
      </w:r>
      <w:r>
        <w:rPr/>
        <w:t>统</w:t>
      </w:r>
      <w:r>
        <w:rPr>
          <w:spacing w:val="-68"/>
        </w:rPr>
        <w:t> </w:t>
      </w:r>
      <w:r>
        <w:rPr/>
        <w:t>一</w:t>
      </w:r>
      <w:r>
        <w:rPr>
          <w:spacing w:val="-66"/>
        </w:rPr>
        <w:t> </w:t>
      </w:r>
      <w:r>
        <w:rPr/>
        <w:t>社</w:t>
      </w:r>
      <w:r>
        <w:rPr>
          <w:spacing w:val="-66"/>
        </w:rPr>
        <w:t> </w:t>
      </w:r>
      <w:r>
        <w:rPr/>
        <w:t>会</w:t>
      </w:r>
      <w:r>
        <w:rPr>
          <w:spacing w:val="-66"/>
        </w:rPr>
        <w:t> </w:t>
      </w:r>
      <w:r>
        <w:rPr/>
        <w:t>信</w:t>
      </w:r>
      <w:r>
        <w:rPr>
          <w:spacing w:val="-66"/>
        </w:rPr>
        <w:t> </w:t>
      </w:r>
      <w:r>
        <w:rPr/>
        <w:t>用</w:t>
      </w:r>
      <w:r>
        <w:rPr>
          <w:spacing w:val="-68"/>
        </w:rPr>
        <w:t> </w:t>
      </w:r>
      <w:r>
        <w:rPr/>
        <w:t>代</w:t>
      </w:r>
      <w:r>
        <w:rPr>
          <w:spacing w:val="-66"/>
        </w:rPr>
        <w:t> </w:t>
      </w:r>
      <w:r>
        <w:rPr/>
        <w:t>码</w:t>
      </w:r>
      <w:r>
        <w:rPr>
          <w:spacing w:val="-66"/>
        </w:rPr>
        <w:t> </w:t>
      </w:r>
      <w:r>
        <w:rPr/>
        <w:t>：</w:t>
      </w:r>
      <w:r>
        <w:rPr/>
        <w:t> </w:t>
      </w:r>
      <w:r>
        <w:rPr>
          <w:rFonts w:ascii="宋体" w:hAnsi="宋体" w:cs="宋体" w:eastAsia="宋体" w:hint="default"/>
        </w:rPr>
        <w:t>911100007985463865</w:t>
      </w:r>
      <w:r>
        <w:rPr/>
        <w:t>，法定代表人：张秀兵，注册地址：北京市朝阳区八里庄东里</w:t>
      </w:r>
      <w:r>
        <w:rPr>
          <w:rFonts w:ascii="宋体" w:hAnsi="宋体" w:cs="宋体" w:eastAsia="宋体" w:hint="default"/>
        </w:rPr>
        <w:t>1</w:t>
      </w:r>
      <w:r>
        <w:rPr/>
        <w:t>号</w:t>
      </w:r>
      <w:r>
        <w:rPr>
          <w:rFonts w:ascii="宋体" w:hAnsi="宋体" w:cs="宋体" w:eastAsia="宋体" w:hint="default"/>
        </w:rPr>
        <w:t>CN02-B</w:t>
      </w:r>
      <w:r>
        <w:rPr/>
        <w:t>。</w:t>
      </w:r>
    </w:p>
    <w:p>
      <w:pPr>
        <w:pStyle w:val="BodyText"/>
        <w:spacing w:line="316" w:lineRule="auto" w:before="19"/>
        <w:ind w:right="193" w:firstLine="360"/>
        <w:jc w:val="both"/>
      </w:pPr>
      <w:r>
        <w:rPr>
          <w:spacing w:val="-2"/>
        </w:rPr>
        <w:t>本公司主要经营活动为：企业管理、营销策划；经济贸易咨询；承办展示活动；设计、制作、代理、发布广告；广告信</w:t>
      </w:r>
      <w:r>
        <w:rPr/>
        <w:t> 息咨询。</w:t>
      </w:r>
    </w:p>
    <w:p>
      <w:pPr>
        <w:pStyle w:val="BodyText"/>
        <w:spacing w:line="240" w:lineRule="auto" w:before="19"/>
        <w:ind w:left="514" w:right="92"/>
        <w:jc w:val="left"/>
      </w:pPr>
      <w:r>
        <w:rPr/>
        <w:t>本公司财务报告经公司管理层于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19</w:t>
      </w:r>
      <w:r>
        <w:rPr/>
        <w:t>日批准报出。</w:t>
      </w:r>
    </w:p>
    <w:p>
      <w:pPr>
        <w:spacing w:line="240" w:lineRule="auto" w:before="0"/>
        <w:rPr>
          <w:rFonts w:ascii="宋体" w:hAnsi="宋体" w:cs="宋体" w:eastAsia="宋体" w:hint="default"/>
          <w:sz w:val="18"/>
          <w:szCs w:val="18"/>
        </w:rPr>
      </w:pPr>
    </w:p>
    <w:p>
      <w:pPr>
        <w:pStyle w:val="BodyText"/>
        <w:spacing w:line="316" w:lineRule="auto" w:before="153"/>
        <w:ind w:left="334" w:right="4412"/>
        <w:jc w:val="left"/>
      </w:pPr>
      <w:r>
        <w:rPr/>
        <w:t>母公司以及集团总部的名称 本公司的母公司为宣亚国际品牌管理（北京）股份有限公司。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p>
    <w:p>
      <w:pPr>
        <w:spacing w:line="240" w:lineRule="auto" w:before="6"/>
        <w:rPr>
          <w:rFonts w:ascii="宋体" w:hAnsi="宋体" w:cs="宋体" w:eastAsia="宋体" w:hint="default"/>
          <w:sz w:val="24"/>
          <w:szCs w:val="24"/>
        </w:rPr>
      </w:pPr>
    </w:p>
    <w:tbl>
      <w:tblPr>
        <w:tblW w:w="0" w:type="auto"/>
        <w:jc w:val="left"/>
        <w:tblInd w:w="761" w:type="dxa"/>
        <w:tblLayout w:type="fixed"/>
        <w:tblCellMar>
          <w:top w:w="0" w:type="dxa"/>
          <w:left w:w="0" w:type="dxa"/>
          <w:bottom w:w="0" w:type="dxa"/>
          <w:right w:w="0" w:type="dxa"/>
        </w:tblCellMar>
        <w:tblLook w:val="01E0"/>
      </w:tblPr>
      <w:tblGrid>
        <w:gridCol w:w="4066"/>
        <w:gridCol w:w="4122"/>
      </w:tblGrid>
      <w:tr>
        <w:trPr>
          <w:trHeight w:val="342" w:hRule="exact"/>
        </w:trPr>
        <w:tc>
          <w:tcPr>
            <w:tcW w:w="4066" w:type="dxa"/>
            <w:vMerge w:val="restart"/>
            <w:tcBorders>
              <w:top w:val="single" w:sz="4" w:space="0" w:color="000000"/>
              <w:left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2" w:hRule="exact"/>
        </w:trPr>
        <w:tc>
          <w:tcPr>
            <w:tcW w:w="4066" w:type="dxa"/>
            <w:vMerge/>
            <w:tcBorders>
              <w:left w:val="single" w:sz="4" w:space="0" w:color="000000"/>
              <w:bottom w:val="single" w:sz="4" w:space="0" w:color="000000"/>
              <w:right w:val="single" w:sz="4" w:space="0" w:color="000000"/>
            </w:tcBorders>
          </w:tcPr>
          <w:p>
            <w:pP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sz w:val="18"/>
              </w:rPr>
              <w:t>2017.12.31</w:t>
            </w: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北京品推宝移动科技有限公司</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秦皇岛宣亚公共关系顾问有限公司</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北京英帕沃数字技术有限公司</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北京宣亚国际品牌咨询有限公司</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宣亚国际品牌管理（湖南）有限公司</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广州宣亚品牌管理有限公司</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珠海宣亚互动数字营销有限公司</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北京新兵连文化传媒有限公司</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headerReference w:type="default" r:id="rId22"/>
          <w:footerReference w:type="default" r:id="rId23"/>
          <w:pgSz w:w="11910" w:h="16840"/>
          <w:pgMar w:header="867" w:footer="979" w:top="1060" w:bottom="1160" w:left="980" w:right="940"/>
          <w:pgNumType w:start="89"/>
        </w:sectPr>
      </w:pPr>
    </w:p>
    <w:p>
      <w:pPr>
        <w:spacing w:line="240" w:lineRule="auto" w:before="6"/>
        <w:rPr>
          <w:rFonts w:ascii="宋体" w:hAnsi="宋体" w:cs="宋体" w:eastAsia="宋体" w:hint="default"/>
          <w:sz w:val="3"/>
          <w:szCs w:val="3"/>
        </w:rPr>
      </w:pPr>
    </w:p>
    <w:tbl>
      <w:tblPr>
        <w:tblW w:w="0" w:type="auto"/>
        <w:jc w:val="left"/>
        <w:tblInd w:w="761" w:type="dxa"/>
        <w:tblLayout w:type="fixed"/>
        <w:tblCellMar>
          <w:top w:w="0" w:type="dxa"/>
          <w:left w:w="0" w:type="dxa"/>
          <w:bottom w:w="0" w:type="dxa"/>
          <w:right w:w="0" w:type="dxa"/>
        </w:tblCellMar>
        <w:tblLook w:val="01E0"/>
      </w:tblPr>
      <w:tblGrid>
        <w:gridCol w:w="4066"/>
        <w:gridCol w:w="4122"/>
      </w:tblGrid>
      <w:tr>
        <w:trPr>
          <w:trHeight w:val="332" w:hRule="exact"/>
        </w:trPr>
        <w:tc>
          <w:tcPr>
            <w:tcW w:w="4066" w:type="dxa"/>
            <w:tcBorders>
              <w:top w:val="nil" w:sz="6" w:space="0" w:color="auto"/>
              <w:left w:val="nil" w:sz="6" w:space="0" w:color="auto"/>
              <w:bottom w:val="single" w:sz="4" w:space="0" w:color="000000"/>
              <w:right w:val="nil" w:sz="6" w:space="0" w:color="auto"/>
            </w:tcBorders>
          </w:tcPr>
          <w:p>
            <w:pPr/>
          </w:p>
        </w:tc>
        <w:tc>
          <w:tcPr>
            <w:tcW w:w="4122" w:type="dxa"/>
            <w:tcBorders>
              <w:top w:val="nil" w:sz="6" w:space="0" w:color="auto"/>
              <w:left w:val="nil" w:sz="6" w:space="0" w:color="auto"/>
              <w:bottom w:val="single" w:sz="4" w:space="0" w:color="000000"/>
              <w:right w:val="nil" w:sz="6" w:space="0" w:color="auto"/>
            </w:tcBorders>
          </w:tcPr>
          <w:p>
            <w:pPr/>
          </w:p>
        </w:tc>
      </w:tr>
      <w:tr>
        <w:trPr>
          <w:trHeight w:val="34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7" w:right="0"/>
              <w:jc w:val="left"/>
              <w:rPr>
                <w:rFonts w:ascii="宋体" w:hAnsi="宋体" w:cs="宋体" w:eastAsia="宋体" w:hint="default"/>
                <w:sz w:val="18"/>
                <w:szCs w:val="18"/>
              </w:rPr>
            </w:pPr>
            <w:r>
              <w:rPr>
                <w:rFonts w:ascii="宋体" w:hAnsi="宋体" w:cs="宋体" w:eastAsia="宋体" w:hint="default"/>
                <w:sz w:val="18"/>
                <w:szCs w:val="18"/>
              </w:rPr>
              <w:t>SHUNYA INTERNATIONAL INC(</w:t>
            </w:r>
            <w:r>
              <w:rPr>
                <w:rFonts w:ascii="宋体" w:hAnsi="宋体" w:cs="宋体" w:eastAsia="宋体" w:hint="default"/>
                <w:sz w:val="18"/>
                <w:szCs w:val="18"/>
              </w:rPr>
              <w:t>宣亚国际有限公司</w:t>
            </w:r>
            <w:r>
              <w:rPr>
                <w:rFonts w:ascii="宋体" w:hAnsi="宋体" w:cs="宋体" w:eastAsia="宋体" w:hint="default"/>
                <w:sz w:val="18"/>
                <w:szCs w:val="18"/>
              </w:rPr>
              <w:t>)</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6" w:lineRule="auto" w:before="10"/>
        <w:ind w:left="334" w:right="412"/>
        <w:jc w:val="left"/>
      </w:pPr>
      <w:r>
        <w:rPr/>
        <w:pict>
          <v:group style="position:absolute;margin-left:55.200001pt;margin-top:-33.988293pt;width:485pt;height:.1pt;mso-position-horizontal-relative:page;mso-position-vertical-relative:paragraph;z-index:-772696" coordorigin="1104,-680" coordsize="9700,2">
            <v:shape style="position:absolute;left:1104;top:-680;width:9700;height:2" coordorigin="1104,-680" coordsize="9700,0" path="m1104,-680l10804,-680e" filled="false" stroked="true" strokeweight=".72pt" strokecolor="#000000">
              <v:path arrowok="t"/>
            </v:shape>
            <w10:wrap type="none"/>
          </v:group>
        </w:pict>
      </w:r>
      <w:r>
        <w:rPr/>
        <w:t>注：</w:t>
      </w:r>
      <w:r>
        <w:rPr>
          <w:rFonts w:ascii="宋体" w:hAnsi="宋体" w:cs="宋体" w:eastAsia="宋体" w:hint="default"/>
        </w:rPr>
        <w:t>SHUNYA INTERNATIONAL INC</w:t>
      </w:r>
      <w:r>
        <w:rPr/>
        <w:t>指宣亚国际有限公司，以下均以中文表示。 本报告期合并财务报表范围及其变化情况详见“本附注八、合并范围的变更”和”附注九、在其他主体中的权益”。</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0"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70"/>
        </w:rPr>
        <w:t> </w:t>
      </w:r>
      <w:r>
        <w:rPr>
          <w:spacing w:val="-70"/>
        </w:rPr>
      </w:r>
      <w:r>
        <w:rPr/>
        <w:t>理委员会《公开发行证券的公司信息披露编报规则第</w:t>
      </w:r>
      <w:r>
        <w:rPr>
          <w:rFonts w:ascii="宋体" w:hAnsi="宋体" w:cs="宋体" w:eastAsia="宋体" w:hint="default"/>
        </w:rPr>
        <w:t>15 </w:t>
      </w:r>
      <w:r>
        <w:rPr/>
        <w:t>号——财务报告的一般规定》的披露规定编制财务报表。</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公司自本报告期末起</w:t>
      </w:r>
      <w:r>
        <w:rPr>
          <w:rFonts w:ascii="宋体" w:hAnsi="宋体" w:cs="宋体" w:eastAsia="宋体" w:hint="default"/>
        </w:rPr>
        <w:t>12</w:t>
      </w:r>
      <w:r>
        <w:rPr/>
        <w:t>个月具备持续经营能力，无影响持续经营能力的重大事项。</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712"/>
        <w:jc w:val="left"/>
      </w:pPr>
      <w:r>
        <w:rPr/>
        <w:t>公司是否需要遵守特殊行业的披露要求 否</w:t>
      </w:r>
    </w:p>
    <w:p>
      <w:pPr>
        <w:pStyle w:val="BodyText"/>
        <w:spacing w:line="357" w:lineRule="auto" w:before="28"/>
        <w:ind w:left="514" w:right="137" w:hanging="360"/>
        <w:jc w:val="left"/>
      </w:pPr>
      <w:r>
        <w:rPr/>
        <w:t>具体会计政策和会计估计提示： 以下披露内容已涵盖了本公司根据实际生产经营特点制定的具体会计政策和会计估计。详见</w:t>
      </w:r>
      <w:r>
        <w:rPr>
          <w:rFonts w:ascii="Times New Roman" w:hAnsi="Times New Roman" w:cs="Times New Roman" w:eastAsia="Times New Roman" w:hint="default"/>
        </w:rPr>
        <w:t>“</w:t>
      </w:r>
      <w:r>
        <w:rPr/>
        <w:t>本附注</w:t>
      </w:r>
      <w:r>
        <w:rPr>
          <w:spacing w:val="21"/>
        </w:rPr>
        <w:t> </w:t>
      </w:r>
      <w:r>
        <w:rPr>
          <w:spacing w:val="-12"/>
        </w:rPr>
        <w:t>五、（二十八）收</w:t>
      </w:r>
    </w:p>
    <w:p>
      <w:pPr>
        <w:pStyle w:val="BodyText"/>
        <w:spacing w:line="215" w:lineRule="exact"/>
        <w:ind w:right="0"/>
        <w:jc w:val="left"/>
      </w:pPr>
      <w:r>
        <w:rPr/>
        <w:t>入</w:t>
      </w:r>
      <w:r>
        <w:rPr>
          <w:rFonts w:ascii="Times New Roman" w:hAnsi="Times New Roman" w:cs="Times New Roman" w:eastAsia="Times New Roman" w:hint="default"/>
        </w:rPr>
        <w:t>”</w:t>
      </w:r>
      <w:r>
        <w:rPr/>
        <w:t>。</w:t>
      </w:r>
    </w:p>
    <w:p>
      <w:pPr>
        <w:pStyle w:val="BodyText"/>
        <w:spacing w:line="300" w:lineRule="auto" w:before="63"/>
        <w:ind w:left="514" w:right="0"/>
        <w:jc w:val="left"/>
      </w:pPr>
      <w:r>
        <w:rPr>
          <w:rFonts w:ascii="Times New Roman" w:hAnsi="Times New Roman" w:cs="Times New Roman" w:eastAsia="Times New Roman" w:hint="default"/>
        </w:rPr>
        <w:t>1</w:t>
      </w:r>
      <w:r>
        <w:rPr/>
        <w:t>、遵循企业会计准则的声明 本财务报表符合企业会计准则及有关财务会计制度的要求，真实、完整地反映了本公司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日的财务状况及</w:t>
      </w:r>
    </w:p>
    <w:p>
      <w:pPr>
        <w:pStyle w:val="BodyText"/>
        <w:spacing w:line="240" w:lineRule="auto" w:before="31"/>
        <w:ind w:right="0"/>
        <w:jc w:val="left"/>
      </w:pPr>
      <w:r>
        <w:rPr>
          <w:rFonts w:ascii="宋体" w:hAnsi="宋体" w:cs="宋体" w:eastAsia="宋体" w:hint="default"/>
        </w:rPr>
        <w:t>2017</w:t>
      </w:r>
      <w:r>
        <w:rPr/>
        <w:t>年度的经营成果和现金流量等有关信息。</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4" w:right="0"/>
        <w:jc w:val="left"/>
      </w:pPr>
      <w:r>
        <w:rPr/>
        <w:t>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4" w:right="0"/>
        <w:jc w:val="left"/>
      </w:pPr>
      <w:r>
        <w:rPr/>
        <w:t>本公司营业周期为</w:t>
      </w:r>
      <w:r>
        <w:rPr>
          <w:rFonts w:ascii="宋体" w:hAnsi="宋体" w:cs="宋体" w:eastAsia="宋体" w:hint="default"/>
        </w:rPr>
        <w:t>12</w:t>
      </w:r>
      <w:r>
        <w:rPr/>
        <w:t>个月</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4" w:right="0"/>
        <w:jc w:val="left"/>
      </w:pPr>
      <w:r>
        <w:rPr/>
        <w:t>本公司以人民币为记账本位币。</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p>
    <w:p>
      <w:pPr>
        <w:spacing w:after="0" w:line="316" w:lineRule="auto"/>
        <w:jc w:val="both"/>
        <w:sectPr>
          <w:pgSz w:w="11910" w:h="16840"/>
          <w:pgMar w:header="86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240" w:lineRule="auto" w:before="44"/>
        <w:ind w:right="92"/>
        <w:jc w:val="left"/>
      </w:pPr>
      <w:r>
        <w:rPr/>
        <w:t>益。</w:t>
      </w:r>
    </w:p>
    <w:p>
      <w:pPr>
        <w:pStyle w:val="BodyText"/>
        <w:spacing w:line="316" w:lineRule="auto" w:before="76"/>
        <w:ind w:right="92"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191" w:firstLine="360"/>
        <w:jc w:val="both"/>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2"/>
        <w:jc w:val="left"/>
      </w:pPr>
      <w:r>
        <w:rPr>
          <w:rFonts w:ascii="宋体" w:hAnsi="宋体" w:cs="宋体" w:eastAsia="宋体" w:hint="default"/>
        </w:rPr>
        <w:t>1</w:t>
      </w:r>
      <w:r>
        <w:rPr/>
        <w:t>、合并范围 </w:t>
      </w:r>
      <w:r>
        <w:rPr>
          <w:spacing w:val="-2"/>
        </w:rPr>
        <w:t>本公司合并财务报表的合并范围以控制为基础确定，所有子公司（包括本公司所控制的被投资方可分割的部分）均纳入</w:t>
      </w:r>
    </w:p>
    <w:p>
      <w:pPr>
        <w:pStyle w:val="BodyText"/>
        <w:spacing w:line="316" w:lineRule="auto" w:before="19"/>
        <w:ind w:left="514" w:right="8462" w:hanging="360"/>
        <w:jc w:val="left"/>
      </w:pPr>
      <w:r>
        <w:rPr/>
        <w:t>合并财务报表。 </w:t>
      </w:r>
      <w:r>
        <w:rPr>
          <w:rFonts w:ascii="宋体" w:hAnsi="宋体" w:cs="宋体" w:eastAsia="宋体" w:hint="default"/>
        </w:rPr>
        <w:t>2</w:t>
      </w:r>
      <w:r>
        <w:rPr/>
        <w:t>、合并程序</w:t>
      </w:r>
    </w:p>
    <w:p>
      <w:pPr>
        <w:pStyle w:val="BodyText"/>
        <w:spacing w:line="316" w:lineRule="auto" w:before="19"/>
        <w:ind w:right="19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right="92"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3"/>
        </w:rPr>
        <w:t> </w:t>
      </w:r>
      <w:r>
        <w:rPr>
          <w:spacing w:val="-43"/>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9" w:lineRule="auto" w:before="19"/>
        <w:ind w:right="19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7"/>
        <w:ind w:left="514" w:right="92"/>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92"/>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9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9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9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4" w:right="92"/>
        <w:jc w:val="left"/>
      </w:pPr>
      <w:r>
        <w:rPr/>
        <w:t>（</w:t>
      </w:r>
      <w:r>
        <w:rPr>
          <w:rFonts w:ascii="宋体" w:hAnsi="宋体" w:cs="宋体" w:eastAsia="宋体" w:hint="default"/>
        </w:rPr>
        <w:t>2</w:t>
      </w:r>
      <w:r>
        <w:rPr/>
        <w:t>）处置子公司或业务</w:t>
      </w:r>
    </w:p>
    <w:p>
      <w:pPr>
        <w:pStyle w:val="BodyText"/>
        <w:spacing w:line="316" w:lineRule="auto" w:before="76"/>
        <w:ind w:left="514" w:right="92"/>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240" w:lineRule="auto" w:before="19"/>
        <w:ind w:right="92"/>
        <w:jc w:val="left"/>
      </w:pPr>
      <w:r>
        <w:rPr/>
        <w:t>司或业务期初至处置日的现金流量纳入合并现金流量表。</w:t>
      </w:r>
    </w:p>
    <w:p>
      <w:pPr>
        <w:spacing w:after="0" w:line="240" w:lineRule="auto"/>
        <w:jc w:val="left"/>
        <w:sectPr>
          <w:pgSz w:w="11910" w:h="16840"/>
          <w:pgMar w:header="86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92"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7"/>
        <w:ind w:left="514" w:right="92"/>
        <w:jc w:val="left"/>
      </w:pPr>
      <w:r>
        <w:rPr/>
        <w:t>因其他投资方对子公司增资而导致本公司持股比例下降从而丧失控制权的，按照上述原则进行会计处理。</w:t>
      </w:r>
    </w:p>
    <w:p>
      <w:pPr>
        <w:pStyle w:val="BodyText"/>
        <w:spacing w:line="316" w:lineRule="auto" w:before="76"/>
        <w:ind w:left="514" w:right="92"/>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4" w:right="2612"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9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92"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4" w:right="92"/>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92"/>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16" w:lineRule="auto" w:before="19"/>
        <w:ind w:left="514" w:right="92"/>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92"/>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53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4" w:right="92"/>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6"/>
        <w:ind w:left="514" w:right="92"/>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left="514" w:right="92"/>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76"/>
        <w:ind w:left="514" w:right="92"/>
        <w:jc w:val="left"/>
      </w:pPr>
      <w:r>
        <w:rPr/>
        <w:t>（</w:t>
      </w:r>
      <w:r>
        <w:rPr>
          <w:rFonts w:ascii="宋体" w:hAnsi="宋体" w:cs="宋体" w:eastAsia="宋体" w:hint="default"/>
        </w:rPr>
        <w:t>4</w:t>
      </w:r>
      <w:r>
        <w:rPr/>
        <w:t>）按本公司份额确认共同经营因出售产出所产生的收入；</w:t>
      </w:r>
    </w:p>
    <w:p>
      <w:pPr>
        <w:pStyle w:val="BodyText"/>
        <w:spacing w:line="240" w:lineRule="auto" w:before="76"/>
        <w:ind w:left="514" w:right="92"/>
        <w:jc w:val="left"/>
      </w:pPr>
      <w:r>
        <w:rPr/>
        <w:t>（</w:t>
      </w:r>
      <w:r>
        <w:rPr>
          <w:rFonts w:ascii="宋体" w:hAnsi="宋体" w:cs="宋体" w:eastAsia="宋体" w:hint="default"/>
        </w:rPr>
        <w:t>5</w:t>
      </w:r>
      <w:r>
        <w:rPr/>
        <w:t>）确认单独所发生的费用，以及按本公司份额确认共同经营发生的费用。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2"/>
        <w:jc w:val="left"/>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77" w:firstLine="360"/>
        <w:jc w:val="left"/>
      </w:pPr>
      <w:r>
        <w:rPr>
          <w:spacing w:val="-5"/>
        </w:rPr>
        <w:t>在编制现金流量表时，将本公司库存现金以及可以随时用于支付的存款确认为现金。将本公司持有的同时具备期限短（从</w:t>
      </w:r>
      <w:r>
        <w:rPr/>
        <w:t> 购买日起三个月内到期）、流动性强、易于转换为已知现金、价值变动风险很小四个条件的投资，确定为现金等价物。</w:t>
      </w:r>
    </w:p>
    <w:p>
      <w:pPr>
        <w:spacing w:after="0" w:line="316" w:lineRule="auto"/>
        <w:jc w:val="left"/>
        <w:sectPr>
          <w:pgSz w:w="11910" w:h="16840"/>
          <w:pgMar w:header="867"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92"/>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2972"/>
        <w:jc w:val="left"/>
      </w:pPr>
      <w:r>
        <w:rPr>
          <w:rFonts w:ascii="宋体" w:hAnsi="宋体" w:cs="宋体" w:eastAsia="宋体" w:hint="default"/>
        </w:rPr>
        <w:t>1</w:t>
      </w:r>
      <w:r>
        <w:rPr/>
        <w:t>、外币交易 外币业务采用交易发生日的即期汇率作为折算汇率将外币金额折合成人民币记账。</w:t>
      </w:r>
    </w:p>
    <w:p>
      <w:pPr>
        <w:pStyle w:val="BodyText"/>
        <w:spacing w:line="316" w:lineRule="auto" w:before="19"/>
        <w:ind w:right="92"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16" w:lineRule="auto" w:before="19"/>
        <w:ind w:left="514" w:right="92"/>
        <w:jc w:val="left"/>
      </w:pPr>
      <w:r>
        <w:rPr>
          <w:rFonts w:ascii="宋体" w:hAnsi="宋体" w:cs="宋体" w:eastAsia="宋体" w:hint="default"/>
        </w:rPr>
        <w:t>2</w:t>
      </w:r>
      <w:r>
        <w:rPr/>
        <w:t>、外币财务报表的折算 </w:t>
      </w:r>
      <w:r>
        <w:rPr>
          <w:spacing w:val="-2"/>
        </w:rPr>
        <w:t>资产负债表中的资产和负债项目，采用资产负债表日的即期汇率折算；所有者权益项目除“未分配利润”项目外，其他</w:t>
      </w:r>
    </w:p>
    <w:p>
      <w:pPr>
        <w:pStyle w:val="BodyText"/>
        <w:spacing w:line="316" w:lineRule="auto" w:before="19"/>
        <w:ind w:left="514" w:right="1172" w:hanging="360"/>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5672"/>
        <w:jc w:val="left"/>
      </w:pPr>
      <w:r>
        <w:rPr/>
        <w:t>金融工具包括金融资产、金融负债和权益工具。 </w:t>
      </w:r>
      <w:r>
        <w:rPr>
          <w:rFonts w:ascii="宋体" w:hAnsi="宋体" w:cs="宋体" w:eastAsia="宋体" w:hint="default"/>
        </w:rPr>
        <w:t>1</w:t>
      </w:r>
      <w:r>
        <w:rPr/>
        <w:t>、金融工具的分类</w:t>
      </w:r>
    </w:p>
    <w:p>
      <w:pPr>
        <w:pStyle w:val="BodyText"/>
        <w:spacing w:line="316" w:lineRule="auto" w:before="19"/>
        <w:ind w:right="92" w:firstLine="360"/>
        <w:jc w:val="left"/>
      </w:pPr>
      <w:r>
        <w:rPr>
          <w:spacing w:val="-2"/>
        </w:rPr>
        <w:t>按照取得持有金融资产和承担金融负债的目的，将其划分为：以公允价值计量且其变动计入当期损益的金融资产或金融</w:t>
      </w:r>
      <w:r>
        <w:rPr/>
        <w:t> 负债；持有至到期投资；应收款项；可供出售金融资产；其他金融负债等。</w:t>
      </w:r>
    </w:p>
    <w:p>
      <w:pPr>
        <w:pStyle w:val="BodyText"/>
        <w:spacing w:line="316" w:lineRule="auto" w:before="19"/>
        <w:ind w:left="514" w:right="4142"/>
        <w:jc w:val="left"/>
      </w:pPr>
      <w:r>
        <w:rPr/>
        <w:t>金融工具的确认依据和计量方法 初始确认金融资产或金融负债时，按照公允价值计量。 </w:t>
      </w:r>
      <w:r>
        <w:rPr>
          <w:rFonts w:ascii="宋体" w:hAnsi="宋体" w:cs="宋体" w:eastAsia="宋体" w:hint="default"/>
        </w:rPr>
        <w:t>(1)</w:t>
      </w:r>
      <w:r>
        <w:rPr/>
        <w:t>以公允价值计量且其变动计入当期损益的金融资产（金融负债）</w:t>
      </w:r>
    </w:p>
    <w:p>
      <w:pPr>
        <w:pStyle w:val="BodyText"/>
        <w:spacing w:line="316" w:lineRule="auto" w:before="19"/>
        <w:ind w:right="92" w:firstLine="360"/>
        <w:jc w:val="left"/>
      </w:pPr>
      <w:r>
        <w:rPr>
          <w:spacing w:val="-2"/>
        </w:rPr>
        <w:t>只有符合以下条件之一，金融资产或金融负债才可在初始计量时指定为以公允价值计量且变动计入损益的金融资产或金</w:t>
      </w:r>
      <w:r>
        <w:rPr/>
        <w:t> 融负债：</w:t>
      </w:r>
    </w:p>
    <w:p>
      <w:pPr>
        <w:pStyle w:val="BodyText"/>
        <w:spacing w:line="316" w:lineRule="auto" w:before="19"/>
        <w:ind w:right="182" w:firstLine="360"/>
        <w:jc w:val="left"/>
      </w:pPr>
      <w:r>
        <w:rPr>
          <w:rFonts w:ascii="宋体" w:hAnsi="宋体" w:cs="宋体" w:eastAsia="宋体" w:hint="default"/>
        </w:rPr>
        <w:t>1</w:t>
      </w:r>
      <w:r>
        <w:rPr/>
        <w:t>）该项指定可以消除或明显减少由于金融资产或金融负债的计量基础不同所导致的相关利得或损失在确认或计量方面 不一致的情况。</w:t>
      </w:r>
    </w:p>
    <w:p>
      <w:pPr>
        <w:pStyle w:val="BodyText"/>
        <w:spacing w:line="316" w:lineRule="auto" w:before="19"/>
        <w:ind w:right="182" w:firstLine="360"/>
        <w:jc w:val="left"/>
      </w:pPr>
      <w:r>
        <w:rPr>
          <w:rFonts w:ascii="宋体" w:hAnsi="宋体" w:cs="宋体" w:eastAsia="宋体"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16" w:lineRule="auto" w:before="19"/>
        <w:ind w:left="514" w:right="92"/>
        <w:jc w:val="left"/>
      </w:pPr>
      <w:r>
        <w:rPr>
          <w:rFonts w:ascii="宋体" w:hAnsi="宋体" w:cs="宋体" w:eastAsia="宋体" w:hint="default"/>
        </w:rPr>
        <w:t>3</w:t>
      </w:r>
      <w:r>
        <w:rPr/>
        <w:t>）该金融资产或金融负债包含需单独分拆的嵌入衍生工具。 按照上述条件，指定的这类金融资产或金融负债主要包括：（具体描述指定的情况） </w:t>
      </w:r>
      <w:r>
        <w:rPr>
          <w:spacing w:val="-2"/>
        </w:rPr>
        <w:t>取得时以公允价值（扣除已宣告但尚未发放的现金股利或已到付息期但尚未领取的债券利息）作为初始确认金额，相关</w:t>
      </w:r>
    </w:p>
    <w:p>
      <w:pPr>
        <w:pStyle w:val="BodyText"/>
        <w:spacing w:line="316" w:lineRule="auto" w:before="19"/>
        <w:ind w:left="514" w:right="1892"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宋体" w:hAnsi="宋体" w:cs="宋体" w:eastAsia="宋体" w:hint="default"/>
        </w:rPr>
        <w:t>(2</w:t>
      </w:r>
      <w:r>
        <w:rPr/>
        <w:t>）持有至到期投资</w:t>
      </w:r>
    </w:p>
    <w:p>
      <w:pPr>
        <w:pStyle w:val="BodyText"/>
        <w:spacing w:line="316" w:lineRule="auto" w:before="19"/>
        <w:ind w:right="92" w:firstLine="360"/>
        <w:jc w:val="left"/>
      </w:pPr>
      <w:r>
        <w:rPr>
          <w:spacing w:val="-4"/>
        </w:rPr>
        <w:t>持有至到期投资，是指到期日固定、回收金额固定或可确定，且本公司有明确意图和能力持有至到期的非衍生金融资产。</w:t>
      </w:r>
      <w:r>
        <w:rPr/>
        <w:t> </w:t>
      </w:r>
      <w:r>
        <w:rPr>
          <w:spacing w:val="-2"/>
        </w:rPr>
        <w:t>对于此类金融资产，采用实际利率法，按照摊余成本进行后续计量，其终止确认、发生减值或摊销产生的利得或损失，均计</w:t>
      </w:r>
      <w:r>
        <w:rPr>
          <w:spacing w:val="-66"/>
        </w:rPr>
        <w:t> </w:t>
      </w:r>
      <w:r>
        <w:rPr>
          <w:spacing w:val="-66"/>
        </w:rPr>
      </w:r>
      <w:r>
        <w:rPr/>
        <w:t>入当期损益。</w:t>
      </w:r>
    </w:p>
    <w:p>
      <w:pPr>
        <w:pStyle w:val="BodyText"/>
        <w:spacing w:line="316" w:lineRule="auto" w:before="19"/>
        <w:ind w:right="193" w:firstLine="360"/>
        <w:jc w:val="both"/>
      </w:pPr>
      <w:r>
        <w:rPr>
          <w:spacing w:val="-2"/>
        </w:rPr>
        <w:t>取得时按公允价值（扣除已到付息期但尚未领取的债券利息）和相关交易费用之和作为初始确认金额。持有期间按照摊</w:t>
      </w:r>
      <w:r>
        <w:rPr/>
        <w:t> </w:t>
      </w:r>
      <w:r>
        <w:rPr>
          <w:spacing w:val="-2"/>
        </w:rPr>
        <w:t>余成本和实际利率计算确认利息收入，计入投资收益。实际利率在取得时确定，在该预期存续期间或适用的更短期间内保持</w:t>
      </w:r>
      <w:r>
        <w:rPr>
          <w:spacing w:val="-66"/>
        </w:rPr>
        <w:t> </w:t>
      </w:r>
      <w:r>
        <w:rPr>
          <w:spacing w:val="-66"/>
        </w:rPr>
      </w:r>
      <w:r>
        <w:rPr/>
        <w:t>不变。处置时，将所取得价款与该投资账面价值之间的差额计入投资收益。</w:t>
      </w:r>
    </w:p>
    <w:p>
      <w:pPr>
        <w:pStyle w:val="BodyText"/>
        <w:spacing w:line="319" w:lineRule="auto" w:before="19"/>
        <w:ind w:left="514" w:right="92" w:firstLine="90"/>
        <w:jc w:val="left"/>
      </w:pPr>
      <w:r>
        <w:rPr>
          <w:rFonts w:ascii="宋体" w:hAnsi="宋体" w:cs="宋体" w:eastAsia="宋体" w:hint="default"/>
        </w:rPr>
        <w:t>(3)</w:t>
      </w:r>
      <w:r>
        <w:rPr/>
        <w:t>应收款项 </w:t>
      </w:r>
      <w:r>
        <w:rPr>
          <w:spacing w:val="-2"/>
        </w:rPr>
        <w:t>对外销售商品或提供劳务形成的应收债权，以及持有的其他企业的不包括在活跃市场上有报价的债务工具的债权，包括</w:t>
      </w:r>
    </w:p>
    <w:p>
      <w:pPr>
        <w:pStyle w:val="BodyText"/>
        <w:spacing w:line="316" w:lineRule="auto" w:before="17"/>
        <w:ind w:left="514" w:right="92" w:hanging="360"/>
        <w:jc w:val="left"/>
      </w:pPr>
      <w:r>
        <w:rPr>
          <w:spacing w:val="-4"/>
        </w:rPr>
        <w:t>应收账款、其他应收款等，以向购货方应收的合同或协议价款作为初始确认金额；具有融资性质的，按其现值进行初始确认。</w:t>
      </w:r>
      <w:r>
        <w:rPr>
          <w:spacing w:val="-46"/>
        </w:rPr>
        <w:t> </w:t>
      </w:r>
      <w:r>
        <w:rPr>
          <w:spacing w:val="-46"/>
        </w:rPr>
      </w:r>
      <w:r>
        <w:rPr/>
        <w:t>采用实际利率法，按照摊余成本进行后续计量。 收回或处置时，将取得的价款与该应收款项账面价值之间的差额计入当期损益。</w:t>
      </w:r>
    </w:p>
    <w:p>
      <w:pPr>
        <w:spacing w:after="0" w:line="316" w:lineRule="auto"/>
        <w:jc w:val="left"/>
        <w:sectPr>
          <w:pgSz w:w="11910" w:h="16840"/>
          <w:pgMar w:header="86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4" w:right="92"/>
        <w:jc w:val="left"/>
      </w:pP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9"/>
        <w:ind w:left="514" w:right="92" w:hanging="360"/>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92"/>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92"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值变动累计额对应处置部分的金额转出，计入投资损益。</w:t>
      </w:r>
    </w:p>
    <w:p>
      <w:pPr>
        <w:pStyle w:val="BodyText"/>
        <w:spacing w:line="316" w:lineRule="auto" w:before="19"/>
        <w:ind w:left="514" w:right="2792"/>
        <w:jc w:val="left"/>
      </w:pP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4"/>
        <w:rPr>
          <w:rFonts w:ascii="宋体" w:hAnsi="宋体" w:cs="宋体" w:eastAsia="宋体" w:hint="default"/>
          <w:sz w:val="25"/>
          <w:szCs w:val="25"/>
        </w:rPr>
      </w:pPr>
    </w:p>
    <w:p>
      <w:pPr>
        <w:pStyle w:val="BodyText"/>
        <w:spacing w:line="316" w:lineRule="auto"/>
        <w:ind w:left="514" w:right="92"/>
        <w:jc w:val="left"/>
      </w:pPr>
      <w:r>
        <w:rPr>
          <w:rFonts w:ascii="宋体" w:hAnsi="宋体" w:cs="宋体" w:eastAsia="宋体" w:hint="default"/>
        </w:rPr>
        <w:t>2</w:t>
      </w:r>
      <w:r>
        <w:rPr/>
        <w:t>、金融资产转移的确认条件和计量方法 </w:t>
      </w:r>
      <w:r>
        <w:rPr>
          <w:spacing w:val="-2"/>
        </w:rPr>
        <w:t>发生金融资产转移时，如已将金融资产所有权上几乎所有的风险和报酬转移给转入方，则终止确认该金融资产；如保留</w:t>
      </w:r>
    </w:p>
    <w:p>
      <w:pPr>
        <w:pStyle w:val="BodyText"/>
        <w:spacing w:line="316" w:lineRule="auto" w:before="19"/>
        <w:ind w:left="514" w:right="92" w:hanging="360"/>
        <w:jc w:val="left"/>
      </w:pPr>
      <w:r>
        <w:rPr/>
        <w:t>了金融资产所有权上几乎所有的风险和报酬的，则不终止确认该金融资产。 </w:t>
      </w:r>
      <w:r>
        <w:rPr>
          <w:spacing w:val="-2"/>
        </w:rPr>
        <w:t>在判断金融资产转移是否满足上述金融资产终止确认条件时，采用实质重于形式的原则。将金融资产转移区分为金融资</w:t>
      </w:r>
    </w:p>
    <w:p>
      <w:pPr>
        <w:pStyle w:val="BodyText"/>
        <w:spacing w:line="240" w:lineRule="auto" w:before="19"/>
        <w:ind w:right="92"/>
        <w:jc w:val="left"/>
      </w:pPr>
      <w:r>
        <w:rPr/>
        <w:t>产整体转移和部分转移。金融资产整体转移满足终止确认条件的，将下列两项金额的差额计入当期损益：</w:t>
      </w:r>
    </w:p>
    <w:p>
      <w:pPr>
        <w:pStyle w:val="BodyText"/>
        <w:spacing w:line="240" w:lineRule="auto" w:before="76"/>
        <w:ind w:left="514" w:right="92"/>
        <w:jc w:val="left"/>
      </w:pPr>
      <w:r>
        <w:rPr/>
        <w:t>（</w:t>
      </w:r>
      <w:r>
        <w:rPr>
          <w:rFonts w:ascii="宋体" w:hAnsi="宋体" w:cs="宋体" w:eastAsia="宋体" w:hint="default"/>
        </w:rPr>
        <w:t>1</w:t>
      </w:r>
      <w:r>
        <w:rPr/>
        <w:t>）所转移金融资产的账面价值；</w:t>
      </w:r>
    </w:p>
    <w:p>
      <w:pPr>
        <w:pStyle w:val="BodyText"/>
        <w:spacing w:line="316" w:lineRule="auto" w:before="76"/>
        <w:ind w:right="182" w:firstLine="360"/>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pStyle w:val="BodyText"/>
        <w:spacing w:line="316" w:lineRule="auto" w:before="19"/>
        <w:ind w:right="92"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4" w:right="92"/>
        <w:jc w:val="left"/>
      </w:pPr>
      <w:r>
        <w:rPr/>
        <w:t>（</w:t>
      </w:r>
      <w:r>
        <w:rPr>
          <w:rFonts w:ascii="宋体" w:hAnsi="宋体" w:cs="宋体" w:eastAsia="宋体" w:hint="default"/>
        </w:rPr>
        <w:t>1</w:t>
      </w:r>
      <w:r>
        <w:rPr/>
        <w:t>）终止确认部分的账面价值；</w:t>
      </w:r>
    </w:p>
    <w:p>
      <w:pPr>
        <w:pStyle w:val="BodyText"/>
        <w:spacing w:line="316" w:lineRule="auto" w:before="77"/>
        <w:ind w:right="182"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19"/>
        <w:ind w:left="514" w:right="92"/>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spacing w:line="316" w:lineRule="auto" w:before="153"/>
        <w:ind w:left="514" w:right="92"/>
        <w:jc w:val="left"/>
      </w:pPr>
      <w:r>
        <w:rPr>
          <w:rFonts w:ascii="宋体" w:hAnsi="宋体" w:cs="宋体" w:eastAsia="宋体" w:hint="default"/>
        </w:rPr>
        <w:t>3</w:t>
      </w:r>
      <w:r>
        <w:rPr/>
        <w:t>、金融负债终止确认条件和计量方法 </w:t>
      </w:r>
      <w:r>
        <w:rPr>
          <w:spacing w:val="-2"/>
        </w:rPr>
        <w:t>金融负债的现时义务全部或部分已经解除的，则终止确认该金融负债或其一部分；本公司若与债权人签定协议，以承担</w:t>
      </w:r>
    </w:p>
    <w:p>
      <w:pPr>
        <w:pStyle w:val="BodyText"/>
        <w:spacing w:line="316" w:lineRule="auto" w:before="19"/>
        <w:ind w:right="92"/>
        <w:jc w:val="left"/>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right="92"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92"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91" w:firstLine="360"/>
        <w:jc w:val="both"/>
      </w:pPr>
      <w:r>
        <w:rPr>
          <w:spacing w:val="-2"/>
        </w:rPr>
        <w:t>若回购部分金融负债的，在回购日按照继续确认部分与终止确认部分的相对公允价值，将该金融负债整体的账面价值进</w:t>
      </w:r>
      <w:r>
        <w:rPr/>
        <w:t> </w:t>
      </w:r>
      <w:r>
        <w:rPr>
          <w:spacing w:val="-2"/>
        </w:rPr>
        <w:t>行分配。分配给终止确认部分的账面价值与支付的对价（包括转出的非现金资产或承担的新金融负债）之间的差额，计入当</w:t>
      </w:r>
      <w:r>
        <w:rPr>
          <w:spacing w:val="-66"/>
        </w:rPr>
        <w:t> </w:t>
      </w:r>
      <w:r>
        <w:rPr>
          <w:spacing w:val="-66"/>
        </w:rPr>
      </w:r>
      <w:r>
        <w:rPr/>
        <w:t>期损益。</w:t>
      </w:r>
    </w:p>
    <w:p>
      <w:pPr>
        <w:spacing w:line="240" w:lineRule="auto" w:before="4"/>
        <w:rPr>
          <w:rFonts w:ascii="宋体" w:hAnsi="宋体" w:cs="宋体" w:eastAsia="宋体" w:hint="default"/>
          <w:sz w:val="25"/>
          <w:szCs w:val="25"/>
        </w:rPr>
      </w:pPr>
    </w:p>
    <w:p>
      <w:pPr>
        <w:pStyle w:val="BodyText"/>
        <w:spacing w:line="316" w:lineRule="auto"/>
        <w:ind w:left="514" w:right="3692"/>
        <w:jc w:val="left"/>
      </w:pPr>
      <w:r>
        <w:rPr>
          <w:rFonts w:ascii="宋体" w:hAnsi="宋体" w:cs="宋体" w:eastAsia="宋体" w:hint="default"/>
        </w:rPr>
        <w:t>4</w:t>
      </w:r>
      <w:r>
        <w:rPr/>
        <w:t>、金融资产和金融负债公允价值的确定方法 采用公允价值计量的金融资产和金融负债全部直接参考活跃市场中的报价</w:t>
      </w:r>
    </w:p>
    <w:p>
      <w:pPr>
        <w:spacing w:line="240" w:lineRule="auto" w:before="4"/>
        <w:rPr>
          <w:rFonts w:ascii="宋体" w:hAnsi="宋体" w:cs="宋体" w:eastAsia="宋体" w:hint="default"/>
          <w:sz w:val="25"/>
          <w:szCs w:val="25"/>
        </w:rPr>
      </w:pPr>
    </w:p>
    <w:p>
      <w:pPr>
        <w:pStyle w:val="BodyText"/>
        <w:spacing w:line="316" w:lineRule="auto"/>
        <w:ind w:left="514" w:right="92"/>
        <w:jc w:val="left"/>
      </w:pPr>
      <w:r>
        <w:rPr>
          <w:rFonts w:ascii="宋体" w:hAnsi="宋体" w:cs="宋体" w:eastAsia="宋体" w:hint="default"/>
        </w:rPr>
        <w:t>5</w:t>
      </w:r>
      <w:r>
        <w:rPr/>
        <w:t>、金融资产（不含应收款项）减值准备的计提方法及核销原则 </w:t>
      </w:r>
      <w:r>
        <w:rPr>
          <w:spacing w:val="-2"/>
        </w:rPr>
        <w:t>除以公允价值计量且其变动计入当期损益的金融资产外，资产负债表日对金融资产的账面价值进行检查，如果有客观证</w:t>
      </w:r>
    </w:p>
    <w:p>
      <w:pPr>
        <w:pStyle w:val="BodyText"/>
        <w:spacing w:line="240" w:lineRule="auto" w:before="19"/>
        <w:ind w:right="92"/>
        <w:jc w:val="left"/>
      </w:pPr>
      <w:r>
        <w:rPr/>
        <w:t>据表明某项金融资产发生减值的，计提减值准备。</w:t>
      </w:r>
    </w:p>
    <w:p>
      <w:pPr>
        <w:spacing w:after="0" w:line="240" w:lineRule="auto"/>
        <w:jc w:val="left"/>
        <w:sectPr>
          <w:pgSz w:w="11910" w:h="16840"/>
          <w:pgMar w:header="86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4" w:right="92"/>
        <w:jc w:val="left"/>
      </w:pPr>
      <w:r>
        <w:rPr>
          <w:rFonts w:ascii="宋体" w:hAnsi="宋体" w:cs="宋体" w:eastAsia="宋体"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19"/>
        <w:ind w:left="514" w:right="92" w:hanging="360"/>
        <w:jc w:val="left"/>
      </w:pPr>
      <w:r>
        <w:rPr/>
        <w:t>的，就认定其已发生减值，将原直接计入其他综合收益的公允价值下降形成的累计损失一并转出，确认减值损失。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4" w:right="3872" w:hanging="360"/>
        <w:jc w:val="left"/>
      </w:pPr>
      <w:r>
        <w:rPr/>
        <w:t>事项有关的，原确认的减值损失予以转回，计入当期损益。 可供出售权益工具投资发生的减值损失，不得通过损益转回。 </w:t>
      </w:r>
      <w:r>
        <w:rPr>
          <w:rFonts w:ascii="宋体" w:hAnsi="宋体" w:cs="宋体" w:eastAsia="宋体" w:hint="default"/>
        </w:rPr>
        <w:t>(2)</w:t>
      </w:r>
      <w:r>
        <w:rPr/>
        <w:t>持有至到期投资的减值准备 持有至到期投资减值损失的计量比照应收款项减值损失计量方法处理。</w:t>
      </w:r>
    </w:p>
    <w:p>
      <w:pPr>
        <w:pStyle w:val="BodyText"/>
        <w:spacing w:line="316" w:lineRule="auto" w:before="19"/>
        <w:ind w:right="92" w:firstLine="360"/>
        <w:jc w:val="left"/>
      </w:pPr>
      <w:r>
        <w:rPr>
          <w:spacing w:val="-2"/>
        </w:rPr>
        <w:t>当没有合理的预期能够收回该金融资产时，应直接核销减值准备并减记金融资产账面价值。将根据实际情况，核销该金</w:t>
      </w:r>
      <w:r>
        <w:rPr/>
        <w:t> 融资产的整体或部分。</w:t>
      </w:r>
    </w:p>
    <w:p>
      <w:pPr>
        <w:spacing w:line="240" w:lineRule="auto" w:before="4"/>
        <w:rPr>
          <w:rFonts w:ascii="宋体" w:hAnsi="宋体" w:cs="宋体" w:eastAsia="宋体" w:hint="default"/>
          <w:sz w:val="25"/>
          <w:szCs w:val="25"/>
        </w:rPr>
      </w:pPr>
    </w:p>
    <w:p>
      <w:pPr>
        <w:pStyle w:val="BodyText"/>
        <w:spacing w:line="316" w:lineRule="auto"/>
        <w:ind w:left="514" w:right="92"/>
        <w:jc w:val="left"/>
      </w:pPr>
      <w:r>
        <w:rPr>
          <w:rFonts w:ascii="宋体" w:hAnsi="宋体" w:cs="宋体" w:eastAsia="宋体" w:hint="default"/>
        </w:rPr>
        <w:t>6</w:t>
      </w:r>
      <w:r>
        <w:rPr/>
        <w:t>、金融资产和金融负债的抵消 </w:t>
      </w:r>
      <w:r>
        <w:rPr>
          <w:spacing w:val="-4"/>
        </w:rPr>
        <w:t>当依法有权抵销债权债务且该法定权利当前是可执行的，同时交易双方准备按净额进行结算，或同时结清资产和负债时，</w:t>
      </w:r>
    </w:p>
    <w:p>
      <w:pPr>
        <w:pStyle w:val="BodyText"/>
        <w:spacing w:line="240" w:lineRule="auto" w:before="19"/>
        <w:ind w:right="92"/>
        <w:jc w:val="left"/>
      </w:pPr>
      <w:r>
        <w:rPr/>
        <w:t>金融资产和负债以抵销后的净额在资产负债表中列示。</w:t>
      </w:r>
    </w:p>
    <w:p>
      <w:pPr>
        <w:spacing w:line="240" w:lineRule="auto" w:before="0"/>
        <w:rPr>
          <w:rFonts w:ascii="宋体" w:hAnsi="宋体" w:cs="宋体" w:eastAsia="宋体" w:hint="default"/>
          <w:sz w:val="18"/>
          <w:szCs w:val="18"/>
        </w:rPr>
      </w:pPr>
    </w:p>
    <w:p>
      <w:pPr>
        <w:pStyle w:val="BodyText"/>
        <w:spacing w:line="316" w:lineRule="auto" w:before="153"/>
        <w:ind w:left="514" w:right="92"/>
        <w:jc w:val="left"/>
      </w:pPr>
      <w:r>
        <w:rPr>
          <w:rFonts w:ascii="宋体" w:hAnsi="宋体" w:cs="宋体" w:eastAsia="宋体" w:hint="default"/>
        </w:rPr>
        <w:t>7</w:t>
      </w:r>
      <w:r>
        <w:rPr/>
        <w:t>、金融负债与权益工具的区分及相关处理 </w:t>
      </w:r>
      <w:r>
        <w:rPr>
          <w:spacing w:val="-2"/>
        </w:rPr>
        <w:t>权益工具是指能证明拥有某个企业在扣除所以负债后资产中的剩余权益的合同，如果公司不能无条件地避免以交付现金</w:t>
      </w:r>
    </w:p>
    <w:p>
      <w:pPr>
        <w:pStyle w:val="BodyText"/>
        <w:spacing w:line="316" w:lineRule="auto" w:before="19"/>
        <w:ind w:left="514" w:right="92" w:hanging="360"/>
        <w:jc w:val="left"/>
      </w:pPr>
      <w:r>
        <w:rPr/>
        <w:t>或其他金融资产来履行一项合同义务，则该合同义务为金融负债。 </w:t>
      </w:r>
      <w:r>
        <w:rPr>
          <w:spacing w:val="-4"/>
        </w:rPr>
        <w:t>金融工具属于金融负债的，相关利息、股利、利得、损失，以及赎回或再融资产生的利得或损失等，应当计入当期损益。</w:t>
      </w:r>
      <w:r>
        <w:rPr/>
        <w:t> </w:t>
      </w:r>
      <w:r>
        <w:rPr>
          <w:spacing w:val="-2"/>
        </w:rPr>
        <w:t>金融工具属于权益工具的，其发行、回购、出售、注销时，发行方应当作为权益的变动处理，不应当确认权益工具的公</w:t>
      </w:r>
    </w:p>
    <w:p>
      <w:pPr>
        <w:pStyle w:val="BodyText"/>
        <w:spacing w:line="240" w:lineRule="auto" w:before="19"/>
        <w:ind w:right="92"/>
        <w:jc w:val="left"/>
      </w:pPr>
      <w:r>
        <w:rPr/>
        <w:t>允价值变动，发行方对权益工具的持有方的分配应作利润分配处理。</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2"/>
        <w:jc w:val="left"/>
      </w:pPr>
      <w:bookmarkStart w:name="（1）单项金额重大并单独计提坏账准备的应收款项" w:id="177"/>
      <w:bookmarkEnd w:id="177"/>
      <w:r>
        <w:rPr/>
      </w:r>
      <w:r>
        <w:rPr/>
        <w:t>（</w:t>
      </w:r>
      <w:r>
        <w:rPr>
          <w:rFonts w:ascii="Times New Roman" w:hAnsi="Times New Roman" w:cs="Times New Roman" w:eastAsia="Times New Roman" w:hint="default"/>
        </w:rPr>
        <w:t>1</w:t>
      </w:r>
      <w:r>
        <w:rPr/>
        <w:t>）单项金额重大并单独计提坏账准备的应收款项</w:t>
      </w:r>
    </w:p>
    <w:p>
      <w:pPr>
        <w:spacing w:line="240" w:lineRule="auto" w:before="9"/>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sz w:val="19"/>
          <w:szCs w:val="19"/>
        </w:rPr>
      </w:pPr>
    </w:p>
    <w:p>
      <w:pPr>
        <w:pStyle w:val="Heading5"/>
        <w:spacing w:line="240" w:lineRule="auto" w:before="35"/>
        <w:ind w:right="92"/>
        <w:jc w:val="left"/>
      </w:pPr>
      <w:bookmarkStart w:name="（2）按信用风险特征组合计提坏账准备的应收款项" w:id="178"/>
      <w:bookmarkEnd w:id="178"/>
      <w:r>
        <w:rPr/>
      </w:r>
      <w:r>
        <w:rPr/>
        <w:t>（</w:t>
      </w:r>
      <w:r>
        <w:rPr>
          <w:rFonts w:ascii="Times New Roman" w:hAnsi="Times New Roman" w:cs="Times New Roman" w:eastAsia="Times New Roman" w:hint="default"/>
        </w:rPr>
        <w:t>2</w:t>
      </w:r>
      <w:r>
        <w:rPr/>
        <w:t>）按信用风险特征组合计提坏账准备的应收款项</w:t>
      </w:r>
    </w:p>
    <w:p>
      <w:pPr>
        <w:spacing w:line="240" w:lineRule="auto" w:before="10"/>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组合：普通往来款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组合：特殊往来款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92"/>
        <w:jc w:val="left"/>
      </w:pPr>
      <w:r>
        <w:rPr/>
        <w:t>组合中，采用账龄分析法计提坏账准备的：</w:t>
      </w:r>
    </w:p>
    <w:p>
      <w:pPr>
        <w:pStyle w:val="BodyText"/>
        <w:spacing w:line="240" w:lineRule="auto" w:before="116"/>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特殊往来款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pPr>
      <w:bookmarkStart w:name="（3）单项金额不重大但单独计提坏账准备的应收款项" w:id="179"/>
      <w:bookmarkEnd w:id="179"/>
      <w:r>
        <w:rPr/>
      </w:r>
      <w:r>
        <w:rPr/>
        <w:t>（</w:t>
      </w:r>
      <w:r>
        <w:rPr>
          <w:rFonts w:ascii="Times New Roman" w:hAnsi="Times New Roman" w:cs="Times New Roman" w:eastAsia="Times New Roman" w:hint="default"/>
        </w:rPr>
        <w:t>3</w:t>
      </w:r>
      <w:r>
        <w:rPr/>
        <w:t>）单项金额不重大但单独计提坏账准备的应收款项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59"/>
        <w:jc w:val="right"/>
      </w:pPr>
      <w:r>
        <w:rPr/>
        <w:pict>
          <v:shape style="position:absolute;margin-left:56.459999pt;margin-top:-32.048286pt;width:479.2pt;height:134.4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计提坏账准备；如：与对方存在争议或涉及诉讼、仲裁的应 收款项；已有明显迹象表明债务人很可能无法履行还款义务 的应收款项等。</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按预计未来现金流量现值低于其账面价值的差额计提坏账准 备，计入当期损益。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35"/>
        <w:ind w:right="0"/>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12"/>
        <w:jc w:val="left"/>
      </w:pPr>
      <w:r>
        <w:rPr/>
        <w:t>公司是否需要遵守特殊行业的披露要求 否</w:t>
      </w:r>
    </w:p>
    <w:p>
      <w:pPr>
        <w:pStyle w:val="BodyText"/>
        <w:spacing w:line="316" w:lineRule="auto" w:before="26"/>
        <w:ind w:left="514" w:right="6532"/>
        <w:jc w:val="left"/>
      </w:pPr>
      <w:r>
        <w:rPr>
          <w:rFonts w:ascii="宋体" w:hAnsi="宋体" w:cs="宋体" w:eastAsia="宋体" w:hint="default"/>
        </w:rPr>
        <w:t>1</w:t>
      </w:r>
      <w:r>
        <w:rPr/>
        <w:t>、存货的分类及内容 存货分类为：库存商品、项目成本；</w:t>
      </w:r>
    </w:p>
    <w:p>
      <w:pPr>
        <w:pStyle w:val="BodyText"/>
        <w:spacing w:line="316" w:lineRule="auto" w:before="19"/>
        <w:ind w:left="514" w:right="0"/>
        <w:jc w:val="left"/>
      </w:pPr>
      <w:r>
        <w:rPr/>
        <w:t>项目成本按实际成本计量，包括从项目开始至项目完成止所发生的、与执行合同有关的项目直接费用。 </w:t>
      </w:r>
      <w:r>
        <w:rPr>
          <w:spacing w:val="-2"/>
        </w:rPr>
        <w:t>项目成本主要核算项目未完工验收前已发生的成本支出，如存在开发项目完成之前所发生的其他费用，该费用能够单独</w:t>
      </w:r>
    </w:p>
    <w:p>
      <w:pPr>
        <w:pStyle w:val="BodyText"/>
        <w:spacing w:line="316" w:lineRule="auto" w:before="19"/>
        <w:ind w:left="514" w:right="1132" w:hanging="360"/>
        <w:jc w:val="left"/>
      </w:pPr>
      <w:r>
        <w:rPr/>
        <w:t>区分和可靠计量的且合同很可能订立的，在取得合同时计入项目成本；未满足上述条件的，则计入当期损益。 项目成本在验收完工时，按各项目实际账面价值结转成本。</w:t>
      </w:r>
    </w:p>
    <w:p>
      <w:pPr>
        <w:spacing w:line="240" w:lineRule="auto" w:before="4"/>
        <w:rPr>
          <w:rFonts w:ascii="宋体" w:hAnsi="宋体" w:cs="宋体" w:eastAsia="宋体" w:hint="default"/>
          <w:sz w:val="25"/>
          <w:szCs w:val="25"/>
        </w:rPr>
      </w:pPr>
    </w:p>
    <w:p>
      <w:pPr>
        <w:pStyle w:val="BodyText"/>
        <w:spacing w:line="316" w:lineRule="auto"/>
        <w:ind w:left="514" w:right="5492" w:firstLine="90"/>
        <w:jc w:val="left"/>
      </w:pPr>
      <w:r>
        <w:rPr>
          <w:rFonts w:ascii="宋体" w:hAnsi="宋体" w:cs="宋体" w:eastAsia="宋体" w:hint="default"/>
        </w:rPr>
        <w:t>2</w:t>
      </w:r>
      <w:r>
        <w:rPr/>
        <w:t>、发出存货的计价方法 库存商品发出时按加权平均法计价； 项目成本结转时按个别认定法计价。</w:t>
      </w:r>
    </w:p>
    <w:p>
      <w:pPr>
        <w:spacing w:line="240" w:lineRule="auto" w:before="4"/>
        <w:rPr>
          <w:rFonts w:ascii="宋体" w:hAnsi="宋体" w:cs="宋体" w:eastAsia="宋体" w:hint="default"/>
          <w:sz w:val="25"/>
          <w:szCs w:val="25"/>
        </w:rPr>
      </w:pPr>
    </w:p>
    <w:p>
      <w:pPr>
        <w:pStyle w:val="BodyText"/>
        <w:spacing w:line="319" w:lineRule="auto"/>
        <w:ind w:left="514" w:right="0" w:firstLine="90"/>
        <w:jc w:val="left"/>
      </w:pPr>
      <w:r>
        <w:rPr>
          <w:rFonts w:ascii="宋体" w:hAnsi="宋体" w:cs="宋体" w:eastAsia="宋体" w:hint="default"/>
        </w:rPr>
        <w:t>3</w:t>
      </w:r>
      <w:r>
        <w:rPr/>
        <w:t>、不同类别存货可变现净值的确定依据 </w:t>
      </w:r>
      <w:r>
        <w:rPr>
          <w:spacing w:val="-2"/>
        </w:rPr>
        <w:t>库存商品等直接用于出售的商品存货，在正常生产经营过程中，以该存货的估计售价减去估计的销售费用和相关税费后</w:t>
      </w:r>
    </w:p>
    <w:p>
      <w:pPr>
        <w:pStyle w:val="BodyText"/>
        <w:spacing w:line="316" w:lineRule="auto" w:before="17"/>
        <w:ind w:right="151"/>
        <w:jc w:val="both"/>
      </w:pPr>
      <w:r>
        <w:rPr>
          <w:spacing w:val="-2"/>
        </w:rPr>
        <w:t>的金额，确定其可变现净值；需要经过加工的材料存货，在正常生产经营过程中，以所生产的产成品的估计售价减去至完工</w:t>
      </w:r>
      <w:r>
        <w:rPr>
          <w:spacing w:val="-66"/>
        </w:rPr>
        <w:t> </w:t>
      </w:r>
      <w:r>
        <w:rPr>
          <w:spacing w:val="-66"/>
        </w:rPr>
      </w:r>
      <w:r>
        <w:rPr>
          <w:spacing w:val="-2"/>
        </w:rPr>
        <w:t>时估计将要发生的成本、估计的销售费用和相关税费后的金额，确定其可变现净值；为执行销售合同或者劳务合同而持有的</w:t>
      </w:r>
      <w:r>
        <w:rPr>
          <w:spacing w:val="-66"/>
        </w:rPr>
        <w:t> </w:t>
      </w:r>
      <w:r>
        <w:rPr>
          <w:spacing w:val="-66"/>
        </w:rPr>
      </w:r>
      <w:r>
        <w:rPr>
          <w:spacing w:val="-2"/>
        </w:rPr>
        <w:t>存货，其可变现净值以合同价格为基础计算，若持有存货的数量多于销售合同订购数量的，超出部分的存货的可变现净值以</w:t>
      </w:r>
    </w:p>
    <w:p>
      <w:pPr>
        <w:spacing w:after="0" w:line="316" w:lineRule="auto"/>
        <w:jc w:val="both"/>
        <w:sectPr>
          <w:pgSz w:w="11910" w:h="16840"/>
          <w:pgMar w:header="86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514" w:right="92" w:hanging="360"/>
        <w:jc w:val="left"/>
      </w:pPr>
      <w:r>
        <w:rPr/>
        <w:t>一般销售价格为基础计算。 </w:t>
      </w:r>
      <w:r>
        <w:rPr>
          <w:spacing w:val="-2"/>
        </w:rPr>
        <w:t>期末按照单个存货项目计提存货跌价准备；但对于数量繁多、单价较低的存货，按照存货类别计提存货跌价准备；与在</w:t>
      </w:r>
    </w:p>
    <w:p>
      <w:pPr>
        <w:pStyle w:val="BodyText"/>
        <w:spacing w:line="316" w:lineRule="auto" w:before="19"/>
        <w:ind w:right="92"/>
        <w:jc w:val="left"/>
      </w:pP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514" w:right="63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13、持有待售资产" w:id="181"/>
      <w:bookmarkEnd w:id="181"/>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t>将同时满足下列条件的非流动资产或处置划分为持有待售类别：</w:t>
      </w:r>
    </w:p>
    <w:p>
      <w:pPr>
        <w:pStyle w:val="BodyText"/>
        <w:spacing w:line="240" w:lineRule="auto" w:before="76"/>
        <w:ind w:left="514" w:right="92"/>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76"/>
        <w:ind w:right="191" w:firstLine="360"/>
        <w:jc w:val="both"/>
      </w:pPr>
      <w:r>
        <w:rPr/>
        <w:t>（</w:t>
      </w:r>
      <w:r>
        <w:rPr>
          <w:rFonts w:ascii="宋体" w:hAnsi="宋体" w:cs="宋体" w:eastAsia="宋体"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2"/>
        <w:jc w:val="left"/>
      </w:pPr>
      <w:r>
        <w:rPr>
          <w:rFonts w:ascii="宋体" w:hAnsi="宋体" w:cs="宋体" w:eastAsia="宋体"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19"/>
        <w:ind w:right="92"/>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9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BodyText"/>
        <w:spacing w:line="240" w:lineRule="auto"/>
        <w:ind w:left="514" w:right="92"/>
        <w:jc w:val="left"/>
      </w:pPr>
      <w:r>
        <w:rPr>
          <w:rFonts w:ascii="宋体" w:hAnsi="宋体" w:cs="宋体" w:eastAsia="宋体" w:hint="default"/>
        </w:rPr>
        <w:t>2</w:t>
      </w:r>
      <w:r>
        <w:rPr/>
        <w:t>、初始投资成本的确定</w:t>
      </w:r>
    </w:p>
    <w:p>
      <w:pPr>
        <w:pStyle w:val="BodyText"/>
        <w:spacing w:line="316" w:lineRule="auto" w:before="76"/>
        <w:ind w:left="514" w:right="92"/>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9"/>
        <w:ind w:right="92"/>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514" w:right="92"/>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9" w:lineRule="auto" w:before="19"/>
        <w:ind w:right="191"/>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316" w:lineRule="auto" w:before="17"/>
        <w:ind w:left="514" w:right="3152"/>
        <w:jc w:val="left"/>
      </w:pPr>
      <w:r>
        <w:rPr/>
        <w:t>通过债务重组取得的长期股权投资，其初始投资成本按照公允价值为基础确定。 </w:t>
      </w:r>
      <w:r>
        <w:rPr>
          <w:rFonts w:ascii="宋体" w:hAnsi="宋体" w:cs="宋体" w:eastAsia="宋体" w:hint="default"/>
        </w:rPr>
        <w:t>3</w:t>
      </w:r>
      <w:r>
        <w:rPr/>
        <w:t>、后续计量及损益确认方法</w:t>
      </w:r>
    </w:p>
    <w:p>
      <w:pPr>
        <w:pStyle w:val="BodyText"/>
        <w:spacing w:line="316" w:lineRule="auto" w:before="19"/>
        <w:ind w:left="514" w:right="92"/>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spacing w:after="0" w:line="316" w:lineRule="auto"/>
        <w:jc w:val="left"/>
        <w:sectPr>
          <w:pgSz w:w="11910" w:h="16840"/>
          <w:pgMar w:header="86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金股利或利润外，公司按照享有被投资单位宣告发放的现金股利或利润确认当期投资收益。</w:t>
      </w:r>
    </w:p>
    <w:p>
      <w:pPr>
        <w:pStyle w:val="BodyText"/>
        <w:spacing w:line="316" w:lineRule="auto" w:before="76"/>
        <w:ind w:left="514" w:right="92"/>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9" w:lineRule="auto" w:before="19"/>
        <w:ind w:right="92"/>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7"/>
        <w:ind w:right="191"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6" w:lineRule="auto" w:before="19"/>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6" w:lineRule="auto" w:before="19"/>
        <w:ind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企业之间发生投出或出售资产的交易，该资产构成业务的，按照本附注“四、（四）企业合并”和“四、（五）合并财务报</w:t>
      </w:r>
      <w:r>
        <w:rPr>
          <w:spacing w:val="-71"/>
        </w:rPr>
        <w:t> </w:t>
      </w:r>
      <w:r>
        <w:rPr>
          <w:spacing w:val="-71"/>
        </w:rPr>
      </w:r>
      <w:r>
        <w:rPr/>
        <w:t>表的编制方法”中披露的相关政策进行会计处理。</w:t>
      </w:r>
    </w:p>
    <w:p>
      <w:pPr>
        <w:pStyle w:val="BodyText"/>
        <w:spacing w:line="316" w:lineRule="auto" w:before="19"/>
        <w:ind w:right="92"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514" w:right="3692"/>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316" w:lineRule="auto" w:before="19"/>
        <w:ind w:right="190"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3"/>
        </w:rPr>
        <w:t> </w:t>
      </w:r>
      <w:r>
        <w:rPr>
          <w:spacing w:val="-63"/>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right="92"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92"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9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7652"/>
        <w:jc w:val="left"/>
      </w:pPr>
      <w:r>
        <w:rPr/>
        <w:t>投资性房地产计量模式 成本法计量 折旧或摊销方法</w:t>
      </w:r>
    </w:p>
    <w:p>
      <w:pPr>
        <w:spacing w:after="0" w:line="316" w:lineRule="auto"/>
        <w:jc w:val="left"/>
        <w:sectPr>
          <w:pgSz w:w="11910" w:h="16840"/>
          <w:pgMar w:header="86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51"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9" w:lineRule="auto" w:before="19"/>
        <w:ind w:right="15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w:t>
      </w:r>
      <w:r>
        <w:rPr>
          <w:rFonts w:ascii="宋体" w:hAnsi="宋体" w:cs="宋体" w:eastAsia="宋体" w:hint="default"/>
          <w:spacing w:val="-2"/>
        </w:rPr>
        <w:t>1</w:t>
      </w:r>
      <w:r>
        <w:rPr>
          <w:spacing w:val="-2"/>
        </w:rPr>
        <w:t>）与该固定资产有关的经济利益很可能流入企业；（</w:t>
      </w:r>
      <w:r>
        <w:rPr>
          <w:rFonts w:ascii="宋体" w:hAnsi="宋体" w:cs="宋体" w:eastAsia="宋体" w:hint="default"/>
          <w:spacing w:val="-2"/>
        </w:rPr>
        <w:t>2</w:t>
      </w:r>
      <w:r>
        <w:rPr>
          <w:spacing w:val="-2"/>
        </w:rPr>
        <w:t>）该固定资产的成本能够可靠地计</w:t>
      </w:r>
      <w:r>
        <w:rPr>
          <w:spacing w:val="-66"/>
        </w:rPr>
        <w:t> </w:t>
      </w:r>
      <w:r>
        <w:rPr>
          <w:spacing w:val="-66"/>
        </w:rPr>
      </w:r>
      <w:r>
        <w:rPr/>
        <w:t>量。</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9.50-25.00</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10"/>
        <w:ind w:right="0"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12"/>
        <w:jc w:val="left"/>
      </w:pPr>
      <w:r>
        <w:rPr/>
        <w:t>公司是否需要遵守特殊行业的披露要求 否</w:t>
      </w:r>
    </w:p>
    <w:p>
      <w:pPr>
        <w:pStyle w:val="BodyText"/>
        <w:spacing w:line="316" w:lineRule="auto" w:before="26"/>
        <w:ind w:right="15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rFonts w:ascii="宋体" w:hAnsi="宋体" w:cs="宋体" w:eastAsia="宋体" w:hint="default"/>
        </w:rPr>
        <w:t>1</w:t>
      </w:r>
      <w:r>
        <w:rPr/>
        <w:t>、 借款费用资本化的确认原则 借款费用，包括借款利息、折价或者溢价的摊销、辅助费用以及因外币借款而发生的汇兑差额等。 </w:t>
      </w:r>
      <w:r>
        <w:rPr>
          <w:spacing w:val="-2"/>
        </w:rPr>
        <w:t>本公司发生的借款费用，可直接归属于符合资本化条件的资产的购建或者生产的，予以资本化，计入相关资产成本；其</w:t>
      </w:r>
    </w:p>
    <w:p>
      <w:pPr>
        <w:pStyle w:val="BodyText"/>
        <w:spacing w:line="316" w:lineRule="auto" w:before="19"/>
        <w:ind w:left="514" w:right="0" w:hanging="360"/>
        <w:jc w:val="left"/>
      </w:pPr>
      <w:r>
        <w:rPr/>
        <w:t>他借款费用，在发生时根据其发生额确认为费用，计入当期损益。 符合资本化条件的资产，是指需要经过相当长时间的购建或者生产活动才能达到预定可使用或者可销售状态的固定资</w:t>
      </w:r>
    </w:p>
    <w:p>
      <w:pPr>
        <w:spacing w:after="0" w:line="316" w:lineRule="auto"/>
        <w:jc w:val="left"/>
        <w:sectPr>
          <w:pgSz w:w="11910" w:h="16840"/>
          <w:pgMar w:header="86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514" w:right="5852" w:hanging="360"/>
        <w:jc w:val="left"/>
      </w:pPr>
      <w:r>
        <w:rPr/>
        <w:t>产、投资性房地产和存货等资产。 借款费用同时满足下列条件的，开始资本化：</w:t>
      </w:r>
    </w:p>
    <w:p>
      <w:pPr>
        <w:pStyle w:val="BodyText"/>
        <w:spacing w:line="316" w:lineRule="auto" w:before="19"/>
        <w:ind w:right="182" w:firstLine="360"/>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19"/>
        <w:ind w:left="514" w:right="92"/>
        <w:jc w:val="left"/>
      </w:pPr>
      <w:r>
        <w:rPr/>
        <w:t>（</w:t>
      </w:r>
      <w:r>
        <w:rPr>
          <w:rFonts w:ascii="宋体" w:hAnsi="宋体" w:cs="宋体" w:eastAsia="宋体" w:hint="default"/>
        </w:rPr>
        <w:t>2</w:t>
      </w:r>
      <w:r>
        <w:rPr/>
        <w:t>）借款费用已经发生；</w:t>
      </w:r>
    </w:p>
    <w:p>
      <w:pPr>
        <w:pStyle w:val="BodyText"/>
        <w:spacing w:line="240" w:lineRule="auto" w:before="76"/>
        <w:ind w:left="514" w:right="92"/>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6" w:lineRule="auto" w:before="153"/>
        <w:ind w:left="514" w:right="92"/>
        <w:jc w:val="left"/>
      </w:pPr>
      <w:r>
        <w:rPr>
          <w:rFonts w:ascii="宋体" w:hAnsi="宋体" w:cs="宋体" w:eastAsia="宋体" w:hint="default"/>
        </w:rPr>
        <w:t>2</w:t>
      </w:r>
      <w:r>
        <w:rPr/>
        <w:t>、 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right="92"/>
        <w:jc w:val="left"/>
      </w:pPr>
      <w:r>
        <w:rPr/>
        <w:t>款费用资本化。</w:t>
      </w:r>
    </w:p>
    <w:p>
      <w:pPr>
        <w:spacing w:line="240" w:lineRule="auto" w:before="0"/>
        <w:rPr>
          <w:rFonts w:ascii="宋体" w:hAnsi="宋体" w:cs="宋体" w:eastAsia="宋体" w:hint="default"/>
          <w:sz w:val="18"/>
          <w:szCs w:val="18"/>
        </w:rPr>
      </w:pPr>
    </w:p>
    <w:p>
      <w:pPr>
        <w:pStyle w:val="BodyText"/>
        <w:spacing w:line="316" w:lineRule="auto" w:before="153"/>
        <w:ind w:left="514" w:right="92" w:firstLine="90"/>
        <w:jc w:val="left"/>
      </w:pPr>
      <w:r>
        <w:rPr>
          <w:rFonts w:ascii="宋体" w:hAnsi="宋体" w:cs="宋体" w:eastAsia="宋体" w:hint="default"/>
        </w:rPr>
        <w:t>3</w:t>
      </w:r>
      <w:r>
        <w:rPr/>
        <w:t>、 暂停资本化期间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p>
    <w:p>
      <w:pPr>
        <w:pStyle w:val="BodyText"/>
        <w:spacing w:line="316" w:lineRule="auto" w:before="19"/>
        <w:ind w:right="92"/>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4"/>
        <w:rPr>
          <w:rFonts w:ascii="宋体" w:hAnsi="宋体" w:cs="宋体" w:eastAsia="宋体" w:hint="default"/>
          <w:sz w:val="25"/>
          <w:szCs w:val="25"/>
        </w:rPr>
      </w:pPr>
    </w:p>
    <w:p>
      <w:pPr>
        <w:pStyle w:val="BodyText"/>
        <w:spacing w:line="316" w:lineRule="auto"/>
        <w:ind w:left="514" w:right="92"/>
        <w:jc w:val="left"/>
      </w:pPr>
      <w:r>
        <w:rPr>
          <w:rFonts w:ascii="宋体" w:hAnsi="宋体" w:cs="宋体" w:eastAsia="宋体" w:hint="default"/>
        </w:rPr>
        <w:t>4</w:t>
      </w:r>
      <w:r>
        <w:rPr/>
        <w:t>、借款费用资本化金额的计算方法 </w:t>
      </w:r>
      <w:r>
        <w:rPr>
          <w:spacing w:val="-2"/>
        </w:rPr>
        <w:t>对于为购建或者生产符合资本化条件的资产而借入的专门借款，以专门借款当期实际发生的借款费用，减去尚未动用的</w:t>
      </w:r>
    </w:p>
    <w:p>
      <w:pPr>
        <w:pStyle w:val="BodyText"/>
        <w:spacing w:line="319" w:lineRule="auto" w:before="19"/>
        <w:ind w:left="514" w:right="92"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7"/>
        <w:ind w:right="92"/>
        <w:jc w:val="left"/>
      </w:pP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pStyle w:val="BodyText"/>
        <w:spacing w:line="240" w:lineRule="auto" w:before="19"/>
        <w:ind w:left="514" w:right="92"/>
        <w:jc w:val="left"/>
      </w:pPr>
      <w:r>
        <w:rPr/>
        <w:t>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19、生物资产" w:id="190"/>
      <w:bookmarkEnd w:id="19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20、油气资产" w:id="191"/>
      <w:bookmarkEnd w:id="19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21、无形资产" w:id="192"/>
      <w:bookmarkEnd w:id="19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2"/>
        <w:jc w:val="left"/>
      </w:pPr>
      <w:bookmarkStart w:name="（1）计价方法、使用寿命、减值测试" w:id="193"/>
      <w:bookmarkEnd w:id="193"/>
      <w:r>
        <w:rPr/>
      </w:r>
      <w:r>
        <w:rPr/>
        <w:t>（</w:t>
      </w:r>
      <w:r>
        <w:rPr>
          <w:rFonts w:ascii="Times New Roman" w:hAnsi="Times New Roman" w:cs="Times New Roman" w:eastAsia="Times New Roman" w:hint="default"/>
        </w:rPr>
        <w:t>1</w:t>
      </w:r>
      <w:r>
        <w:rPr/>
        <w:t>）计价方法、使用寿命、减值测试</w:t>
      </w:r>
    </w:p>
    <w:p>
      <w:pPr>
        <w:spacing w:line="240" w:lineRule="auto" w:before="8"/>
        <w:rPr>
          <w:rFonts w:ascii="宋体" w:hAnsi="宋体" w:cs="宋体" w:eastAsia="宋体" w:hint="default"/>
          <w:sz w:val="26"/>
          <w:szCs w:val="26"/>
        </w:rPr>
      </w:pPr>
    </w:p>
    <w:p>
      <w:pPr>
        <w:pStyle w:val="BodyText"/>
        <w:spacing w:line="360" w:lineRule="auto"/>
        <w:ind w:right="6752"/>
        <w:jc w:val="left"/>
      </w:pPr>
      <w:r>
        <w:rPr/>
        <w:t>公司是否需要遵守特殊行业的披露要求 否</w:t>
      </w:r>
    </w:p>
    <w:p>
      <w:pPr>
        <w:pStyle w:val="BodyText"/>
        <w:spacing w:line="240" w:lineRule="auto" w:before="25"/>
        <w:ind w:left="514" w:right="92"/>
        <w:jc w:val="left"/>
      </w:pPr>
      <w:r>
        <w:rPr>
          <w:rFonts w:ascii="宋体" w:hAnsi="宋体" w:cs="宋体" w:eastAsia="宋体" w:hint="default"/>
        </w:rPr>
        <w:t>1</w:t>
      </w:r>
      <w:r>
        <w:rPr/>
        <w:t>、无形资产的计价方法</w:t>
      </w:r>
    </w:p>
    <w:p>
      <w:pPr>
        <w:pStyle w:val="BodyText"/>
        <w:spacing w:line="316" w:lineRule="auto" w:before="76"/>
        <w:ind w:left="514" w:right="92"/>
        <w:jc w:val="left"/>
      </w:pPr>
      <w:r>
        <w:rPr/>
        <w:t>（</w:t>
      </w: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spacing w:after="0" w:line="316" w:lineRule="auto"/>
        <w:jc w:val="left"/>
        <w:sectPr>
          <w:footerReference w:type="default" r:id="rId24"/>
          <w:pgSz w:w="11910" w:h="16840"/>
          <w:pgMar w:footer="979" w:header="867"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4" w:right="92"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4" w:right="92"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92"/>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left="514" w:right="6212"/>
        <w:jc w:val="left"/>
      </w:pPr>
      <w:r>
        <w:rPr/>
        <w:t>（</w:t>
      </w:r>
      <w:r>
        <w:rPr>
          <w:rFonts w:ascii="宋体" w:hAnsi="宋体" w:cs="宋体" w:eastAsia="宋体" w:hint="default"/>
        </w:rPr>
        <w:t>2</w:t>
      </w:r>
      <w:r>
        <w:rPr/>
        <w:t>）后续计量 在取得无形资产时分析判断其使用寿命。</w:t>
      </w:r>
    </w:p>
    <w:p>
      <w:pPr>
        <w:pStyle w:val="BodyText"/>
        <w:spacing w:line="316" w:lineRule="auto" w:before="19"/>
        <w:ind w:right="92"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4"/>
        <w:rPr>
          <w:rFonts w:ascii="宋体" w:hAnsi="宋体" w:cs="宋体" w:eastAsia="宋体" w:hint="default"/>
          <w:sz w:val="25"/>
          <w:szCs w:val="25"/>
        </w:rPr>
      </w:pPr>
    </w:p>
    <w:p>
      <w:pPr>
        <w:pStyle w:val="BodyText"/>
        <w:spacing w:line="240" w:lineRule="auto"/>
        <w:ind w:left="514" w:right="92"/>
        <w:jc w:val="left"/>
      </w:pPr>
      <w:r>
        <w:rPr>
          <w:rFonts w:ascii="宋体" w:hAnsi="宋体" w:cs="宋体" w:eastAsia="宋体" w:hint="default"/>
        </w:rPr>
        <w:t>2</w:t>
      </w:r>
      <w:r>
        <w:rPr/>
        <w:t>、使用寿命有限的无形资产的使用寿命估计情况：</w:t>
      </w:r>
    </w:p>
    <w:p>
      <w:pPr>
        <w:spacing w:line="240" w:lineRule="auto" w:before="11"/>
        <w:rPr>
          <w:rFonts w:ascii="宋体" w:hAnsi="宋体" w:cs="宋体" w:eastAsia="宋体" w:hint="default"/>
          <w:sz w:val="28"/>
          <w:szCs w:val="28"/>
        </w:rPr>
      </w:pPr>
    </w:p>
    <w:tbl>
      <w:tblPr>
        <w:tblW w:w="0" w:type="auto"/>
        <w:jc w:val="left"/>
        <w:tblInd w:w="867" w:type="dxa"/>
        <w:tblLayout w:type="fixed"/>
        <w:tblCellMar>
          <w:top w:w="0" w:type="dxa"/>
          <w:left w:w="0" w:type="dxa"/>
          <w:bottom w:w="0" w:type="dxa"/>
          <w:right w:w="0" w:type="dxa"/>
        </w:tblCellMar>
        <w:tblLook w:val="01E0"/>
      </w:tblPr>
      <w:tblGrid>
        <w:gridCol w:w="3162"/>
        <w:gridCol w:w="1979"/>
        <w:gridCol w:w="2944"/>
      </w:tblGrid>
      <w:tr>
        <w:trPr>
          <w:trHeight w:val="34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8"/>
                <w:sz w:val="16"/>
                <w:szCs w:val="16"/>
              </w:rPr>
              <w:t> </w:t>
            </w:r>
            <w:r>
              <w:rPr>
                <w:rFonts w:ascii="宋体" w:hAnsi="宋体" w:cs="宋体" w:eastAsia="宋体" w:hint="default"/>
                <w:sz w:val="16"/>
                <w:szCs w:val="16"/>
              </w:rPr>
              <w:t>目</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预计使用寿命（年）</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依据</w:t>
            </w:r>
          </w:p>
        </w:tc>
      </w:tr>
      <w:tr>
        <w:trPr>
          <w:trHeight w:val="34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0"/>
              <w:jc w:val="left"/>
              <w:rPr>
                <w:rFonts w:ascii="宋体" w:hAnsi="宋体" w:cs="宋体" w:eastAsia="宋体" w:hint="default"/>
                <w:sz w:val="16"/>
                <w:szCs w:val="16"/>
              </w:rPr>
            </w:pPr>
            <w:r>
              <w:rPr>
                <w:rFonts w:ascii="宋体" w:hAnsi="宋体" w:cs="宋体" w:eastAsia="宋体" w:hint="default"/>
                <w:sz w:val="16"/>
                <w:szCs w:val="16"/>
              </w:rPr>
              <w:t>软件</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预计使用期限</w:t>
            </w:r>
          </w:p>
        </w:tc>
      </w:tr>
      <w:tr>
        <w:trPr>
          <w:trHeight w:val="34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0"/>
              <w:jc w:val="left"/>
              <w:rPr>
                <w:rFonts w:ascii="宋体" w:hAnsi="宋体" w:cs="宋体" w:eastAsia="宋体" w:hint="default"/>
                <w:sz w:val="16"/>
                <w:szCs w:val="16"/>
              </w:rPr>
            </w:pPr>
            <w:r>
              <w:rPr>
                <w:rFonts w:ascii="宋体" w:hAnsi="宋体" w:cs="宋体" w:eastAsia="宋体" w:hint="default"/>
                <w:sz w:val="16"/>
                <w:szCs w:val="16"/>
              </w:rPr>
              <w:t>知识产权（注）</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10</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预计使用期限</w:t>
            </w:r>
          </w:p>
        </w:tc>
      </w:tr>
    </w:tbl>
    <w:p>
      <w:pPr>
        <w:pStyle w:val="BodyText"/>
        <w:spacing w:line="316" w:lineRule="auto" w:before="10"/>
        <w:ind w:left="514" w:right="3512"/>
        <w:jc w:val="left"/>
      </w:pPr>
      <w:r>
        <w:rPr/>
        <w:t>注：知识产权为公司所拥有的零售商业体信息统计与分析管理系统。 每年度终了，对使用寿命有限的无形资产的使用寿命及摊销方法进行复核。 经复核，本年期末无形资产的使用寿命及摊销方法与以前估计未有不同。</w:t>
      </w:r>
    </w:p>
    <w:p>
      <w:pPr>
        <w:spacing w:line="240" w:lineRule="auto" w:before="4"/>
        <w:rPr>
          <w:rFonts w:ascii="宋体" w:hAnsi="宋体" w:cs="宋体" w:eastAsia="宋体" w:hint="default"/>
          <w:sz w:val="25"/>
          <w:szCs w:val="25"/>
        </w:rPr>
      </w:pPr>
    </w:p>
    <w:p>
      <w:pPr>
        <w:pStyle w:val="BodyText"/>
        <w:spacing w:line="316" w:lineRule="auto"/>
        <w:ind w:left="514" w:right="4592"/>
        <w:jc w:val="left"/>
      </w:pPr>
      <w:r>
        <w:rPr>
          <w:rFonts w:ascii="宋体" w:hAnsi="宋体" w:cs="宋体" w:eastAsia="宋体" w:hint="default"/>
        </w:rPr>
        <w:t>3</w:t>
      </w:r>
      <w:r>
        <w:rPr/>
        <w:t>、使用寿命不确定的无形资产的判断依据 截至资产负债表日，本公司没有使用寿命不确定的无形资产。</w:t>
      </w:r>
    </w:p>
    <w:p>
      <w:pPr>
        <w:spacing w:line="240" w:lineRule="auto" w:before="7"/>
        <w:rPr>
          <w:rFonts w:ascii="宋体" w:hAnsi="宋体" w:cs="宋体" w:eastAsia="宋体" w:hint="default"/>
          <w:sz w:val="22"/>
          <w:szCs w:val="22"/>
        </w:rPr>
      </w:pPr>
    </w:p>
    <w:p>
      <w:pPr>
        <w:pStyle w:val="Heading5"/>
        <w:spacing w:line="240" w:lineRule="auto"/>
        <w:ind w:right="92"/>
        <w:jc w:val="left"/>
      </w:pPr>
      <w:bookmarkStart w:name="（2）内部研究开发支出会计政策" w:id="194"/>
      <w:bookmarkEnd w:id="194"/>
      <w:r>
        <w:rPr/>
      </w:r>
      <w:r>
        <w:rPr/>
        <w:t>（</w:t>
      </w:r>
      <w:r>
        <w:rPr>
          <w:rFonts w:ascii="Times New Roman" w:hAnsi="Times New Roman" w:cs="Times New Roman" w:eastAsia="Times New Roman" w:hint="default"/>
        </w:rPr>
        <w:t>2</w:t>
      </w:r>
      <w:r>
        <w:rPr/>
        <w:t>）内部研究开发支出会计政策</w:t>
      </w:r>
    </w:p>
    <w:p>
      <w:pPr>
        <w:spacing w:line="240" w:lineRule="auto" w:before="7"/>
        <w:rPr>
          <w:rFonts w:ascii="宋体" w:hAnsi="宋体" w:cs="宋体" w:eastAsia="宋体" w:hint="default"/>
          <w:sz w:val="26"/>
          <w:szCs w:val="26"/>
        </w:rPr>
      </w:pPr>
    </w:p>
    <w:p>
      <w:pPr>
        <w:pStyle w:val="BodyText"/>
        <w:spacing w:line="316" w:lineRule="auto"/>
        <w:ind w:left="514" w:right="92"/>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19"/>
        <w:ind w:right="92"/>
        <w:jc w:val="left"/>
      </w:pPr>
      <w:r>
        <w:rPr/>
        <w:t>进的材料、装置、产品等活动的阶段。</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22、长期资产减值" w:id="195"/>
      <w:bookmarkEnd w:id="195"/>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360"/>
        <w:jc w:val="both"/>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5"/>
        </w:rPr>
        <w:t> </w:t>
      </w:r>
      <w:r>
        <w:rPr>
          <w:spacing w:val="-65"/>
        </w:rPr>
      </w:r>
      <w:r>
        <w:rPr/>
        <w:t>备并计入减值损失。可收回金额为资产的公允价值减去处置费用后的净额与资产预计未来现金流量的现值两者之间的较高</w:t>
      </w:r>
      <w:r>
        <w:rPr>
          <w:spacing w:val="-9"/>
        </w:rPr>
        <w:t> </w:t>
      </w:r>
      <w:r>
        <w:rPr>
          <w:spacing w:val="-9"/>
        </w:rPr>
      </w:r>
      <w:r>
        <w:rPr>
          <w:spacing w:val="-2"/>
        </w:rPr>
        <w:t>者。资产减值准备按单项资产为基础计算并确认，如果难以对单项资产的可收回金额进行估计的，以该资产所属的资产组确</w:t>
      </w:r>
      <w:r>
        <w:rPr>
          <w:spacing w:val="-66"/>
        </w:rPr>
        <w:t> </w:t>
      </w:r>
      <w:r>
        <w:rPr>
          <w:spacing w:val="-66"/>
        </w:rPr>
      </w:r>
      <w:r>
        <w:rPr/>
        <w:t>定资产组的可收回金额。资产组是能够独立产生现金流入的最小资产组合。</w:t>
      </w:r>
    </w:p>
    <w:p>
      <w:pPr>
        <w:pStyle w:val="BodyText"/>
        <w:spacing w:line="316" w:lineRule="auto" w:before="19"/>
        <w:ind w:left="514" w:right="92"/>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9" w:lineRule="auto" w:before="19"/>
        <w:ind w:right="9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7"/>
        <w:ind w:right="103" w:firstLine="360"/>
        <w:jc w:val="both"/>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p>
    <w:p>
      <w:pPr>
        <w:spacing w:after="0" w:line="316" w:lineRule="auto"/>
        <w:jc w:val="both"/>
        <w:sectPr>
          <w:footerReference w:type="default" r:id="rId25"/>
          <w:pgSz w:w="11910" w:h="16840"/>
          <w:pgMar w:footer="979" w:header="867" w:top="1060" w:bottom="1160" w:left="980" w:right="94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right="92"/>
        <w:jc w:val="left"/>
      </w:pP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23、长期待摊费用" w:id="196"/>
      <w:bookmarkEnd w:id="19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604" w:right="92"/>
        <w:jc w:val="left"/>
      </w:pPr>
      <w:r>
        <w:rPr/>
        <w:t>长期待摊费用为已经发生但应由本期和以后各期负担的分摊期限在一年以上的各项费用。本公司长期待摊费用为装修</w:t>
      </w:r>
    </w:p>
    <w:p>
      <w:pPr>
        <w:pStyle w:val="BodyText"/>
        <w:spacing w:line="240" w:lineRule="auto" w:before="76"/>
        <w:ind w:right="92"/>
        <w:jc w:val="left"/>
      </w:pPr>
      <w:r>
        <w:rPr/>
        <w:t>费。</w:t>
      </w:r>
    </w:p>
    <w:p>
      <w:pPr>
        <w:pStyle w:val="BodyText"/>
        <w:spacing w:line="240" w:lineRule="auto" w:before="76"/>
        <w:ind w:left="604" w:right="92"/>
        <w:jc w:val="left"/>
      </w:pPr>
      <w:r>
        <w:rPr/>
        <w:t>摊销方法：长期待摊费用在受益期内平均摊销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before="35"/>
        <w:ind w:right="92"/>
        <w:jc w:val="left"/>
        <w:rPr>
          <w:b w:val="0"/>
          <w:bCs w:val="0"/>
        </w:rPr>
      </w:pPr>
      <w:bookmarkStart w:name="24、职工薪酬" w:id="197"/>
      <w:bookmarkEnd w:id="19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bookmarkStart w:name="（1）短期薪酬的会计处理方法" w:id="198"/>
      <w:bookmarkEnd w:id="19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2"/>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4" w:right="3692"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2）离职后福利的会计处理方法" w:id="199"/>
      <w:bookmarkEnd w:id="1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2"/>
        <w:jc w:val="left"/>
      </w:pPr>
      <w:r>
        <w:rPr>
          <w:rFonts w:ascii="宋体" w:hAnsi="宋体" w:cs="宋体" w:eastAsia="宋体" w:hint="default"/>
        </w:rPr>
        <w:t>(1) </w:t>
      </w:r>
      <w:r>
        <w:rPr/>
        <w:t>设定提存计划 </w:t>
      </w:r>
      <w:r>
        <w:rPr>
          <w:spacing w:val="-2"/>
        </w:rPr>
        <w:t>本公司按当地政府的相关规定为职工缴纳基本养老保险和失业保险，在职工为本公司提供服务的会计期间，按以当地规</w:t>
      </w:r>
    </w:p>
    <w:p>
      <w:pPr>
        <w:pStyle w:val="BodyText"/>
        <w:spacing w:line="240" w:lineRule="auto" w:before="19"/>
        <w:ind w:right="92"/>
        <w:jc w:val="left"/>
      </w:pPr>
      <w:r>
        <w:rPr/>
        <w:t>定的缴纳基数和比例计算应缴纳金额，确认为负债，并计入当期损益或相关资产成本。</w:t>
      </w:r>
    </w:p>
    <w:p>
      <w:pPr>
        <w:spacing w:line="240" w:lineRule="auto" w:before="0"/>
        <w:rPr>
          <w:rFonts w:ascii="宋体" w:hAnsi="宋体" w:cs="宋体" w:eastAsia="宋体" w:hint="default"/>
          <w:sz w:val="18"/>
          <w:szCs w:val="18"/>
        </w:rPr>
      </w:pPr>
    </w:p>
    <w:p>
      <w:pPr>
        <w:pStyle w:val="BodyText"/>
        <w:spacing w:line="316" w:lineRule="auto" w:before="153"/>
        <w:ind w:left="604" w:right="182" w:hanging="90"/>
        <w:jc w:val="left"/>
      </w:pPr>
      <w:r>
        <w:rPr>
          <w:rFonts w:ascii="宋体" w:hAnsi="宋体" w:cs="宋体" w:eastAsia="宋体" w:hint="default"/>
        </w:rPr>
        <w:t>(2) </w:t>
      </w:r>
      <w:r>
        <w:rPr/>
        <w:t>设定受益计划 本公司根据预期累计福利单位法确定的公式将设定受益计划产生的福利义务归属于职工提供服务的期间，并计入当期</w:t>
      </w:r>
    </w:p>
    <w:p>
      <w:pPr>
        <w:pStyle w:val="BodyText"/>
        <w:spacing w:line="316" w:lineRule="auto" w:before="19"/>
        <w:ind w:left="514" w:right="92" w:hanging="360"/>
        <w:jc w:val="left"/>
      </w:pPr>
      <w:r>
        <w:rPr/>
        <w:t>损益或相关资产成本。 设定受益计划义务现值减去设定受益计划资产公允价值所形成的赤字或盈余确认为一项设定受益计划净负债或净资产。</w:t>
      </w:r>
    </w:p>
    <w:p>
      <w:pPr>
        <w:pStyle w:val="BodyText"/>
        <w:spacing w:line="316" w:lineRule="auto" w:before="19"/>
        <w:ind w:left="514" w:right="92" w:hanging="360"/>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16" w:lineRule="auto" w:before="19"/>
        <w:ind w:left="514" w:right="92" w:hanging="360"/>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16" w:lineRule="auto" w:before="19"/>
        <w:ind w:right="92"/>
        <w:jc w:val="left"/>
      </w:pP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240" w:lineRule="auto" w:before="19"/>
        <w:ind w:left="514" w:right="92"/>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2"/>
        <w:jc w:val="left"/>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after="0" w:line="316" w:lineRule="auto"/>
        <w:jc w:val="left"/>
        <w:sectPr>
          <w:pgSz w:w="11910" w:h="16840"/>
          <w:pgMar w:header="867"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5、预计负债" w:id="202"/>
      <w:bookmarkEnd w:id="20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592"/>
        <w:jc w:val="left"/>
      </w:pPr>
      <w:r>
        <w:rPr>
          <w:rFonts w:ascii="宋体" w:hAnsi="宋体" w:cs="宋体" w:eastAsia="宋体" w:hint="default"/>
        </w:rPr>
        <w:t>1</w:t>
      </w:r>
      <w:r>
        <w:rPr/>
        <w:t>、预计负债的确认标准 与诉讼、债务担保、亏损合同、重组事项等或有事项相关的义务同时满足下列条件时，本公司确认为预计负债：</w:t>
      </w:r>
    </w:p>
    <w:p>
      <w:pPr>
        <w:pStyle w:val="BodyText"/>
        <w:spacing w:line="240" w:lineRule="auto" w:before="19"/>
        <w:ind w:left="514" w:right="0"/>
        <w:jc w:val="left"/>
      </w:pPr>
      <w:r>
        <w:rPr/>
        <w:t>（</w:t>
      </w:r>
      <w:r>
        <w:rPr>
          <w:rFonts w:ascii="宋体" w:hAnsi="宋体" w:cs="宋体" w:eastAsia="宋体" w:hint="default"/>
        </w:rPr>
        <w:t>1</w:t>
      </w:r>
      <w:r>
        <w:rPr/>
        <w:t>）该义务是本公司承担的现时义务；</w:t>
      </w:r>
    </w:p>
    <w:p>
      <w:pPr>
        <w:pStyle w:val="BodyText"/>
        <w:spacing w:line="240" w:lineRule="auto" w:before="76"/>
        <w:ind w:left="514" w:right="0"/>
        <w:jc w:val="left"/>
      </w:pPr>
      <w:r>
        <w:rPr/>
        <w:t>（</w:t>
      </w:r>
      <w:r>
        <w:rPr>
          <w:rFonts w:ascii="宋体" w:hAnsi="宋体" w:cs="宋体" w:eastAsia="宋体" w:hint="default"/>
        </w:rPr>
        <w:t>2</w:t>
      </w:r>
      <w:r>
        <w:rPr/>
        <w:t>）履行该义务很可能导致经济利益流出本公司；</w:t>
      </w:r>
    </w:p>
    <w:p>
      <w:pPr>
        <w:pStyle w:val="BodyText"/>
        <w:spacing w:line="240" w:lineRule="auto" w:before="76"/>
        <w:ind w:left="514" w:right="0"/>
        <w:jc w:val="left"/>
      </w:pPr>
      <w:r>
        <w:rPr/>
        <w:t>（</w:t>
      </w:r>
      <w:r>
        <w:rPr>
          <w:rFonts w:ascii="宋体" w:hAnsi="宋体" w:cs="宋体" w:eastAsia="宋体"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16" w:lineRule="auto" w:before="153"/>
        <w:ind w:left="784" w:right="3022" w:hanging="271"/>
        <w:jc w:val="left"/>
      </w:pPr>
      <w:r>
        <w:rPr>
          <w:rFonts w:ascii="宋体" w:hAnsi="宋体" w:cs="宋体" w:eastAsia="宋体" w:hint="default"/>
        </w:rPr>
        <w:t>2</w:t>
      </w:r>
      <w:r>
        <w:rPr/>
        <w:t>、各类预计负债的计量方法 本公司预计负债按履行相关现时义务所需的支出的最佳估计数进行初始计量。</w:t>
      </w:r>
    </w:p>
    <w:p>
      <w:pPr>
        <w:pStyle w:val="BodyText"/>
        <w:tabs>
          <w:tab w:pos="2764" w:val="left" w:leader="none"/>
        </w:tabs>
        <w:spacing w:line="316" w:lineRule="auto" w:before="19"/>
        <w:ind w:right="151" w:firstLine="630"/>
        <w:jc w:val="left"/>
      </w:pPr>
      <w:r>
        <w:rPr/>
        <w:t>本公司在确定最佳估计数时，综合考虑与或有事项有关的风险、不确定性和货币时间价值等因素。对于货币时间价 值影响重大的，通过对相关未</w:t>
        <w:tab/>
        <w:t>来现金流出进行折现后确定最佳估计数。</w:t>
      </w:r>
    </w:p>
    <w:p>
      <w:pPr>
        <w:pStyle w:val="BodyText"/>
        <w:spacing w:line="316" w:lineRule="auto" w:before="19"/>
        <w:ind w:right="142" w:firstLine="630"/>
        <w:jc w:val="left"/>
      </w:pPr>
      <w:r>
        <w:rPr/>
        <w:t>本公司清偿预计负债所需支出全部或部分预期由第三方补偿的，补偿金额在基本确定能够收到时，作为资产单独确 认，确认的补偿金额不超过预计负债的账面价值。</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6、股份支付" w:id="203"/>
      <w:bookmarkEnd w:id="20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本公司的股份支付是为了获取职工提供服务而授予权益工具或者承担以权益工具为基础确定的负债的交易。股份支付分</w:t>
      </w:r>
      <w:r>
        <w:rPr/>
        <w:t> 为以权益结算的股份支付和以现金结算的股份支付。</w:t>
      </w:r>
    </w:p>
    <w:p>
      <w:pPr>
        <w:pStyle w:val="BodyText"/>
        <w:spacing w:line="316" w:lineRule="auto" w:before="17"/>
        <w:ind w:left="514" w:right="0"/>
        <w:jc w:val="left"/>
      </w:pPr>
      <w:r>
        <w:rPr>
          <w:rFonts w:ascii="宋体" w:hAnsi="宋体" w:cs="宋体" w:eastAsia="宋体" w:hint="default"/>
        </w:rPr>
        <w:t>1</w:t>
      </w:r>
      <w:r>
        <w:rPr/>
        <w:t>、以权益结算的股份支付及权益工具 </w:t>
      </w:r>
      <w:r>
        <w:rPr>
          <w:spacing w:val="-2"/>
        </w:rPr>
        <w:t>以权益结算的股份支付换取职工提供服务的，以授予职工权益工具的公允价值计量。在等待期内每个资产负债表日，本</w:t>
      </w:r>
    </w:p>
    <w:p>
      <w:pPr>
        <w:pStyle w:val="BodyText"/>
        <w:spacing w:line="316" w:lineRule="auto" w:before="19"/>
        <w:ind w:right="151"/>
        <w:jc w:val="both"/>
      </w:pPr>
      <w:r>
        <w:rPr>
          <w:spacing w:val="-2"/>
        </w:rPr>
        <w:t>公司根据最新取得的可行权职工人数变动、是否达到规定业绩条件等后续信息对可行权权益工具数量作出最佳估计，以此为</w:t>
      </w:r>
      <w:r>
        <w:rPr>
          <w:spacing w:val="-64"/>
        </w:rPr>
        <w:t> </w:t>
      </w:r>
      <w:r>
        <w:rPr>
          <w:spacing w:val="-64"/>
        </w:rPr>
      </w:r>
      <w:r>
        <w:rPr>
          <w:spacing w:val="-2"/>
        </w:rPr>
        <w:t>基础，按照授予日的公允价值，将当期取得的服务计入相关成本或费用，相应增加资本公积。在可行权日之后不再对已确认</w:t>
      </w:r>
      <w:r>
        <w:rPr>
          <w:spacing w:val="-66"/>
        </w:rPr>
        <w:t> </w:t>
      </w:r>
      <w:r>
        <w:rPr>
          <w:spacing w:val="-66"/>
        </w:rPr>
      </w:r>
      <w:r>
        <w:rPr>
          <w:spacing w:val="-2"/>
        </w:rPr>
        <w:t>的相关成本或费用和所有者权益总额进行调整。但授予后立即可行权的，在授予日按照公允价值计入相关成本或费用，相应</w:t>
      </w:r>
      <w:r>
        <w:rPr>
          <w:spacing w:val="-66"/>
        </w:rPr>
        <w:t> </w:t>
      </w:r>
      <w:r>
        <w:rPr>
          <w:spacing w:val="-66"/>
        </w:rPr>
      </w:r>
      <w:r>
        <w:rPr/>
        <w:t>增加资本公积。</w:t>
      </w:r>
    </w:p>
    <w:p>
      <w:pPr>
        <w:pStyle w:val="BodyText"/>
        <w:spacing w:line="316" w:lineRule="auto" w:before="19"/>
        <w:ind w:right="0"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0"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9"/>
        <w:ind w:right="151" w:firstLine="360"/>
        <w:jc w:val="both"/>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w:t>
      </w:r>
      <w:r>
        <w:rPr>
          <w:spacing w:val="-9"/>
        </w:rPr>
        <w:t> </w:t>
      </w:r>
      <w:r>
        <w:rPr>
          <w:spacing w:val="-9"/>
        </w:rPr>
      </w:r>
      <w:r>
        <w:rPr/>
        <w:t>式，对所授予的替代权益工具进行处理。</w:t>
      </w:r>
    </w:p>
    <w:p>
      <w:pPr>
        <w:spacing w:line="240" w:lineRule="auto" w:before="4"/>
        <w:rPr>
          <w:rFonts w:ascii="宋体" w:hAnsi="宋体" w:cs="宋体" w:eastAsia="宋体" w:hint="default"/>
          <w:sz w:val="25"/>
          <w:szCs w:val="25"/>
        </w:rPr>
      </w:pPr>
    </w:p>
    <w:p>
      <w:pPr>
        <w:pStyle w:val="BodyText"/>
        <w:spacing w:line="316" w:lineRule="auto"/>
        <w:ind w:left="514" w:right="0"/>
        <w:jc w:val="left"/>
      </w:pPr>
      <w:r>
        <w:rPr>
          <w:rFonts w:ascii="宋体" w:hAnsi="宋体" w:cs="宋体" w:eastAsia="宋体" w:hint="default"/>
        </w:rPr>
        <w:t>2</w:t>
      </w:r>
      <w:r>
        <w:rPr/>
        <w:t>、以现金结算的股份支付及权益工具 </w:t>
      </w:r>
      <w:r>
        <w:rPr>
          <w:spacing w:val="-2"/>
        </w:rPr>
        <w:t>以现金结算的股份支付，按照本公司承担的以股份或其他权益工具为基础计算确定的负债的公允价值计量。初始采用授</w:t>
      </w:r>
    </w:p>
    <w:p>
      <w:pPr>
        <w:pStyle w:val="BodyText"/>
        <w:spacing w:line="316" w:lineRule="auto" w:before="19"/>
        <w:ind w:right="151"/>
        <w:jc w:val="both"/>
      </w:pPr>
      <w:r>
        <w:rPr>
          <w:spacing w:val="-2"/>
        </w:rPr>
        <w:t>予日的公允价值计量，并考虑授予权益工具的条款和条件。授予后立即可行权的，在授予日以承担负债的公允价值计入成本</w:t>
      </w:r>
      <w:r>
        <w:rPr>
          <w:spacing w:val="-66"/>
        </w:rPr>
        <w:t> </w:t>
      </w:r>
      <w:r>
        <w:rPr>
          <w:spacing w:val="-66"/>
        </w:rPr>
      </w:r>
      <w:r>
        <w:rPr>
          <w:spacing w:val="-2"/>
        </w:rPr>
        <w:t>或费用，相应增加负债；完成等待期内的服务或达到规定业绩条件才可行权的，在等待期内以对可行权情况的最佳估计为基</w:t>
      </w:r>
      <w:r>
        <w:rPr>
          <w:spacing w:val="-65"/>
        </w:rPr>
        <w:t> </w:t>
      </w:r>
      <w:r>
        <w:rPr>
          <w:spacing w:val="-65"/>
        </w:rPr>
      </w:r>
      <w:r>
        <w:rPr>
          <w:spacing w:val="-2"/>
        </w:rPr>
        <w:t>础，按照承担负债的公允价值，将当期取得的服务计入相关成本或费用，增加相应负债。在相关负债结算前的每个资产负债</w:t>
      </w:r>
      <w:r>
        <w:rPr>
          <w:spacing w:val="-66"/>
        </w:rPr>
        <w:t> </w:t>
      </w:r>
      <w:r>
        <w:rPr>
          <w:spacing w:val="-66"/>
        </w:rPr>
      </w:r>
      <w:r>
        <w:rPr/>
        <w:t>表日以及结算日，对负债的公允价值重新计量，其变动计入当期损益。</w:t>
      </w:r>
    </w:p>
    <w:p>
      <w:pPr>
        <w:spacing w:after="0" w:line="316" w:lineRule="auto"/>
        <w:jc w:val="both"/>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92"/>
        <w:jc w:val="left"/>
        <w:rPr>
          <w:b w:val="0"/>
          <w:bCs w:val="0"/>
        </w:rPr>
      </w:pPr>
      <w:bookmarkStart w:name="27、优先股、永续债等其他金融工具" w:id="204"/>
      <w:bookmarkEnd w:id="20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28、收入" w:id="205"/>
      <w:bookmarkEnd w:id="205"/>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52"/>
        <w:jc w:val="left"/>
      </w:pPr>
      <w:r>
        <w:rPr/>
        <w:t>公司是否需要遵守特殊行业的披露要求 否</w:t>
      </w:r>
    </w:p>
    <w:p>
      <w:pPr>
        <w:pStyle w:val="BodyText"/>
        <w:spacing w:line="316" w:lineRule="auto" w:before="28"/>
        <w:ind w:left="514" w:right="4232"/>
        <w:jc w:val="left"/>
      </w:pPr>
      <w:r>
        <w:rPr>
          <w:rFonts w:ascii="宋体" w:hAnsi="宋体" w:cs="宋体" w:eastAsia="宋体" w:hint="default"/>
        </w:rPr>
        <w:t>1</w:t>
      </w:r>
      <w:r>
        <w:rPr/>
        <w:t>、提供服务收入 提供服务交易的结果能够可靠估计是指同时满足： 第一，本公司已将商品所有权上的主要风险和报酬转移给购货方；</w:t>
      </w:r>
    </w:p>
    <w:p>
      <w:pPr>
        <w:pStyle w:val="BodyText"/>
        <w:spacing w:line="316" w:lineRule="auto" w:before="19"/>
        <w:ind w:left="514" w:right="1532"/>
        <w:jc w:val="left"/>
      </w:pPr>
      <w:r>
        <w:rPr/>
        <w:t>第二，本公司既没有保留通常与所有权相联系的继续管理权，也没有对已售出的商品实施有效控制； 第三，收入的金额能够可靠地计量；</w:t>
      </w:r>
    </w:p>
    <w:p>
      <w:pPr>
        <w:pStyle w:val="BodyText"/>
        <w:spacing w:line="316" w:lineRule="auto" w:before="19"/>
        <w:ind w:left="514" w:right="5132"/>
        <w:jc w:val="left"/>
      </w:pPr>
      <w:r>
        <w:rPr/>
        <w:t>第四，相关经济利益很可能流入公司； 第五，相关的已发生或将发生的成本能够可靠地计量。 公司确认标准为：</w:t>
      </w:r>
    </w:p>
    <w:p>
      <w:pPr>
        <w:pStyle w:val="BodyText"/>
        <w:spacing w:line="316" w:lineRule="auto" w:before="19"/>
        <w:ind w:left="514" w:right="92"/>
        <w:jc w:val="left"/>
      </w:pPr>
      <w:r>
        <w:rPr/>
        <w:t>（</w:t>
      </w:r>
      <w:r>
        <w:rPr>
          <w:rFonts w:ascii="宋体" w:hAnsi="宋体" w:cs="宋体" w:eastAsia="宋体" w:hint="default"/>
        </w:rPr>
        <w:t>1</w:t>
      </w:r>
      <w:r>
        <w:rPr/>
        <w:t>）常年顾问服务收入 </w:t>
      </w:r>
      <w:r>
        <w:rPr>
          <w:spacing w:val="-2"/>
        </w:rPr>
        <w:t>公司与客户签订年度（或某一约定期限内的）营销传播顾问服务合同（合同期限通常为连续</w:t>
      </w:r>
      <w:r>
        <w:rPr>
          <w:rFonts w:ascii="宋体" w:hAnsi="宋体" w:cs="宋体" w:eastAsia="宋体" w:hint="default"/>
          <w:spacing w:val="-2"/>
        </w:rPr>
        <w:t>12</w:t>
      </w:r>
      <w:r>
        <w:rPr>
          <w:spacing w:val="-2"/>
        </w:rPr>
        <w:t>个月），合同会约定固定</w:t>
      </w:r>
    </w:p>
    <w:p>
      <w:pPr>
        <w:pStyle w:val="BodyText"/>
        <w:spacing w:line="240" w:lineRule="auto" w:before="19"/>
        <w:ind w:right="92"/>
        <w:jc w:val="left"/>
      </w:pPr>
      <w:r>
        <w:rPr/>
        <w:t>期限（月或季度）的服务费金额，公司按合同约定提供服务并定期（按月或按季度）予以确认收入。</w:t>
      </w:r>
    </w:p>
    <w:p>
      <w:pPr>
        <w:pStyle w:val="BodyText"/>
        <w:spacing w:line="316" w:lineRule="auto" w:before="76"/>
        <w:ind w:left="514" w:right="92"/>
        <w:jc w:val="left"/>
      </w:pPr>
      <w:r>
        <w:rPr/>
        <w:t>（</w:t>
      </w:r>
      <w:r>
        <w:rPr>
          <w:rFonts w:ascii="宋体" w:hAnsi="宋体" w:cs="宋体" w:eastAsia="宋体" w:hint="default"/>
        </w:rPr>
        <w:t>2</w:t>
      </w:r>
      <w:r>
        <w:rPr/>
        <w:t>）项目服务收入 </w:t>
      </w:r>
      <w:r>
        <w:rPr>
          <w:spacing w:val="-2"/>
        </w:rPr>
        <w:t>公司按项目合同的约定为客户提供专属化的营销传播服务，项目服务结束后，公司收到客户确认的完工证明时予以确认</w:t>
      </w:r>
    </w:p>
    <w:p>
      <w:pPr>
        <w:pStyle w:val="BodyText"/>
        <w:spacing w:line="240" w:lineRule="auto" w:before="19"/>
        <w:ind w:right="92"/>
        <w:jc w:val="left"/>
      </w:pPr>
      <w:r>
        <w:rPr/>
        <w:t>收入。</w:t>
      </w:r>
    </w:p>
    <w:p>
      <w:pPr>
        <w:pStyle w:val="BodyText"/>
        <w:spacing w:line="316" w:lineRule="auto" w:before="77"/>
        <w:ind w:left="784" w:right="5402" w:hanging="271"/>
        <w:jc w:val="left"/>
      </w:pPr>
      <w:r>
        <w:rPr>
          <w:rFonts w:ascii="宋体" w:hAnsi="宋体" w:cs="宋体" w:eastAsia="宋体" w:hint="default"/>
        </w:rPr>
        <w:t>2</w:t>
      </w:r>
      <w:r>
        <w:rPr/>
        <w:t>、使用费收入 根据有关合同或协议，按权责发生制确认收入。</w:t>
      </w:r>
    </w:p>
    <w:p>
      <w:pPr>
        <w:pStyle w:val="BodyText"/>
        <w:spacing w:line="316" w:lineRule="auto" w:before="19"/>
        <w:ind w:left="784" w:right="4502" w:hanging="271"/>
        <w:jc w:val="left"/>
      </w:pPr>
      <w:r>
        <w:rPr>
          <w:rFonts w:ascii="宋体" w:hAnsi="宋体" w:cs="宋体" w:eastAsia="宋体" w:hint="default"/>
        </w:rPr>
        <w:t>3</w:t>
      </w:r>
      <w:r>
        <w:rPr/>
        <w:t>、利息收入 按照他人使用本公司货币资金的时间和实际利率计算确定。</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29、政府补助" w:id="206"/>
      <w:bookmarkEnd w:id="20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2"/>
        <w:jc w:val="left"/>
      </w:pPr>
      <w:r>
        <w:rPr/>
        <w:t>（</w:t>
      </w:r>
      <w:r>
        <w:rPr>
          <w:rFonts w:ascii="宋体" w:hAnsi="宋体" w:cs="宋体" w:eastAsia="宋体" w:hint="default"/>
        </w:rPr>
        <w:t>1</w:t>
      </w:r>
      <w:r>
        <w:rPr/>
        <w:t>）与资产相关的政府补助判断依据及会计处理方法 </w:t>
      </w:r>
      <w:r>
        <w:rPr>
          <w:spacing w:val="-4"/>
        </w:rPr>
        <w:t>与资产相关的政府补助，是指本公司取得的、用于购建或以其他方式形成长期资产的政府补助。与收益相关的政府补助，</w:t>
      </w:r>
    </w:p>
    <w:p>
      <w:pPr>
        <w:pStyle w:val="BodyText"/>
        <w:spacing w:line="316" w:lineRule="auto" w:before="19"/>
        <w:ind w:left="514" w:right="92" w:hanging="360"/>
        <w:jc w:val="left"/>
      </w:pPr>
      <w:r>
        <w:rPr/>
        <w:t>是指除与资产相关的政府补助之外的政府补助。 </w:t>
      </w:r>
      <w:r>
        <w:rPr>
          <w:spacing w:val="-2"/>
        </w:rPr>
        <w:t>本公司将政府补助划分为与资产相关的具体标准为：政府补助批准文件明确指出补助用于购建或以其他方式形成长期资</w:t>
      </w:r>
    </w:p>
    <w:p>
      <w:pPr>
        <w:pStyle w:val="BodyText"/>
        <w:spacing w:line="240" w:lineRule="auto" w:before="19"/>
        <w:ind w:right="92"/>
        <w:jc w:val="left"/>
      </w:pPr>
      <w:r>
        <w:rPr/>
        <w:t>产的。</w:t>
      </w:r>
    </w:p>
    <w:p>
      <w:pPr>
        <w:pStyle w:val="BodyText"/>
        <w:spacing w:line="316" w:lineRule="auto" w:before="76"/>
        <w:ind w:right="190" w:firstLine="360"/>
        <w:jc w:val="both"/>
      </w:pPr>
      <w:r>
        <w:rPr>
          <w:spacing w:val="-2"/>
        </w:rPr>
        <w:t>会计处理：与资产相关的政府补助，冲减相关资产账面价值或确认为递延收益。确认为递延收益的，在相关资产使用寿</w:t>
      </w:r>
      <w:r>
        <w:rPr/>
        <w:t> </w:t>
      </w:r>
      <w:r>
        <w:rPr>
          <w:spacing w:val="-2"/>
        </w:rPr>
        <w:t>命内按照合理、系统的方法分期计入当期损益（与本公司日常活动相关的，计入其他收益；与本公司日常活动无关的，计入</w:t>
      </w:r>
      <w:r>
        <w:rPr>
          <w:spacing w:val="-66"/>
        </w:rPr>
        <w:t> </w:t>
      </w:r>
      <w:r>
        <w:rPr>
          <w:spacing w:val="-66"/>
        </w:rPr>
      </w:r>
      <w:r>
        <w:rPr/>
        <w:t>营业外收入）；</w:t>
      </w:r>
    </w:p>
    <w:p>
      <w:pPr>
        <w:pStyle w:val="BodyText"/>
        <w:spacing w:line="316" w:lineRule="auto" w:before="19"/>
        <w:ind w:left="514" w:right="92"/>
        <w:jc w:val="left"/>
      </w:pPr>
      <w:r>
        <w:rPr/>
        <w:t>（</w:t>
      </w:r>
      <w:r>
        <w:rPr>
          <w:rFonts w:ascii="宋体" w:hAnsi="宋体" w:cs="宋体" w:eastAsia="宋体" w:hint="default"/>
        </w:rPr>
        <w:t>2</w:t>
      </w:r>
      <w:r>
        <w:rPr/>
        <w:t>）与收益相关的政府补助判断依据及会计处理方法 </w:t>
      </w:r>
      <w:r>
        <w:rPr>
          <w:spacing w:val="-2"/>
        </w:rPr>
        <w:t>本公司将政府补助划分为与收益相关的具体标准为：政府补助批准文件明确指出补助用于购建或以其他方式形成长期资</w:t>
      </w:r>
    </w:p>
    <w:p>
      <w:pPr>
        <w:pStyle w:val="BodyText"/>
        <w:spacing w:line="319" w:lineRule="auto" w:before="19"/>
        <w:ind w:left="514" w:right="92" w:hanging="360"/>
        <w:jc w:val="left"/>
      </w:pPr>
      <w:r>
        <w:rPr/>
        <w:t>产之外的情况。 </w:t>
      </w:r>
      <w:r>
        <w:rPr>
          <w:spacing w:val="-2"/>
        </w:rPr>
        <w:t>会计处理：与收益相关的政府补助，用于补偿本公司以后期间的相关成本费用或损失的，确认为递延收益，并在确认相</w:t>
      </w:r>
    </w:p>
    <w:p>
      <w:pPr>
        <w:pStyle w:val="BodyText"/>
        <w:spacing w:line="316" w:lineRule="auto" w:before="17"/>
        <w:ind w:right="191"/>
        <w:jc w:val="both"/>
      </w:pPr>
      <w:r>
        <w:rPr>
          <w:spacing w:val="-2"/>
        </w:rPr>
        <w:t>关成本费用或损失的期间，计入当期损益（与本公司日常活动相关的，计入其他收益；与本公司日常活动无关的，计入营业</w:t>
      </w:r>
      <w:r>
        <w:rPr>
          <w:spacing w:val="-66"/>
        </w:rPr>
        <w:t> </w:t>
      </w:r>
      <w:r>
        <w:rPr>
          <w:spacing w:val="-66"/>
        </w:rPr>
      </w:r>
      <w:r>
        <w:rPr>
          <w:spacing w:val="-2"/>
        </w:rPr>
        <w:t>外收入）或冲减相关成本费用或损失；用于补偿本公司已发生的相关成本费用或损失的，直接计入当期损益（与本公司日常</w:t>
      </w:r>
      <w:r>
        <w:rPr>
          <w:spacing w:val="-66"/>
        </w:rPr>
        <w:t> </w:t>
      </w:r>
      <w:r>
        <w:rPr>
          <w:spacing w:val="-66"/>
        </w:rPr>
      </w:r>
      <w:r>
        <w:rPr/>
        <w:t>活动相关的，计入其他收益；与本公司日常活动无关的，计入营业外收入）或冲减相关成本费用或损失。</w:t>
      </w:r>
    </w:p>
    <w:p>
      <w:pPr>
        <w:spacing w:after="0" w:line="316" w:lineRule="auto"/>
        <w:jc w:val="both"/>
        <w:sectPr>
          <w:pgSz w:w="11910" w:h="16840"/>
          <w:pgMar w:header="86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92"/>
        <w:jc w:val="left"/>
      </w:pPr>
      <w:r>
        <w:rPr/>
        <w:t>本公司取得的政策性优惠贷款贴息，区分以下两种情况，分别进行会计处理：</w:t>
      </w:r>
    </w:p>
    <w:p>
      <w:pPr>
        <w:pStyle w:val="BodyText"/>
        <w:spacing w:line="316" w:lineRule="auto" w:before="76"/>
        <w:ind w:right="191" w:firstLine="360"/>
        <w:jc w:val="both"/>
      </w:pPr>
      <w:r>
        <w:rPr/>
        <w:t>（</w:t>
      </w:r>
      <w:r>
        <w:rPr>
          <w:rFonts w:ascii="宋体" w:hAnsi="宋体" w:cs="宋体" w:eastAsia="宋体"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19"/>
        <w:ind w:left="514" w:right="92"/>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360"/>
        <w:jc w:val="both"/>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4" w:right="92"/>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4" w:right="92"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4" w:right="92"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9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t>（</w:t>
      </w:r>
      <w:r>
        <w:rPr>
          <w:rFonts w:ascii="宋体" w:hAnsi="宋体" w:cs="宋体" w:eastAsia="宋体" w:hint="default"/>
        </w:rPr>
        <w:t>1</w:t>
      </w:r>
      <w:r>
        <w:rPr/>
        <w:t>）经营租赁的会计处理方法</w:t>
      </w:r>
    </w:p>
    <w:p>
      <w:pPr>
        <w:pStyle w:val="BodyText"/>
        <w:spacing w:line="316" w:lineRule="auto" w:before="76"/>
        <w:ind w:right="191" w:firstLine="360"/>
        <w:jc w:val="both"/>
      </w:pPr>
      <w:r>
        <w:rPr>
          <w:spacing w:val="-2"/>
        </w:rPr>
        <w:t>①公司租入资产所支付的租赁费，在不扣除免租期的整个租赁期内，按直线法进行分摊，计入当期费用。公司支付的与</w:t>
      </w:r>
      <w:r>
        <w:rPr/>
        <w:t> 租赁交易相关的初始直接费用，计入当期费用。</w:t>
      </w:r>
    </w:p>
    <w:p>
      <w:pPr>
        <w:pStyle w:val="BodyText"/>
        <w:spacing w:line="316" w:lineRule="auto" w:before="19"/>
        <w:ind w:right="19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91" w:firstLine="360"/>
        <w:jc w:val="both"/>
      </w:pPr>
      <w:r>
        <w:rPr>
          <w:spacing w:val="-2"/>
        </w:rPr>
        <w:t>②公司出租资产所收取的租赁费，在不扣除免租期的整个租赁期内，按直线法进行分摊，确认为租赁相关收入。公司支</w:t>
      </w:r>
      <w:r>
        <w:rPr/>
        <w:t>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w:t>
      </w:r>
    </w:p>
    <w:p>
      <w:pPr>
        <w:pStyle w:val="BodyText"/>
        <w:spacing w:line="316" w:lineRule="auto" w:before="19"/>
        <w:ind w:right="19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4"/>
        <w:rPr>
          <w:rFonts w:ascii="宋体" w:hAnsi="宋体" w:cs="宋体" w:eastAsia="宋体" w:hint="default"/>
          <w:sz w:val="25"/>
          <w:szCs w:val="25"/>
        </w:rPr>
      </w:pPr>
    </w:p>
    <w:p>
      <w:pPr>
        <w:pStyle w:val="BodyText"/>
        <w:spacing w:line="240" w:lineRule="auto"/>
        <w:ind w:left="514" w:right="92"/>
        <w:jc w:val="left"/>
      </w:pPr>
      <w:r>
        <w:rPr/>
        <w:t>（</w:t>
      </w:r>
      <w:r>
        <w:rPr>
          <w:rFonts w:ascii="宋体" w:hAnsi="宋体" w:cs="宋体" w:eastAsia="宋体" w:hint="default"/>
        </w:rPr>
        <w:t>2</w:t>
      </w:r>
      <w:r>
        <w:rPr/>
        <w:t>）融资租赁的会计处理方法</w:t>
      </w:r>
    </w:p>
    <w:p>
      <w:pPr>
        <w:pStyle w:val="BodyText"/>
        <w:spacing w:line="316" w:lineRule="auto" w:before="76"/>
        <w:ind w:right="191" w:firstLine="360"/>
        <w:jc w:val="both"/>
      </w:pPr>
      <w:r>
        <w:rPr>
          <w:spacing w:val="-2"/>
        </w:rPr>
        <w:t>①融资租入资产：公司在承租开始日，将租赁资产公允价值与最低租赁付款额现值两者中较低者作为租入资产的入账价</w:t>
      </w:r>
      <w:r>
        <w:rPr/>
        <w:t> </w:t>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用，在资产租赁期间内摊销，计入财务费用。公司发生的初始直接费用，计入租入资产价值。</w:t>
      </w:r>
    </w:p>
    <w:p>
      <w:pPr>
        <w:pStyle w:val="BodyText"/>
        <w:spacing w:line="316" w:lineRule="auto" w:before="19"/>
        <w:ind w:right="92" w:firstLine="360"/>
        <w:jc w:val="left"/>
      </w:pPr>
      <w:r>
        <w:rPr>
          <w:spacing w:val="-2"/>
        </w:rPr>
        <w:t>②融资租出资产：公司在租赁开始日，将应收融资租赁款，未担保余值之和与其现值的差额确认为未实现融资收益，在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32、其他重要的会计政策和会计估计" w:id="209"/>
      <w:bookmarkEnd w:id="20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360"/>
        <w:jc w:val="both"/>
      </w:pPr>
      <w:r>
        <w:rPr>
          <w:spacing w:val="-2"/>
        </w:rPr>
        <w:t>终止经营是满足下列条件之一的、能够单独区分的组成部分，且该组成部分已被本公司处置或被本公司划归为持有待售</w:t>
      </w:r>
      <w:r>
        <w:rPr/>
        <w:t> 类别：</w:t>
      </w:r>
    </w:p>
    <w:p>
      <w:pPr>
        <w:spacing w:after="0" w:line="316" w:lineRule="auto"/>
        <w:jc w:val="both"/>
        <w:sectPr>
          <w:pgSz w:w="11910" w:h="16840"/>
          <w:pgMar w:header="86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92"/>
        <w:jc w:val="left"/>
      </w:pPr>
      <w:r>
        <w:rPr/>
        <w:t>（</w:t>
      </w:r>
      <w:r>
        <w:rPr>
          <w:rFonts w:ascii="宋体" w:hAnsi="宋体" w:cs="宋体" w:eastAsia="宋体" w:hint="default"/>
        </w:rPr>
        <w:t>1</w:t>
      </w:r>
      <w:r>
        <w:rPr/>
        <w:t>）该组成部分代表一项独立的主要业务或一个单独的主要经营地区；</w:t>
      </w:r>
    </w:p>
    <w:p>
      <w:pPr>
        <w:pStyle w:val="BodyText"/>
        <w:spacing w:line="240" w:lineRule="auto" w:before="76"/>
        <w:ind w:left="514" w:right="92"/>
        <w:jc w:val="left"/>
      </w:pPr>
      <w:r>
        <w:rPr/>
        <w:t>（</w:t>
      </w:r>
      <w:r>
        <w:rPr>
          <w:rFonts w:ascii="宋体" w:hAnsi="宋体" w:cs="宋体" w:eastAsia="宋体" w:hint="default"/>
        </w:rPr>
        <w:t>2</w:t>
      </w:r>
      <w:r>
        <w:rPr/>
        <w:t>）该组成部分是拟对一项独立的主要业务或一个单独的主要经营地区进行处置的一项相关联计划的一部分；</w:t>
      </w:r>
    </w:p>
    <w:p>
      <w:pPr>
        <w:pStyle w:val="BodyText"/>
        <w:spacing w:line="240" w:lineRule="auto" w:before="76"/>
        <w:ind w:left="514" w:right="92"/>
        <w:jc w:val="left"/>
      </w:pPr>
      <w:r>
        <w:rPr/>
        <w:t>（</w:t>
      </w:r>
      <w:r>
        <w:rPr>
          <w:rFonts w:ascii="宋体" w:hAnsi="宋体" w:cs="宋体" w:eastAsia="宋体" w:hint="default"/>
        </w:rPr>
        <w:t>3</w:t>
      </w:r>
      <w:r>
        <w:rPr/>
        <w:t>）该组成部分是专为转售而取得的子公司。</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33、重要会计政策和会计估计变更" w:id="210"/>
      <w:bookmarkEnd w:id="21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970"/>
        <w:gridCol w:w="2268"/>
        <w:gridCol w:w="3332"/>
      </w:tblGrid>
      <w:tr>
        <w:trPr>
          <w:trHeight w:val="401"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00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02" w:lineRule="auto"/>
              <w:ind w:left="22" w:right="2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）在利润表中分别列示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持续经营净利润</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终</w:t>
            </w:r>
            <w:r>
              <w:rPr>
                <w:rFonts w:ascii="宋体" w:hAnsi="宋体" w:cs="宋体" w:eastAsia="宋体" w:hint="default"/>
                <w:spacing w:val="-84"/>
                <w:sz w:val="18"/>
                <w:szCs w:val="18"/>
              </w:rPr>
              <w:t> </w:t>
            </w:r>
            <w:r>
              <w:rPr>
                <w:rFonts w:ascii="宋体" w:hAnsi="宋体" w:cs="宋体" w:eastAsia="宋体" w:hint="default"/>
                <w:sz w:val="18"/>
                <w:szCs w:val="18"/>
              </w:rPr>
              <w:t>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81,922,000.06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元；列示终止经营净利润本</w:t>
            </w:r>
          </w:p>
          <w:p>
            <w:pPr>
              <w:pStyle w:val="TableParagraph"/>
              <w:spacing w:line="328" w:lineRule="auto" w:before="64"/>
              <w:ind w:left="22" w:right="56"/>
              <w:jc w:val="left"/>
              <w:rPr>
                <w:rFonts w:ascii="宋体" w:hAnsi="宋体" w:cs="宋体" w:eastAsia="宋体" w:hint="default"/>
                <w:sz w:val="18"/>
                <w:szCs w:val="18"/>
              </w:rPr>
            </w:pPr>
            <w:r>
              <w:rPr>
                <w:rFonts w:ascii="宋体" w:hAnsi="宋体" w:cs="宋体" w:eastAsia="宋体" w:hint="default"/>
                <w:sz w:val="18"/>
                <w:szCs w:val="18"/>
              </w:rPr>
              <w:t>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列示持续经营净利润上年金额 </w:t>
            </w:r>
            <w:r>
              <w:rPr>
                <w:rFonts w:ascii="Times New Roman" w:hAnsi="Times New Roman" w:cs="Times New Roman" w:eastAsia="Times New Roman" w:hint="default"/>
                <w:sz w:val="18"/>
                <w:szCs w:val="18"/>
              </w:rPr>
              <w:t>59,194,968.93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元；列示终止经营净利润上</w:t>
            </w:r>
          </w:p>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tc>
      </w:tr>
      <w:tr>
        <w:trPr>
          <w:trHeight w:val="714" w:hRule="exact"/>
        </w:trPr>
        <w:tc>
          <w:tcPr>
            <w:tcW w:w="3970"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）与本公司日常活动相关的政府补助，计入其 他收益，不再计入营业外收入。比较数据不调整。</w:t>
            </w:r>
          </w:p>
        </w:tc>
        <w:tc>
          <w:tcPr>
            <w:tcW w:w="22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026"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项目，将部 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 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pStyle w:val="BodyText"/>
        <w:spacing w:line="316" w:lineRule="auto" w:before="11"/>
        <w:ind w:right="109" w:firstLine="360"/>
        <w:jc w:val="both"/>
      </w:pPr>
      <w:r>
        <w:rPr/>
        <w:t>执行《企业会计准则第</w:t>
      </w:r>
      <w:r>
        <w:rPr>
          <w:rFonts w:ascii="宋体" w:hAnsi="宋体" w:cs="宋体" w:eastAsia="宋体" w:hint="default"/>
        </w:rPr>
        <w:t>42</w:t>
      </w:r>
      <w:r>
        <w:rPr/>
        <w:t>号——持有待售的非流动资产、处置组和终止经营》、《企业会计准则第</w:t>
      </w:r>
      <w:r>
        <w:rPr>
          <w:rFonts w:ascii="宋体" w:hAnsi="宋体" w:cs="宋体" w:eastAsia="宋体" w:hint="default"/>
        </w:rPr>
        <w:t>16</w:t>
      </w:r>
      <w:r>
        <w:rPr/>
        <w:t>号——政府补助》 和《财政部关于修订印发一般企业财务报表格式的通知》。</w:t>
      </w:r>
    </w:p>
    <w:p>
      <w:pPr>
        <w:pStyle w:val="BodyText"/>
        <w:spacing w:line="316" w:lineRule="auto" w:before="19"/>
        <w:ind w:right="189" w:firstLine="360"/>
        <w:jc w:val="both"/>
      </w:pPr>
      <w:r>
        <w:rPr/>
        <w:t>财政部于</w:t>
      </w:r>
      <w:r>
        <w:rPr>
          <w:rFonts w:ascii="宋体" w:hAnsi="宋体" w:cs="宋体" w:eastAsia="宋体" w:hint="default"/>
        </w:rPr>
        <w:t>2017</w:t>
      </w:r>
      <w:r>
        <w:rPr/>
        <w:t>年度发布了《企业会计准则第</w:t>
      </w:r>
      <w:r>
        <w:rPr>
          <w:rFonts w:ascii="宋体" w:hAnsi="宋体" w:cs="宋体" w:eastAsia="宋体" w:hint="default"/>
        </w:rPr>
        <w:t>42</w:t>
      </w:r>
      <w:r>
        <w:rPr/>
        <w:t>号——持有待售的非流动资产、处置组和终止经营》，自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 起施行，对于施行日存在的持有待售的非流动资产、处置组和终止经营，要求采用未来适用法处理。</w:t>
      </w:r>
    </w:p>
    <w:p>
      <w:pPr>
        <w:pStyle w:val="BodyText"/>
        <w:spacing w:line="316" w:lineRule="auto" w:before="19"/>
        <w:ind w:right="190" w:firstLine="360"/>
        <w:jc w:val="both"/>
      </w:pPr>
      <w:r>
        <w:rPr>
          <w:spacing w:val="-2"/>
        </w:rPr>
        <w:t>财政部于</w:t>
      </w:r>
      <w:r>
        <w:rPr>
          <w:rFonts w:ascii="宋体" w:hAnsi="宋体" w:cs="宋体" w:eastAsia="宋体" w:hint="default"/>
          <w:spacing w:val="-2"/>
        </w:rPr>
        <w:t>2017</w:t>
      </w:r>
      <w:r>
        <w:rPr>
          <w:spacing w:val="-2"/>
        </w:rPr>
        <w:t>年度修订了《企业会计准则第</w:t>
      </w:r>
      <w:r>
        <w:rPr>
          <w:rFonts w:ascii="宋体" w:hAnsi="宋体" w:cs="宋体" w:eastAsia="宋体" w:hint="default"/>
          <w:spacing w:val="-2"/>
        </w:rPr>
        <w:t>16</w:t>
      </w:r>
      <w:r>
        <w:rPr>
          <w:spacing w:val="-2"/>
        </w:rPr>
        <w:t>号——政府补助》，修订后的准则自</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日起施行，对于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rFonts w:ascii="宋体" w:hAnsi="宋体" w:cs="宋体" w:eastAsia="宋体" w:hint="default"/>
        </w:rPr>
        <w:t> </w:t>
      </w:r>
      <w:r>
        <w:rPr/>
        <w:t>月</w:t>
      </w:r>
      <w:r>
        <w:rPr>
          <w:rFonts w:ascii="宋体" w:hAnsi="宋体" w:cs="宋体" w:eastAsia="宋体" w:hint="default"/>
        </w:rPr>
        <w:t>1</w:t>
      </w:r>
      <w:r>
        <w:rPr/>
        <w:t>日存在的政府补助，要求采用未来适用法处理；对于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日至施行日新增的政府补助，也要求按照修订后的准则</w:t>
      </w:r>
      <w:r>
        <w:rPr>
          <w:spacing w:val="-82"/>
        </w:rPr>
        <w:t> </w:t>
      </w:r>
      <w:r>
        <w:rPr>
          <w:spacing w:val="-82"/>
        </w:rPr>
      </w:r>
      <w:r>
        <w:rPr/>
        <w:t>进行调整。</w:t>
      </w:r>
    </w:p>
    <w:p>
      <w:pPr>
        <w:pStyle w:val="BodyText"/>
        <w:spacing w:line="316" w:lineRule="auto" w:before="19"/>
        <w:ind w:right="102" w:firstLine="360"/>
        <w:jc w:val="both"/>
      </w:pPr>
      <w:r>
        <w:rPr>
          <w:spacing w:val="-4"/>
        </w:rPr>
        <w:t>财政部于</w:t>
      </w:r>
      <w:r>
        <w:rPr>
          <w:rFonts w:ascii="宋体" w:hAnsi="宋体" w:cs="宋体" w:eastAsia="宋体" w:hint="default"/>
          <w:spacing w:val="-4"/>
        </w:rPr>
        <w:t>2017</w:t>
      </w:r>
      <w:r>
        <w:rPr>
          <w:spacing w:val="-4"/>
        </w:rPr>
        <w:t>年度发布了《财政部关于修订印发一般企业财务报表格式的通知》，对一般企业财务报表格式进行了修订，</w:t>
      </w:r>
      <w:r>
        <w:rPr/>
        <w:t> 适用于</w:t>
      </w:r>
      <w:r>
        <w:rPr>
          <w:rFonts w:ascii="宋体" w:hAnsi="宋体" w:cs="宋体" w:eastAsia="宋体" w:hint="default"/>
        </w:rPr>
        <w:t>2017</w:t>
      </w:r>
      <w:r>
        <w:rPr/>
        <w:t>年度及以后期间的财务报表。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2"/>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2"/>
        <w:jc w:val="left"/>
        <w:rPr>
          <w:b w:val="0"/>
          <w:bCs w:val="0"/>
        </w:rPr>
      </w:pPr>
      <w:bookmarkStart w:name="34、其他" w:id="213"/>
      <w:bookmarkEnd w:id="213"/>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无</w:t>
      </w:r>
    </w:p>
    <w:p>
      <w:pPr>
        <w:spacing w:after="0" w:line="240" w:lineRule="auto"/>
        <w:jc w:val="left"/>
        <w:sectPr>
          <w:pgSz w:w="11910" w:h="16840"/>
          <w:pgMar w:header="867" w:footer="979" w:top="1060" w:bottom="1160" w:left="980" w:right="940"/>
        </w:sectPr>
      </w:pPr>
    </w:p>
    <w:p>
      <w:pPr>
        <w:spacing w:line="240" w:lineRule="auto" w:before="9"/>
        <w:rPr>
          <w:rFonts w:ascii="宋体" w:hAnsi="宋体" w:cs="宋体" w:eastAsia="宋体" w:hint="default"/>
          <w:sz w:val="23"/>
          <w:szCs w:val="23"/>
        </w:rPr>
      </w:pPr>
    </w:p>
    <w:p>
      <w:pPr>
        <w:pStyle w:val="Heading3"/>
        <w:spacing w:line="240" w:lineRule="auto" w:before="26"/>
        <w:ind w:right="92"/>
        <w:jc w:val="left"/>
        <w:rPr>
          <w:b w:val="0"/>
          <w:bCs w:val="0"/>
        </w:rPr>
      </w:pPr>
      <w:bookmarkStart w:name="六、税项" w:id="214"/>
      <w:bookmarkEnd w:id="21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4183"/>
        <w:gridCol w:w="219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4183"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8"/>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 计算销项税额，在扣除当期允许抵扣的进项税额后， 差额部分为应交增值税</w:t>
            </w:r>
          </w:p>
        </w:tc>
        <w:tc>
          <w:tcPr>
            <w:tcW w:w="21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183" w:type="dxa"/>
            <w:vMerge/>
            <w:tcBorders>
              <w:left w:val="single" w:sz="9" w:space="0" w:color="D2D2D2"/>
              <w:right w:val="single" w:sz="4" w:space="0" w:color="000000"/>
            </w:tcBorders>
          </w:tcPr>
          <w:p>
            <w:pPr/>
          </w:p>
        </w:tc>
        <w:tc>
          <w:tcPr>
            <w:tcW w:w="2197"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4183" w:type="dxa"/>
            <w:vMerge/>
            <w:tcBorders>
              <w:left w:val="single" w:sz="9" w:space="0" w:color="D2D2D2"/>
              <w:bottom w:val="single" w:sz="4" w:space="0" w:color="000000"/>
              <w:right w:val="single" w:sz="4" w:space="0" w:color="000000"/>
            </w:tcBorders>
          </w:tcPr>
          <w:p>
            <w:pPr/>
          </w:p>
        </w:tc>
        <w:tc>
          <w:tcPr>
            <w:tcW w:w="2197"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4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、境外适用税率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按转让房地产所取得的增值额和规定的税率计缴</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tc>
      </w:tr>
    </w:tbl>
    <w:p>
      <w:pPr>
        <w:pStyle w:val="BodyText"/>
        <w:spacing w:line="240" w:lineRule="auto" w:before="51"/>
        <w:ind w:right="9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6307"/>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6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宣亚国际有限公司</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注册于美国，公司相关税项适用于当地税率，其中联邦政府所得税率为应纳税所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、公司所处州的州所得税率为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8.84%</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2"/>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89" w:firstLine="360"/>
        <w:jc w:val="both"/>
      </w:pPr>
      <w:r>
        <w:rPr>
          <w:rFonts w:ascii="宋体" w:hAnsi="宋体" w:cs="宋体" w:eastAsia="宋体" w:hint="default"/>
          <w:spacing w:val="-2"/>
        </w:rPr>
        <w:t>1.</w:t>
      </w:r>
      <w:r>
        <w:rPr>
          <w:spacing w:val="-2"/>
        </w:rPr>
        <w:t>宣亚国际品牌管理（北京）股份有限公司根据《中华人民共和国企业所得税法》（中华人民共和国主席令第</w:t>
      </w:r>
      <w:r>
        <w:rPr>
          <w:rFonts w:ascii="宋体" w:hAnsi="宋体" w:cs="宋体" w:eastAsia="宋体" w:hint="default"/>
          <w:spacing w:val="-2"/>
        </w:rPr>
        <w:t>63</w:t>
      </w:r>
      <w:r>
        <w:rPr>
          <w:spacing w:val="-2"/>
        </w:rPr>
        <w:t>号）第</w:t>
      </w:r>
      <w:r>
        <w:rPr/>
        <w:t> 二十六条；《中国人民共和国企业所得税法实施条例》（中华人民共和国国务院令第</w:t>
      </w:r>
      <w:r>
        <w:rPr>
          <w:rFonts w:ascii="宋体" w:hAnsi="宋体" w:cs="宋体" w:eastAsia="宋体" w:hint="default"/>
        </w:rPr>
        <w:t>512</w:t>
      </w:r>
      <w:r>
        <w:rPr/>
        <w:t>号）第八十二条、第八十三条、第</w:t>
      </w:r>
      <w:r>
        <w:rPr>
          <w:spacing w:val="-82"/>
        </w:rPr>
        <w:t> </w:t>
      </w:r>
      <w:r>
        <w:rPr>
          <w:spacing w:val="-82"/>
        </w:rPr>
      </w:r>
      <w:r>
        <w:rPr/>
        <w:t>八十四条，享受符合合条件居民企业之间的股息、红利等权益性投资收益免征企业所得税；</w:t>
      </w:r>
    </w:p>
    <w:p>
      <w:pPr>
        <w:pStyle w:val="BodyText"/>
        <w:spacing w:line="316" w:lineRule="auto" w:before="17"/>
        <w:ind w:right="191" w:firstLine="360"/>
        <w:jc w:val="both"/>
      </w:pPr>
      <w:r>
        <w:rPr>
          <w:spacing w:val="-2"/>
        </w:rPr>
        <w:t>根据《中华人民共和国企业所得税法》（中华人民共和国主席令第</w:t>
      </w:r>
      <w:r>
        <w:rPr>
          <w:rFonts w:ascii="宋体" w:hAnsi="宋体" w:cs="宋体" w:eastAsia="宋体" w:hint="default"/>
          <w:spacing w:val="-2"/>
        </w:rPr>
        <w:t>63</w:t>
      </w:r>
      <w:r>
        <w:rPr>
          <w:spacing w:val="-2"/>
        </w:rPr>
        <w:t>号）第三十条及《中华人民共和国企业所得税法实</w:t>
      </w:r>
      <w:r>
        <w:rPr/>
        <w:t> 施条例》（中华人民共和国国务院令第</w:t>
      </w:r>
      <w:r>
        <w:rPr>
          <w:rFonts w:ascii="宋体" w:hAnsi="宋体" w:cs="宋体" w:eastAsia="宋体" w:hint="default"/>
        </w:rPr>
        <w:t>512</w:t>
      </w:r>
      <w:r>
        <w:rPr/>
        <w:t>号）第九十五条规定，安置残疾人员所支付的工资</w:t>
      </w:r>
      <w:r>
        <w:rPr>
          <w:rFonts w:ascii="宋体" w:hAnsi="宋体" w:cs="宋体" w:eastAsia="宋体" w:hint="default"/>
        </w:rPr>
        <w:t>100%</w:t>
      </w:r>
      <w:r>
        <w:rPr/>
        <w:t>加计扣除。</w:t>
      </w:r>
    </w:p>
    <w:p>
      <w:pPr>
        <w:spacing w:line="240" w:lineRule="auto" w:before="4"/>
        <w:rPr>
          <w:rFonts w:ascii="宋体" w:hAnsi="宋体" w:cs="宋体" w:eastAsia="宋体" w:hint="default"/>
          <w:sz w:val="25"/>
          <w:szCs w:val="25"/>
        </w:rPr>
      </w:pPr>
    </w:p>
    <w:p>
      <w:pPr>
        <w:pStyle w:val="BodyText"/>
        <w:spacing w:line="316" w:lineRule="auto"/>
        <w:ind w:right="189" w:firstLine="360"/>
        <w:jc w:val="both"/>
      </w:pPr>
      <w:r>
        <w:rPr>
          <w:rFonts w:ascii="宋体" w:hAnsi="宋体" w:cs="宋体" w:eastAsia="宋体" w:hint="default"/>
          <w:spacing w:val="-5"/>
        </w:rPr>
        <w:t>2.</w:t>
      </w:r>
      <w:r>
        <w:rPr>
          <w:spacing w:val="-5"/>
        </w:rPr>
        <w:t>北京品推宝移动科技有限公司根据《中华人民共和国企业所得税法》（中华人民共和国主席令第</w:t>
      </w:r>
      <w:r>
        <w:rPr>
          <w:rFonts w:ascii="宋体" w:hAnsi="宋体" w:cs="宋体" w:eastAsia="宋体" w:hint="default"/>
          <w:spacing w:val="-5"/>
        </w:rPr>
        <w:t>63</w:t>
      </w:r>
      <w:r>
        <w:rPr>
          <w:spacing w:val="-5"/>
        </w:rPr>
        <w:t>号）第三十条；《中</w:t>
      </w:r>
      <w:r>
        <w:rPr/>
        <w:t> 国人民共和国企业所得税法实施条例》（中华人民共和国国务院令第</w:t>
      </w:r>
      <w:r>
        <w:rPr>
          <w:rFonts w:ascii="宋体" w:hAnsi="宋体" w:cs="宋体" w:eastAsia="宋体" w:hint="default"/>
        </w:rPr>
        <w:t>512</w:t>
      </w:r>
      <w:r>
        <w:rPr/>
        <w:t>号）第九十五条规定，享受为安置残疾人员所支付</w:t>
      </w:r>
      <w:r>
        <w:rPr>
          <w:spacing w:val="-82"/>
        </w:rPr>
        <w:t> </w:t>
      </w:r>
      <w:r>
        <w:rPr>
          <w:spacing w:val="-82"/>
        </w:rPr>
      </w:r>
      <w:r>
        <w:rPr/>
        <w:t>的工资加计扣除</w:t>
      </w:r>
      <w:r>
        <w:rPr>
          <w:rFonts w:ascii="宋体" w:hAnsi="宋体" w:cs="宋体" w:eastAsia="宋体" w:hint="default"/>
        </w:rPr>
        <w:t>100%</w:t>
      </w:r>
      <w:r>
        <w:rPr/>
        <w:t>加计扣除。</w:t>
      </w:r>
    </w:p>
    <w:p>
      <w:pPr>
        <w:spacing w:line="240" w:lineRule="auto" w:before="4"/>
        <w:rPr>
          <w:rFonts w:ascii="宋体" w:hAnsi="宋体" w:cs="宋体" w:eastAsia="宋体" w:hint="default"/>
          <w:sz w:val="25"/>
          <w:szCs w:val="25"/>
        </w:rPr>
      </w:pPr>
    </w:p>
    <w:p>
      <w:pPr>
        <w:pStyle w:val="BodyText"/>
        <w:spacing w:line="316" w:lineRule="auto"/>
        <w:ind w:right="92" w:firstLine="360"/>
        <w:jc w:val="left"/>
      </w:pPr>
      <w:r>
        <w:rPr>
          <w:rFonts w:ascii="宋体" w:hAnsi="宋体" w:cs="宋体" w:eastAsia="宋体" w:hint="default"/>
        </w:rPr>
        <w:t>3.</w:t>
      </w:r>
      <w:r>
        <w:rPr/>
        <w:t>北京英帕沃数字技术有限公司自</w:t>
      </w:r>
      <w:r>
        <w:rPr>
          <w:rFonts w:ascii="宋体" w:hAnsi="宋体" w:cs="宋体" w:eastAsia="宋体" w:hint="default"/>
        </w:rPr>
        <w:t>2017</w:t>
      </w:r>
      <w:r>
        <w:rPr/>
        <w:t>年起符合《中华人民共和国企业所得税法》及其实施条例规定的小型微利企业。 </w:t>
      </w:r>
      <w:r>
        <w:rPr>
          <w:spacing w:val="-2"/>
        </w:rPr>
        <w:t>即对年应纳税所得额低于</w:t>
      </w:r>
      <w:r>
        <w:rPr>
          <w:rFonts w:ascii="宋体" w:hAnsi="宋体" w:cs="宋体" w:eastAsia="宋体" w:hint="default"/>
          <w:spacing w:val="-2"/>
        </w:rPr>
        <w:t>20</w:t>
      </w:r>
      <w:r>
        <w:rPr>
          <w:spacing w:val="-2"/>
        </w:rPr>
        <w:t>万元（含</w:t>
      </w:r>
      <w:r>
        <w:rPr>
          <w:rFonts w:ascii="宋体" w:hAnsi="宋体" w:cs="宋体" w:eastAsia="宋体" w:hint="default"/>
          <w:spacing w:val="-2"/>
        </w:rPr>
        <w:t>20</w:t>
      </w:r>
      <w:r>
        <w:rPr>
          <w:spacing w:val="-2"/>
        </w:rPr>
        <w:t>万元）的小型微利企业，其所得减按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w:t>
      </w:r>
      <w:r>
        <w:rPr>
          <w:spacing w:val="-57"/>
        </w:rPr>
        <w:t> </w:t>
      </w:r>
      <w:r>
        <w:rPr/>
        <w:t>得税。</w:t>
      </w:r>
    </w:p>
    <w:p>
      <w:pPr>
        <w:spacing w:line="240" w:lineRule="auto" w:before="7"/>
        <w:rPr>
          <w:rFonts w:ascii="宋体" w:hAnsi="宋体" w:cs="宋体" w:eastAsia="宋体" w:hint="default"/>
          <w:sz w:val="22"/>
          <w:szCs w:val="22"/>
        </w:rPr>
      </w:pPr>
    </w:p>
    <w:p>
      <w:pPr>
        <w:pStyle w:val="Heading4"/>
        <w:spacing w:line="240" w:lineRule="auto"/>
        <w:ind w:right="92"/>
        <w:jc w:val="left"/>
        <w:rPr>
          <w:b w:val="0"/>
          <w:bCs w:val="0"/>
        </w:rPr>
      </w:pPr>
      <w:bookmarkStart w:name="3、其他" w:id="217"/>
      <w:bookmarkEnd w:id="21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2" w:firstLine="360"/>
        <w:jc w:val="both"/>
      </w:pPr>
      <w:r>
        <w:rPr>
          <w:spacing w:val="-2"/>
        </w:rPr>
        <w:t>宣亚国际品牌管理（北京）股份有限公司、宣亚国际品牌管理（湖南）有限公司、北京品推宝移动科技有限公司、秦皇</w:t>
      </w:r>
      <w:r>
        <w:rPr/>
        <w:t> </w:t>
      </w:r>
      <w:r>
        <w:rPr>
          <w:spacing w:val="-2"/>
        </w:rPr>
        <w:t>岛宣亚公共关系顾问有限公司、北京英帕沃数字技术有限公司、北京宣亚国际品牌咨询有限公司、北京新兵连文化传媒有限</w:t>
      </w:r>
      <w:r>
        <w:rPr>
          <w:spacing w:val="-65"/>
        </w:rPr>
        <w:t> </w:t>
      </w:r>
      <w:r>
        <w:rPr>
          <w:spacing w:val="-65"/>
        </w:rPr>
      </w:r>
      <w:r>
        <w:rPr>
          <w:spacing w:val="-2"/>
        </w:rPr>
        <w:t>公司、珠海宣亚互动数字营销有限公司为增值税一般纳税人，增值税率适用</w:t>
      </w:r>
      <w:r>
        <w:rPr>
          <w:rFonts w:ascii="宋体" w:hAnsi="宋体" w:cs="宋体" w:eastAsia="宋体" w:hint="default"/>
          <w:spacing w:val="-2"/>
        </w:rPr>
        <w:t>6%</w:t>
      </w:r>
      <w:r>
        <w:rPr>
          <w:spacing w:val="-2"/>
        </w:rPr>
        <w:t>计缴；广州宣亚品牌管理有限公司为小规模纳</w:t>
      </w:r>
      <w:r>
        <w:rPr>
          <w:spacing w:val="-64"/>
        </w:rPr>
        <w:t> </w:t>
      </w:r>
      <w:r>
        <w:rPr>
          <w:spacing w:val="-64"/>
        </w:rPr>
      </w:r>
      <w:r>
        <w:rPr/>
        <w:t>税人，增值税适用</w:t>
      </w:r>
      <w:r>
        <w:rPr>
          <w:rFonts w:ascii="宋体" w:hAnsi="宋体" w:cs="宋体" w:eastAsia="宋体" w:hint="default"/>
        </w:rPr>
        <w:t>3%</w:t>
      </w:r>
      <w:r>
        <w:rPr/>
        <w:t>征收率。</w:t>
      </w:r>
    </w:p>
    <w:p>
      <w:pPr>
        <w:spacing w:after="0" w:line="319" w:lineRule="auto"/>
        <w:jc w:val="both"/>
        <w:sectPr>
          <w:pgSz w:w="11910" w:h="16840"/>
          <w:pgMar w:header="867" w:footer="979" w:top="1060" w:bottom="1160" w:left="980" w:right="94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2,198.14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259,038,284.46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106,335,290.21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259,040,480.88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106,337,488.35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1,928,539.47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3,010,751.58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0"/>
        <w:jc w:val="left"/>
        <w:rPr>
          <w:b w:val="0"/>
          <w:bCs w:val="0"/>
        </w:rPr>
      </w:pPr>
      <w:bookmarkStart w:name="2、以公允价值计量且其变动计入当期损益的金融资产" w:id="220"/>
      <w:bookmarkEnd w:id="22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21"/>
      <w:bookmarkEnd w:id="22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应收票据" w:id="222"/>
      <w:bookmarkEnd w:id="22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11,190,167.50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11,190,167.50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公司已质押的应收票据" w:id="224"/>
      <w:bookmarkEnd w:id="22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期末公司已背书或贴现且在资产负债表日尚未到期的应收票据" w:id="225"/>
      <w:bookmarkEnd w:id="22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期末公司因出票人未履约而将其转应收账款的票据" w:id="226"/>
      <w:bookmarkEnd w:id="22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6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left="954" w:right="0"/>
        <w:jc w:val="left"/>
        <w:rPr>
          <w:b w:val="0"/>
          <w:bCs w:val="0"/>
        </w:rPr>
      </w:pPr>
      <w:bookmarkStart w:name="5、应收账款" w:id="227"/>
      <w:bookmarkEnd w:id="22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954" w:right="0"/>
        <w:jc w:val="left"/>
        <w:rPr>
          <w:b w:val="0"/>
          <w:bCs w:val="0"/>
        </w:rPr>
      </w:pPr>
      <w:bookmarkStart w:name="（1）应收账款分类披露" w:id="228"/>
      <w:bookmarkEnd w:id="2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8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12"/>
        <w:gridCol w:w="1288"/>
        <w:gridCol w:w="708"/>
        <w:gridCol w:w="1134"/>
        <w:gridCol w:w="710"/>
        <w:gridCol w:w="1276"/>
        <w:gridCol w:w="1277"/>
        <w:gridCol w:w="708"/>
        <w:gridCol w:w="1134"/>
        <w:gridCol w:w="566"/>
        <w:gridCol w:w="1276"/>
      </w:tblGrid>
      <w:tr>
        <w:trPr>
          <w:trHeight w:val="403"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51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12"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8"/>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的应收账款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3,230,762.00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1.24%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3,230,762.00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257,729,588.05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98.76%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4,034,855.40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253,694,732.65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156,744,647.18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2,516,455.04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154,228,192.14</w:t>
            </w:r>
          </w:p>
        </w:tc>
      </w:tr>
      <w:tr>
        <w:trPr>
          <w:trHeight w:val="1650"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8"/>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260,960,350.05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0" w:right="0"/>
              <w:jc w:val="center"/>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7,265,617.40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253,694,732.65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156,744,647.18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2,516,455.04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154,228,192.14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80" w:right="300"/>
        </w:sectPr>
      </w:pPr>
    </w:p>
    <w:p>
      <w:pPr>
        <w:pStyle w:val="BodyText"/>
        <w:spacing w:line="240" w:lineRule="auto" w:before="51"/>
        <w:ind w:left="954" w:right="-20"/>
        <w:jc w:val="left"/>
      </w:pPr>
      <w:r>
        <w:rPr/>
        <w:t>期末单项金额重大并单项计提坏账准备的应收账款：</w:t>
      </w:r>
    </w:p>
    <w:p>
      <w:pPr>
        <w:pStyle w:val="BodyText"/>
        <w:spacing w:line="240" w:lineRule="auto" w:before="116"/>
        <w:ind w:left="9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953" w:right="0"/>
        <w:jc w:val="left"/>
      </w:pPr>
      <w:r>
        <w:rPr/>
        <w:t>单位： 元</w:t>
      </w:r>
    </w:p>
    <w:p>
      <w:pPr>
        <w:spacing w:after="0" w:line="240" w:lineRule="auto"/>
        <w:jc w:val="left"/>
        <w:sectPr>
          <w:type w:val="continuous"/>
          <w:pgSz w:w="11910" w:h="16840"/>
          <w:pgMar w:top="1060" w:bottom="1160" w:left="180" w:right="300"/>
          <w:cols w:num="2" w:equalWidth="0">
            <w:col w:w="5095" w:space="3735"/>
            <w:col w:w="2600"/>
          </w:cols>
        </w:sectPr>
      </w:pPr>
    </w:p>
    <w:p>
      <w:pPr>
        <w:spacing w:line="240" w:lineRule="auto" w:before="13"/>
        <w:rPr>
          <w:rFonts w:ascii="宋体" w:hAnsi="宋体" w:cs="宋体" w:eastAsia="宋体" w:hint="default"/>
          <w:sz w:val="7"/>
          <w:szCs w:val="7"/>
        </w:rPr>
      </w:pPr>
    </w:p>
    <w:tbl>
      <w:tblPr>
        <w:tblW w:w="0" w:type="auto"/>
        <w:jc w:val="left"/>
        <w:tblInd w:w="9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乐视控股（北京）有限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1,803,003.00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1,803,003.00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乐视体育文化产业发展</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法乐第（北京）网络科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1,328,259.00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1,328,259.00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3,230,762.00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3,230,762.00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80" w:right="300"/>
        </w:sectPr>
      </w:pPr>
    </w:p>
    <w:p>
      <w:pPr>
        <w:pStyle w:val="BodyText"/>
        <w:spacing w:line="240" w:lineRule="auto" w:before="51"/>
        <w:ind w:left="954" w:right="-20"/>
        <w:jc w:val="left"/>
      </w:pPr>
      <w:r>
        <w:rPr/>
        <w:t>组合中，按账龄分析法计提坏账准备的应收账款：</w:t>
      </w:r>
    </w:p>
    <w:p>
      <w:pPr>
        <w:pStyle w:val="BodyText"/>
        <w:spacing w:line="240" w:lineRule="auto" w:before="117"/>
        <w:ind w:left="9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953" w:right="0"/>
        <w:jc w:val="left"/>
      </w:pPr>
      <w:r>
        <w:rPr/>
        <w:t>单位： 元</w:t>
      </w:r>
    </w:p>
    <w:p>
      <w:pPr>
        <w:spacing w:after="0" w:line="240" w:lineRule="auto"/>
        <w:jc w:val="left"/>
        <w:sectPr>
          <w:type w:val="continuous"/>
          <w:pgSz w:w="11910" w:h="16840"/>
          <w:pgMar w:top="1060" w:bottom="1160" w:left="180" w:right="300"/>
          <w:cols w:num="2" w:equalWidth="0">
            <w:col w:w="4915" w:space="3915"/>
            <w:col w:w="2600"/>
          </w:cols>
        </w:sectPr>
      </w:pPr>
    </w:p>
    <w:p>
      <w:pPr>
        <w:spacing w:line="240" w:lineRule="auto" w:before="1"/>
        <w:rPr>
          <w:rFonts w:ascii="宋体" w:hAnsi="宋体" w:cs="宋体" w:eastAsia="宋体" w:hint="default"/>
          <w:sz w:val="8"/>
          <w:szCs w:val="8"/>
        </w:rPr>
      </w:pPr>
    </w:p>
    <w:tbl>
      <w:tblPr>
        <w:tblW w:w="0" w:type="auto"/>
        <w:jc w:val="left"/>
        <w:tblInd w:w="9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180" w:right="3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230,088,570.78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21,546,162.86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1,077,308.15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4,481,867.37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1,344,560.21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1,612,987.04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1,612,987.04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257,729,588.05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4,034,855.40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672"/>
        <w:jc w:val="left"/>
      </w:pPr>
      <w:r>
        <w:rPr/>
        <w:t>确定该组合依据的说明： </w:t>
      </w:r>
      <w:r>
        <w:rPr>
          <w:spacing w:val="-1"/>
        </w:rPr>
        <w:t>确定该组合依据的说明详见</w:t>
      </w:r>
      <w:r>
        <w:rPr>
          <w:rFonts w:ascii="Times New Roman" w:hAnsi="Times New Roman" w:cs="Times New Roman" w:eastAsia="Times New Roman" w:hint="default"/>
          <w:spacing w:val="-1"/>
        </w:rPr>
        <w:t>“</w:t>
      </w:r>
      <w:r>
        <w:rPr>
          <w:spacing w:val="-1"/>
        </w:rPr>
        <w:t>本附注五、重要会计政策及会计估计（</w:t>
      </w:r>
      <w:r>
        <w:rPr>
          <w:rFonts w:ascii="Times New Roman" w:hAnsi="Times New Roman" w:cs="Times New Roman" w:eastAsia="Times New Roman" w:hint="default"/>
          <w:spacing w:val="-1"/>
        </w:rPr>
        <w:t>11</w:t>
      </w:r>
      <w:r>
        <w:rPr>
          <w:spacing w:val="-1"/>
        </w:rPr>
        <w:t>）应收帐款</w:t>
      </w:r>
      <w:r>
        <w:rPr>
          <w:rFonts w:ascii="Times New Roman" w:hAnsi="Times New Roman" w:cs="Times New Roman" w:eastAsia="Times New Roman" w:hint="default"/>
          <w:spacing w:val="-1"/>
        </w:rPr>
        <w:t>”</w:t>
      </w:r>
      <w:r>
        <w:rPr>
          <w:spacing w:val="-1"/>
        </w:rPr>
        <w:t>。</w:t>
      </w:r>
    </w:p>
    <w:p>
      <w:pPr>
        <w:spacing w:line="240" w:lineRule="auto" w:before="4"/>
        <w:rPr>
          <w:rFonts w:ascii="宋体" w:hAnsi="宋体" w:cs="宋体" w:eastAsia="宋体" w:hint="default"/>
          <w:sz w:val="24"/>
          <w:szCs w:val="24"/>
        </w:rPr>
      </w:pPr>
    </w:p>
    <w:p>
      <w:pPr>
        <w:pStyle w:val="BodyText"/>
        <w:spacing w:line="240" w:lineRule="auto"/>
        <w:ind w:right="0"/>
        <w:jc w:val="left"/>
      </w:pPr>
      <w:r>
        <w:rPr/>
        <w:t>组合中，采用余额百分比法计提坏账准备的应收账款：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29"/>
      <w:bookmarkEnd w:id="2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4,749,162.36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847,539.94</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本期实际核销的应收账款情况" w:id="230"/>
      <w:bookmarkEnd w:id="2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公司报告期内无实际核销的应收账款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按欠款方归集的期末余额前五名的应收账款情况" w:id="231"/>
      <w:bookmarkEnd w:id="23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12"/>
        <w:jc w:val="left"/>
      </w:pPr>
      <w:r>
        <w:rPr/>
        <w:t>公司是否需要遵守特殊行业的披露要求 否</w:t>
      </w:r>
    </w:p>
    <w:tbl>
      <w:tblPr>
        <w:tblW w:w="0" w:type="auto"/>
        <w:jc w:val="left"/>
        <w:tblInd w:w="755" w:type="dxa"/>
        <w:tblLayout w:type="fixed"/>
        <w:tblCellMar>
          <w:top w:w="0" w:type="dxa"/>
          <w:left w:w="0" w:type="dxa"/>
          <w:bottom w:w="0" w:type="dxa"/>
          <w:right w:w="0" w:type="dxa"/>
        </w:tblCellMar>
        <w:tblLook w:val="01E0"/>
      </w:tblPr>
      <w:tblGrid>
        <w:gridCol w:w="2786"/>
        <w:gridCol w:w="1659"/>
        <w:gridCol w:w="2747"/>
        <w:gridCol w:w="996"/>
      </w:tblGrid>
      <w:tr>
        <w:trPr>
          <w:trHeight w:val="342"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债务人名称</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4"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1" w:right="0"/>
              <w:jc w:val="left"/>
              <w:rPr>
                <w:rFonts w:ascii="宋体" w:hAnsi="宋体" w:cs="宋体" w:eastAsia="宋体" w:hint="default"/>
                <w:sz w:val="16"/>
                <w:szCs w:val="16"/>
              </w:rPr>
            </w:pPr>
            <w:r>
              <w:rPr>
                <w:rFonts w:ascii="宋体" w:hAnsi="宋体" w:cs="宋体" w:eastAsia="宋体" w:hint="default"/>
                <w:sz w:val="16"/>
                <w:szCs w:val="16"/>
              </w:rPr>
              <w:t>占应收账款合计的比例（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72"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342"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东风日产汽车销售有限公司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41,253,842.27</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15.81</w:t>
            </w:r>
            <w:r>
              <w:rPr>
                <w:rFonts w:ascii="Times New Roman"/>
                <w:sz w:val="16"/>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100,470.40</w:t>
            </w:r>
            <w:r>
              <w:rPr>
                <w:rFonts w:ascii="Times New Roman"/>
                <w:sz w:val="16"/>
              </w:rPr>
            </w:r>
          </w:p>
        </w:tc>
      </w:tr>
      <w:tr>
        <w:trPr>
          <w:trHeight w:val="342"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长安福特汽车有限公司销售分公司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32,063,695.00</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12.29</w:t>
            </w:r>
            <w:r>
              <w:rPr>
                <w:rFonts w:ascii="Times New Roman"/>
                <w:sz w:val="16"/>
              </w:rPr>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长安马自达汽车销售分公司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29,081,880.84</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11.14</w:t>
            </w:r>
            <w:r>
              <w:rPr>
                <w:rFonts w:ascii="Times New Roman"/>
                <w:sz w:val="16"/>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93,122.80</w:t>
            </w:r>
          </w:p>
        </w:tc>
      </w:tr>
      <w:tr>
        <w:trPr>
          <w:trHeight w:val="342"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中维地产海南有限公司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20,000,000.00</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7.66</w:t>
            </w:r>
            <w:r>
              <w:rPr>
                <w:rFonts w:ascii="Times New Roman"/>
                <w:sz w:val="16"/>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500,000.00</w:t>
            </w:r>
            <w:r>
              <w:rPr>
                <w:rFonts w:ascii="Times New Roman"/>
                <w:sz w:val="16"/>
              </w:rPr>
            </w:r>
          </w:p>
        </w:tc>
      </w:tr>
      <w:tr>
        <w:trPr>
          <w:trHeight w:val="342"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比亚迪汽车销售有限公司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17,298,314.00</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6.63</w:t>
            </w:r>
            <w:r>
              <w:rPr>
                <w:rFonts w:ascii="Times New Roman"/>
                <w:sz w:val="16"/>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48,655.70</w:t>
            </w:r>
          </w:p>
        </w:tc>
      </w:tr>
      <w:tr>
        <w:trPr>
          <w:trHeight w:val="342"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
              <w:jc w:val="right"/>
              <w:rPr>
                <w:rFonts w:ascii="Times New Roman" w:hAnsi="Times New Roman" w:cs="Times New Roman" w:eastAsia="Times New Roman" w:hint="default"/>
                <w:sz w:val="16"/>
                <w:szCs w:val="16"/>
              </w:rPr>
            </w:pPr>
            <w:r>
              <w:rPr>
                <w:rFonts w:ascii="Times New Roman"/>
                <w:spacing w:val="-1"/>
                <w:sz w:val="16"/>
              </w:rPr>
              <w:t>139,697,732.11</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53.53</w:t>
            </w:r>
            <w:r>
              <w:rPr>
                <w:rFonts w:ascii="Times New Roman"/>
                <w:sz w:val="16"/>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742,248.90</w:t>
            </w:r>
            <w:r>
              <w:rPr>
                <w:rFonts w:ascii="Times New Roman"/>
                <w:sz w:val="16"/>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before="35"/>
        <w:ind w:right="0"/>
        <w:jc w:val="left"/>
        <w:rPr>
          <w:b w:val="0"/>
          <w:bCs w:val="0"/>
        </w:rPr>
      </w:pPr>
      <w:bookmarkStart w:name="（5）因金融资产转移而终止确认的应收账款" w:id="232"/>
      <w:bookmarkEnd w:id="23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公司报告期各期末无因金融资产转移而终止确认的应收账款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转移应收账款且继续涉入形成的资产、负债金额" w:id="233"/>
      <w:bookmarkEnd w:id="23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公司报告期各期末无转移应收账款且继续涉入形成的资产、负债</w:t>
      </w:r>
    </w:p>
    <w:p>
      <w:pPr>
        <w:spacing w:after="0" w:line="240" w:lineRule="auto"/>
        <w:jc w:val="left"/>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left="394" w:right="0"/>
        <w:jc w:val="left"/>
        <w:rPr>
          <w:b w:val="0"/>
          <w:bCs w:val="0"/>
        </w:rPr>
      </w:pPr>
      <w:bookmarkStart w:name="6、预付款项" w:id="234"/>
      <w:bookmarkEnd w:id="23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50"/>
        <w:jc w:val="right"/>
      </w:pPr>
      <w:r>
        <w:rPr/>
        <w:t>单位： 元</w:t>
      </w:r>
    </w:p>
    <w:p>
      <w:pPr>
        <w:spacing w:line="240" w:lineRule="auto" w:before="13"/>
        <w:rPr>
          <w:rFonts w:ascii="宋体" w:hAnsi="宋体" w:cs="宋体" w:eastAsia="宋体" w:hint="default"/>
          <w:sz w:val="7"/>
          <w:szCs w:val="7"/>
        </w:rPr>
      </w:pPr>
    </w:p>
    <w:tbl>
      <w:tblPr>
        <w:tblW w:w="0" w:type="auto"/>
        <w:jc w:val="left"/>
        <w:tblInd w:w="40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126,377.11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706,418.63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2,353,846.16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76.92%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126,573.98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3,060,264.79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394" w:right="0"/>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995" w:type="dxa"/>
        <w:tblLayout w:type="fixed"/>
        <w:tblCellMar>
          <w:top w:w="0" w:type="dxa"/>
          <w:left w:w="0" w:type="dxa"/>
          <w:bottom w:w="0" w:type="dxa"/>
          <w:right w:w="0" w:type="dxa"/>
        </w:tblCellMar>
        <w:tblLook w:val="01E0"/>
      </w:tblPr>
      <w:tblGrid>
        <w:gridCol w:w="2514"/>
        <w:gridCol w:w="1844"/>
        <w:gridCol w:w="2409"/>
        <w:gridCol w:w="1276"/>
      </w:tblGrid>
      <w:tr>
        <w:trPr>
          <w:trHeight w:val="342" w:hRule="exact"/>
        </w:trPr>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债务人名称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96"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2" w:right="0"/>
              <w:jc w:val="left"/>
              <w:rPr>
                <w:rFonts w:ascii="宋体" w:hAnsi="宋体" w:cs="宋体" w:eastAsia="宋体" w:hint="default"/>
                <w:sz w:val="16"/>
                <w:szCs w:val="16"/>
              </w:rPr>
            </w:pPr>
            <w:r>
              <w:rPr>
                <w:rFonts w:ascii="宋体" w:hAnsi="宋体" w:cs="宋体" w:eastAsia="宋体" w:hint="default"/>
                <w:sz w:val="16"/>
                <w:szCs w:val="16"/>
              </w:rPr>
              <w:t>占预付款项合计的比例（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13"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342" w:hRule="exact"/>
        </w:trPr>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期末余额前五名的汇总金额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126,573.98</w:t>
            </w:r>
            <w:r>
              <w:rPr>
                <w:rFonts w:ascii="Times New Roman"/>
                <w:sz w:val="16"/>
              </w:rPr>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126,573.98</w:t>
            </w:r>
            <w:r>
              <w:rPr>
                <w:rFonts w:ascii="Times New Roman"/>
                <w:sz w:val="16"/>
              </w:rPr>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left="394" w:right="0"/>
        <w:jc w:val="left"/>
        <w:rPr>
          <w:b w:val="0"/>
          <w:bCs w:val="0"/>
        </w:rPr>
      </w:pPr>
      <w:bookmarkStart w:name="7、应收利息" w:id="237"/>
      <w:bookmarkEnd w:id="23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left="394" w:right="0"/>
        <w:jc w:val="left"/>
        <w:rPr>
          <w:b w:val="0"/>
          <w:bCs w:val="0"/>
        </w:rPr>
      </w:pPr>
      <w:bookmarkStart w:name="8、应收股利" w:id="238"/>
      <w:bookmarkEnd w:id="23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left="394" w:right="0"/>
        <w:jc w:val="left"/>
        <w:rPr>
          <w:b w:val="0"/>
          <w:bCs w:val="0"/>
        </w:rPr>
      </w:pPr>
      <w:bookmarkStart w:name="9、其他应收款" w:id="239"/>
      <w:bookmarkEnd w:id="239"/>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BodyText"/>
        <w:spacing w:line="240" w:lineRule="auto" w:before="44"/>
        <w:ind w:left="0" w:right="550"/>
        <w:jc w:val="right"/>
      </w:pPr>
      <w:r>
        <w:rPr/>
        <w:t>单位： 元</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919"/>
        <w:gridCol w:w="1201"/>
        <w:gridCol w:w="851"/>
        <w:gridCol w:w="567"/>
        <w:gridCol w:w="568"/>
        <w:gridCol w:w="1134"/>
        <w:gridCol w:w="1276"/>
        <w:gridCol w:w="708"/>
        <w:gridCol w:w="426"/>
        <w:gridCol w:w="568"/>
        <w:gridCol w:w="1134"/>
      </w:tblGrid>
      <w:tr>
        <w:trPr>
          <w:trHeight w:val="397" w:hRule="exact"/>
        </w:trPr>
        <w:tc>
          <w:tcPr>
            <w:tcW w:w="1919" w:type="dxa"/>
            <w:vMerge w:val="restart"/>
            <w:tcBorders>
              <w:top w:val="single" w:sz="4" w:space="0" w:color="000000"/>
              <w:left w:val="single" w:sz="4" w:space="0" w:color="000000"/>
              <w:right w:val="single" w:sz="4" w:space="0" w:color="000000"/>
            </w:tcBorders>
            <w:shd w:val="clear" w:color="auto" w:fill="D2D2D2"/>
          </w:tcPr>
          <w:p>
            <w:pPr/>
          </w:p>
        </w:tc>
        <w:tc>
          <w:tcPr>
            <w:tcW w:w="43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919" w:type="dxa"/>
            <w:vMerge/>
            <w:tcBorders>
              <w:left w:val="single" w:sz="4" w:space="0" w:color="000000"/>
              <w:bottom w:val="nil" w:sz="6" w:space="0" w:color="auto"/>
              <w:right w:val="single" w:sz="4" w:space="0" w:color="000000"/>
            </w:tcBorders>
            <w:shd w:val="clear" w:color="auto" w:fill="D2D2D2"/>
          </w:tcPr>
          <w:p>
            <w:pPr/>
          </w:p>
        </w:tc>
        <w:tc>
          <w:tcPr>
            <w:tcW w:w="20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52"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919" w:type="dxa"/>
            <w:vMerge/>
            <w:tcBorders>
              <w:left w:val="single" w:sz="4" w:space="0" w:color="000000"/>
              <w:bottom w:val="single" w:sz="4" w:space="0" w:color="FFFFFF"/>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919" w:type="dxa"/>
            <w:vMerge w:val="restart"/>
            <w:tcBorders>
              <w:top w:val="single" w:sz="4" w:space="0" w:color="FFFFFF"/>
              <w:left w:val="single" w:sz="4" w:space="0" w:color="000000"/>
              <w:right w:val="single" w:sz="4" w:space="0" w:color="000000"/>
            </w:tcBorders>
            <w:shd w:val="clear" w:color="auto" w:fill="D2D2D2"/>
          </w:tcPr>
          <w:p>
            <w:pPr/>
          </w:p>
        </w:tc>
        <w:tc>
          <w:tcPr>
            <w:tcW w:w="120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919"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19"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83"/>
              <w:jc w:val="both"/>
              <w:rPr>
                <w:rFonts w:ascii="宋体" w:hAnsi="宋体" w:cs="宋体" w:eastAsia="宋体" w:hint="default"/>
                <w:sz w:val="18"/>
                <w:szCs w:val="18"/>
              </w:rPr>
            </w:pPr>
            <w:r>
              <w:rPr>
                <w:rFonts w:ascii="宋体" w:hAnsi="宋体" w:cs="宋体" w:eastAsia="宋体" w:hint="default"/>
                <w:sz w:val="18"/>
                <w:szCs w:val="18"/>
              </w:rPr>
              <w:t>按信用风险特征组合计 提坏账准备的其他应收 款</w:t>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18,518,926.70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18,518,926.70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3,720,011.18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3,720,011.18</w:t>
            </w:r>
          </w:p>
        </w:tc>
      </w:tr>
      <w:tr>
        <w:trPr>
          <w:trHeight w:val="402" w:hRule="exact"/>
        </w:trPr>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18,518,926.70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18,518,926.70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3,720,011.18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3,720,011.18</w:t>
            </w:r>
          </w:p>
        </w:tc>
      </w:tr>
    </w:tbl>
    <w:p>
      <w:pPr>
        <w:pStyle w:val="BodyText"/>
        <w:spacing w:line="240" w:lineRule="auto" w:before="51"/>
        <w:ind w:left="394" w:right="0"/>
        <w:jc w:val="left"/>
      </w:pPr>
      <w:r>
        <w:rPr/>
        <w:t>期末单项金额重大并单项计提坏账准备的其他应收款：</w:t>
      </w:r>
    </w:p>
    <w:p>
      <w:pPr>
        <w:spacing w:after="0" w:line="240" w:lineRule="auto"/>
        <w:jc w:val="left"/>
        <w:sectPr>
          <w:pgSz w:w="11910" w:h="16840"/>
          <w:pgMar w:header="867" w:footer="979" w:top="1060" w:bottom="1160" w:left="740" w:right="580"/>
        </w:sectPr>
      </w:pPr>
    </w:p>
    <w:p>
      <w:pPr>
        <w:spacing w:line="240" w:lineRule="auto" w:before="13"/>
        <w:rPr>
          <w:rFonts w:ascii="宋体" w:hAnsi="宋体" w:cs="宋体" w:eastAsia="宋体" w:hint="default"/>
          <w:sz w:val="25"/>
          <w:szCs w:val="25"/>
        </w:rPr>
      </w:pPr>
    </w:p>
    <w:p>
      <w:pPr>
        <w:pStyle w:val="BodyText"/>
        <w:spacing w:line="338" w:lineRule="auto" w:before="44"/>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3"/>
        <w:ind w:right="5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本期实际核销的其他应收款情况" w:id="242"/>
      <w:bookmarkEnd w:id="24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报告期内无实际核销的其他应收款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应收款按款项性质分类情况" w:id="243"/>
      <w:bookmarkEnd w:id="24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1,119,186.10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1,520,389.76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2,491,426.58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2,153,635.98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代垫代扣款项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45,985.44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18,518,926.70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3,720,011.18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244"/>
      <w:bookmarkEnd w:id="24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北京缤缔文化传播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程乐松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北京国棉文化创意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956,842.66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9"/>
              <w:jc w:val="left"/>
              <w:rPr>
                <w:rFonts w:ascii="宋体" w:hAnsi="宋体" w:cs="宋体" w:eastAsia="宋体" w:hint="default"/>
                <w:sz w:val="18"/>
                <w:szCs w:val="18"/>
              </w:rPr>
            </w:pPr>
            <w:r>
              <w:rPr>
                <w:rFonts w:ascii="宋体" w:hAnsi="宋体" w:cs="宋体" w:eastAsia="宋体" w:hint="default"/>
                <w:sz w:val="18"/>
                <w:szCs w:val="18"/>
              </w:rPr>
              <w:t>上海长峰房地产开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478,057.50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东风（武汉</w:t>
            </w:r>
            <w:r>
              <w:rPr>
                <w:rFonts w:ascii="Times New Roman" w:hAnsi="Times New Roman" w:cs="Times New Roman" w:eastAsia="Times New Roman" w:hint="default"/>
                <w:sz w:val="18"/>
                <w:szCs w:val="18"/>
              </w:rPr>
              <w:t>)</w:t>
            </w:r>
            <w:r>
              <w:rPr>
                <w:rFonts w:ascii="宋体" w:hAnsi="宋体" w:cs="宋体" w:eastAsia="宋体" w:hint="default"/>
                <w:sz w:val="18"/>
                <w:szCs w:val="18"/>
              </w:rPr>
              <w:t>工程咨 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194,017.00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97"/>
        <w:gridCol w:w="1594"/>
        <w:gridCol w:w="1606"/>
        <w:gridCol w:w="1582"/>
        <w:gridCol w:w="1596"/>
        <w:gridCol w:w="1595"/>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16,528,917.16</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89.26%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245"/>
      <w:bookmarkEnd w:id="24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公司报告期各期末无涉及政府补助的其他应收款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因金融资产转移而终止确认的其他应收款" w:id="246"/>
      <w:bookmarkEnd w:id="24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公司报告期各期末无因金融资产转移而终止确认的其他应收款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转移其他应收款且继续涉入形成的资产、负债金额" w:id="247"/>
      <w:bookmarkEnd w:id="24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公司报告期各期末无转移其他应收款且继续涉入形成的资产、负债</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0、存货" w:id="248"/>
      <w:bookmarkEnd w:id="248"/>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53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8,564,171.78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7,503,501.31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15,469,288.14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15,469,288.14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8,564,171.78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7,503,501.31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15,469,288.14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15,469,288.14</w:t>
            </w:r>
          </w:p>
        </w:tc>
      </w:tr>
    </w:tbl>
    <w:p>
      <w:pPr>
        <w:pStyle w:val="BodyText"/>
        <w:spacing w:line="338" w:lineRule="auto" w:before="51"/>
        <w:ind w:right="149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5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7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1,060,670.47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1,060,670.47</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存货期末余额含有借款费用资本化金额的说明" w:id="251"/>
      <w:bookmarkEnd w:id="25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期末建造合同形成的已完工未结算资产情况" w:id="252"/>
      <w:bookmarkEnd w:id="25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1、持有待售的资产" w:id="253"/>
      <w:bookmarkEnd w:id="253"/>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2、一年内到期的非流动资产" w:id="254"/>
      <w:bookmarkEnd w:id="25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55"/>
      <w:bookmarkEnd w:id="25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1,788,307.28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1,010,760.60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232,796.80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220,698.41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561,213.71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2,030,094.31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1,792,672.72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4、可供出售金融资产" w:id="256"/>
      <w:bookmarkEnd w:id="256"/>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57"/>
      <w:bookmarkEnd w:id="25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0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1,923,934.95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1,923,934.95</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1,923,934.95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1,923,934.95</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1,923,934.95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1,923,934.95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成本计量的可供出售金融资产" w:id="258"/>
      <w:bookmarkEnd w:id="258"/>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1134"/>
        <w:gridCol w:w="851"/>
        <w:gridCol w:w="1134"/>
        <w:gridCol w:w="566"/>
        <w:gridCol w:w="413"/>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2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69" w:right="68"/>
              <w:jc w:val="left"/>
              <w:rPr>
                <w:rFonts w:ascii="宋体" w:hAnsi="宋体" w:cs="宋体" w:eastAsia="宋体" w:hint="default"/>
                <w:sz w:val="18"/>
                <w:szCs w:val="18"/>
              </w:rPr>
            </w:pPr>
            <w:r>
              <w:rPr>
                <w:rFonts w:ascii="宋体" w:hAnsi="宋体" w:cs="宋体" w:eastAsia="宋体" w:hint="default"/>
                <w:sz w:val="18"/>
                <w:szCs w:val="18"/>
              </w:rPr>
              <w:t>在被投资 单位持股</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2"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1134"/>
        <w:gridCol w:w="851"/>
        <w:gridCol w:w="1134"/>
        <w:gridCol w:w="566"/>
        <w:gridCol w:w="413"/>
        <w:gridCol w:w="870"/>
        <w:gridCol w:w="870"/>
        <w:gridCol w:w="870"/>
        <w:gridCol w:w="870"/>
      </w:tblGrid>
      <w:tr>
        <w:trPr>
          <w:trHeight w:val="98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1" w:right="109"/>
              <w:jc w:val="both"/>
              <w:rPr>
                <w:rFonts w:ascii="宋体" w:hAnsi="宋体" w:cs="宋体" w:eastAsia="宋体" w:hint="default"/>
                <w:sz w:val="18"/>
                <w:szCs w:val="18"/>
              </w:rPr>
            </w:pPr>
            <w:r>
              <w:rPr>
                <w:rFonts w:ascii="宋体" w:hAnsi="宋体" w:cs="宋体" w:eastAsia="宋体" w:hint="default"/>
                <w:sz w:val="18"/>
                <w:szCs w:val="18"/>
              </w:rPr>
              <w:t>期 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秒啊（北 京）科技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8"/>
              <w:jc w:val="left"/>
              <w:rPr>
                <w:rFonts w:ascii="Times New Roman" w:hAnsi="Times New Roman" w:cs="Times New Roman" w:eastAsia="Times New Roman" w:hint="default"/>
                <w:sz w:val="18"/>
                <w:szCs w:val="18"/>
              </w:rPr>
            </w:pPr>
            <w:r>
              <w:rPr>
                <w:rFonts w:ascii="Times New Roman"/>
                <w:sz w:val="18"/>
              </w:rPr>
              <w:t>MUHO</w:t>
            </w:r>
            <w:r>
              <w:rPr>
                <w:rFonts w:ascii="Times New Roman"/>
                <w:spacing w:val="-1"/>
                <w:w w:val="99"/>
                <w:sz w:val="18"/>
              </w:rPr>
              <w:t> </w:t>
            </w:r>
            <w:r>
              <w:rPr>
                <w:rFonts w:ascii="Times New Roman"/>
                <w:sz w:val="18"/>
              </w:rPr>
              <w:t>LIMITED</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1,923,934.95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35,240.84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1,888,694.11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1,923,934.95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35,240.84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right="0"/>
        <w:jc w:val="left"/>
      </w:pPr>
      <w:r>
        <w:rPr>
          <w:rFonts w:ascii="Times New Roman" w:hAnsi="Times New Roman" w:cs="Times New Roman" w:eastAsia="Times New Roman" w:hint="default"/>
        </w:rPr>
        <w:t>MUHO</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本年减少额</w:t>
      </w:r>
      <w:r>
        <w:rPr>
          <w:rFonts w:ascii="Times New Roman" w:hAnsi="Times New Roman" w:cs="Times New Roman" w:eastAsia="Times New Roman" w:hint="default"/>
        </w:rPr>
        <w:t>35,240.84</w:t>
      </w:r>
      <w:r>
        <w:rPr/>
        <w:t>为汇率变化</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5、持有至到期投资" w:id="259"/>
      <w:bookmarkEnd w:id="259"/>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6、长期应收款" w:id="260"/>
      <w:bookmarkEnd w:id="260"/>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7、长期股权投资" w:id="261"/>
      <w:bookmarkEnd w:id="261"/>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1048"/>
        <w:gridCol w:w="547"/>
        <w:gridCol w:w="587"/>
        <w:gridCol w:w="1276"/>
        <w:gridCol w:w="532"/>
        <w:gridCol w:w="798"/>
        <w:gridCol w:w="798"/>
        <w:gridCol w:w="798"/>
        <w:gridCol w:w="798"/>
        <w:gridCol w:w="1096"/>
        <w:gridCol w:w="500"/>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0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7" w:right="107"/>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93"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9"/>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6"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北京威维 体育文化 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5,220,591.55</w:t>
            </w:r>
          </w:p>
        </w:tc>
        <w:tc>
          <w:tcPr>
            <w:tcW w:w="54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2,262,959.47</w:t>
            </w:r>
          </w:p>
        </w:tc>
        <w:tc>
          <w:tcPr>
            <w:tcW w:w="53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7,483,551.02</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5,220,591.55</w:t>
            </w:r>
          </w:p>
        </w:tc>
        <w:tc>
          <w:tcPr>
            <w:tcW w:w="54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2,262,959.47</w:t>
            </w:r>
          </w:p>
        </w:tc>
        <w:tc>
          <w:tcPr>
            <w:tcW w:w="53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7,483,551.02</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5,220,591.55</w:t>
            </w:r>
          </w:p>
        </w:tc>
        <w:tc>
          <w:tcPr>
            <w:tcW w:w="54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2,262,959.47</w:t>
            </w:r>
          </w:p>
        </w:tc>
        <w:tc>
          <w:tcPr>
            <w:tcW w:w="53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7,483,551.02</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8、投资性房地产" w:id="262"/>
      <w:bookmarkEnd w:id="262"/>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63"/>
      <w:bookmarkEnd w:id="26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6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采用公允价值计量模式的投资性房地产" w:id="264"/>
      <w:bookmarkEnd w:id="26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65"/>
      <w:bookmarkEnd w:id="26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9、固定资产" w:id="266"/>
      <w:bookmarkEnd w:id="266"/>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267"/>
      <w:bookmarkEnd w:id="26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9,903,334.47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1,555,718.32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5,897,284.97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17,374,191.76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40,888.87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258,541.75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3,681,975.24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4,431,405.86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258,541.75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3,681,975.24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4,431,405.86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573,589.20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573,589.20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573,589.20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573,589.20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9,779,745.27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1,596,607.19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6,155,826.72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3,681,975.24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21,232,008.42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4,112,008.18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1,470,018.32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4,517,249.95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10,116,237.75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1,719,071.98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35,398.53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588,058.27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138,074.04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2,480,602.82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1,719,071.98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35,398.53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588,058.27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138,074.04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2,480,602.82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310,737.87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310,737.87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310,737.87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310,737.87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5,520,342.29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1,505,416.85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5,105,308.22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138,074.04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12,286,102.70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4,259,402.98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91,190.34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1,050,518.50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3,543,901.20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8,945,905.72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5,791,326.29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1,380,035.02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7,257,954.01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68"/>
      <w:bookmarkEnd w:id="26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通过融资租赁租入的固定资产情况" w:id="269"/>
      <w:bookmarkEnd w:id="26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通过经营租赁租出的固定资产" w:id="270"/>
      <w:bookmarkEnd w:id="27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Heading4"/>
        <w:spacing w:line="240" w:lineRule="auto"/>
        <w:ind w:right="0"/>
        <w:jc w:val="left"/>
        <w:rPr>
          <w:b w:val="0"/>
          <w:bCs w:val="0"/>
        </w:rPr>
      </w:pPr>
      <w:bookmarkStart w:name="（5）未办妥产权证书的固定资产情况" w:id="271"/>
      <w:bookmarkEnd w:id="27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房屋及建筑物（宣亚国际品牌管理（湖 南）有限公司）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3,543,901.20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0、在建工程" w:id="272"/>
      <w:bookmarkEnd w:id="272"/>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1、工程物资" w:id="273"/>
      <w:bookmarkEnd w:id="273"/>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2、固定资产清理" w:id="274"/>
      <w:bookmarkEnd w:id="274"/>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275"/>
      <w:bookmarkEnd w:id="275"/>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76"/>
      <w:bookmarkEnd w:id="27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77"/>
      <w:bookmarkEnd w:id="27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4、油气资产" w:id="278"/>
      <w:bookmarkEnd w:id="278"/>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5、无形资产" w:id="279"/>
      <w:bookmarkEnd w:id="279"/>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80"/>
      <w:bookmarkEnd w:id="28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2,880,000.00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12,019,909.42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14,899,909.42</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7,094.02</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7,094.02</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12,027,003.44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14,907,003.44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10,656,466.14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11,832,466.14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675,656.44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963,656.44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675,656.44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963,656.44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11,332,122.58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12,796,122.58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694,880.86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2,110,880.86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1,363,443.28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3,067,443.28</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81"/>
      <w:bookmarkEnd w:id="28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6、开发支出" w:id="282"/>
      <w:bookmarkEnd w:id="282"/>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7、商誉" w:id="283"/>
      <w:bookmarkEnd w:id="283"/>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84"/>
      <w:bookmarkEnd w:id="28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74"/>
        <w:gridCol w:w="1288"/>
        <w:gridCol w:w="1134"/>
        <w:gridCol w:w="1073"/>
        <w:gridCol w:w="1367"/>
        <w:gridCol w:w="1367"/>
        <w:gridCol w:w="1367"/>
      </w:tblGrid>
      <w:tr>
        <w:trPr>
          <w:trHeight w:val="714"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6" w:right="75" w:hanging="451"/>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97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北京宣亚国际品牌咨询 有限公司－非同一控制 下企业合并形成</w:t>
            </w:r>
          </w:p>
        </w:tc>
        <w:tc>
          <w:tcPr>
            <w:tcW w:w="1288"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663,918.71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663,918.71</w:t>
            </w:r>
          </w:p>
        </w:tc>
      </w:tr>
      <w:tr>
        <w:trPr>
          <w:trHeight w:val="1026" w:hRule="exact"/>
        </w:trPr>
        <w:tc>
          <w:tcPr>
            <w:tcW w:w="197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北京新兵连文化传媒有 限公司－非同一控制下 企业合并形成</w:t>
            </w:r>
          </w:p>
        </w:tc>
        <w:tc>
          <w:tcPr>
            <w:tcW w:w="1288"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134,772.35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134,772.35</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798,691.06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798,691.06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85"/>
      <w:bookmarkEnd w:id="28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5"/>
          <w:szCs w:val="25"/>
        </w:rPr>
      </w:pPr>
    </w:p>
    <w:p>
      <w:pPr>
        <w:spacing w:line="285" w:lineRule="auto" w:before="0"/>
        <w:ind w:left="154" w:right="0" w:firstLine="399"/>
        <w:jc w:val="left"/>
        <w:rPr>
          <w:rFonts w:ascii="宋体" w:hAnsi="宋体" w:cs="宋体" w:eastAsia="宋体" w:hint="default"/>
          <w:sz w:val="20"/>
          <w:szCs w:val="20"/>
        </w:rPr>
      </w:pPr>
      <w:r>
        <w:rPr>
          <w:rFonts w:ascii="宋体" w:hAnsi="宋体" w:cs="宋体" w:eastAsia="宋体" w:hint="default"/>
          <w:spacing w:val="-1"/>
          <w:sz w:val="20"/>
          <w:szCs w:val="20"/>
        </w:rPr>
        <w:t>根据公司经营情况与管理层近年对公司市场发展的开拓及预测假设，公司未来现金流量预计高于资产组和</w:t>
      </w:r>
      <w:r>
        <w:rPr>
          <w:rFonts w:ascii="宋体" w:hAnsi="宋体" w:cs="宋体" w:eastAsia="宋体" w:hint="default"/>
          <w:w w:val="100"/>
          <w:sz w:val="20"/>
          <w:szCs w:val="20"/>
        </w:rPr>
        <w:t> </w:t>
      </w:r>
      <w:r>
        <w:rPr>
          <w:rFonts w:ascii="宋体" w:hAnsi="宋体" w:cs="宋体" w:eastAsia="宋体" w:hint="default"/>
          <w:sz w:val="20"/>
          <w:szCs w:val="20"/>
        </w:rPr>
        <w:t>资产组组合的可收回金额，基于上述原因商誉未计提减值准备。</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28、长期待摊费用" w:id="286"/>
      <w:bookmarkEnd w:id="286"/>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1,899,069.82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1,029,188.89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869,880.93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1,899,069.82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1,029,188.89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869,880.93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9、递延所得税资产/递延所得税负债" w:id="287"/>
      <w:bookmarkEnd w:id="287"/>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7,265,617.40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1,816,404.35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2,516,455.04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629,113.76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17,041.25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123,439.28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30,859.82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3,147,991.81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786,997.97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3,538,694.39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884,673.60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1,060,670.47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265,167.62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11,542,444.68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2,885,611.19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6,178,588.71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1,544,647.18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6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以抵销后净额列示的递延所得税资产或负债" w:id="290"/>
      <w:bookmarkEnd w:id="29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2" w:right="0"/>
              <w:jc w:val="left"/>
              <w:rPr>
                <w:rFonts w:ascii="Times New Roman" w:hAnsi="Times New Roman" w:cs="Times New Roman" w:eastAsia="Times New Roman" w:hint="default"/>
                <w:sz w:val="18"/>
                <w:szCs w:val="18"/>
              </w:rPr>
            </w:pPr>
            <w:r>
              <w:rPr>
                <w:rFonts w:ascii="Times New Roman"/>
                <w:sz w:val="18"/>
              </w:rPr>
              <w:t>2,885,611.19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1,544,647.18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91"/>
      <w:bookmarkEnd w:id="29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910,320.32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3,858,799.68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910,320.32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3,858,799.68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92"/>
      <w:bookmarkEnd w:id="29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528,408.65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528,408.65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152,974.22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152,974.22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228,937.45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1,851,273.99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1,326,142.82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910,320.32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3,858,799.68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0、其他非流动资产" w:id="293"/>
      <w:bookmarkEnd w:id="293"/>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1、短期借款" w:id="294"/>
      <w:bookmarkEnd w:id="294"/>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95"/>
      <w:bookmarkEnd w:id="29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已逾期未偿还的短期借款情况" w:id="296"/>
      <w:bookmarkEnd w:id="29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报告期各期末无已逾期未偿还的短期借款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2、以公允价值计量且其变动计入当期损益的金融负债" w:id="297"/>
      <w:bookmarkEnd w:id="297"/>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3、衍生金融负债" w:id="298"/>
      <w:bookmarkEnd w:id="298"/>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spacing w:line="547" w:lineRule="auto" w:before="0"/>
        <w:ind w:left="154" w:right="83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4、应付票据" w:id="299"/>
      <w:bookmarkEnd w:id="299"/>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0"/>
        <w:ind w:right="0"/>
        <w:jc w:val="left"/>
        <w:rPr>
          <w:b w:val="0"/>
          <w:bCs w:val="0"/>
        </w:rPr>
      </w:pPr>
      <w:bookmarkStart w:name="35、应付账款" w:id="300"/>
      <w:bookmarkEnd w:id="300"/>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301"/>
      <w:bookmarkEnd w:id="30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85,403,522.43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74,805,077.78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1,665,355.80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343,378.60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140,278.08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320,772.43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180,494.35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87,500,950.66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75,469,228.81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应付账款" w:id="302"/>
      <w:bookmarkEnd w:id="30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北京豆网科技有限公司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北京微梦传媒股份有限公司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334,556.00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834,556.00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6、预收款项" w:id="303"/>
      <w:bookmarkEnd w:id="303"/>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04"/>
      <w:bookmarkEnd w:id="30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1,829,101.43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1,673,882.45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13,163.51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1,842,264.94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1,687,045.96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05"/>
      <w:bookmarkEnd w:id="30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公司报告期各期末无账龄超过一年的重要预收款项</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期末建造合同形成的已结算未完工项目情况" w:id="306"/>
      <w:bookmarkEnd w:id="30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应付职工薪酬" w:id="307"/>
      <w:bookmarkEnd w:id="307"/>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08"/>
      <w:bookmarkEnd w:id="30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9,914,419.05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93,600,194.99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96,648,888.55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6,865,725.49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889,454.41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13,241,981.12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13,350,245.29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781,190.24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10,803,873.46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106,842,176.11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109,999,133.84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7,646,915.73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09"/>
      <w:bookmarkEnd w:id="30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8,938,378.10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73,837,402.41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76,769,118.76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6,006,661.75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1,312,705.77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1,312,705.77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427,749.54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6,235,592.46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6,288,762.37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374,579.63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389,223.24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5,680,443.43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5,726,238.07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343,428.60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148,023.79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152,352.88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8,552.49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407,125.24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410,171.42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22,598.54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104,270.00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10,950,026.68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10,916,754.68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137,542.00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444,021.41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1,264,467.67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1,361,546.97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346,942.11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9,914,419.05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93,600,194.99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96,648,888.55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6,865,725.49</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设定提存计划列示" w:id="310"/>
      <w:bookmarkEnd w:id="31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858,973.30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12,751,739.80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12,858,063.10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752,650.00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30,481.11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490,241.32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492,182.19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28,540.24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889,454.41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13,241,981.12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13,350,245.29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781,190.24</w:t>
            </w:r>
          </w:p>
        </w:tc>
      </w:tr>
    </w:tbl>
    <w:p>
      <w:pPr>
        <w:pStyle w:val="BodyText"/>
        <w:spacing w:line="240" w:lineRule="auto" w:before="10"/>
        <w:ind w:right="0"/>
        <w:jc w:val="left"/>
      </w:pPr>
      <w:r>
        <w:rPr/>
        <w:t>公司报告期各期末应付职工薪酬余额中无属于拖欠性质的工资</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8、应交税费" w:id="311"/>
      <w:bookmarkEnd w:id="311"/>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5,101,272.87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4,337,596.30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20,734,961.73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19,568,719.07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579,944.09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1,014,224.07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357,089.24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303,631.86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289,291.28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251,107.46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100,924.85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6,028.17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27,175,332.14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25,489,385.57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9、应付利息" w:id="312"/>
      <w:bookmarkEnd w:id="312"/>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0、应付股利" w:id="313"/>
      <w:bookmarkEnd w:id="313"/>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1,347,015.51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1,347,015.51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1、其他应付款" w:id="314"/>
      <w:bookmarkEnd w:id="314"/>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315"/>
      <w:bookmarkEnd w:id="31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1,692,044.55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905,830.00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1,692,044.55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905,830.00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其他应付款" w:id="316"/>
      <w:bookmarkEnd w:id="31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公司报告期期末无账龄超过一年的重要其他应付款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2、持有待售的负债" w:id="317"/>
      <w:bookmarkEnd w:id="317"/>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18"/>
      <w:bookmarkEnd w:id="318"/>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4、其他流动负债" w:id="319"/>
      <w:bookmarkEnd w:id="319"/>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5、长期借款" w:id="320"/>
      <w:bookmarkEnd w:id="320"/>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6、应付债券" w:id="321"/>
      <w:bookmarkEnd w:id="32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7、长期应付款" w:id="322"/>
      <w:bookmarkEnd w:id="32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8、长期应付职工薪酬" w:id="323"/>
      <w:bookmarkEnd w:id="32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9、专项应付款" w:id="324"/>
      <w:bookmarkEnd w:id="324"/>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0、预计负债" w:id="325"/>
      <w:bookmarkEnd w:id="325"/>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1、递延收益" w:id="326"/>
      <w:bookmarkEnd w:id="326"/>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税控系统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购入税控系统专用 设备形成</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479.45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2、其他非流动负债" w:id="327"/>
      <w:bookmarkEnd w:id="327"/>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3、股本" w:id="328"/>
      <w:bookmarkEnd w:id="328"/>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54,000,000.00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18,000,000.00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36,000,000.00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54,000,000.00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108,000,000.00</w:t>
            </w:r>
          </w:p>
        </w:tc>
      </w:tr>
    </w:tbl>
    <w:p>
      <w:pPr>
        <w:pStyle w:val="BodyText"/>
        <w:spacing w:line="240" w:lineRule="auto" w:before="51"/>
        <w:ind w:right="0"/>
        <w:jc w:val="left"/>
      </w:pPr>
      <w:r>
        <w:rPr/>
        <w:t>其他说明：</w:t>
      </w:r>
    </w:p>
    <w:p>
      <w:pPr>
        <w:pStyle w:val="BodyText"/>
        <w:spacing w:line="307" w:lineRule="auto" w:before="115"/>
        <w:ind w:right="0" w:firstLine="360"/>
        <w:jc w:val="left"/>
      </w:pPr>
      <w:r>
        <w:rPr/>
        <w:t>根据本公司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29 </w:t>
      </w:r>
      <w:r>
        <w:rPr/>
        <w:t>日召开的 </w:t>
      </w:r>
      <w:r>
        <w:rPr>
          <w:rFonts w:ascii="Times New Roman" w:hAnsi="Times New Roman" w:cs="Times New Roman" w:eastAsia="Times New Roman" w:hint="default"/>
        </w:rPr>
        <w:t>2016 </w:t>
      </w:r>
      <w:r>
        <w:rPr/>
        <w:t>年第二届董事会第七次会议决议和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15 </w:t>
      </w:r>
      <w:r>
        <w:rPr/>
        <w:t>日召开的 </w:t>
      </w:r>
      <w:r>
        <w:rPr>
          <w:rFonts w:ascii="Times New Roman" w:hAnsi="Times New Roman" w:cs="Times New Roman" w:eastAsia="Times New Roman" w:hint="default"/>
        </w:rPr>
        <w:t>2016 </w:t>
      </w:r>
      <w:r>
        <w:rPr>
          <w:spacing w:val="-2"/>
        </w:rPr>
        <w:t>年度第一次临时股东大会决议，并经中国证券监督管理委员会《关于核准宣亚国际品牌管理（北京）股份有限公司首次公开</w:t>
      </w:r>
      <w:r>
        <w:rPr>
          <w:spacing w:val="-66"/>
        </w:rPr>
        <w:t> </w:t>
      </w:r>
      <w:r>
        <w:rPr>
          <w:spacing w:val="-66"/>
        </w:rPr>
      </w:r>
      <w:r>
        <w:rPr/>
        <w:t>发行股票的 </w:t>
      </w:r>
      <w:r>
        <w:rPr>
          <w:spacing w:val="-6"/>
        </w:rPr>
        <w:t>批复》（证监许可</w:t>
      </w:r>
      <w:r>
        <w:rPr>
          <w:rFonts w:ascii="Times New Roman" w:hAnsi="Times New Roman" w:cs="Times New Roman" w:eastAsia="Times New Roman" w:hint="default"/>
          <w:spacing w:val="-6"/>
        </w:rPr>
        <w:t>[2017]124</w:t>
      </w:r>
      <w:r>
        <w:rPr>
          <w:rFonts w:ascii="Times New Roman" w:hAnsi="Times New Roman" w:cs="Times New Roman" w:eastAsia="Times New Roman" w:hint="default"/>
        </w:rPr>
        <w:t> </w:t>
      </w:r>
      <w:r>
        <w:rPr/>
        <w:t>号文件）核准，本公司首次公开发行 </w:t>
      </w:r>
      <w:r>
        <w:rPr>
          <w:rFonts w:ascii="Times New Roman" w:hAnsi="Times New Roman" w:cs="Times New Roman" w:eastAsia="Times New Roman" w:hint="default"/>
        </w:rPr>
        <w:t>1,800 </w:t>
      </w:r>
      <w:r>
        <w:rPr>
          <w:spacing w:val="-1"/>
          <w:w w:val="99"/>
        </w:rPr>
        <w:t>万股（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 </w:t>
      </w:r>
      <w:r>
        <w:rPr>
          <w:spacing w:val="-15"/>
        </w:rPr>
        <w:t>股）。公司于</w:t>
      </w:r>
      <w:r>
        <w:rPr/>
        <w:t>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w:t>
      </w:r>
      <w:r>
        <w:rPr>
          <w:spacing w:val="-8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日召开了 </w:t>
      </w:r>
      <w:r>
        <w:rPr>
          <w:rFonts w:ascii="Times New Roman" w:hAnsi="Times New Roman" w:cs="Times New Roman" w:eastAsia="Times New Roman" w:hint="default"/>
        </w:rPr>
        <w:t>2016  </w:t>
      </w:r>
      <w:r>
        <w:rPr>
          <w:spacing w:val="-4"/>
        </w:rPr>
        <w:t>年年度股东会议，通过了《关于公司</w:t>
      </w:r>
      <w:r>
        <w:rPr/>
        <w:t> </w:t>
      </w:r>
      <w:r>
        <w:rPr>
          <w:rFonts w:ascii="Times New Roman" w:hAnsi="Times New Roman" w:cs="Times New Roman" w:eastAsia="Times New Roman" w:hint="default"/>
        </w:rPr>
        <w:t>2016  </w:t>
      </w:r>
      <w:r>
        <w:rPr>
          <w:spacing w:val="-7"/>
        </w:rPr>
        <w:t>年度利润分配预案的议案》，公司总股本</w:t>
      </w:r>
      <w:r>
        <w:rPr/>
        <w:t> </w:t>
      </w:r>
      <w:r>
        <w:rPr>
          <w:rFonts w:ascii="Times New Roman" w:hAnsi="Times New Roman" w:cs="Times New Roman" w:eastAsia="Times New Roman" w:hint="default"/>
        </w:rPr>
        <w:t>72,000,000</w:t>
      </w:r>
      <w:r>
        <w:rPr>
          <w:rFonts w:ascii="Times New Roman" w:hAnsi="Times New Roman" w:cs="Times New Roman" w:eastAsia="Times New Roman" w:hint="default"/>
          <w:spacing w:val="-25"/>
        </w:rPr>
        <w:t> </w:t>
      </w:r>
      <w:r>
        <w:rPr/>
        <w:t>股为基数</w:t>
      </w:r>
    </w:p>
    <w:p>
      <w:pPr>
        <w:pStyle w:val="BodyText"/>
        <w:spacing w:line="240" w:lineRule="auto" w:before="7"/>
        <w:ind w:right="0"/>
        <w:jc w:val="left"/>
      </w:pPr>
      <w:r>
        <w:rPr/>
        <w:t>进行分配</w:t>
      </w:r>
      <w:r>
        <w:rPr>
          <w:spacing w:val="-17"/>
        </w:rPr>
        <w:t>。</w:t>
      </w:r>
      <w:r>
        <w:rPr/>
        <w:t>每</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股派发现金红利</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17"/>
        </w:rPr>
        <w:t>元</w:t>
      </w:r>
      <w:r>
        <w:rPr/>
        <w:t>（</w:t>
      </w:r>
      <w:r>
        <w:rPr>
          <w:spacing w:val="1"/>
        </w:rPr>
        <w:t>含</w:t>
      </w:r>
      <w:r>
        <w:rPr/>
        <w:t>税</w:t>
      </w:r>
      <w:r>
        <w:rPr>
          <w:spacing w:val="-90"/>
        </w:rPr>
        <w:t>）</w:t>
      </w:r>
      <w:r>
        <w:rPr>
          <w:spacing w:val="-17"/>
        </w:rPr>
        <w:t>，</w:t>
      </w:r>
      <w:r>
        <w:rPr/>
        <w:t>共计</w:t>
      </w:r>
      <w:r>
        <w:rPr>
          <w:spacing w:val="-46"/>
        </w:rPr>
        <w:t> </w:t>
      </w:r>
      <w:r>
        <w:rPr>
          <w:rFonts w:ascii="Times New Roman" w:hAnsi="Times New Roman" w:cs="Times New Roman" w:eastAsia="Times New Roman" w:hint="default"/>
        </w:rPr>
        <w:t>36,000,000.00 </w:t>
      </w:r>
      <w:r>
        <w:rPr/>
        <w:t>元</w:t>
      </w:r>
      <w:r>
        <w:rPr>
          <w:spacing w:val="-17"/>
        </w:rPr>
        <w:t>，</w:t>
      </w:r>
      <w:r>
        <w:rPr/>
        <w:t>同时向全体股东每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1"/>
        </w:rPr>
        <w:t>红</w:t>
      </w:r>
      <w:r>
        <w:rPr/>
        <w:t>股</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w:t>
      </w:r>
      <w:r>
        <w:rPr>
          <w:spacing w:val="-17"/>
        </w:rPr>
        <w:t>。</w:t>
      </w:r>
      <w:r>
        <w:rPr/>
        <w:t>分</w:t>
      </w:r>
      <w:r>
        <w:rPr>
          <w:spacing w:val="1"/>
        </w:rPr>
        <w:t>配</w:t>
      </w:r>
      <w:r>
        <w:rPr/>
        <w:t>完成后</w:t>
      </w:r>
    </w:p>
    <w:p>
      <w:pPr>
        <w:pStyle w:val="BodyText"/>
        <w:spacing w:line="240" w:lineRule="auto" w:before="64"/>
        <w:ind w:right="0"/>
        <w:jc w:val="left"/>
      </w:pPr>
      <w:r>
        <w:rPr/>
        <w:t>公司股本总额增至</w:t>
      </w:r>
      <w:r>
        <w:rPr>
          <w:spacing w:val="-47"/>
        </w:rPr>
        <w:t> </w:t>
      </w:r>
      <w:r>
        <w:rPr>
          <w:rFonts w:ascii="Times New Roman" w:hAnsi="Times New Roman" w:cs="Times New Roman" w:eastAsia="Times New Roman" w:hint="default"/>
        </w:rPr>
        <w:t>108,000,000</w:t>
      </w:r>
      <w:r>
        <w:rPr>
          <w:rFonts w:ascii="Times New Roman" w:hAnsi="Times New Roman" w:cs="Times New Roman" w:eastAsia="Times New Roman" w:hint="default"/>
          <w:spacing w:val="-2"/>
        </w:rPr>
        <w:t> </w:t>
      </w:r>
      <w:r>
        <w:rPr/>
        <w:t>股。</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4、其他权益工具" w:id="329"/>
      <w:bookmarkEnd w:id="329"/>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5、资本公积" w:id="330"/>
      <w:bookmarkEnd w:id="330"/>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21,296,280.30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232,909,024.98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254,205,305.28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21,296,280.30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232,909,024.98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254,205,305.28</w:t>
            </w:r>
          </w:p>
        </w:tc>
      </w:tr>
    </w:tbl>
    <w:p>
      <w:pPr>
        <w:pStyle w:val="BodyText"/>
        <w:spacing w:line="240" w:lineRule="auto" w:before="51"/>
        <w:ind w:right="0"/>
        <w:jc w:val="left"/>
      </w:pPr>
      <w:r>
        <w:rPr/>
        <w:t>其他说明，包括本期增减变动情况、变动原因说明：</w:t>
      </w:r>
    </w:p>
    <w:p>
      <w:pPr>
        <w:pStyle w:val="BodyText"/>
        <w:spacing w:line="307" w:lineRule="auto" w:before="116"/>
        <w:ind w:right="146" w:firstLine="360"/>
        <w:jc w:val="left"/>
      </w:pPr>
      <w:r>
        <w:rPr/>
        <w:t>根据本公司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日召开的</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年第二届董事会第七次会议决议和</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日召开的</w:t>
      </w:r>
      <w:r>
        <w:rPr>
          <w:spacing w:val="1"/>
        </w:rPr>
        <w:t> </w:t>
      </w:r>
      <w:r>
        <w:rPr>
          <w:rFonts w:ascii="Times New Roman" w:hAnsi="Times New Roman" w:cs="Times New Roman" w:eastAsia="Times New Roman" w:hint="default"/>
        </w:rPr>
        <w:t>2016 </w:t>
      </w:r>
      <w:r>
        <w:rPr/>
        <w:t>年度第一 </w:t>
      </w:r>
      <w:r>
        <w:rPr>
          <w:spacing w:val="-2"/>
        </w:rPr>
        <w:t>次临时股东大会决议，并经中国证券监督管理委员会《关于核准宣亚国际品牌管理（北京）股份有限公司首次公开发行股票</w:t>
      </w:r>
      <w:r>
        <w:rPr>
          <w:spacing w:val="-66"/>
        </w:rPr>
        <w:t> </w:t>
      </w:r>
      <w:r>
        <w:rPr>
          <w:spacing w:val="-66"/>
        </w:rPr>
      </w:r>
      <w:r>
        <w:rPr/>
        <w:t>的 </w:t>
      </w:r>
      <w:r>
        <w:rPr>
          <w:spacing w:val="-6"/>
        </w:rPr>
        <w:t>批复》（证监许可</w:t>
      </w:r>
      <w:r>
        <w:rPr>
          <w:rFonts w:ascii="Times New Roman" w:hAnsi="Times New Roman" w:cs="Times New Roman" w:eastAsia="Times New Roman" w:hint="default"/>
          <w:spacing w:val="-6"/>
        </w:rPr>
        <w:t>[2017]124</w:t>
      </w:r>
      <w:r>
        <w:rPr>
          <w:rFonts w:ascii="Times New Roman" w:hAnsi="Times New Roman" w:cs="Times New Roman" w:eastAsia="Times New Roman" w:hint="default"/>
        </w:rPr>
        <w:t> </w:t>
      </w:r>
      <w:r>
        <w:rPr/>
        <w:t>号文件）核准，本公司首次公开发行 </w:t>
      </w:r>
      <w:r>
        <w:rPr>
          <w:rFonts w:ascii="Times New Roman" w:hAnsi="Times New Roman" w:cs="Times New Roman" w:eastAsia="Times New Roman" w:hint="default"/>
          <w:spacing w:val="-1"/>
        </w:rPr>
        <w:t>1,800</w:t>
      </w:r>
      <w:r>
        <w:rPr>
          <w:rFonts w:ascii="Times New Roman" w:hAnsi="Times New Roman" w:cs="Times New Roman" w:eastAsia="Times New Roman" w:hint="default"/>
        </w:rPr>
        <w:t> </w:t>
      </w:r>
      <w:r>
        <w:rPr>
          <w:w w:val="99"/>
        </w:rPr>
        <w:t>万股（</w:t>
      </w:r>
      <w:r>
        <w:rPr>
          <w:rFonts w:ascii="Times New Roman" w:hAnsi="Times New Roman" w:cs="Times New Roman" w:eastAsia="Times New Roman" w:hint="default"/>
          <w:w w:val="99"/>
        </w:rPr>
        <w:t>A </w:t>
      </w:r>
      <w:r>
        <w:rPr>
          <w:spacing w:val="-7"/>
        </w:rPr>
        <w:t>股）。募集资金总额为人民币</w:t>
      </w:r>
      <w:r>
        <w:rPr>
          <w:spacing w:val="-85"/>
        </w:rPr>
        <w:t> </w:t>
      </w:r>
      <w:r>
        <w:rPr>
          <w:spacing w:val="-85"/>
        </w:rPr>
      </w:r>
      <w:r>
        <w:rPr>
          <w:rFonts w:ascii="Times New Roman" w:hAnsi="Times New Roman" w:cs="Times New Roman" w:eastAsia="Times New Roman" w:hint="default"/>
        </w:rPr>
        <w:t>290,520,000.00  </w:t>
      </w:r>
      <w:r>
        <w:rPr/>
        <w:t>元</w:t>
      </w:r>
      <w:r>
        <w:rPr>
          <w:rFonts w:ascii="Times New Roman" w:hAnsi="Times New Roman" w:cs="Times New Roman" w:eastAsia="Times New Roman" w:hint="default"/>
        </w:rPr>
        <w:t>,</w:t>
      </w:r>
      <w:r>
        <w:rPr/>
        <w:t>扣除总发行费用人民币 </w:t>
      </w:r>
      <w:r>
        <w:rPr>
          <w:rFonts w:ascii="Times New Roman" w:hAnsi="Times New Roman" w:cs="Times New Roman" w:eastAsia="Times New Roman" w:hint="default"/>
        </w:rPr>
        <w:t>41,849,633.52  </w:t>
      </w:r>
      <w:r>
        <w:rPr>
          <w:spacing w:val="-4"/>
        </w:rPr>
        <w:t>元（含税）后，实际募集资金净额为人民币 </w:t>
      </w:r>
      <w:r>
        <w:rPr>
          <w:rFonts w:ascii="Times New Roman" w:hAnsi="Times New Roman" w:cs="Times New Roman" w:eastAsia="Times New Roman" w:hint="default"/>
        </w:rPr>
        <w:t>248,670,366.48 </w:t>
      </w:r>
      <w:r>
        <w:rPr>
          <w:rFonts w:ascii="Times New Roman" w:hAnsi="Times New Roman" w:cs="Times New Roman" w:eastAsia="Times New Roman" w:hint="default"/>
          <w:spacing w:val="10"/>
        </w:rPr>
        <w:t> </w:t>
      </w:r>
      <w:r>
        <w:rPr>
          <w:spacing w:val="-8"/>
        </w:rPr>
        <w:t>元。实</w:t>
      </w:r>
    </w:p>
    <w:p>
      <w:pPr>
        <w:spacing w:after="0" w:line="307" w:lineRule="auto"/>
        <w:jc w:val="left"/>
        <w:sectPr>
          <w:pgSz w:w="11910" w:h="16840"/>
          <w:pgMar w:header="86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际募集资金净额加上本次公开发行股票发行费用可抵扣增值税进项税额 </w:t>
      </w:r>
      <w:r>
        <w:rPr>
          <w:rFonts w:ascii="Times New Roman" w:hAnsi="Times New Roman" w:cs="Times New Roman" w:eastAsia="Times New Roman" w:hint="default"/>
        </w:rPr>
        <w:t>2,238,658.50  </w:t>
      </w:r>
      <w:r>
        <w:rPr/>
        <w:t>元后合计人民 币 </w:t>
      </w:r>
      <w:r>
        <w:rPr>
          <w:rFonts w:ascii="Times New Roman" w:hAnsi="Times New Roman" w:cs="Times New Roman" w:eastAsia="Times New Roman" w:hint="default"/>
        </w:rPr>
        <w:t>250,909,024.98</w:t>
      </w:r>
      <w:r>
        <w:rPr>
          <w:rFonts w:ascii="Times New Roman" w:hAnsi="Times New Roman" w:cs="Times New Roman" w:eastAsia="Times New Roman" w:hint="default"/>
          <w:spacing w:val="40"/>
        </w:rPr>
        <w:t> </w:t>
      </w:r>
      <w:r>
        <w:rPr/>
        <w:t>元，</w:t>
      </w:r>
    </w:p>
    <w:p>
      <w:pPr>
        <w:pStyle w:val="BodyText"/>
        <w:spacing w:line="240" w:lineRule="auto" w:before="64"/>
        <w:ind w:right="92"/>
        <w:jc w:val="left"/>
      </w:pPr>
      <w:r>
        <w:rPr/>
        <w:t>其中，新增股本人民币 </w:t>
      </w:r>
      <w:r>
        <w:rPr>
          <w:rFonts w:ascii="Times New Roman" w:hAnsi="Times New Roman" w:cs="Times New Roman" w:eastAsia="Times New Roman" w:hint="default"/>
        </w:rPr>
        <w:t>18,000,000.00  </w:t>
      </w:r>
      <w:r>
        <w:rPr/>
        <w:t>元，新增资本公积人民币 </w:t>
      </w:r>
      <w:r>
        <w:rPr>
          <w:rFonts w:ascii="Times New Roman" w:hAnsi="Times New Roman" w:cs="Times New Roman" w:eastAsia="Times New Roman" w:hint="default"/>
        </w:rPr>
        <w:t>232,909,024.98</w:t>
      </w:r>
      <w:r>
        <w:rPr>
          <w:rFonts w:ascii="Times New Roman" w:hAnsi="Times New Roman" w:cs="Times New Roman" w:eastAsia="Times New Roman" w:hint="default"/>
          <w:spacing w:val="39"/>
        </w:rPr>
        <w:t> </w:t>
      </w:r>
      <w:r>
        <w:rPr/>
        <w:t>元。</w:t>
      </w:r>
    </w:p>
    <w:p>
      <w:pPr>
        <w:spacing w:line="240" w:lineRule="auto" w:before="9"/>
        <w:rPr>
          <w:rFonts w:ascii="宋体" w:hAnsi="宋体" w:cs="宋体" w:eastAsia="宋体" w:hint="default"/>
          <w:sz w:val="25"/>
          <w:szCs w:val="25"/>
        </w:rPr>
      </w:pPr>
    </w:p>
    <w:p>
      <w:pPr>
        <w:pStyle w:val="Heading4"/>
        <w:spacing w:line="240" w:lineRule="auto"/>
        <w:ind w:right="92"/>
        <w:jc w:val="left"/>
        <w:rPr>
          <w:b w:val="0"/>
          <w:bCs w:val="0"/>
        </w:rPr>
      </w:pPr>
      <w:bookmarkStart w:name="56、库存股" w:id="331"/>
      <w:bookmarkEnd w:id="331"/>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57、其他综合收益" w:id="332"/>
      <w:bookmarkEnd w:id="332"/>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796"/>
      </w:tblGrid>
      <w:tr>
        <w:trPr>
          <w:trHeight w:val="403"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8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87"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5"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344,057.07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-258,416.65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85,640.42</w:t>
            </w: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344,057.07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-258,416.65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85,640.42</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344,057.07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-258,416.65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6"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85,640.42</w:t>
            </w:r>
          </w:p>
        </w:tc>
      </w:tr>
    </w:tbl>
    <w:p>
      <w:pPr>
        <w:spacing w:line="240" w:lineRule="auto" w:before="2"/>
        <w:rPr>
          <w:rFonts w:ascii="宋体" w:hAnsi="宋体" w:cs="宋体" w:eastAsia="宋体" w:hint="default"/>
          <w:sz w:val="19"/>
          <w:szCs w:val="19"/>
        </w:rPr>
      </w:pPr>
    </w:p>
    <w:p>
      <w:pPr>
        <w:pStyle w:val="Heading4"/>
        <w:spacing w:line="240" w:lineRule="auto" w:before="35"/>
        <w:ind w:right="92"/>
        <w:jc w:val="left"/>
        <w:rPr>
          <w:b w:val="0"/>
          <w:bCs w:val="0"/>
        </w:rPr>
      </w:pPr>
      <w:bookmarkStart w:name="58、专项储备" w:id="333"/>
      <w:bookmarkEnd w:id="333"/>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无</w:t>
      </w:r>
    </w:p>
    <w:p>
      <w:pPr>
        <w:spacing w:after="0" w:line="240" w:lineRule="auto"/>
        <w:jc w:val="left"/>
        <w:sectPr>
          <w:pgSz w:w="11910" w:h="16840"/>
          <w:pgMar w:header="867"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9、盈余公积" w:id="334"/>
      <w:bookmarkEnd w:id="334"/>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15,600,332.99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20,940,069.95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428,814.07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428,814.07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434,825.95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434,825.95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853,966.34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853,966.34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17,317,939.35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22,657,676.31</w:t>
            </w:r>
          </w:p>
        </w:tc>
      </w:tr>
    </w:tbl>
    <w:p>
      <w:pPr>
        <w:pStyle w:val="BodyText"/>
        <w:spacing w:line="357" w:lineRule="auto" w:before="51"/>
        <w:ind w:right="3862"/>
        <w:jc w:val="left"/>
      </w:pPr>
      <w:r>
        <w:rPr/>
        <w:t>盈余公积说明，包括本期增减变动情况、变动原因说明： 说明：根据公司章程规定，按公司当期净利润的</w:t>
      </w:r>
      <w:r>
        <w:rPr>
          <w:rFonts w:ascii="Times New Roman" w:hAnsi="Times New Roman" w:cs="Times New Roman" w:eastAsia="Times New Roman" w:hint="default"/>
        </w:rPr>
        <w:t>10%</w:t>
      </w:r>
      <w:r>
        <w:rPr/>
        <w:t>提取法定盈余公积金。</w:t>
      </w:r>
    </w:p>
    <w:p>
      <w:pPr>
        <w:pStyle w:val="BodyText"/>
        <w:spacing w:line="214" w:lineRule="exact"/>
        <w:ind w:left="694" w:right="0"/>
        <w:jc w:val="left"/>
      </w:pPr>
      <w:r>
        <w:rPr/>
        <w:t>各项公积金累计额为本公司注册资本</w:t>
      </w:r>
      <w:r>
        <w:rPr>
          <w:rFonts w:ascii="Times New Roman" w:hAnsi="Times New Roman" w:cs="Times New Roman" w:eastAsia="Times New Roman" w:hint="default"/>
        </w:rPr>
        <w:t>50%</w:t>
      </w:r>
      <w:r>
        <w:rPr/>
        <w:t>以上的，可不再提取。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60、未分配利润" w:id="335"/>
      <w:bookmarkEnd w:id="335"/>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96,335,269.67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56,970,552.60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96,335,269.67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56,970,552.60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74,956,482.53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58,710,099.47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8,545,382.40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93,952,015.24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96,335,269.67</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36"/>
      <w:bookmarkEnd w:id="336"/>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504,510,269.50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270,641,404.86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467,441,970.49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254,960,829.34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504,510,269.50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270,641,404.86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467,441,970.49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254,960,829.34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2、税金及附加" w:id="337"/>
      <w:bookmarkEnd w:id="337"/>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988,571.01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1,140,949.83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706,122.07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815,242.81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430,088.50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97,278.22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130,948.91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63,345.23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16,363.21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18,977.87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25,294.61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5,415.84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2,301,287.70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2,156,190.61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销售费用" w:id="338"/>
      <w:bookmarkEnd w:id="338"/>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61,992,347.04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75,877,854.62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5,899,215.45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7,616,721.69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2,293,671.95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1,497,263.30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2,068,006.04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2,281,626.45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1,098,497.51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1,306,421.66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813,987.00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711,861.07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589,366.50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1,632,146.54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550,532.96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626,003.27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1,095,667.59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1,181,025.61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76,401,292.04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92,730,924.21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4、管理费用" w:id="339"/>
      <w:bookmarkEnd w:id="339"/>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18,842,176.87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11,863,210.57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16,485,699.28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15,730,426.24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1,526,636.60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1,326,647.01</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2,900,738.44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2,020,598.44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2,141,715.02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1,636,271.91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1,211,455.84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1,084,421.49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1,336,284.58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955,648.64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1,248,781.33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724,212.42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685,336.96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351,615.79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317,116.54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5,160,580.12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1,172,945.64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37,038,966.42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5、财务费用" w:id="340"/>
      <w:bookmarkEnd w:id="340"/>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426,330.94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1,430,883.64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761,995.86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-19,658.52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99,450.84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-931,071.42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-308,942.45</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6、资产减值损失" w:id="341"/>
      <w:bookmarkEnd w:id="341"/>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4,749,162.36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709,528.74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1,060,670.47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5,809,832.83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709,528.74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7、公允价值变动收益" w:id="342"/>
      <w:bookmarkEnd w:id="342"/>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8、投资收益" w:id="343"/>
      <w:bookmarkEnd w:id="343"/>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2,262,959.47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1,109,447.31</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792,336.29</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2,262,959.47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1,901,783.60</w:t>
            </w:r>
          </w:p>
        </w:tc>
      </w:tr>
    </w:tbl>
    <w:p>
      <w:pPr>
        <w:pStyle w:val="BodyText"/>
        <w:spacing w:line="357" w:lineRule="auto" w:before="51"/>
        <w:ind w:right="4372"/>
        <w:jc w:val="left"/>
      </w:pPr>
      <w:r>
        <w:rPr/>
        <w:t>其他说明： 本期发生额为对北京威维体育文化有限公司权益法下确认的投资收益</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69、资产处置收益" w:id="344"/>
      <w:bookmarkEnd w:id="344"/>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0、其他收益" w:id="345"/>
      <w:bookmarkEnd w:id="345"/>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1、营业外收入" w:id="346"/>
      <w:bookmarkEnd w:id="346"/>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186,637.79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251,767.12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186,637.79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186,637.79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1,251,767.12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186,637.79</w:t>
            </w:r>
          </w:p>
        </w:tc>
      </w:tr>
    </w:tbl>
    <w:p>
      <w:pPr>
        <w:pStyle w:val="BodyText"/>
        <w:spacing w:line="240" w:lineRule="auto" w:before="51"/>
        <w:ind w:right="0"/>
        <w:jc w:val="left"/>
      </w:pPr>
      <w:r>
        <w:rPr/>
        <w:t>计入当期损益的政府补助：</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推动企业上 市资金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北京市朝阳 区发展和改 革委员会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6"/>
        <w:ind w:right="139"/>
        <w:jc w:val="left"/>
      </w:pPr>
      <w:r>
        <w:rPr>
          <w:spacing w:val="-3"/>
        </w:rPr>
        <w:t>推动企业上市资金：根据《北京市人民政府办公厅关于进一步推动企业上市工作的意见》（京政办发〔</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35</w:t>
      </w:r>
      <w:r>
        <w:rPr>
          <w:spacing w:val="-3"/>
        </w:rPr>
        <w:t>号）给予</w:t>
      </w:r>
      <w:r>
        <w:rPr>
          <w:rFonts w:ascii="Times New Roman" w:hAnsi="Times New Roman" w:cs="Times New Roman" w:eastAsia="Times New Roman" w:hint="default"/>
          <w:spacing w:val="-3"/>
        </w:rPr>
        <w:t>100</w:t>
      </w:r>
      <w:r>
        <w:rPr>
          <w:rFonts w:ascii="Times New Roman" w:hAnsi="Times New Roman" w:cs="Times New Roman" w:eastAsia="Times New Roman" w:hint="default"/>
        </w:rPr>
        <w:t> </w:t>
      </w:r>
      <w:r>
        <w:rPr/>
        <w:t>万元奖励，于</w:t>
      </w:r>
      <w:r>
        <w:rPr>
          <w:rFonts w:ascii="Times New Roman" w:hAnsi="Times New Roman" w:cs="Times New Roman" w:eastAsia="Times New Roman" w:hint="default"/>
        </w:rPr>
        <w:t>2016</w:t>
      </w:r>
      <w:r>
        <w:rPr/>
        <w:t>年收到该款项。</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72、营业外支出" w:id="347"/>
      <w:bookmarkEnd w:id="347"/>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36,887.79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62,852.63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36,887.79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36,887.79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62,852.63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36,887.79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640.29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640.29</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37,528.08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62,852.63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37,528.08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bookmarkStart w:name="73、所得税费用" w:id="348"/>
      <w:bookmarkEnd w:id="348"/>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49"/>
      <w:bookmarkEnd w:id="34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20,429,956.62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21,653,317.91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-1,340,964.01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2,396,884.87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19,088,992.61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24,050,202.78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50"/>
      <w:bookmarkEnd w:id="35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101,010,992.67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25,252,748.17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-2,659,051.23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-106,536.96</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1,490,638.40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-4,888,805.77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19,088,992.61</w:t>
            </w:r>
          </w:p>
        </w:tc>
      </w:tr>
    </w:tbl>
    <w:p>
      <w:pPr>
        <w:spacing w:line="240" w:lineRule="auto" w:before="2"/>
        <w:rPr>
          <w:rFonts w:ascii="宋体" w:hAnsi="宋体" w:cs="宋体" w:eastAsia="宋体" w:hint="default"/>
          <w:sz w:val="19"/>
          <w:szCs w:val="19"/>
        </w:rPr>
      </w:pPr>
    </w:p>
    <w:p>
      <w:pPr>
        <w:spacing w:line="547" w:lineRule="auto" w:before="35"/>
        <w:ind w:left="154" w:right="7875" w:firstLine="0"/>
        <w:jc w:val="left"/>
        <w:rPr>
          <w:rFonts w:ascii="宋体" w:hAnsi="宋体" w:cs="宋体" w:eastAsia="宋体" w:hint="default"/>
          <w:sz w:val="21"/>
          <w:szCs w:val="21"/>
        </w:rPr>
      </w:pPr>
      <w:bookmarkStart w:name="74、其他综合收益" w:id="351"/>
      <w:bookmarkEnd w:id="351"/>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52"/>
      <w:bookmarkEnd w:id="352"/>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5"/>
        <w:ind w:right="0"/>
        <w:jc w:val="left"/>
        <w:rPr>
          <w:b w:val="0"/>
          <w:bCs w:val="0"/>
        </w:rPr>
      </w:pPr>
      <w:bookmarkStart w:name="（1）收到的其他与经营活动有关的现金" w:id="353"/>
      <w:bookmarkEnd w:id="35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收到的押金与借支款项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29,688,938.42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30,162,530.86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收到的补贴款项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1,207,266.74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764,100.86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零星其他收到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3,936,620.69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1,089,180.74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34,832,825.85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33,015,812.46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支付的其他与经营活动有关的现金" w:id="354"/>
      <w:bookmarkEnd w:id="35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支付的押金与借支款项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42,535,533.10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56,205,670.49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支付的费用性支出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41,364,425.83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54,086,139.08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41,126.93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32,523.80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83,941,085.86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110,324,333.37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bookmarkStart w:name="（3）收到的其他与投资活动有关的现金" w:id="355"/>
      <w:bookmarkEnd w:id="35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56"/>
      <w:bookmarkEnd w:id="35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57"/>
      <w:bookmarkEnd w:id="35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58"/>
      <w:bookmarkEnd w:id="35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支付上市中介费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12,367,075.98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12,367,075.98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6、现金流量表补充资料" w:id="359"/>
      <w:bookmarkEnd w:id="359"/>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60"/>
      <w:bookmarkEnd w:id="36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81,922,000.06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59,194,968.93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5,809,832.83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709,528.74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223.72998pt;width:151.25pt;height:20.8pt;mso-position-horizontal-relative:page;mso-position-vertical-relative:page;z-index:-772624" coordorigin="4467,4475" coordsize="3025,416">
            <v:group style="position:absolute;left:4478;top:4486;width:2;height:393" coordorigin="4478,4486" coordsize="2,393">
              <v:shape style="position:absolute;left:4478;top:4486;width:2;height:393" coordorigin="4478,4486" coordsize="0,393" path="m4478,4486l4478,4878e" filled="false" stroked="true" strokeweight="1.140pt" strokecolor="#ffffff">
                <v:path arrowok="t"/>
              </v:shape>
            </v:group>
            <v:group style="position:absolute;left:4490;top:4486;width:3002;height:393" coordorigin="4490,4486" coordsize="3002,393">
              <v:shape style="position:absolute;left:4490;top:4486;width:3002;height:393" coordorigin="4490,4486" coordsize="3002,393" path="m4490,4878l7491,4878,7491,4486,4490,4486,4490,487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2,480,602.82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1,923,479.62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963,656.44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1,256,730.01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1,029,188.89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1,069,073.36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36,887.79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62,852.63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366,850.00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426,330.94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-2,262,959.47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-1,901,783.60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-1,340,964.01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2,396,884.87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7,965,786.83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9,849,273.70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-147,815,216.53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-47,633,413.35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21,082,823.73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23,623,783.85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-29,761,510.62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50,977,709.70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259,040,480.88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106,337,488.35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106,337,488.35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74,293,816.09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152,702,992.53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32,043,672.26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61"/>
      <w:bookmarkEnd w:id="36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62"/>
      <w:bookmarkEnd w:id="36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63"/>
      <w:bookmarkEnd w:id="36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259,040,480.88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106,337,488.35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2,198.14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259,038,284.46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106,335,290.21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259,040,480.88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106,337,488.35</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spacing w:line="547" w:lineRule="auto" w:before="35"/>
        <w:ind w:left="154" w:right="5472" w:firstLine="0"/>
        <w:jc w:val="left"/>
        <w:rPr>
          <w:rFonts w:ascii="宋体" w:hAnsi="宋体" w:cs="宋体" w:eastAsia="宋体" w:hint="default"/>
          <w:sz w:val="21"/>
          <w:szCs w:val="21"/>
        </w:rPr>
      </w:pPr>
      <w:bookmarkStart w:name="77、所有者权益变动表项目注释" w:id="364"/>
      <w:bookmarkEnd w:id="364"/>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报告期不存在上年期末余额进行调整的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项目情况 </w:t>
      </w:r>
      <w:bookmarkStart w:name="78、所有权或使用权受到限制的资产" w:id="365"/>
      <w:bookmarkEnd w:id="365"/>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right="0"/>
        <w:jc w:val="left"/>
      </w:pPr>
      <w:r>
        <w:rPr>
          <w:rFonts w:ascii="Times New Roman" w:hAnsi="Times New Roman" w:cs="Times New Roman" w:eastAsia="Times New Roman" w:hint="default"/>
        </w:rPr>
        <w:t>2017</w:t>
      </w:r>
      <w:r>
        <w:rPr/>
        <w:t>年度无所有权受限制的资产</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79、外币货币性项目" w:id="366"/>
      <w:bookmarkEnd w:id="366"/>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67"/>
      <w:bookmarkEnd w:id="36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296,411.09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6.5063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1,928,539.47</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bookmarkStart w:name="（2）境外经营实体说明，包括对于重要的境外经营实体，应披露其境外主要经营地、记账" w:id="368"/>
      <w:bookmarkEnd w:id="36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0、套期" w:id="369"/>
      <w:bookmarkEnd w:id="369"/>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1、其他" w:id="370"/>
      <w:bookmarkEnd w:id="370"/>
      <w:r>
        <w:rPr>
          <w:b w:val="0"/>
          <w:bCs w:val="0"/>
        </w:rPr>
      </w:r>
      <w:r>
        <w:rPr>
          <w:rFonts w:ascii="Times New Roman" w:hAnsi="Times New Roman" w:cs="Times New Roman" w:eastAsia="Times New Roman" w:hint="default"/>
        </w:rPr>
        <w:t>81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八、合并范围的变更" w:id="371"/>
      <w:bookmarkEnd w:id="371"/>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72"/>
      <w:bookmarkEnd w:id="37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73"/>
      <w:bookmarkEnd w:id="37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本报告期未发生非同一控制下企业合并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合并成本及商誉" w:id="374"/>
      <w:bookmarkEnd w:id="37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6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被购买方于购买日可辨认资产、负债" w:id="375"/>
      <w:bookmarkEnd w:id="37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购买日之前持有的股权按照公允价值重新计量产生的利得或损失" w:id="376"/>
      <w:bookmarkEnd w:id="37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购买日或合并当期期末无法合理确定合并对价或被购买方可辨认资产、负债公允价值" w:id="377"/>
      <w:bookmarkEnd w:id="37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其他说明" w:id="378"/>
      <w:bookmarkEnd w:id="37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同一控制下企业合并" w:id="379"/>
      <w:bookmarkEnd w:id="37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6294" w:firstLine="0"/>
        <w:jc w:val="left"/>
        <w:rPr>
          <w:rFonts w:ascii="宋体" w:hAnsi="宋体" w:cs="宋体" w:eastAsia="宋体" w:hint="default"/>
          <w:sz w:val="21"/>
          <w:szCs w:val="21"/>
        </w:rPr>
      </w:pPr>
      <w:bookmarkStart w:name="（1）本期发生的同一控制下企业合并"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本报告期未发生同一控制下企业合并</w:t>
      </w:r>
    </w:p>
    <w:p>
      <w:pPr>
        <w:pStyle w:val="Heading4"/>
        <w:spacing w:line="240" w:lineRule="auto" w:before="105"/>
        <w:ind w:right="0"/>
        <w:jc w:val="left"/>
        <w:rPr>
          <w:b w:val="0"/>
          <w:bCs w:val="0"/>
        </w:rPr>
      </w:pPr>
      <w:bookmarkStart w:name="（2）合并成本" w:id="381"/>
      <w:bookmarkEnd w:id="38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合并日被合并方资产、负债的账面价值" w:id="382"/>
      <w:bookmarkEnd w:id="38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反向购买" w:id="383"/>
      <w:bookmarkEnd w:id="38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5"/>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处置子公司" w:id="384"/>
      <w:bookmarkEnd w:id="38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0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6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其他原因的合并范围变动" w:id="385"/>
      <w:bookmarkEnd w:id="38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932"/>
        <w:jc w:val="left"/>
      </w:pPr>
      <w:r>
        <w:rPr/>
        <w:t>说明其他原因导致的合并范围变动（如，新设子公司、清算子公司等）及其相关情况：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6、其他" w:id="386"/>
      <w:bookmarkEnd w:id="386"/>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九、在其他主体中的权益" w:id="387"/>
      <w:bookmarkEnd w:id="387"/>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88"/>
      <w:bookmarkEnd w:id="38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89"/>
      <w:bookmarkEnd w:id="38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北京品推宝移动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秦皇岛宣亚公共 关系顾问有限公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河北省秦皇岛市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宣亚国际品牌管 理（湖南）有限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湖南省长沙市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湖南省长沙市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北京英帕沃数字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北京宣亚国际品 牌咨询有限公司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广州宣亚品牌管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珠海宣亚互动数 字营销有限公司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北京新兵连文化 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文化艺术等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宣亚国际有限公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美国加利福尼亚 洲尔湾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美国加利福尼亚 洲尔湾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管理、策划等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right="5992"/>
        <w:jc w:val="left"/>
      </w:pPr>
      <w:r>
        <w:rPr/>
        <w:t>在子公司的持股比例不同于表决权比例的说明： 无</w:t>
      </w:r>
    </w:p>
    <w:p>
      <w:pPr>
        <w:pStyle w:val="BodyText"/>
        <w:spacing w:line="357" w:lineRule="auto" w:before="29"/>
        <w:ind w:right="1852"/>
        <w:jc w:val="left"/>
      </w:pPr>
      <w:r>
        <w:rPr/>
        <w:t>持有半数或以下表决权但仍控制被投资单位、以及持有半数以上表决权但不控制被投资单位的依据： 无</w:t>
      </w:r>
    </w:p>
    <w:p>
      <w:pPr>
        <w:spacing w:after="0" w:line="357" w:lineRule="auto"/>
        <w:jc w:val="left"/>
        <w:sectPr>
          <w:pgSz w:w="11910" w:h="16840"/>
          <w:pgMar w:header="867" w:footer="979" w:top="1060" w:bottom="1160" w:left="980" w:right="980"/>
        </w:sectPr>
      </w:pPr>
    </w:p>
    <w:p>
      <w:pPr>
        <w:spacing w:line="240" w:lineRule="auto" w:before="13"/>
        <w:rPr>
          <w:rFonts w:ascii="宋体" w:hAnsi="宋体" w:cs="宋体" w:eastAsia="宋体" w:hint="default"/>
          <w:sz w:val="25"/>
          <w:szCs w:val="25"/>
        </w:rPr>
      </w:pPr>
    </w:p>
    <w:p>
      <w:pPr>
        <w:pStyle w:val="BodyText"/>
        <w:spacing w:line="357" w:lineRule="auto" w:before="44"/>
        <w:ind w:right="5452"/>
        <w:jc w:val="left"/>
      </w:pPr>
      <w:r>
        <w:rPr/>
        <w:t>对于纳入合并范围的重要的结构化主体，控制的依据： 无</w:t>
      </w:r>
    </w:p>
    <w:p>
      <w:pPr>
        <w:pStyle w:val="BodyText"/>
        <w:spacing w:line="357" w:lineRule="auto" w:before="29"/>
        <w:ind w:right="6712"/>
        <w:jc w:val="left"/>
      </w:pPr>
      <w:r>
        <w:rPr/>
        <w:t>确定公司是代理人还是委托人的依据： 无</w:t>
      </w:r>
    </w:p>
    <w:p>
      <w:pPr>
        <w:pStyle w:val="BodyText"/>
        <w:spacing w:line="357" w:lineRule="auto" w:before="29"/>
        <w:ind w:right="887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390"/>
      <w:bookmarkEnd w:id="39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宣亚国际品牌管理（湖 南）有限公司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1" w:right="0"/>
              <w:jc w:val="left"/>
              <w:rPr>
                <w:rFonts w:ascii="Times New Roman" w:hAnsi="Times New Roman" w:cs="Times New Roman" w:eastAsia="Times New Roman" w:hint="default"/>
                <w:sz w:val="18"/>
                <w:szCs w:val="18"/>
              </w:rPr>
            </w:pPr>
            <w:r>
              <w:rPr>
                <w:rFonts w:ascii="Times New Roman"/>
                <w:sz w:val="18"/>
              </w:rPr>
              <w:t>6,374,860.11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515,121.10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8,422,039.91</w:t>
            </w:r>
          </w:p>
        </w:tc>
      </w:tr>
    </w:tbl>
    <w:p>
      <w:pPr>
        <w:pStyle w:val="BodyText"/>
        <w:spacing w:line="357" w:lineRule="auto" w:before="51"/>
        <w:ind w:right="5452"/>
        <w:jc w:val="left"/>
      </w:pPr>
      <w:r>
        <w:rPr/>
        <w:t>子公司少数股东的持股比例不同于表决权比例的说明： 无</w:t>
      </w:r>
    </w:p>
    <w:p>
      <w:pPr>
        <w:spacing w:after="0" w:line="357" w:lineRule="auto"/>
        <w:jc w:val="left"/>
        <w:sectPr>
          <w:pgSz w:w="11910" w:h="16840"/>
          <w:pgMar w:header="867" w:footer="979" w:top="1060" w:bottom="1160" w:left="980" w:right="980"/>
        </w:sectPr>
      </w:pPr>
    </w:p>
    <w:p>
      <w:pPr>
        <w:spacing w:line="240" w:lineRule="auto" w:before="13"/>
        <w:rPr>
          <w:rFonts w:ascii="宋体" w:hAnsi="宋体" w:cs="宋体" w:eastAsia="宋体" w:hint="default"/>
          <w:sz w:val="23"/>
          <w:szCs w:val="23"/>
        </w:rPr>
      </w:pPr>
    </w:p>
    <w:p>
      <w:pPr>
        <w:pStyle w:val="Heading4"/>
        <w:spacing w:line="240" w:lineRule="auto"/>
        <w:ind w:left="140" w:right="0"/>
        <w:jc w:val="left"/>
        <w:rPr>
          <w:b w:val="0"/>
          <w:bCs w:val="0"/>
        </w:rPr>
      </w:pPr>
      <w:r>
        <w:rPr/>
        <w:pict>
          <v:group style="position:absolute;margin-left:70.5pt;margin-top:-.39635pt;width:701pt;height:.1pt;mso-position-horizontal-relative:page;mso-position-vertical-relative:paragraph;z-index:2224" coordorigin="1410,-8" coordsize="14020,2">
            <v:shape style="position:absolute;left:1410;top:-8;width:14020;height:2" coordorigin="1410,-8" coordsize="14020,0" path="m1410,-8l15430,-8e" filled="false" stroked="true" strokeweight=".72pt" strokecolor="#000000">
              <v:path arrowok="t"/>
            </v:shape>
            <w10:wrap type="none"/>
          </v:group>
        </w:pict>
      </w:r>
      <w:bookmarkStart w:name="（3）重要非全资子公司的主要财务信息" w:id="391"/>
      <w:bookmarkEnd w:id="391"/>
      <w:r>
        <w:rPr>
          <w:b w:val="0"/>
          <w:bCs w:val="0"/>
        </w:rPr>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pStyle w:val="BodyText"/>
        <w:spacing w:line="240" w:lineRule="auto" w:before="15"/>
        <w:ind w:left="140" w:right="0"/>
        <w:jc w:val="left"/>
      </w:pPr>
      <w:r>
        <w:rPr/>
        <w:br w:type="column"/>
      </w:r>
      <w:r>
        <w:rPr/>
        <w:t>宣亚国际品牌管理（北京）股份有限公司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26"/>
          <w:footerReference w:type="default" r:id="rId27"/>
          <w:pgSz w:w="16840" w:h="11910" w:orient="landscape"/>
          <w:pgMar w:header="0" w:footer="0" w:top="800" w:bottom="280" w:left="1300" w:right="1240"/>
          <w:cols w:num="2" w:equalWidth="0">
            <w:col w:w="3827" w:space="5184"/>
            <w:col w:w="5289"/>
          </w:cols>
        </w:sectPr>
      </w:pPr>
    </w:p>
    <w:p>
      <w:pPr>
        <w:spacing w:line="240" w:lineRule="auto" w:before="3"/>
        <w:rPr>
          <w:rFonts w:ascii="宋体" w:hAnsi="宋体" w:cs="宋体" w:eastAsia="宋体" w:hint="default"/>
          <w:sz w:val="23"/>
          <w:szCs w:val="23"/>
        </w:rPr>
      </w:pPr>
    </w:p>
    <w:p>
      <w:pPr>
        <w:pStyle w:val="BodyText"/>
        <w:spacing w:line="240" w:lineRule="auto" w:before="44"/>
        <w:ind w:left="0" w:right="196"/>
        <w:jc w:val="right"/>
      </w:pPr>
      <w:r>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736"/>
        <w:gridCol w:w="1108"/>
        <w:gridCol w:w="1134"/>
        <w:gridCol w:w="1134"/>
        <w:gridCol w:w="1276"/>
        <w:gridCol w:w="709"/>
        <w:gridCol w:w="1134"/>
        <w:gridCol w:w="1134"/>
        <w:gridCol w:w="1134"/>
        <w:gridCol w:w="1276"/>
        <w:gridCol w:w="1134"/>
        <w:gridCol w:w="993"/>
        <w:gridCol w:w="113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49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8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77"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宣亚国 际品牌 </w:t>
            </w:r>
            <w:r>
              <w:rPr>
                <w:rFonts w:ascii="宋体" w:hAnsi="宋体" w:cs="宋体" w:eastAsia="宋体" w:hint="default"/>
                <w:spacing w:val="-10"/>
                <w:sz w:val="18"/>
                <w:szCs w:val="18"/>
              </w:rPr>
              <w:t>管理（湖</w:t>
            </w:r>
            <w:r>
              <w:rPr>
                <w:rFonts w:ascii="宋体" w:hAnsi="宋体" w:cs="宋体" w:eastAsia="宋体" w:hint="default"/>
                <w:sz w:val="18"/>
                <w:szCs w:val="18"/>
              </w:rPr>
              <w:t> </w:t>
            </w:r>
            <w:r>
              <w:rPr>
                <w:rFonts w:ascii="宋体" w:hAnsi="宋体" w:cs="宋体" w:eastAsia="宋体" w:hint="default"/>
                <w:spacing w:val="-10"/>
                <w:sz w:val="18"/>
                <w:szCs w:val="18"/>
              </w:rPr>
              <w:t>南）有限</w:t>
            </w:r>
            <w:r>
              <w:rPr>
                <w:rFonts w:ascii="宋体" w:hAnsi="宋体" w:cs="宋体" w:eastAsia="宋体" w:hint="default"/>
                <w:sz w:val="18"/>
                <w:szCs w:val="18"/>
              </w:rPr>
              <w:t> 公司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24,354,123.76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3,574,327.57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27,928,451.33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10,740,614.77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10,740,614.77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10,469,912.73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30,178.80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10,500,091.53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5,588,946.77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5,588,986.22</w:t>
            </w:r>
          </w:p>
        </w:tc>
      </w:tr>
    </w:tbl>
    <w:p>
      <w:pPr>
        <w:pStyle w:val="BodyText"/>
        <w:spacing w:line="240" w:lineRule="auto" w:before="51"/>
        <w:ind w:left="0" w:right="196"/>
        <w:jc w:val="right"/>
      </w:pPr>
      <w:r>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061"/>
        <w:gridCol w:w="1492"/>
        <w:gridCol w:w="1276"/>
        <w:gridCol w:w="1702"/>
        <w:gridCol w:w="1984"/>
        <w:gridCol w:w="2126"/>
        <w:gridCol w:w="2126"/>
        <w:gridCol w:w="1134"/>
        <w:gridCol w:w="113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4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5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宣亚国际品 牌管理（湖 </w:t>
            </w:r>
            <w:r>
              <w:rPr>
                <w:rFonts w:ascii="宋体" w:hAnsi="宋体" w:cs="宋体" w:eastAsia="宋体" w:hint="default"/>
                <w:spacing w:val="-13"/>
                <w:sz w:val="18"/>
                <w:szCs w:val="18"/>
              </w:rPr>
              <w:t>南）有限公司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3" w:right="0"/>
              <w:jc w:val="left"/>
              <w:rPr>
                <w:rFonts w:ascii="Times New Roman" w:hAnsi="Times New Roman" w:cs="Times New Roman" w:eastAsia="Times New Roman" w:hint="default"/>
                <w:sz w:val="18"/>
                <w:szCs w:val="18"/>
              </w:rPr>
            </w:pPr>
            <w:r>
              <w:rPr>
                <w:rFonts w:ascii="Times New Roman"/>
                <w:sz w:val="18"/>
              </w:rPr>
              <w:t>31,629,761.79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13,009,918.59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13,009,918.59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14,770,002.31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48" w:right="0"/>
              <w:jc w:val="left"/>
              <w:rPr>
                <w:rFonts w:ascii="Times New Roman" w:hAnsi="Times New Roman" w:cs="Times New Roman" w:eastAsia="Times New Roman" w:hint="default"/>
                <w:sz w:val="18"/>
                <w:szCs w:val="18"/>
              </w:rPr>
            </w:pPr>
            <w:r>
              <w:rPr>
                <w:rFonts w:ascii="Times New Roman"/>
                <w:sz w:val="18"/>
              </w:rPr>
              <w:t>9,830,913.83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2,085,071.36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2,085,071.36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2,083,778.40</w:t>
            </w:r>
          </w:p>
        </w:tc>
      </w:tr>
    </w:tbl>
    <w:p>
      <w:pPr>
        <w:spacing w:line="240" w:lineRule="auto" w:before="2"/>
        <w:rPr>
          <w:rFonts w:ascii="宋体" w:hAnsi="宋体" w:cs="宋体" w:eastAsia="宋体" w:hint="default"/>
          <w:sz w:val="19"/>
          <w:szCs w:val="19"/>
        </w:rPr>
      </w:pPr>
    </w:p>
    <w:p>
      <w:pPr>
        <w:pStyle w:val="Heading4"/>
        <w:spacing w:line="240" w:lineRule="auto" w:before="35"/>
        <w:ind w:left="140" w:right="0"/>
        <w:jc w:val="left"/>
        <w:rPr>
          <w:b w:val="0"/>
          <w:bCs w:val="0"/>
        </w:rPr>
      </w:pPr>
      <w:bookmarkStart w:name="（4）使用企业集团资产和清偿企业集团债务的重大限制" w:id="392"/>
      <w:bookmarkEnd w:id="39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140" w:right="0"/>
        <w:jc w:val="left"/>
        <w:rPr>
          <w:b w:val="0"/>
          <w:bCs w:val="0"/>
        </w:rPr>
      </w:pPr>
      <w:bookmarkStart w:name="（5）向纳入合并财务报表范围的结构化主体提供的财务支持或其他支持" w:id="393"/>
      <w:bookmarkEnd w:id="39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76"/>
        <w:ind w:left="0" w:right="196"/>
        <w:jc w:val="right"/>
        <w:rPr>
          <w:rFonts w:ascii="Times New Roman" w:hAnsi="Times New Roman" w:cs="Times New Roman" w:eastAsia="Times New Roman" w:hint="default"/>
        </w:rPr>
      </w:pPr>
      <w:r>
        <w:rPr>
          <w:rFonts w:ascii="Times New Roman"/>
        </w:rPr>
        <w:t>139</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124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92"/>
        <w:jc w:val="left"/>
        <w:rPr>
          <w:b w:val="0"/>
          <w:bCs w:val="0"/>
        </w:rPr>
      </w:pPr>
      <w:bookmarkStart w:name="2、在子公司的所有者权益份额发生变化且仍控制子公司的交易" w:id="394"/>
      <w:bookmarkEnd w:id="39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bookmarkStart w:name="（1）在子公司所有者权益份额发生变化的情况说明" w:id="395"/>
      <w:bookmarkEnd w:id="39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2" w:firstLine="360"/>
        <w:jc w:val="left"/>
      </w:pPr>
      <w:r>
        <w:rPr>
          <w:spacing w:val="-2"/>
        </w:rPr>
        <w:t>根据第二届董事会第十三次会议，审议通过了《关于全资子公司增资扩股暨放弃部分优先认缴出资权利的议案》，同意</w:t>
      </w:r>
      <w:r>
        <w:rPr/>
        <w:t> 公司向北京宣亚国际品牌咨询有限公司增资人民币 </w:t>
      </w:r>
      <w:r>
        <w:rPr>
          <w:rFonts w:ascii="宋体" w:hAnsi="宋体" w:cs="宋体" w:eastAsia="宋体" w:hint="default"/>
        </w:rPr>
        <w:t>110 </w:t>
      </w:r>
      <w:r>
        <w:rPr/>
        <w:t>万元，品牌咨询引入个人投资者程乐松先生对品牌咨询增资人民币</w:t>
      </w:r>
    </w:p>
    <w:p>
      <w:pPr>
        <w:pStyle w:val="BodyText"/>
        <w:spacing w:line="316" w:lineRule="auto" w:before="19"/>
        <w:ind w:right="92"/>
        <w:jc w:val="left"/>
      </w:pPr>
      <w:r>
        <w:rPr>
          <w:rFonts w:ascii="宋体" w:hAnsi="宋体" w:cs="宋体" w:eastAsia="宋体" w:hint="default"/>
        </w:rPr>
        <w:t>490</w:t>
      </w:r>
      <w:r>
        <w:rPr>
          <w:rFonts w:ascii="宋体" w:hAnsi="宋体" w:cs="宋体" w:eastAsia="宋体" w:hint="default"/>
          <w:spacing w:val="-42"/>
        </w:rPr>
        <w:t> </w:t>
      </w:r>
      <w:r>
        <w:rPr/>
        <w:t>万元，同时，同意公司放弃本次向品牌咨询部分优先认缴出资的权利，并授权董事长就本次品牌咨询增资扩股暨放弃部 分优先认缴出资权利事宜签署相关法律文件。于</w:t>
      </w:r>
      <w:r>
        <w:rPr>
          <w:rFonts w:ascii="宋体" w:hAnsi="宋体" w:cs="宋体" w:eastAsia="宋体" w:hint="default"/>
        </w:rPr>
        <w:t>2017</w:t>
      </w:r>
      <w:r>
        <w:rPr/>
        <w:t>年</w:t>
      </w:r>
      <w:r>
        <w:rPr>
          <w:rFonts w:ascii="宋体" w:hAnsi="宋体" w:cs="宋体" w:eastAsia="宋体" w:hint="default"/>
        </w:rPr>
        <w:t>6</w:t>
      </w:r>
      <w:r>
        <w:rPr/>
        <w:t>月完成工商变更，截止</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日，宣亚国际品牌管理（北京） 股份有限公司对品牌咨询公司表决权比例变为</w:t>
      </w:r>
      <w:r>
        <w:rPr>
          <w:rFonts w:ascii="宋体" w:hAnsi="宋体" w:cs="宋体" w:eastAsia="宋体" w:hint="default"/>
        </w:rPr>
        <w:t>51%</w:t>
      </w:r>
      <w:r>
        <w:rPr/>
        <w:t>，程乐松对该公司表决权变为</w:t>
      </w:r>
      <w:r>
        <w:rPr>
          <w:rFonts w:ascii="宋体" w:hAnsi="宋体" w:cs="宋体" w:eastAsia="宋体" w:hint="default"/>
        </w:rPr>
        <w:t>49%</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2"/>
        <w:jc w:val="left"/>
        <w:rPr>
          <w:b w:val="0"/>
          <w:bCs w:val="0"/>
        </w:rPr>
      </w:pPr>
      <w:bookmarkStart w:name="（2）交易对于少数股东权益及归属于母公司所有者权益的影响" w:id="396"/>
      <w:bookmarkEnd w:id="39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北京宣亚国际品牌咨询有限公司少数股东权益影响金额</w:t>
      </w:r>
      <w:r>
        <w:rPr>
          <w:rFonts w:ascii="宋体" w:hAnsi="宋体" w:cs="宋体" w:eastAsia="宋体" w:hint="default"/>
        </w:rPr>
        <w:t>214,286.40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2"/>
        <w:jc w:val="left"/>
        <w:rPr>
          <w:b w:val="0"/>
          <w:bCs w:val="0"/>
        </w:rPr>
      </w:pPr>
      <w:bookmarkStart w:name="3、在合营安排或联营企业中的权益" w:id="397"/>
      <w:bookmarkEnd w:id="39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bookmarkStart w:name="（1）重要的合营企业或联营企业" w:id="398"/>
      <w:bookmarkEnd w:id="39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2"/>
        <w:ind w:right="4952"/>
        <w:jc w:val="left"/>
      </w:pPr>
      <w:r>
        <w:rPr/>
        <w:t>在合营企业或联营企业的持股比例不同于表决权比例的说明： 无</w:t>
      </w:r>
    </w:p>
    <w:p>
      <w:pPr>
        <w:pStyle w:val="BodyText"/>
        <w:spacing w:line="338" w:lineRule="auto" w:before="29"/>
        <w:ind w:right="240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4"/>
        <w:spacing w:line="240" w:lineRule="auto"/>
        <w:ind w:right="92"/>
        <w:jc w:val="left"/>
        <w:rPr>
          <w:b w:val="0"/>
          <w:bCs w:val="0"/>
        </w:rPr>
      </w:pPr>
      <w:bookmarkStart w:name="（2）重要合营企业的主要财务信息" w:id="399"/>
      <w:bookmarkEnd w:id="39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3）重要联营企业的主要财务信息" w:id="400"/>
      <w:bookmarkEnd w:id="40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bookmarkStart w:name="（4）不重要的合营企业和联营企业的汇总财务信息" w:id="401"/>
      <w:bookmarkEnd w:id="40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8"/>
          <w:pgSz w:w="11910" w:h="16840"/>
          <w:pgMar w:footer="979" w:header="0" w:top="1060" w:bottom="1160" w:left="980" w:right="940"/>
          <w:pgNumType w:start="1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7,483,551.02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5,220,591.55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2,262,959.47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1,109,447.31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2,262,959.47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1,109,447.31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营企业或联营企业向本公司转移资金的能力存在重大限制的说明" w:id="402"/>
      <w:bookmarkEnd w:id="40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合营企业或联营企业发生的超额亏损" w:id="403"/>
      <w:bookmarkEnd w:id="40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04"/>
      <w:bookmarkEnd w:id="40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与合营企业或联营企业投资相关的或有负债" w:id="405"/>
      <w:bookmarkEnd w:id="40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重要的共同经营" w:id="406"/>
      <w:bookmarkEnd w:id="40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本公司不存在重要的共同经营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5、在未纳入合并财务报表范围的结构化主体中的权益" w:id="407"/>
      <w:bookmarkEnd w:id="40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本公司不存在未纳入合并财务报表范围的结构化主体中的权益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其他" w:id="408"/>
      <w:bookmarkEnd w:id="408"/>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与金融工具相关的风险" w:id="409"/>
      <w:bookmarkEnd w:id="40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1" w:firstLine="336"/>
        <w:jc w:val="both"/>
      </w:pPr>
      <w:r>
        <w:rPr>
          <w:spacing w:val="-2"/>
        </w:rPr>
        <w:t>本公司在经营过程中面临各种金融风险：信用风险、市场风险和流动性风险。公司经营管理层全面负责风险管理目标和</w:t>
      </w:r>
      <w:r>
        <w:rPr/>
        <w:t> </w:t>
      </w:r>
      <w:r>
        <w:rPr>
          <w:spacing w:val="-2"/>
        </w:rPr>
        <w:t>政策的确定，并对风险管理目标和政策承担最终责任，经营管理层通过职能部门递交的工作报告来审查已执行程序的有效性</w:t>
      </w:r>
      <w:r>
        <w:rPr>
          <w:spacing w:val="-64"/>
        </w:rPr>
        <w:t> </w:t>
      </w:r>
      <w:r>
        <w:rPr>
          <w:spacing w:val="-64"/>
        </w:rPr>
      </w:r>
      <w:r>
        <w:rPr>
          <w:spacing w:val="-2"/>
        </w:rPr>
        <w:t>以及风险管理目标和政策的合理性。本公司的内部审计师也会审计风险管理的政策和程序，并且将有关发现汇报给审计委员</w:t>
      </w:r>
      <w:r>
        <w:rPr>
          <w:spacing w:val="-64"/>
        </w:rPr>
        <w:t> </w:t>
      </w:r>
      <w:r>
        <w:rPr>
          <w:spacing w:val="-64"/>
        </w:rPr>
      </w:r>
      <w:r>
        <w:rPr/>
        <w:t>会。</w:t>
      </w:r>
    </w:p>
    <w:p>
      <w:pPr>
        <w:pStyle w:val="BodyText"/>
        <w:spacing w:line="316" w:lineRule="auto" w:before="17"/>
        <w:ind w:left="871" w:right="138" w:hanging="304"/>
        <w:jc w:val="left"/>
      </w:pPr>
      <w:r>
        <w:rPr/>
        <w:t>本公司风险管理的总体目标是在不过度影响公司竞争力和应变力的情况下，制定尽可能降低风险的风险管理政策。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4"/>
        </w:rPr>
        <w:t> </w:t>
      </w:r>
      <w:r>
        <w:rPr/>
        <w:t>信用风险 </w:t>
      </w:r>
      <w:r>
        <w:rPr>
          <w:spacing w:val="-2"/>
        </w:rPr>
        <w:t>信用风险是指金融工具的一方不履行义务，造成另一方发生财务损失的风险。本公司主要面临赊销导致的客户信用</w:t>
      </w:r>
      <w:r>
        <w:rPr/>
        <w:t> </w:t>
      </w:r>
      <w:r>
        <w:rPr>
          <w:spacing w:val="-2"/>
        </w:rPr>
        <w:t>风险。在签订新合同之前，本公司会对新客户的信用风险进行评估，包括外部信用评级和在某些情况下的银行资信</w:t>
      </w:r>
    </w:p>
    <w:p>
      <w:pPr>
        <w:spacing w:after="0" w:line="316" w:lineRule="auto"/>
        <w:jc w:val="left"/>
        <w:sectPr>
          <w:pgSz w:w="11910" w:h="16840"/>
          <w:pgMar w:header="0"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871" w:right="95"/>
        <w:jc w:val="left"/>
      </w:pPr>
      <w:r>
        <w:rPr/>
        <w:t>证明（当此信息可获取时）。公司对每一客户均设置了赊销限额，该限额为无需获得额外批准的最大额度。 公司通过对已有客户信用评级的季度监控以及应收账款账龄分析的月度审核来确保公司的整体信用风险在可控的</w:t>
      </w:r>
      <w:r>
        <w:rPr>
          <w:spacing w:val="-8"/>
        </w:rPr>
        <w:t> </w:t>
      </w:r>
      <w:r>
        <w:rPr>
          <w:spacing w:val="-8"/>
        </w:rPr>
      </w:r>
      <w:r>
        <w:rPr>
          <w:spacing w:val="-2"/>
        </w:rPr>
        <w:t>范围内。在监控客户的信用风险时，按照客户的信用特征对其分组。被评为“高风险”级别的客户会放在受限制客</w:t>
      </w:r>
      <w:r>
        <w:rPr>
          <w:spacing w:val="-70"/>
        </w:rPr>
        <w:t> </w:t>
      </w:r>
      <w:r>
        <w:rPr>
          <w:spacing w:val="-70"/>
        </w:rPr>
      </w:r>
      <w:r>
        <w:rPr/>
        <w:t>户名单里，并且只有在额外批准的前提下，公司才可在未来期间内对其赊销，否则必须要求其提前支付相应款项。</w:t>
      </w:r>
    </w:p>
    <w:p>
      <w:pPr>
        <w:spacing w:line="240" w:lineRule="auto" w:before="4"/>
        <w:rPr>
          <w:rFonts w:ascii="宋体" w:hAnsi="宋体" w:cs="宋体" w:eastAsia="宋体" w:hint="default"/>
          <w:sz w:val="25"/>
          <w:szCs w:val="25"/>
        </w:rPr>
      </w:pPr>
    </w:p>
    <w:p>
      <w:pPr>
        <w:pStyle w:val="BodyText"/>
        <w:spacing w:line="316" w:lineRule="auto"/>
        <w:ind w:left="868" w:right="92" w:firstLine="42"/>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4"/>
        </w:rPr>
        <w:t> </w:t>
      </w:r>
      <w:r>
        <w:rPr/>
        <w:t>市场风险 </w:t>
      </w:r>
      <w:r>
        <w:rPr>
          <w:spacing w:val="-4"/>
        </w:rPr>
        <w:t>金融工具的市场风险，是指金融工具的公允价值或未来现金流量因市场价格变动而发生波动的风险，包括汇率风险、</w:t>
      </w:r>
      <w:r>
        <w:rPr>
          <w:spacing w:val="-52"/>
        </w:rPr>
        <w:t> </w:t>
      </w:r>
      <w:r>
        <w:rPr>
          <w:spacing w:val="-52"/>
        </w:rPr>
      </w:r>
      <w:r>
        <w:rPr/>
        <w:t>利率风险和其他价格风险。</w:t>
      </w:r>
    </w:p>
    <w:p>
      <w:pPr>
        <w:pStyle w:val="BodyText"/>
        <w:spacing w:line="316" w:lineRule="auto" w:before="19"/>
        <w:ind w:left="868" w:right="92"/>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利率风险，是指金融工具的公允价值或未来现金流量因市场利率变动而发生波动的风险。本公司现无长期借款暂不</w:t>
      </w:r>
      <w:r>
        <w:rPr>
          <w:spacing w:val="-68"/>
        </w:rPr>
        <w:t> </w:t>
      </w:r>
      <w:r>
        <w:rPr>
          <w:spacing w:val="-68"/>
        </w:rPr>
      </w:r>
      <w:r>
        <w:rPr/>
        <w:t>存在较大利率变化风险。</w:t>
      </w:r>
    </w:p>
    <w:p>
      <w:pPr>
        <w:pStyle w:val="BodyText"/>
        <w:spacing w:line="316" w:lineRule="auto" w:before="19"/>
        <w:ind w:left="868" w:right="92"/>
        <w:jc w:val="left"/>
      </w:pPr>
      <w:r>
        <w:rPr/>
        <w:t>（</w:t>
      </w:r>
      <w:r>
        <w:rPr>
          <w:rFonts w:ascii="宋体" w:hAnsi="宋体" w:cs="宋体" w:eastAsia="宋体" w:hint="default"/>
        </w:rPr>
        <w:t>2</w:t>
      </w:r>
      <w:r>
        <w:rPr/>
        <w:t>）汇率风险 </w:t>
      </w:r>
      <w:r>
        <w:rPr>
          <w:spacing w:val="-2"/>
        </w:rPr>
        <w:t>汇率风险，是指金融工具的公允价值或未来现金流量因外汇汇率变动而发生波动的风险。本报告期间，本公司未签</w:t>
      </w:r>
      <w:r>
        <w:rPr>
          <w:spacing w:val="-68"/>
        </w:rPr>
        <w:t> </w:t>
      </w:r>
      <w:r>
        <w:rPr>
          <w:spacing w:val="-68"/>
        </w:rPr>
      </w:r>
      <w:r>
        <w:rPr/>
        <w:t>署任何远期外汇合约或货币互换合约，且国外子公司尚未经营暂不存在较大汇率风险。</w:t>
      </w:r>
    </w:p>
    <w:p>
      <w:pPr>
        <w:pStyle w:val="BodyText"/>
        <w:spacing w:line="316" w:lineRule="auto" w:before="19"/>
        <w:ind w:left="868" w:right="4058"/>
        <w:jc w:val="left"/>
      </w:pPr>
      <w:r>
        <w:rPr/>
        <w:t>（</w:t>
      </w:r>
      <w:r>
        <w:rPr>
          <w:rFonts w:ascii="宋体" w:hAnsi="宋体" w:cs="宋体" w:eastAsia="宋体" w:hint="default"/>
        </w:rPr>
        <w:t>3</w:t>
      </w:r>
      <w:r>
        <w:rPr/>
        <w:t>）其他价格风险 本公司未持有其他上市公司的权益投资，无相关市场价格风险。</w:t>
      </w:r>
    </w:p>
    <w:p>
      <w:pPr>
        <w:spacing w:line="240" w:lineRule="auto" w:before="4"/>
        <w:rPr>
          <w:rFonts w:ascii="宋体" w:hAnsi="宋体" w:cs="宋体" w:eastAsia="宋体" w:hint="default"/>
          <w:sz w:val="25"/>
          <w:szCs w:val="25"/>
        </w:rPr>
      </w:pPr>
    </w:p>
    <w:p>
      <w:pPr>
        <w:pStyle w:val="BodyText"/>
        <w:spacing w:line="316" w:lineRule="auto"/>
        <w:ind w:left="871" w:right="92" w:firstLine="3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54"/>
        </w:rPr>
        <w:t> </w:t>
      </w:r>
      <w:r>
        <w:rPr/>
        <w:t>流动性风险 </w:t>
      </w:r>
      <w:r>
        <w:rPr>
          <w:spacing w:val="-2"/>
        </w:rPr>
        <w:t>流动风险，是指企业在履行以交付现金或其他金融资产的方式结算的义务时发生资金短缺的风险。本公司的政策是</w:t>
      </w:r>
      <w:r>
        <w:rPr>
          <w:spacing w:val="-70"/>
        </w:rPr>
        <w:t> </w:t>
      </w:r>
      <w:r>
        <w:rPr>
          <w:spacing w:val="-70"/>
        </w:rPr>
      </w:r>
      <w:r>
        <w:rPr>
          <w:spacing w:val="-2"/>
        </w:rPr>
        <w:t>确保拥有充足的现金以偿还到期债务。流动性风险由本公司的财务部门集中控制。财务部门通过监控现金余额、可</w:t>
      </w:r>
      <w:r>
        <w:rPr>
          <w:spacing w:val="-71"/>
        </w:rPr>
        <w:t> </w:t>
      </w:r>
      <w:r>
        <w:rPr>
          <w:spacing w:val="-71"/>
        </w:rPr>
      </w:r>
      <w:r>
        <w:rPr>
          <w:spacing w:val="-2"/>
        </w:rPr>
        <w:t>随时变现的有价证券以及对未来</w:t>
      </w:r>
      <w:r>
        <w:rPr>
          <w:rFonts w:ascii="宋体" w:hAnsi="宋体" w:cs="宋体" w:eastAsia="宋体" w:hint="default"/>
          <w:spacing w:val="-2"/>
        </w:rPr>
        <w:t>12</w:t>
      </w:r>
      <w:r>
        <w:rPr>
          <w:spacing w:val="-2"/>
        </w:rPr>
        <w:t>个月现金流量的滚动预测，确保公司在所有合理预测的情况下拥有充足的资金偿</w:t>
      </w:r>
      <w:r>
        <w:rPr>
          <w:spacing w:val="-69"/>
        </w:rPr>
        <w:t> </w:t>
      </w:r>
      <w:r>
        <w:rPr>
          <w:spacing w:val="-69"/>
        </w:rPr>
      </w:r>
      <w:r>
        <w:rPr/>
        <w:t>还债务。</w:t>
      </w:r>
    </w:p>
    <w:p>
      <w:pPr>
        <w:pStyle w:val="BodyText"/>
        <w:spacing w:line="240" w:lineRule="auto" w:before="19"/>
        <w:ind w:left="871" w:right="92"/>
        <w:jc w:val="left"/>
      </w:pPr>
      <w:r>
        <w:rPr/>
        <w:t>本公司各项金融负债以未折现的合同现金流量按到期日列示如下：</w:t>
      </w:r>
    </w:p>
    <w:p>
      <w:pPr>
        <w:spacing w:line="240" w:lineRule="auto" w:before="0"/>
        <w:rPr>
          <w:rFonts w:ascii="宋体" w:hAnsi="宋体" w:cs="宋体" w:eastAsia="宋体" w:hint="default"/>
          <w:sz w:val="5"/>
          <w:szCs w:val="5"/>
        </w:rPr>
      </w:pPr>
    </w:p>
    <w:tbl>
      <w:tblPr>
        <w:tblW w:w="0" w:type="auto"/>
        <w:jc w:val="left"/>
        <w:tblInd w:w="761" w:type="dxa"/>
        <w:tblLayout w:type="fixed"/>
        <w:tblCellMar>
          <w:top w:w="0" w:type="dxa"/>
          <w:left w:w="0" w:type="dxa"/>
          <w:bottom w:w="0" w:type="dxa"/>
          <w:right w:w="0" w:type="dxa"/>
        </w:tblCellMar>
        <w:tblLook w:val="01E0"/>
      </w:tblPr>
      <w:tblGrid>
        <w:gridCol w:w="1408"/>
        <w:gridCol w:w="1666"/>
        <w:gridCol w:w="1212"/>
        <w:gridCol w:w="1212"/>
        <w:gridCol w:w="1061"/>
        <w:gridCol w:w="1630"/>
      </w:tblGrid>
      <w:tr>
        <w:trPr>
          <w:trHeight w:val="342" w:hRule="exact"/>
        </w:trPr>
        <w:tc>
          <w:tcPr>
            <w:tcW w:w="1408" w:type="dxa"/>
            <w:vMerge w:val="restart"/>
            <w:tcBorders>
              <w:top w:val="single" w:sz="4" w:space="0" w:color="000000"/>
              <w:left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67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2017.12.31</w:t>
            </w:r>
          </w:p>
        </w:tc>
      </w:tr>
      <w:tr>
        <w:trPr>
          <w:trHeight w:val="342" w:hRule="exact"/>
        </w:trPr>
        <w:tc>
          <w:tcPr>
            <w:tcW w:w="1408"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4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年以内</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宋体" w:hAnsi="宋体" w:cs="宋体" w:eastAsia="宋体" w:hint="default"/>
                <w:sz w:val="16"/>
                <w:szCs w:val="16"/>
              </w:rPr>
              <w:t>年</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2-3</w:t>
            </w:r>
            <w:r>
              <w:rPr>
                <w:rFonts w:ascii="宋体" w:hAnsi="宋体" w:cs="宋体" w:eastAsia="宋体" w:hint="default"/>
                <w:sz w:val="16"/>
                <w:szCs w:val="16"/>
              </w:rPr>
              <w:t>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年以上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87,500,950.66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87,500,950.66</w:t>
            </w: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1,692,044.55</w:t>
            </w:r>
            <w:r>
              <w:rPr>
                <w:rFonts w:ascii="Times New Roman"/>
                <w:sz w:val="16"/>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1,692,044.55</w:t>
            </w:r>
            <w:r>
              <w:rPr>
                <w:rFonts w:ascii="Times New Roman"/>
                <w:sz w:val="16"/>
              </w:rPr>
            </w: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166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66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761" w:type="dxa"/>
        <w:tblLayout w:type="fixed"/>
        <w:tblCellMar>
          <w:top w:w="0" w:type="dxa"/>
          <w:left w:w="0" w:type="dxa"/>
          <w:bottom w:w="0" w:type="dxa"/>
          <w:right w:w="0" w:type="dxa"/>
        </w:tblCellMar>
        <w:tblLook w:val="01E0"/>
      </w:tblPr>
      <w:tblGrid>
        <w:gridCol w:w="1408"/>
        <w:gridCol w:w="1666"/>
        <w:gridCol w:w="1212"/>
        <w:gridCol w:w="1212"/>
        <w:gridCol w:w="1061"/>
        <w:gridCol w:w="1630"/>
      </w:tblGrid>
      <w:tr>
        <w:trPr>
          <w:trHeight w:val="342" w:hRule="exact"/>
        </w:trPr>
        <w:tc>
          <w:tcPr>
            <w:tcW w:w="1408" w:type="dxa"/>
            <w:vMerge w:val="restart"/>
            <w:tcBorders>
              <w:top w:val="single" w:sz="4" w:space="0" w:color="000000"/>
              <w:left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67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2016.12.31</w:t>
            </w:r>
          </w:p>
        </w:tc>
      </w:tr>
      <w:tr>
        <w:trPr>
          <w:trHeight w:val="342" w:hRule="exact"/>
        </w:trPr>
        <w:tc>
          <w:tcPr>
            <w:tcW w:w="1408"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4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年以内</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宋体" w:hAnsi="宋体" w:cs="宋体" w:eastAsia="宋体" w:hint="default"/>
                <w:sz w:val="16"/>
                <w:szCs w:val="16"/>
              </w:rPr>
              <w:t>年</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2-3</w:t>
            </w:r>
            <w:r>
              <w:rPr>
                <w:rFonts w:ascii="宋体" w:hAnsi="宋体" w:cs="宋体" w:eastAsia="宋体" w:hint="default"/>
                <w:sz w:val="16"/>
                <w:szCs w:val="16"/>
              </w:rPr>
              <w:t>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年以上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10,000,000.00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10,000,000.00</w:t>
            </w: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75,469,228.81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75,469,228.81</w:t>
            </w: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905,830.00</w:t>
            </w:r>
            <w:r>
              <w:rPr>
                <w:rFonts w:ascii="Times New Roman"/>
                <w:sz w:val="16"/>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905,830.00</w:t>
            </w:r>
            <w:r>
              <w:rPr>
                <w:rFonts w:ascii="Times New Roman"/>
                <w:sz w:val="16"/>
              </w:rPr>
            </w:r>
          </w:p>
        </w:tc>
      </w:tr>
      <w:tr>
        <w:trPr>
          <w:trHeight w:val="34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1,347,015.51</w:t>
            </w:r>
            <w:r>
              <w:rPr>
                <w:rFonts w:ascii="Times New Roman"/>
                <w:sz w:val="16"/>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1,347,015.51</w:t>
            </w:r>
            <w:r>
              <w:rPr>
                <w:rFonts w:ascii="Times New Roman"/>
                <w:sz w:val="16"/>
              </w:rPr>
            </w:r>
          </w:p>
        </w:tc>
      </w:tr>
      <w:tr>
        <w:trPr>
          <w:trHeight w:val="343"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66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940"/>
        </w:sectPr>
      </w:pPr>
    </w:p>
    <w:p>
      <w:pPr>
        <w:spacing w:line="240" w:lineRule="auto" w:before="9"/>
        <w:rPr>
          <w:rFonts w:ascii="宋体" w:hAnsi="宋体" w:cs="宋体" w:eastAsia="宋体" w:hint="default"/>
          <w:sz w:val="23"/>
          <w:szCs w:val="23"/>
        </w:rPr>
      </w:pPr>
    </w:p>
    <w:p>
      <w:pPr>
        <w:spacing w:line="506" w:lineRule="auto" w:before="26"/>
        <w:ind w:left="154" w:right="5306" w:firstLine="0"/>
        <w:jc w:val="left"/>
        <w:rPr>
          <w:rFonts w:ascii="宋体" w:hAnsi="宋体" w:cs="宋体" w:eastAsia="宋体" w:hint="default"/>
          <w:sz w:val="18"/>
          <w:szCs w:val="18"/>
        </w:rPr>
      </w:pPr>
      <w:bookmarkStart w:name="十一、公允价值的披露" w:id="410"/>
      <w:bookmarkEnd w:id="410"/>
      <w:r>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411"/>
      <w:bookmarkEnd w:id="411"/>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、以公允价值计量的资产和负债的期末公允价值 </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sz w:val="18"/>
          <w:szCs w:val="18"/>
        </w:rPr>
        <w:t>无</w:t>
      </w:r>
    </w:p>
    <w:p>
      <w:pPr>
        <w:pStyle w:val="Heading4"/>
        <w:spacing w:line="240" w:lineRule="auto" w:before="152"/>
        <w:ind w:right="0"/>
        <w:jc w:val="left"/>
        <w:rPr>
          <w:b w:val="0"/>
          <w:bCs w:val="0"/>
        </w:rPr>
      </w:pPr>
      <w:bookmarkStart w:name="2、持续和非持续第一层次公允价值计量项目市价的确定依据" w:id="412"/>
      <w:bookmarkEnd w:id="41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持续和非持续第二层次公允价值计量项目，采用的估值技术和重要参数的定性及定量信" w:id="413"/>
      <w:bookmarkEnd w:id="41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持续和非持续第三层次公允价值计量项目，采用的估值技术和重要参数的定性及定量信" w:id="414"/>
      <w:bookmarkEnd w:id="41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持续的第三层次公允价值计量项目，期初与期末账面价值间的调节信息及不可观察参数" w:id="415"/>
      <w:bookmarkEnd w:id="41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持续的公允价值计量项目，本期内发生各层级之间转换的，转换的原因及确定转换时点" w:id="416"/>
      <w:bookmarkEnd w:id="41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本期内发生的估值技术变更及变更原因" w:id="417"/>
      <w:bookmarkEnd w:id="41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不以公允价值计量的金融资产和金融负债的公允价值情况" w:id="418"/>
      <w:bookmarkEnd w:id="41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9、其他" w:id="419"/>
      <w:bookmarkEnd w:id="419"/>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本公司本期的金融资产和负债公允价值与账面价值相等，暂不涉及以上三个层次认定。</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二、关联方及关联交易" w:id="420"/>
      <w:bookmarkEnd w:id="420"/>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421"/>
      <w:bookmarkEnd w:id="42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9" w:lineRule="auto"/>
        <w:jc w:val="left"/>
        <w:rPr>
          <w:rFonts w:ascii="宋体" w:hAnsi="宋体" w:cs="宋体" w:eastAsia="宋体" w:hint="default"/>
          <w:sz w:val="18"/>
          <w:szCs w:val="18"/>
        </w:rPr>
        <w:sectPr>
          <w:pgSz w:w="11910" w:h="16840"/>
          <w:pgMar w:header="0"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北京宣亚国际投资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37.50%</w:t>
            </w:r>
          </w:p>
        </w:tc>
      </w:tr>
    </w:tbl>
    <w:p>
      <w:pPr>
        <w:pStyle w:val="BodyText"/>
        <w:spacing w:line="357" w:lineRule="auto" w:before="51"/>
        <w:ind w:right="5492"/>
        <w:jc w:val="left"/>
      </w:pPr>
      <w:r>
        <w:rPr/>
        <w:t>本企业的母公司情况的说明 本公司实际控制人：张秀兵、万丽莉</w:t>
      </w:r>
    </w:p>
    <w:p>
      <w:pPr>
        <w:spacing w:line="240" w:lineRule="auto" w:before="1"/>
        <w:rPr>
          <w:rFonts w:ascii="宋体" w:hAnsi="宋体" w:cs="宋体" w:eastAsia="宋体" w:hint="default"/>
          <w:sz w:val="26"/>
          <w:szCs w:val="26"/>
        </w:rPr>
      </w:pPr>
    </w:p>
    <w:p>
      <w:pPr>
        <w:pStyle w:val="BodyText"/>
        <w:spacing w:line="240" w:lineRule="auto"/>
        <w:ind w:right="0"/>
        <w:jc w:val="left"/>
      </w:pPr>
      <w:r>
        <w:rPr/>
        <w:t>本企业最终控制方是张秀兵、万丽莉。</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本企业的子公司情况" w:id="422"/>
      <w:bookmarkEnd w:id="42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本企业子公司的情况详见附注第十一节、九、在其他主体中的权益。</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423"/>
      <w:bookmarkEnd w:id="42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1312"/>
        <w:jc w:val="left"/>
      </w:pPr>
      <w:r>
        <w:rPr/>
        <w:t>本企业重要的合营或联营企业详见附注第十一节、九、在其他主体中的权益。 本期与本公司发生关联方交易，或前期与本公司发生关联方交易形成余额的其他合营或联营企业情况如下：</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4、其他关联方情况" w:id="424"/>
      <w:bookmarkEnd w:id="42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北京威维体育文化有限公司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企业的联营企业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企业实际控制人之一</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5、关联交易情况" w:id="425"/>
      <w:bookmarkEnd w:id="42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26"/>
      <w:bookmarkEnd w:id="42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134"/>
        <w:gridCol w:w="1334"/>
        <w:gridCol w:w="1708"/>
        <w:gridCol w:w="1706"/>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北京威维体育文化有限公司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活动服务费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关联受托管理/承包及委托管理/出包情况" w:id="427"/>
      <w:bookmarkEnd w:id="42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关联租赁情况" w:id="428"/>
      <w:bookmarkEnd w:id="42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29"/>
      <w:bookmarkEnd w:id="42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本公司作为被担保方</w:t>
      </w:r>
    </w:p>
    <w:p>
      <w:pPr>
        <w:spacing w:after="0" w:line="240" w:lineRule="auto"/>
        <w:jc w:val="left"/>
        <w:sectPr>
          <w:pgSz w:w="11910" w:h="16840"/>
          <w:pgMar w:header="0"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北京宣亚国际投资有限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pStyle w:val="BodyText"/>
        <w:spacing w:line="304" w:lineRule="auto" w:before="115"/>
        <w:ind w:right="148"/>
        <w:jc w:val="left"/>
      </w:pPr>
      <w:r>
        <w:rPr/>
        <w:t>张秀兵、万丽莉、北京宣亚国际投资有限公司为公司短期借款提供第三方信用保证反担保，反担保金额</w:t>
      </w:r>
      <w:r>
        <w:rPr>
          <w:rFonts w:ascii="Times New Roman" w:hAnsi="Times New Roman" w:cs="Times New Roman" w:eastAsia="Times New Roman" w:hint="default"/>
          <w:sz w:val="16"/>
          <w:szCs w:val="16"/>
        </w:rPr>
        <w:t>100,000,000.00</w:t>
      </w:r>
      <w:r>
        <w:rPr/>
        <w:t>元，起 止时间为</w:t>
      </w:r>
      <w:r>
        <w:rPr>
          <w:rFonts w:ascii="Times New Roman" w:hAnsi="Times New Roman" w:cs="Times New Roman" w:eastAsia="Times New Roman" w:hint="default"/>
        </w:rPr>
        <w:t>2017-10-20</w:t>
      </w: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5）关联方资金拆借" w:id="430"/>
      <w:bookmarkEnd w:id="43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关联方资产转让、债务重组情况" w:id="431"/>
      <w:bookmarkEnd w:id="43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关键管理人员报酬" w:id="432"/>
      <w:bookmarkEnd w:id="43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8,178,578.49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7,667,289.48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33"/>
      <w:bookmarkEnd w:id="43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日，宣亚国际有限公司无偿使用万丽莉的房屋作为公司的办公场所。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bookmarkStart w:name="6、关联方应收应付款项" w:id="434"/>
      <w:bookmarkEnd w:id="43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关联方承诺" w:id="435"/>
      <w:bookmarkEnd w:id="43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72" w:firstLine="360"/>
        <w:jc w:val="left"/>
      </w:pPr>
      <w:r>
        <w:rPr/>
        <w:t>为进一步规范关联交易，公司的控股股东宣亚投资，实际控制人张秀兵、万丽莉夫妇，持有公司</w:t>
      </w:r>
      <w:r>
        <w:rPr>
          <w:rFonts w:ascii="Times New Roman" w:hAnsi="Times New Roman" w:cs="Times New Roman" w:eastAsia="Times New Roman" w:hint="default"/>
        </w:rPr>
        <w:t>5%</w:t>
      </w:r>
      <w:r>
        <w:rPr/>
        <w:t>以上股份的股东， 公司董事、监事、高级管理人员出具关于《关于规范和减少关联交易的承诺》，做出了如下承诺：</w:t>
      </w:r>
    </w:p>
    <w:p>
      <w:pPr>
        <w:pStyle w:val="BodyText"/>
        <w:spacing w:line="300" w:lineRule="auto" w:before="31"/>
        <w:ind w:right="192" w:firstLine="360"/>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w:t>
      </w:r>
      <w:r>
        <w:rPr/>
        <w:t>本人与宣亚国际之间现时不存在其他任何依照法律法规和中国证监会的有关规定应披露而未披露的关联交 易；</w:t>
      </w:r>
    </w:p>
    <w:p>
      <w:pPr>
        <w:pStyle w:val="BodyText"/>
        <w:spacing w:line="240" w:lineRule="auto" w:before="31"/>
        <w:ind w:left="514" w:right="0"/>
        <w:jc w:val="left"/>
      </w:pP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w:t>
      </w:r>
      <w:r>
        <w:rPr/>
        <w:t>本人不以任何方式违法违规占用宣亚国际资金或要求其违法违规为本公司</w:t>
      </w:r>
      <w:r>
        <w:rPr>
          <w:rFonts w:ascii="Times New Roman" w:hAnsi="Times New Roman" w:cs="Times New Roman" w:eastAsia="Times New Roman" w:hint="default"/>
        </w:rPr>
        <w:t>/</w:t>
      </w:r>
      <w:r>
        <w:rPr/>
        <w:t>本人提供担保；</w:t>
      </w:r>
    </w:p>
    <w:p>
      <w:pPr>
        <w:pStyle w:val="BodyText"/>
        <w:spacing w:line="300" w:lineRule="auto" w:before="63"/>
        <w:ind w:right="145" w:firstLine="360"/>
        <w:jc w:val="left"/>
      </w:pPr>
      <w:r>
        <w:rPr>
          <w:rFonts w:ascii="Times New Roman" w:hAnsi="Times New Roman" w:cs="Times New Roman" w:eastAsia="Times New Roman" w:hint="default"/>
          <w:spacing w:val="-1"/>
        </w:rPr>
        <w:t>3</w:t>
      </w:r>
      <w:r>
        <w:rPr>
          <w:spacing w:val="-1"/>
        </w:rPr>
        <w:t>、本公司</w:t>
      </w:r>
      <w:r>
        <w:rPr>
          <w:rFonts w:ascii="Times New Roman" w:hAnsi="Times New Roman" w:cs="Times New Roman" w:eastAsia="Times New Roman" w:hint="default"/>
          <w:spacing w:val="-1"/>
        </w:rPr>
        <w:t>/</w:t>
      </w:r>
      <w:r>
        <w:rPr>
          <w:spacing w:val="-1"/>
        </w:rPr>
        <w:t>本人不通过非公允关联交易、利润分配、资产重组、对外投资等任何方式损害宣亚国际及其他股东的合法权</w:t>
      </w:r>
      <w:r>
        <w:rPr/>
        <w:t> 益；如在今后的经营活动中本公司</w:t>
      </w:r>
      <w:r>
        <w:rPr>
          <w:rFonts w:ascii="Times New Roman" w:hAnsi="Times New Roman" w:cs="Times New Roman" w:eastAsia="Times New Roman" w:hint="default"/>
        </w:rPr>
        <w:t>/</w:t>
      </w:r>
      <w:r>
        <w:rPr/>
        <w:t>本人与宣亚国际之间发生无法避免的关联交易，则此种关联交易的条件必须按正常的商</w:t>
      </w:r>
    </w:p>
    <w:p>
      <w:pPr>
        <w:spacing w:after="0" w:line="300" w:lineRule="auto"/>
        <w:jc w:val="left"/>
        <w:sectPr>
          <w:pgSz w:w="11910" w:h="16840"/>
          <w:pgMar w:header="0"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业条件进行，并按国家法律、法规、规范性文件以及宣亚国际内部管理制度严格履行审批程序；</w:t>
      </w:r>
    </w:p>
    <w:p>
      <w:pPr>
        <w:pStyle w:val="BodyText"/>
        <w:spacing w:line="240" w:lineRule="auto" w:before="76"/>
        <w:ind w:left="514"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4</w:t>
      </w:r>
      <w:r>
        <w:rPr>
          <w:spacing w:val="-3"/>
        </w:rPr>
        <w:t>、本公司</w:t>
      </w:r>
      <w:r>
        <w:rPr>
          <w:rFonts w:ascii="Times New Roman" w:hAnsi="Times New Roman" w:cs="Times New Roman" w:eastAsia="Times New Roman" w:hint="default"/>
          <w:spacing w:val="-3"/>
        </w:rPr>
        <w:t>/</w:t>
      </w:r>
      <w:r>
        <w:rPr>
          <w:spacing w:val="-3"/>
        </w:rPr>
        <w:t>本人不以任何方式影响宣亚国际的独立性，保证其资产完整、人员独立、财务独立、机构独立和业务独立。</w:t>
      </w:r>
      <w:r>
        <w:rPr>
          <w:rFonts w:ascii="Times New Roman" w:hAnsi="Times New Roman" w:cs="Times New Roman" w:eastAsia="Times New Roman" w:hint="default"/>
          <w:spacing w:val="-3"/>
        </w:rPr>
        <w:t>”</w:t>
      </w:r>
    </w:p>
    <w:p>
      <w:pPr>
        <w:spacing w:line="240" w:lineRule="auto" w:before="0"/>
        <w:rPr>
          <w:rFonts w:ascii="Times New Roman" w:hAnsi="Times New Roman" w:cs="Times New Roman" w:eastAsia="Times New Roman" w:hint="default"/>
          <w:sz w:val="18"/>
          <w:szCs w:val="18"/>
        </w:rPr>
      </w:pPr>
    </w:p>
    <w:p>
      <w:pPr>
        <w:pStyle w:val="Heading4"/>
        <w:spacing w:line="240" w:lineRule="auto" w:before="131"/>
        <w:ind w:right="0"/>
        <w:jc w:val="left"/>
        <w:rPr>
          <w:b w:val="0"/>
          <w:bCs w:val="0"/>
        </w:rPr>
      </w:pPr>
      <w:bookmarkStart w:name="8、其他" w:id="436"/>
      <w:bookmarkEnd w:id="436"/>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三、股份支付" w:id="437"/>
      <w:bookmarkEnd w:id="437"/>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438"/>
      <w:bookmarkEnd w:id="43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39"/>
      <w:bookmarkEnd w:id="43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40"/>
      <w:bookmarkEnd w:id="44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7" w:lineRule="auto" w:before="0"/>
        <w:ind w:left="154" w:right="69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41"/>
      <w:bookmarkEnd w:id="44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0"/>
        <w:ind w:right="0"/>
        <w:jc w:val="left"/>
        <w:rPr>
          <w:b w:val="0"/>
          <w:bCs w:val="0"/>
        </w:rPr>
      </w:pPr>
      <w:bookmarkStart w:name="5、其他" w:id="442"/>
      <w:bookmarkEnd w:id="442"/>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本报告期未发生以股份支付情况</w:t>
      </w:r>
    </w:p>
    <w:p>
      <w:pPr>
        <w:spacing w:line="240" w:lineRule="auto" w:before="2"/>
        <w:rPr>
          <w:rFonts w:ascii="宋体" w:hAnsi="宋体" w:cs="宋体" w:eastAsia="宋体" w:hint="default"/>
          <w:sz w:val="25"/>
          <w:szCs w:val="25"/>
        </w:rPr>
      </w:pPr>
    </w:p>
    <w:p>
      <w:pPr>
        <w:spacing w:line="506" w:lineRule="auto" w:before="0"/>
        <w:ind w:left="154" w:right="5992" w:firstLine="0"/>
        <w:jc w:val="left"/>
        <w:rPr>
          <w:rFonts w:ascii="宋体" w:hAnsi="宋体" w:cs="宋体" w:eastAsia="宋体" w:hint="default"/>
          <w:sz w:val="18"/>
          <w:szCs w:val="18"/>
        </w:rPr>
      </w:pPr>
      <w:bookmarkStart w:name="十四、承诺及或有事项" w:id="443"/>
      <w:bookmarkEnd w:id="443"/>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44"/>
      <w:bookmarkEnd w:id="4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公司报告期各资产负债表日不存在重要承诺事项</w:t>
      </w:r>
    </w:p>
    <w:p>
      <w:pPr>
        <w:pStyle w:val="Heading4"/>
        <w:spacing w:line="240" w:lineRule="auto" w:before="152"/>
        <w:ind w:right="0"/>
        <w:jc w:val="left"/>
        <w:rPr>
          <w:b w:val="0"/>
          <w:bCs w:val="0"/>
        </w:rPr>
      </w:pPr>
      <w:bookmarkStart w:name="2、或有事项" w:id="445"/>
      <w:bookmarkEnd w:id="44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46"/>
      <w:bookmarkEnd w:id="44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公司报告期各资产负债表日不存在或有事项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公司没有需要披露的重要或有事项，也应予以说明" w:id="447"/>
      <w:bookmarkEnd w:id="44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0"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其他" w:id="448"/>
      <w:bookmarkEnd w:id="448"/>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五、资产负债表日后事项" w:id="449"/>
      <w:bookmarkEnd w:id="449"/>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非调整事项" w:id="450"/>
      <w:bookmarkEnd w:id="450"/>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利润分配情况" w:id="451"/>
      <w:bookmarkEnd w:id="45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452"/>
      <w:bookmarkEnd w:id="45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公司报告期不存在销售退回情况</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资产负债表日后事项说明" w:id="453"/>
      <w:bookmarkEnd w:id="453"/>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firstLine="360"/>
        <w:jc w:val="left"/>
      </w:pPr>
      <w:r>
        <w:rPr/>
        <w:t>本公司于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20</w:t>
      </w:r>
      <w:r>
        <w:rPr/>
        <w:t>日向北京银行股份有限公司远洋山水支行借款</w:t>
      </w:r>
      <w:r>
        <w:rPr>
          <w:rFonts w:ascii="宋体" w:hAnsi="宋体" w:cs="宋体" w:eastAsia="宋体" w:hint="default"/>
        </w:rPr>
        <w:t>100,000,000.00</w:t>
      </w:r>
      <w:r>
        <w:rPr/>
        <w:t>元，借款起止时间：</w:t>
      </w:r>
      <w:r>
        <w:rPr>
          <w:rFonts w:ascii="宋体" w:hAnsi="宋体" w:cs="宋体" w:eastAsia="宋体" w:hint="default"/>
        </w:rPr>
        <w:t>2017.10.20 </w:t>
      </w:r>
      <w:r>
        <w:rPr>
          <w:spacing w:val="-2"/>
        </w:rPr>
        <w:t>至</w:t>
      </w:r>
      <w:r>
        <w:rPr>
          <w:rFonts w:ascii="宋体" w:hAnsi="宋体" w:cs="宋体" w:eastAsia="宋体" w:hint="default"/>
          <w:spacing w:val="-2"/>
        </w:rPr>
        <w:t>2018.10.19</w:t>
      </w:r>
      <w:r>
        <w:rPr>
          <w:spacing w:val="-2"/>
        </w:rPr>
        <w:t>，首款提款日期为</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日；张秀兵、万丽莉和北京宣亚国际投资有限公司为公司短期借款提供第三方信</w:t>
      </w:r>
      <w:r>
        <w:rPr>
          <w:spacing w:val="-51"/>
        </w:rPr>
        <w:t> </w:t>
      </w:r>
      <w:r>
        <w:rPr>
          <w:spacing w:val="-51"/>
        </w:rPr>
      </w:r>
      <w:r>
        <w:rPr/>
        <w:t>用保证反担保，反担保金额</w:t>
      </w:r>
      <w:r>
        <w:rPr>
          <w:rFonts w:ascii="宋体" w:hAnsi="宋体" w:cs="宋体" w:eastAsia="宋体" w:hint="default"/>
        </w:rPr>
        <w:t>100,000,000.00</w:t>
      </w:r>
      <w:r>
        <w:rPr/>
        <w:t>元，起止时间为</w:t>
      </w:r>
      <w:r>
        <w:rPr>
          <w:rFonts w:ascii="宋体" w:hAnsi="宋体" w:cs="宋体" w:eastAsia="宋体" w:hint="default"/>
        </w:rPr>
        <w:t>2018-10-19</w:t>
      </w:r>
      <w:r>
        <w:rPr/>
        <w:t>至</w:t>
      </w:r>
      <w:r>
        <w:rPr>
          <w:rFonts w:ascii="宋体" w:hAnsi="宋体" w:cs="宋体" w:eastAsia="宋体" w:hint="default"/>
        </w:rPr>
        <w:t>2020-10-19</w:t>
      </w:r>
      <w:r>
        <w:rPr/>
        <w:t>。</w:t>
      </w:r>
    </w:p>
    <w:p>
      <w:pPr>
        <w:pStyle w:val="BodyText"/>
        <w:spacing w:line="316" w:lineRule="auto" w:before="19"/>
        <w:ind w:right="142" w:firstLine="360"/>
        <w:jc w:val="left"/>
      </w:pPr>
      <w:r>
        <w:rPr/>
        <w:t>截至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w:t>
      </w:r>
      <w:r>
        <w:rPr>
          <w:rFonts w:ascii="宋体" w:hAnsi="宋体" w:cs="宋体" w:eastAsia="宋体" w:hint="default"/>
        </w:rPr>
        <w:t>BBDO</w:t>
      </w:r>
      <w:r>
        <w:rPr/>
        <w:t>累计减持公司股份</w:t>
      </w:r>
      <w:r>
        <w:rPr>
          <w:rFonts w:ascii="宋体" w:hAnsi="宋体" w:cs="宋体" w:eastAsia="宋体" w:hint="default"/>
        </w:rPr>
        <w:t>999,950</w:t>
      </w:r>
      <w:r>
        <w:rPr/>
        <w:t>股，占公司总股本的</w:t>
      </w:r>
      <w:r>
        <w:rPr>
          <w:rFonts w:ascii="宋体" w:hAnsi="宋体" w:cs="宋体" w:eastAsia="宋体" w:hint="default"/>
        </w:rPr>
        <w:t>0.9259%</w:t>
      </w:r>
      <w:r>
        <w:rPr/>
        <w:t>，本次减持计划实施不会导致公司控 制权发生变更，不会对公司治理结构、股权结构及持续性经营产生影响。</w:t>
      </w:r>
    </w:p>
    <w:p>
      <w:pPr>
        <w:pStyle w:val="BodyText"/>
        <w:spacing w:line="316" w:lineRule="auto" w:before="19"/>
        <w:ind w:right="150" w:firstLine="360"/>
        <w:jc w:val="both"/>
      </w:pPr>
      <w:r>
        <w:rPr/>
        <w:t>根据本公司第三届二次董事会通过</w:t>
      </w:r>
      <w:r>
        <w:rPr>
          <w:rFonts w:ascii="宋体" w:hAnsi="宋体" w:cs="宋体" w:eastAsia="宋体" w:hint="default"/>
        </w:rPr>
        <w:t>2017</w:t>
      </w:r>
      <w:r>
        <w:rPr/>
        <w:t>年度利润分配方案，以本公司报告期末总股本</w:t>
      </w:r>
      <w:r>
        <w:rPr>
          <w:rFonts w:ascii="宋体" w:hAnsi="宋体" w:cs="宋体" w:eastAsia="宋体" w:hint="default"/>
        </w:rPr>
        <w:t>108,000,000</w:t>
      </w:r>
      <w:r>
        <w:rPr/>
        <w:t>股为基数进行分配。 每</w:t>
      </w:r>
      <w:r>
        <w:rPr>
          <w:rFonts w:ascii="宋体" w:hAnsi="宋体" w:cs="宋体" w:eastAsia="宋体" w:hint="default"/>
        </w:rPr>
        <w:t>10</w:t>
      </w:r>
      <w:r>
        <w:rPr/>
        <w:t>股派发现金红利</w:t>
      </w:r>
      <w:r>
        <w:rPr>
          <w:rFonts w:ascii="宋体" w:hAnsi="宋体" w:cs="宋体" w:eastAsia="宋体" w:hint="default"/>
        </w:rPr>
        <w:t>5</w:t>
      </w:r>
      <w:r>
        <w:rPr/>
        <w:t>元（含税），合计派发现金红利</w:t>
      </w:r>
      <w:r>
        <w:rPr>
          <w:rFonts w:ascii="宋体" w:hAnsi="宋体" w:cs="宋体" w:eastAsia="宋体" w:hint="default"/>
        </w:rPr>
        <w:t>54,000,000.00</w:t>
      </w:r>
      <w:r>
        <w:rPr/>
        <w:t>元；以资本公积金向全体股东每</w:t>
      </w:r>
      <w:r>
        <w:rPr>
          <w:rFonts w:ascii="宋体" w:hAnsi="宋体" w:cs="宋体" w:eastAsia="宋体" w:hint="default"/>
        </w:rPr>
        <w:t>10</w:t>
      </w:r>
      <w:r>
        <w:rPr/>
        <w:t>股转增</w:t>
      </w:r>
      <w:r>
        <w:rPr>
          <w:rFonts w:ascii="宋体" w:hAnsi="宋体" w:cs="宋体" w:eastAsia="宋体" w:hint="default"/>
        </w:rPr>
        <w:t>5</w:t>
      </w:r>
      <w:r>
        <w:rPr/>
        <w:t>股，合计转</w:t>
      </w:r>
      <w:r>
        <w:rPr>
          <w:spacing w:val="-84"/>
        </w:rPr>
        <w:t> </w:t>
      </w:r>
      <w:r>
        <w:rPr>
          <w:spacing w:val="-84"/>
        </w:rPr>
      </w:r>
      <w:r>
        <w:rPr/>
        <w:t>增股份 </w:t>
      </w:r>
      <w:r>
        <w:rPr>
          <w:rFonts w:ascii="宋体" w:hAnsi="宋体" w:cs="宋体" w:eastAsia="宋体" w:hint="default"/>
        </w:rPr>
        <w:t>54,000,000</w:t>
      </w:r>
      <w:r>
        <w:rPr/>
        <w:t>股，转增完成后公司总股本增至</w:t>
      </w:r>
      <w:r>
        <w:rPr>
          <w:rFonts w:ascii="宋体" w:hAnsi="宋体" w:cs="宋体" w:eastAsia="宋体" w:hint="default"/>
        </w:rPr>
        <w:t>162,000,000</w:t>
      </w:r>
      <w:r>
        <w:rPr/>
        <w:t>股。该利润分配方案需经本公司股东大会批准后实行。</w:t>
      </w:r>
    </w:p>
    <w:p>
      <w:pPr>
        <w:spacing w:line="240" w:lineRule="auto" w:before="10"/>
        <w:rPr>
          <w:rFonts w:ascii="宋体" w:hAnsi="宋体" w:cs="宋体" w:eastAsia="宋体" w:hint="default"/>
          <w:sz w:val="20"/>
          <w:szCs w:val="20"/>
        </w:rPr>
      </w:pPr>
    </w:p>
    <w:p>
      <w:pPr>
        <w:spacing w:line="506" w:lineRule="auto" w:before="0"/>
        <w:ind w:left="154" w:right="7610" w:firstLine="0"/>
        <w:jc w:val="left"/>
        <w:rPr>
          <w:rFonts w:ascii="宋体" w:hAnsi="宋体" w:cs="宋体" w:eastAsia="宋体" w:hint="default"/>
          <w:sz w:val="18"/>
          <w:szCs w:val="18"/>
        </w:rPr>
      </w:pPr>
      <w:bookmarkStart w:name="十六、其他重要事项" w:id="454"/>
      <w:bookmarkEnd w:id="454"/>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55"/>
      <w:bookmarkEnd w:id="45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51"/>
        <w:ind w:right="0"/>
        <w:jc w:val="left"/>
        <w:rPr>
          <w:b w:val="0"/>
          <w:bCs w:val="0"/>
        </w:rPr>
      </w:pPr>
      <w:bookmarkStart w:name="2、债务重组" w:id="456"/>
      <w:bookmarkEnd w:id="45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公司报告期不存在债务重组事项</w:t>
      </w:r>
    </w:p>
    <w:p>
      <w:pPr>
        <w:spacing w:after="0" w:line="240" w:lineRule="auto"/>
        <w:jc w:val="left"/>
        <w:sectPr>
          <w:pgSz w:w="11910" w:h="16840"/>
          <w:pgMar w:header="0"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left="814" w:right="0"/>
        <w:jc w:val="left"/>
        <w:rPr>
          <w:b w:val="0"/>
          <w:bCs w:val="0"/>
        </w:rPr>
      </w:pPr>
      <w:bookmarkStart w:name="3、资产置换" w:id="457"/>
      <w:bookmarkEnd w:id="45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814" w:right="0"/>
        <w:jc w:val="left"/>
        <w:rPr>
          <w:b w:val="0"/>
          <w:bCs w:val="0"/>
        </w:rPr>
      </w:pPr>
      <w:bookmarkStart w:name="（1）非货币性资产交换" w:id="458"/>
      <w:bookmarkEnd w:id="45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14" w:right="0"/>
        <w:jc w:val="left"/>
      </w:pPr>
      <w:r>
        <w:rPr/>
        <w:t>公司报告期不存在非货币性资产交换事项</w:t>
      </w:r>
    </w:p>
    <w:p>
      <w:pPr>
        <w:spacing w:line="240" w:lineRule="auto" w:before="10"/>
        <w:rPr>
          <w:rFonts w:ascii="宋体" w:hAnsi="宋体" w:cs="宋体" w:eastAsia="宋体" w:hint="default"/>
          <w:sz w:val="26"/>
          <w:szCs w:val="26"/>
        </w:rPr>
      </w:pPr>
    </w:p>
    <w:p>
      <w:pPr>
        <w:pStyle w:val="Heading4"/>
        <w:spacing w:line="240" w:lineRule="auto"/>
        <w:ind w:left="814" w:right="0"/>
        <w:jc w:val="left"/>
        <w:rPr>
          <w:b w:val="0"/>
          <w:bCs w:val="0"/>
        </w:rPr>
      </w:pPr>
      <w:bookmarkStart w:name="（2）其他资产置换" w:id="459"/>
      <w:bookmarkEnd w:id="45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814" w:right="0"/>
        <w:jc w:val="left"/>
      </w:pPr>
      <w:r>
        <w:rPr/>
        <w:t>公司报告期不存在其他资产置换事项</w:t>
      </w:r>
    </w:p>
    <w:p>
      <w:pPr>
        <w:spacing w:line="240" w:lineRule="auto" w:before="11"/>
        <w:rPr>
          <w:rFonts w:ascii="宋体" w:hAnsi="宋体" w:cs="宋体" w:eastAsia="宋体" w:hint="default"/>
          <w:sz w:val="26"/>
          <w:szCs w:val="26"/>
        </w:rPr>
      </w:pPr>
    </w:p>
    <w:p>
      <w:pPr>
        <w:pStyle w:val="Heading4"/>
        <w:spacing w:line="240" w:lineRule="auto"/>
        <w:ind w:left="814" w:right="0"/>
        <w:jc w:val="left"/>
        <w:rPr>
          <w:b w:val="0"/>
          <w:bCs w:val="0"/>
        </w:rPr>
      </w:pPr>
      <w:bookmarkStart w:name="4、年金计划" w:id="460"/>
      <w:bookmarkEnd w:id="46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14" w:right="0"/>
        <w:jc w:val="left"/>
      </w:pPr>
      <w:r>
        <w:rPr/>
        <w:t>公司报告期不存在年金计划</w:t>
      </w:r>
    </w:p>
    <w:p>
      <w:pPr>
        <w:spacing w:line="240" w:lineRule="auto" w:before="11"/>
        <w:rPr>
          <w:rFonts w:ascii="宋体" w:hAnsi="宋体" w:cs="宋体" w:eastAsia="宋体" w:hint="default"/>
          <w:sz w:val="26"/>
          <w:szCs w:val="26"/>
        </w:rPr>
      </w:pPr>
    </w:p>
    <w:p>
      <w:pPr>
        <w:pStyle w:val="Heading4"/>
        <w:spacing w:line="240" w:lineRule="auto"/>
        <w:ind w:left="814" w:right="0"/>
        <w:jc w:val="left"/>
        <w:rPr>
          <w:b w:val="0"/>
          <w:bCs w:val="0"/>
        </w:rPr>
      </w:pPr>
      <w:bookmarkStart w:name="5、终止经营" w:id="461"/>
      <w:bookmarkEnd w:id="46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1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814" w:right="0"/>
        <w:jc w:val="left"/>
        <w:rPr>
          <w:b w:val="0"/>
          <w:bCs w:val="0"/>
        </w:rPr>
      </w:pPr>
      <w:bookmarkStart w:name="6、分部信息" w:id="462"/>
      <w:bookmarkEnd w:id="46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14" w:right="0"/>
        <w:jc w:val="left"/>
      </w:pPr>
      <w:r>
        <w:rPr/>
        <w:t>因公司业务综合性高和内部组织结构统一，从技术和市场策略上，公司管理层不存在单独管理经营活动，不存在报告分部。</w:t>
      </w:r>
    </w:p>
    <w:p>
      <w:pPr>
        <w:spacing w:line="240" w:lineRule="auto" w:before="12"/>
        <w:rPr>
          <w:rFonts w:ascii="宋体" w:hAnsi="宋体" w:cs="宋体" w:eastAsia="宋体" w:hint="default"/>
          <w:sz w:val="26"/>
          <w:szCs w:val="26"/>
        </w:rPr>
      </w:pPr>
    </w:p>
    <w:p>
      <w:pPr>
        <w:pStyle w:val="Heading4"/>
        <w:spacing w:line="240" w:lineRule="auto"/>
        <w:ind w:left="814" w:right="0"/>
        <w:jc w:val="left"/>
        <w:rPr>
          <w:b w:val="0"/>
          <w:bCs w:val="0"/>
        </w:rPr>
      </w:pPr>
      <w:bookmarkStart w:name="7、其他对投资者决策有影响的重要交易和事项" w:id="463"/>
      <w:bookmarkEnd w:id="46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14" w:right="0"/>
        <w:jc w:val="left"/>
      </w:pPr>
      <w:r>
        <w:rPr/>
        <w:t>公司报告期不存在其他对投资者决策有影响的重要交易和事项。</w:t>
      </w:r>
    </w:p>
    <w:p>
      <w:pPr>
        <w:spacing w:line="240" w:lineRule="auto" w:before="12"/>
        <w:rPr>
          <w:rFonts w:ascii="宋体" w:hAnsi="宋体" w:cs="宋体" w:eastAsia="宋体" w:hint="default"/>
          <w:sz w:val="26"/>
          <w:szCs w:val="26"/>
        </w:rPr>
      </w:pPr>
    </w:p>
    <w:p>
      <w:pPr>
        <w:pStyle w:val="Heading4"/>
        <w:spacing w:line="240" w:lineRule="auto"/>
        <w:ind w:left="814" w:right="0"/>
        <w:jc w:val="left"/>
        <w:rPr>
          <w:b w:val="0"/>
          <w:bCs w:val="0"/>
        </w:rPr>
      </w:pPr>
      <w:bookmarkStart w:name="8、其他" w:id="464"/>
      <w:bookmarkEnd w:id="464"/>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288" w:right="0" w:hanging="384"/>
        <w:jc w:val="left"/>
      </w:pPr>
      <w:r>
        <w:rPr/>
        <w:t>控股股东部分股权质押： </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7</w:t>
      </w:r>
      <w:r>
        <w:rPr/>
        <w:t>日，公司股东橙色动力持有公司股份数量为</w:t>
      </w:r>
      <w:r>
        <w:rPr>
          <w:rFonts w:ascii="宋体" w:hAnsi="宋体" w:cs="宋体" w:eastAsia="宋体" w:hint="default"/>
        </w:rPr>
        <w:t>1,350</w:t>
      </w:r>
      <w:r>
        <w:rPr/>
        <w:t>万股，占公司总股本的比例为</w:t>
      </w:r>
      <w:r>
        <w:rPr>
          <w:rFonts w:ascii="宋体" w:hAnsi="宋体" w:cs="宋体" w:eastAsia="宋体" w:hint="default"/>
        </w:rPr>
        <w:t>12.5%</w:t>
      </w:r>
      <w:r>
        <w:rPr/>
        <w:t>。本次质押</w:t>
      </w:r>
      <w:r>
        <w:rPr>
          <w:rFonts w:ascii="宋体" w:hAnsi="宋体" w:cs="宋体" w:eastAsia="宋体" w:hint="default"/>
        </w:rPr>
        <w:t>1,350</w:t>
      </w:r>
      <w:r>
        <w:rPr/>
        <w:t>万</w:t>
      </w:r>
    </w:p>
    <w:p>
      <w:pPr>
        <w:pStyle w:val="BodyText"/>
        <w:spacing w:line="316" w:lineRule="auto" w:before="19"/>
        <w:ind w:left="1288" w:right="936" w:hanging="360"/>
        <w:jc w:val="left"/>
      </w:pPr>
      <w:r>
        <w:rPr/>
        <w:t>股，占其所持有公司股份的</w:t>
      </w:r>
      <w:r>
        <w:rPr>
          <w:rFonts w:ascii="宋体" w:hAnsi="宋体" w:cs="宋体" w:eastAsia="宋体" w:hint="default"/>
        </w:rPr>
        <w:t>100%</w:t>
      </w:r>
      <w:r>
        <w:rPr/>
        <w:t>，占公司总股本的</w:t>
      </w:r>
      <w:r>
        <w:rPr>
          <w:rFonts w:ascii="宋体" w:hAnsi="宋体" w:cs="宋体" w:eastAsia="宋体" w:hint="default"/>
        </w:rPr>
        <w:t>12.5%</w:t>
      </w:r>
      <w:r>
        <w:rPr/>
        <w:t>。 </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10</w:t>
      </w:r>
      <w:r>
        <w:rPr/>
        <w:t>日，公司控股股东北京宣亚国际投资有限公司持有公司股份数量为 </w:t>
      </w:r>
      <w:r>
        <w:rPr>
          <w:rFonts w:ascii="宋体" w:hAnsi="宋体" w:cs="宋体" w:eastAsia="宋体" w:hint="default"/>
        </w:rPr>
        <w:t>4,050</w:t>
      </w:r>
      <w:r>
        <w:rPr>
          <w:rFonts w:ascii="宋体" w:hAnsi="宋体" w:cs="宋体" w:eastAsia="宋体" w:hint="default"/>
          <w:spacing w:val="-18"/>
        </w:rPr>
        <w:t> </w:t>
      </w:r>
      <w:r>
        <w:rPr/>
        <w:t>万股，占公司总股本的比例为</w:t>
      </w:r>
    </w:p>
    <w:p>
      <w:pPr>
        <w:pStyle w:val="BodyText"/>
        <w:spacing w:line="240" w:lineRule="auto" w:before="19"/>
        <w:ind w:left="928" w:right="0"/>
        <w:jc w:val="left"/>
      </w:pPr>
      <w:r>
        <w:rPr>
          <w:rFonts w:ascii="宋体" w:hAnsi="宋体" w:cs="宋体" w:eastAsia="宋体" w:hint="default"/>
        </w:rPr>
        <w:t>37.50%</w:t>
      </w:r>
      <w:r>
        <w:rPr/>
        <w:t>。本次质押 </w:t>
      </w:r>
      <w:r>
        <w:rPr>
          <w:rFonts w:ascii="宋体" w:hAnsi="宋体" w:cs="宋体" w:eastAsia="宋体" w:hint="default"/>
        </w:rPr>
        <w:t>1,000 </w:t>
      </w:r>
      <w:r>
        <w:rPr/>
        <w:t>万股，占其所持有公司股份的</w:t>
      </w:r>
      <w:r>
        <w:rPr>
          <w:rFonts w:ascii="宋体" w:hAnsi="宋体" w:cs="宋体" w:eastAsia="宋体" w:hint="default"/>
        </w:rPr>
        <w:t>24.69%</w:t>
      </w:r>
      <w:r>
        <w:rPr/>
        <w:t>，占公司总股本的 </w:t>
      </w:r>
      <w:r>
        <w:rPr>
          <w:rFonts w:ascii="宋体" w:hAnsi="宋体" w:cs="宋体" w:eastAsia="宋体" w:hint="default"/>
        </w:rPr>
        <w:t>9.26%</w:t>
      </w:r>
      <w:r>
        <w:rPr/>
        <w:t>。</w:t>
      </w:r>
    </w:p>
    <w:p>
      <w:pPr>
        <w:pStyle w:val="BodyText"/>
        <w:spacing w:line="316" w:lineRule="auto" w:before="76"/>
        <w:ind w:left="928" w:right="0" w:firstLine="360"/>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22</w:t>
      </w:r>
      <w:r>
        <w:rPr/>
        <w:t>日，公司股东伟岸仲合持有公司股份数量为</w:t>
      </w:r>
      <w:r>
        <w:rPr>
          <w:rFonts w:ascii="宋体" w:hAnsi="宋体" w:cs="宋体" w:eastAsia="宋体" w:hint="default"/>
        </w:rPr>
        <w:t>1,200</w:t>
      </w:r>
      <w:r>
        <w:rPr/>
        <w:t>万股，占公司总股本的比例为</w:t>
      </w:r>
      <w:r>
        <w:rPr>
          <w:rFonts w:ascii="宋体" w:hAnsi="宋体" w:cs="宋体" w:eastAsia="宋体" w:hint="default"/>
        </w:rPr>
        <w:t>11.11%</w:t>
      </w:r>
      <w:r>
        <w:rPr/>
        <w:t>。本次质押</w:t>
      </w:r>
      <w:r>
        <w:rPr>
          <w:rFonts w:ascii="宋体" w:hAnsi="宋体" w:cs="宋体" w:eastAsia="宋体" w:hint="default"/>
        </w:rPr>
        <w:t>953</w:t>
      </w:r>
      <w:r>
        <w:rPr/>
        <w:t>万 股，占其所持有公司股份的</w:t>
      </w:r>
      <w:r>
        <w:rPr>
          <w:rFonts w:ascii="宋体" w:hAnsi="宋体" w:cs="宋体" w:eastAsia="宋体" w:hint="default"/>
        </w:rPr>
        <w:t>79.42%</w:t>
      </w:r>
      <w:r>
        <w:rPr/>
        <w:t>，占公司总股本的 </w:t>
      </w:r>
      <w:r>
        <w:rPr>
          <w:rFonts w:ascii="宋体" w:hAnsi="宋体" w:cs="宋体" w:eastAsia="宋体" w:hint="default"/>
        </w:rPr>
        <w:t>8.82%</w:t>
      </w:r>
      <w:r>
        <w:rPr/>
        <w:t>。</w:t>
      </w:r>
    </w:p>
    <w:p>
      <w:pPr>
        <w:spacing w:line="240" w:lineRule="auto" w:before="10"/>
        <w:rPr>
          <w:rFonts w:ascii="宋体" w:hAnsi="宋体" w:cs="宋体" w:eastAsia="宋体" w:hint="default"/>
          <w:sz w:val="20"/>
          <w:szCs w:val="20"/>
        </w:rPr>
      </w:pPr>
    </w:p>
    <w:p>
      <w:pPr>
        <w:pStyle w:val="Heading3"/>
        <w:spacing w:line="240" w:lineRule="auto"/>
        <w:ind w:left="814" w:right="0"/>
        <w:jc w:val="left"/>
        <w:rPr>
          <w:b w:val="0"/>
          <w:bCs w:val="0"/>
        </w:rPr>
      </w:pPr>
      <w:bookmarkStart w:name="十七、母公司财务报表主要项目注释" w:id="465"/>
      <w:bookmarkEnd w:id="465"/>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0"/>
        <w:jc w:val="left"/>
        <w:rPr>
          <w:b w:val="0"/>
          <w:bCs w:val="0"/>
        </w:rPr>
      </w:pPr>
      <w:bookmarkStart w:name="1、应收账款" w:id="466"/>
      <w:bookmarkEnd w:id="46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0"/>
        <w:jc w:val="left"/>
        <w:rPr>
          <w:b w:val="0"/>
          <w:bCs w:val="0"/>
        </w:rPr>
      </w:pPr>
      <w:bookmarkStart w:name="（1）应收账款分类披露" w:id="467"/>
      <w:bookmarkEnd w:id="46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950"/>
        <w:jc w:val="right"/>
      </w:pPr>
      <w:r>
        <w:rPr/>
        <w:t>单位： 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135"/>
        <w:gridCol w:w="5104"/>
        <w:gridCol w:w="4950"/>
      </w:tblGrid>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79" w:top="1060" w:bottom="1160" w:left="320" w:right="18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112"/>
        <w:gridCol w:w="1287"/>
        <w:gridCol w:w="708"/>
        <w:gridCol w:w="1134"/>
        <w:gridCol w:w="710"/>
        <w:gridCol w:w="1277"/>
        <w:gridCol w:w="1274"/>
        <w:gridCol w:w="710"/>
        <w:gridCol w:w="1134"/>
        <w:gridCol w:w="566"/>
        <w:gridCol w:w="1277"/>
      </w:tblGrid>
      <w:tr>
        <w:trPr>
          <w:trHeight w:val="402"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19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112" w:type="dxa"/>
            <w:vMerge/>
            <w:tcBorders>
              <w:left w:val="single" w:sz="4" w:space="0" w:color="000000"/>
              <w:right w:val="single" w:sz="4" w:space="0" w:color="000000"/>
            </w:tcBorders>
            <w:shd w:val="clear" w:color="auto" w:fill="D2D2D2"/>
          </w:tcPr>
          <w:p>
            <w:pP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0" w:right="77"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112" w:type="dxa"/>
            <w:vMerge/>
            <w:tcBorders>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12"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9"/>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的应收账款</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3,230,762.00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3,230,762.00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224,053,921.44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3,978,182.85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220,075,738.59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150,018,032.65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2,459,782.49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147,558,250.16</w:t>
            </w:r>
          </w:p>
        </w:tc>
      </w:tr>
      <w:tr>
        <w:trPr>
          <w:trHeight w:val="1650"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9"/>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227,284,683.44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7,208,944.85</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220,075,738.59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150,018,032.65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2,459,782.49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147,558,250.16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320" w:right="160"/>
        </w:sectPr>
      </w:pPr>
    </w:p>
    <w:p>
      <w:pPr>
        <w:pStyle w:val="BodyText"/>
        <w:spacing w:line="240" w:lineRule="auto" w:before="51"/>
        <w:ind w:left="814" w:right="-20"/>
        <w:jc w:val="left"/>
      </w:pPr>
      <w:r>
        <w:rPr/>
        <w:t>期末单项金额重大并单项计提坏账准备的应收账款：</w:t>
      </w:r>
    </w:p>
    <w:p>
      <w:pPr>
        <w:pStyle w:val="BodyText"/>
        <w:spacing w:line="240" w:lineRule="auto" w:before="117"/>
        <w:ind w:left="8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813" w:right="0"/>
        <w:jc w:val="left"/>
      </w:pPr>
      <w:r>
        <w:rPr/>
        <w:t>单位： 元</w:t>
      </w:r>
    </w:p>
    <w:p>
      <w:pPr>
        <w:spacing w:after="0" w:line="240" w:lineRule="auto"/>
        <w:jc w:val="left"/>
        <w:sectPr>
          <w:type w:val="continuous"/>
          <w:pgSz w:w="11910" w:h="16840"/>
          <w:pgMar w:top="1060" w:bottom="1160" w:left="320" w:right="160"/>
          <w:cols w:num="2" w:equalWidth="0">
            <w:col w:w="4955" w:space="3875"/>
            <w:col w:w="2600"/>
          </w:cols>
        </w:sectPr>
      </w:pPr>
    </w:p>
    <w:p>
      <w:pPr>
        <w:spacing w:line="240" w:lineRule="auto" w:before="1"/>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乐视控股（北京）有限公</w:t>
            </w:r>
            <w:r>
              <w:rPr>
                <w:rFonts w:ascii="宋体" w:hAnsi="宋体" w:cs="宋体" w:eastAsia="宋体" w:hint="default"/>
                <w:sz w:val="18"/>
                <w:szCs w:val="18"/>
              </w:rPr>
              <w:t>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1,803,003.00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1,803,003.00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乐视体育文化产业发展</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法乐第（北京）网络科技</w:t>
            </w:r>
            <w:r>
              <w:rPr>
                <w:rFonts w:ascii="宋体" w:hAnsi="宋体" w:cs="宋体" w:eastAsia="宋体" w:hint="default"/>
                <w:sz w:val="18"/>
                <w:szCs w:val="18"/>
              </w:rPr>
              <w:t>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1,328,259.00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1,328,259.00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3,230,762.00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3,230,762.00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320" w:right="160"/>
        </w:sectPr>
      </w:pPr>
    </w:p>
    <w:p>
      <w:pPr>
        <w:pStyle w:val="BodyText"/>
        <w:spacing w:line="240" w:lineRule="auto" w:before="51"/>
        <w:ind w:left="814" w:right="-20"/>
        <w:jc w:val="left"/>
      </w:pPr>
      <w:r>
        <w:rPr/>
        <w:t>组合中，按账龄分析法计提坏账准备的应收账款：</w:t>
      </w:r>
    </w:p>
    <w:p>
      <w:pPr>
        <w:pStyle w:val="BodyText"/>
        <w:spacing w:line="240" w:lineRule="auto" w:before="117"/>
        <w:ind w:left="8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813" w:right="0"/>
        <w:jc w:val="left"/>
      </w:pPr>
      <w:r>
        <w:rPr/>
        <w:t>单位： 元</w:t>
      </w:r>
    </w:p>
    <w:p>
      <w:pPr>
        <w:spacing w:after="0" w:line="240" w:lineRule="auto"/>
        <w:jc w:val="left"/>
        <w:sectPr>
          <w:type w:val="continuous"/>
          <w:pgSz w:w="11910" w:h="16840"/>
          <w:pgMar w:top="1060" w:bottom="1160" w:left="320" w:right="160"/>
          <w:cols w:num="2" w:equalWidth="0">
            <w:col w:w="4775" w:space="4055"/>
            <w:col w:w="2600"/>
          </w:cols>
        </w:sectPr>
      </w:pPr>
    </w:p>
    <w:p>
      <w:pPr>
        <w:spacing w:line="240" w:lineRule="auto" w:before="0"/>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192,807,754.08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21,546,162.86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1,077,308.15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214,353,916.94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1,077,308.15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4,481,867.37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1,344,560.21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320" w:right="1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1,556,314.49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1,556,314.49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220,392,098.80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3,978,182.85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确定该组合依据的说明：</w:t>
      </w:r>
    </w:p>
    <w:p>
      <w:pPr>
        <w:pStyle w:val="BodyText"/>
        <w:spacing w:line="240" w:lineRule="auto" w:before="116"/>
        <w:ind w:left="1414" w:right="0"/>
        <w:jc w:val="left"/>
      </w:pPr>
      <w:r>
        <w:rPr/>
        <w:t>组合中，采用账龄分析法计提坏账准备的：</w:t>
      </w:r>
    </w:p>
    <w:p>
      <w:pPr>
        <w:spacing w:line="240" w:lineRule="auto" w:before="0"/>
        <w:rPr>
          <w:rFonts w:ascii="宋体" w:hAnsi="宋体" w:cs="宋体" w:eastAsia="宋体" w:hint="default"/>
          <w:sz w:val="5"/>
          <w:szCs w:val="5"/>
        </w:rPr>
      </w:pPr>
    </w:p>
    <w:tbl>
      <w:tblPr>
        <w:tblW w:w="0" w:type="auto"/>
        <w:jc w:val="left"/>
        <w:tblInd w:w="759" w:type="dxa"/>
        <w:tblLayout w:type="fixed"/>
        <w:tblCellMar>
          <w:top w:w="0" w:type="dxa"/>
          <w:left w:w="0" w:type="dxa"/>
          <w:bottom w:w="0" w:type="dxa"/>
          <w:right w:w="0" w:type="dxa"/>
        </w:tblCellMar>
        <w:tblLook w:val="01E0"/>
      </w:tblPr>
      <w:tblGrid>
        <w:gridCol w:w="2947"/>
        <w:gridCol w:w="2651"/>
        <w:gridCol w:w="2591"/>
      </w:tblGrid>
      <w:tr>
        <w:trPr>
          <w:trHeight w:val="34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应收账款计提比例</w:t>
            </w:r>
            <w:r>
              <w:rPr>
                <w:rFonts w:ascii="Times New Roman" w:hAnsi="Times New Roman" w:cs="Times New Roman" w:eastAsia="Times New Roman" w:hint="default"/>
                <w:sz w:val="16"/>
                <w:szCs w:val="16"/>
              </w:rPr>
              <w:t>(%)</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50"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其他应收款计提比例</w:t>
            </w:r>
            <w:r>
              <w:rPr>
                <w:rFonts w:ascii="Times New Roman" w:hAnsi="Times New Roman" w:cs="Times New Roman" w:eastAsia="Times New Roman" w:hint="default"/>
                <w:sz w:val="16"/>
                <w:szCs w:val="16"/>
              </w:rPr>
              <w:t>(%)</w:t>
            </w:r>
          </w:p>
        </w:tc>
      </w:tr>
      <w:tr>
        <w:trPr>
          <w:trHeight w:val="34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w:t>
            </w:r>
            <w:r>
              <w:rPr>
                <w:rFonts w:ascii="宋体" w:hAnsi="宋体" w:cs="宋体" w:eastAsia="宋体" w:hint="default"/>
                <w:sz w:val="16"/>
                <w:szCs w:val="16"/>
              </w:rPr>
              <w:t>－</w:t>
            </w:r>
            <w:r>
              <w:rPr>
                <w:rFonts w:ascii="Times New Roman" w:hAnsi="Times New Roman" w:cs="Times New Roman" w:eastAsia="Times New Roman" w:hint="default"/>
                <w:sz w:val="16"/>
                <w:szCs w:val="16"/>
              </w:rPr>
              <w:t>6</w:t>
            </w:r>
            <w:r>
              <w:rPr>
                <w:rFonts w:ascii="宋体" w:hAnsi="宋体" w:cs="宋体" w:eastAsia="宋体" w:hint="default"/>
                <w:sz w:val="16"/>
                <w:szCs w:val="16"/>
              </w:rPr>
              <w:t>个月（含</w:t>
            </w:r>
            <w:r>
              <w:rPr>
                <w:rFonts w:ascii="Times New Roman" w:hAnsi="Times New Roman" w:cs="Times New Roman" w:eastAsia="Times New Roman" w:hint="default"/>
                <w:sz w:val="16"/>
                <w:szCs w:val="16"/>
              </w:rPr>
              <w:t>6</w:t>
            </w:r>
            <w:r>
              <w:rPr>
                <w:rFonts w:ascii="宋体" w:hAnsi="宋体" w:cs="宋体" w:eastAsia="宋体" w:hint="default"/>
                <w:sz w:val="16"/>
                <w:szCs w:val="16"/>
              </w:rPr>
              <w:t>个月）</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9" w:right="0"/>
              <w:jc w:val="center"/>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6" w:right="0"/>
              <w:jc w:val="center"/>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r>
      <w:tr>
        <w:trPr>
          <w:trHeight w:val="34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宋体" w:hAnsi="宋体" w:cs="宋体" w:eastAsia="宋体" w:hint="default"/>
                <w:sz w:val="16"/>
                <w:szCs w:val="16"/>
              </w:rPr>
              <w:t>－</w:t>
            </w:r>
            <w:r>
              <w:rPr>
                <w:rFonts w:ascii="Times New Roman" w:hAnsi="Times New Roman" w:cs="Times New Roman" w:eastAsia="Times New Roman" w:hint="default"/>
                <w:sz w:val="16"/>
                <w:szCs w:val="16"/>
              </w:rPr>
              <w:t>12</w:t>
            </w:r>
            <w:r>
              <w:rPr>
                <w:rFonts w:ascii="宋体" w:hAnsi="宋体" w:cs="宋体" w:eastAsia="宋体" w:hint="default"/>
                <w:sz w:val="16"/>
                <w:szCs w:val="16"/>
              </w:rPr>
              <w:t>月（含</w:t>
            </w:r>
            <w:r>
              <w:rPr>
                <w:rFonts w:ascii="Times New Roman" w:hAnsi="Times New Roman" w:cs="Times New Roman" w:eastAsia="Times New Roman" w:hint="default"/>
                <w:sz w:val="16"/>
                <w:szCs w:val="16"/>
              </w:rPr>
              <w:t>12</w:t>
            </w:r>
            <w:r>
              <w:rPr>
                <w:rFonts w:ascii="宋体" w:hAnsi="宋体" w:cs="宋体" w:eastAsia="宋体" w:hint="default"/>
                <w:sz w:val="16"/>
                <w:szCs w:val="16"/>
              </w:rPr>
              <w:t>个月）</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68" w:right="0"/>
              <w:jc w:val="center"/>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6" w:right="0"/>
              <w:jc w:val="center"/>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r>
      <w:tr>
        <w:trPr>
          <w:trHeight w:val="34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年</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70" w:right="0"/>
              <w:jc w:val="center"/>
              <w:rPr>
                <w:rFonts w:ascii="Times New Roman" w:hAnsi="Times New Roman" w:cs="Times New Roman" w:eastAsia="Times New Roman" w:hint="default"/>
                <w:sz w:val="16"/>
                <w:szCs w:val="16"/>
              </w:rPr>
            </w:pPr>
            <w:r>
              <w:rPr>
                <w:rFonts w:ascii="Times New Roman"/>
                <w:sz w:val="16"/>
              </w:rPr>
              <w:t>30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6" w:right="0"/>
              <w:jc w:val="center"/>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r>
      <w:tr>
        <w:trPr>
          <w:trHeight w:val="34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年以上</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69" w:right="0"/>
              <w:jc w:val="center"/>
              <w:rPr>
                <w:rFonts w:ascii="Times New Roman" w:hAnsi="Times New Roman" w:cs="Times New Roman" w:eastAsia="Times New Roman" w:hint="default"/>
                <w:sz w:val="16"/>
                <w:szCs w:val="16"/>
              </w:rPr>
            </w:pPr>
            <w:r>
              <w:rPr>
                <w:rFonts w:ascii="Times New Roman"/>
                <w:sz w:val="16"/>
              </w:rPr>
              <w:t>100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6" w:right="0"/>
              <w:jc w:val="center"/>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组合中，采用余额百分比法计提坏账准备的应收账款：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468"/>
      <w:bookmarkEnd w:id="46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4,749,162.36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830,535.39</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本期实际核销的应收账款情况" w:id="469"/>
      <w:bookmarkEnd w:id="46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公司报告期各期内无实际核销的应收账款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按欠款方归集的期末余额前五名的应收账款情况" w:id="470"/>
      <w:bookmarkEnd w:id="47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5" w:type="dxa"/>
        <w:tblLayout w:type="fixed"/>
        <w:tblCellMar>
          <w:top w:w="0" w:type="dxa"/>
          <w:left w:w="0" w:type="dxa"/>
          <w:bottom w:w="0" w:type="dxa"/>
          <w:right w:w="0" w:type="dxa"/>
        </w:tblCellMar>
        <w:tblLook w:val="01E0"/>
      </w:tblPr>
      <w:tblGrid>
        <w:gridCol w:w="2230"/>
        <w:gridCol w:w="1864"/>
        <w:gridCol w:w="2246"/>
        <w:gridCol w:w="1848"/>
      </w:tblGrid>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09" w:right="0"/>
              <w:jc w:val="left"/>
              <w:rPr>
                <w:rFonts w:ascii="宋体" w:hAnsi="宋体" w:cs="宋体" w:eastAsia="宋体" w:hint="default"/>
                <w:sz w:val="16"/>
                <w:szCs w:val="16"/>
              </w:rPr>
            </w:pPr>
            <w:r>
              <w:rPr>
                <w:rFonts w:ascii="宋体" w:hAnsi="宋体" w:cs="宋体" w:eastAsia="宋体" w:hint="default"/>
                <w:sz w:val="16"/>
                <w:szCs w:val="16"/>
              </w:rPr>
              <w:t>债务人名称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1" w:right="0"/>
              <w:jc w:val="left"/>
              <w:rPr>
                <w:rFonts w:ascii="宋体" w:hAnsi="宋体" w:cs="宋体" w:eastAsia="宋体" w:hint="default"/>
                <w:sz w:val="16"/>
                <w:szCs w:val="16"/>
              </w:rPr>
            </w:pPr>
            <w:r>
              <w:rPr>
                <w:rFonts w:ascii="宋体" w:hAnsi="宋体" w:cs="宋体" w:eastAsia="宋体" w:hint="default"/>
                <w:sz w:val="16"/>
                <w:szCs w:val="16"/>
              </w:rPr>
              <w:t>占应收账款合计的比例（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0"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东风日产汽车销售有限公司</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41,253,842.27</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18.15</w:t>
            </w:r>
            <w:r>
              <w:rPr>
                <w:rFonts w:ascii="Times New Roman"/>
                <w:sz w:val="16"/>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100,470.40</w:t>
            </w:r>
            <w:r>
              <w:rPr>
                <w:rFonts w:ascii="Times New Roman"/>
                <w:sz w:val="16"/>
              </w:rPr>
            </w:r>
          </w:p>
        </w:tc>
      </w:tr>
      <w:tr>
        <w:trPr>
          <w:trHeight w:val="654"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135"/>
              <w:jc w:val="left"/>
              <w:rPr>
                <w:rFonts w:ascii="宋体" w:hAnsi="宋体" w:cs="宋体" w:eastAsia="宋体" w:hint="default"/>
                <w:sz w:val="16"/>
                <w:szCs w:val="16"/>
              </w:rPr>
            </w:pPr>
            <w:r>
              <w:rPr>
                <w:rFonts w:ascii="宋体" w:hAnsi="宋体" w:cs="宋体" w:eastAsia="宋体" w:hint="default"/>
                <w:sz w:val="16"/>
                <w:szCs w:val="16"/>
              </w:rPr>
              <w:t>长安福特汽车有限公司销售分</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32,063,695.00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14.11</w:t>
            </w:r>
            <w:r>
              <w:rPr>
                <w:rFonts w:ascii="Times New Roman"/>
                <w:sz w:val="16"/>
              </w:rPr>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长安马自达汽车销售分公司</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29,081,880.84</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12.80</w:t>
            </w:r>
            <w:r>
              <w:rPr>
                <w:rFonts w:ascii="Times New Roman"/>
                <w:sz w:val="16"/>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93,122.80</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中维地产海南有限公司</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20,000,000.00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8.80</w:t>
            </w:r>
            <w:r>
              <w:rPr>
                <w:rFonts w:ascii="Times New Roman"/>
                <w:sz w:val="16"/>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500,000.00</w:t>
            </w:r>
            <w:r>
              <w:rPr>
                <w:rFonts w:ascii="Times New Roman"/>
                <w:sz w:val="16"/>
              </w:rPr>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比亚迪汽车销售有限公司</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17,298,314.00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7.61</w:t>
            </w:r>
            <w:r>
              <w:rPr>
                <w:rFonts w:ascii="Times New Roman"/>
                <w:sz w:val="16"/>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48,655.70</w:t>
            </w:r>
          </w:p>
        </w:tc>
      </w:tr>
      <w:tr>
        <w:trPr>
          <w:trHeight w:val="34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139,697,732.11</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61.47</w:t>
            </w:r>
            <w:r>
              <w:rPr>
                <w:rFonts w:ascii="Times New Roman"/>
                <w:sz w:val="16"/>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742,248.90</w:t>
            </w:r>
            <w:r>
              <w:rPr>
                <w:rFonts w:ascii="Times New Roman"/>
                <w:sz w:val="16"/>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right="0"/>
        <w:jc w:val="left"/>
        <w:rPr>
          <w:b w:val="0"/>
          <w:bCs w:val="0"/>
        </w:rPr>
      </w:pPr>
      <w:bookmarkStart w:name="（5）因金融资产转移而终止确认的应收账款" w:id="471"/>
      <w:bookmarkEnd w:id="47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公司报告期各期末无因金融资产转移而终止确认的应收款项情况</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转移应收账款且继续涉入形成的资产、负债金额" w:id="472"/>
      <w:bookmarkEnd w:id="47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公司报告期各期末无转移应收账款且继续涉入形成的资产、负债</w:t>
      </w:r>
    </w:p>
    <w:p>
      <w:pPr>
        <w:spacing w:after="0" w:line="240" w:lineRule="auto"/>
        <w:jc w:val="left"/>
        <w:sectPr>
          <w:pgSz w:w="11910" w:h="16840"/>
          <w:pgMar w:header="0"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left="534" w:right="0"/>
        <w:jc w:val="left"/>
        <w:rPr>
          <w:b w:val="0"/>
          <w:bCs w:val="0"/>
        </w:rPr>
      </w:pPr>
      <w:bookmarkStart w:name="2、其他应收款" w:id="473"/>
      <w:bookmarkEnd w:id="47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34" w:right="0"/>
        <w:jc w:val="left"/>
        <w:rPr>
          <w:b w:val="0"/>
          <w:bCs w:val="0"/>
        </w:rPr>
      </w:pPr>
      <w:bookmarkStart w:name="（1）其他应收款分类披露" w:id="474"/>
      <w:bookmarkEnd w:id="47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10"/>
        <w:jc w:val="right"/>
      </w:pPr>
      <w:r>
        <w:rPr/>
        <w:t>单位： 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112"/>
        <w:gridCol w:w="1288"/>
        <w:gridCol w:w="851"/>
        <w:gridCol w:w="708"/>
        <w:gridCol w:w="852"/>
        <w:gridCol w:w="1078"/>
        <w:gridCol w:w="1048"/>
        <w:gridCol w:w="710"/>
        <w:gridCol w:w="850"/>
        <w:gridCol w:w="554"/>
        <w:gridCol w:w="1289"/>
      </w:tblGrid>
      <w:tr>
        <w:trPr>
          <w:trHeight w:val="403"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477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21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8" w:type="dxa"/>
            <w:vMerge w:val="restart"/>
            <w:tcBorders>
              <w:top w:val="single" w:sz="4" w:space="0" w:color="000000"/>
              <w:left w:val="single" w:sz="4" w:space="0" w:color="000000"/>
              <w:right w:val="single" w:sz="4" w:space="0" w:color="000000"/>
            </w:tcBorders>
            <w:shd w:val="clear" w:color="auto" w:fill="D2D2D2"/>
          </w:tcPr>
          <w:p>
            <w:pPr/>
          </w:p>
        </w:tc>
        <w:tc>
          <w:tcPr>
            <w:tcW w:w="17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9"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38"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nil" w:sz="6" w:space="0" w:color="auto"/>
              <w:right w:val="single" w:sz="4" w:space="0" w:color="000000"/>
            </w:tcBorders>
            <w:shd w:val="clear" w:color="auto" w:fill="D2D2D2"/>
          </w:tcPr>
          <w:p>
            <w:pPr/>
          </w:p>
        </w:tc>
        <w:tc>
          <w:tcPr>
            <w:tcW w:w="1757" w:type="dxa"/>
            <w:gridSpan w:val="2"/>
            <w:vMerge/>
            <w:tcBorders>
              <w:left w:val="single" w:sz="4" w:space="0" w:color="000000"/>
              <w:bottom w:val="single" w:sz="4" w:space="0" w:color="000000"/>
              <w:right w:val="single" w:sz="4" w:space="0" w:color="000000"/>
            </w:tcBorders>
            <w:shd w:val="clear" w:color="auto" w:fill="D2D2D2"/>
          </w:tcPr>
          <w:p>
            <w:pPr/>
          </w:p>
        </w:tc>
        <w:tc>
          <w:tcPr>
            <w:tcW w:w="1404" w:type="dxa"/>
            <w:gridSpan w:val="2"/>
            <w:vMerge/>
            <w:tcBorders>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078"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4"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12"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78" w:type="dxa"/>
            <w:vMerge w:val="restart"/>
            <w:tcBorders>
              <w:top w:val="nil" w:sz="6" w:space="0" w:color="auto"/>
              <w:left w:val="single" w:sz="4" w:space="0" w:color="000000"/>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的其他应收 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2,162,597.26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2,162,597.26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6,730,032.85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6,730,032.85</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2,162,597.26</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center"/>
              <w:rPr>
                <w:rFonts w:ascii="Times New Roman" w:hAnsi="Times New Roman" w:cs="Times New Roman" w:eastAsia="Times New Roman" w:hint="default"/>
                <w:sz w:val="18"/>
                <w:szCs w:val="18"/>
              </w:rPr>
            </w:pPr>
            <w:r>
              <w:rPr>
                <w:rFonts w:ascii="Times New Roman"/>
                <w:sz w:val="18"/>
              </w:rPr>
              <w:t>2,162,597.26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6,730,032.85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6,730,032.85</w:t>
            </w:r>
          </w:p>
        </w:tc>
      </w:tr>
    </w:tbl>
    <w:p>
      <w:pPr>
        <w:pStyle w:val="BodyText"/>
        <w:spacing w:line="240" w:lineRule="auto" w:before="51"/>
        <w:ind w:left="534" w:right="0"/>
        <w:jc w:val="left"/>
      </w:pPr>
      <w:r>
        <w:rPr/>
        <w:t>期末单项金额重大并单项计提坏账准备的其他应收款：</w:t>
      </w:r>
    </w:p>
    <w:p>
      <w:pPr>
        <w:pStyle w:val="BodyText"/>
        <w:spacing w:line="340" w:lineRule="auto" w:before="116"/>
        <w:ind w:left="534" w:right="5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0"/>
        <w:ind w:left="534" w:right="5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4"/>
        <w:ind w:left="534" w:right="5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5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534" w:right="0"/>
        <w:jc w:val="left"/>
        <w:rPr>
          <w:b w:val="0"/>
          <w:bCs w:val="0"/>
        </w:rPr>
      </w:pPr>
      <w:bookmarkStart w:name="（2）本期计提、收回或转回的坏账准备情况" w:id="475"/>
      <w:bookmarkEnd w:id="47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34" w:right="0"/>
        <w:jc w:val="left"/>
      </w:pPr>
      <w:r>
        <w:rPr/>
        <w:t>本期无计提、收回或转回坏账准备情况</w:t>
      </w:r>
    </w:p>
    <w:p>
      <w:pPr>
        <w:spacing w:line="240" w:lineRule="auto" w:before="10"/>
        <w:rPr>
          <w:rFonts w:ascii="宋体" w:hAnsi="宋体" w:cs="宋体" w:eastAsia="宋体" w:hint="default"/>
          <w:sz w:val="26"/>
          <w:szCs w:val="26"/>
        </w:rPr>
      </w:pPr>
    </w:p>
    <w:p>
      <w:pPr>
        <w:pStyle w:val="Heading4"/>
        <w:spacing w:line="240" w:lineRule="auto"/>
        <w:ind w:left="534" w:right="0"/>
        <w:jc w:val="left"/>
        <w:rPr>
          <w:b w:val="0"/>
          <w:bCs w:val="0"/>
        </w:rPr>
      </w:pPr>
      <w:bookmarkStart w:name="（3）本期实际核销的其他应收款情况" w:id="476"/>
      <w:bookmarkEnd w:id="47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0"/>
        <w:jc w:val="left"/>
      </w:pPr>
      <w:r>
        <w:rPr/>
        <w:t>公司报告期各期内无实际核销的其他应收款</w:t>
      </w:r>
    </w:p>
    <w:p>
      <w:pPr>
        <w:spacing w:line="240" w:lineRule="auto" w:before="12"/>
        <w:rPr>
          <w:rFonts w:ascii="宋体" w:hAnsi="宋体" w:cs="宋体" w:eastAsia="宋体" w:hint="default"/>
          <w:sz w:val="26"/>
          <w:szCs w:val="26"/>
        </w:rPr>
      </w:pPr>
    </w:p>
    <w:p>
      <w:pPr>
        <w:pStyle w:val="Heading4"/>
        <w:spacing w:line="240" w:lineRule="auto"/>
        <w:ind w:left="534" w:right="0"/>
        <w:jc w:val="left"/>
        <w:rPr>
          <w:b w:val="0"/>
          <w:bCs w:val="0"/>
        </w:rPr>
      </w:pPr>
      <w:bookmarkStart w:name="（4）其他应收款按款项性质分类情况" w:id="477"/>
      <w:bookmarkEnd w:id="47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10"/>
        <w:jc w:val="right"/>
      </w:pPr>
      <w:r>
        <w:rPr/>
        <w:t>单位： 元</w:t>
      </w:r>
    </w:p>
    <w:p>
      <w:pPr>
        <w:spacing w:line="240" w:lineRule="auto" w:before="13"/>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724,286.10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1,275,182.50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1,437,865.94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1,343,705.94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11,144.41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600" w:right="7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2,162,597.26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6,730,032.85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478"/>
      <w:bookmarkEnd w:id="47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上海长峰房地产开发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478,057.50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22.11%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北京国棉文化创意发 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340,666.50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广州汇美发展有限公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东风（武汉</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工程咨询</w:t>
            </w:r>
            <w:r>
              <w:rPr>
                <w:rFonts w:ascii="宋体" w:hAnsi="宋体" w:cs="宋体" w:eastAsia="宋体" w:hint="default"/>
                <w:spacing w:val="-82"/>
                <w:sz w:val="18"/>
                <w:szCs w:val="18"/>
              </w:rPr>
              <w:t> </w:t>
            </w:r>
            <w:r>
              <w:rPr>
                <w:rFonts w:ascii="宋体" w:hAnsi="宋体" w:cs="宋体" w:eastAsia="宋体" w:hint="default"/>
                <w:sz w:val="18"/>
                <w:szCs w:val="18"/>
              </w:rPr>
              <w:t>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194,017.00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1,326,541.00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479"/>
      <w:bookmarkEnd w:id="47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公司报告期各期末无涉及政府补助的其他应收项</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因金融资产转移而终止确认的其他应收款" w:id="480"/>
      <w:bookmarkEnd w:id="48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公司报告期各期末无因金融资产转移而终止确认的其他应收款</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转移其他应收款且继续涉入形成的资产、负债金额" w:id="481"/>
      <w:bookmarkEnd w:id="48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公司报告期各期末无转移其他应收款且继续涉入形成的资产、负债</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长期股权投资" w:id="482"/>
      <w:bookmarkEnd w:id="48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155,026,851.85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155,026,851.85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44,471,157.34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44,471,157.34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7,483,551.02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7,483,551.02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5,220,591.55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5,220,591.55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162,510,402.87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162,510,402.87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49,691,748.89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49,691,748.89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对子公司投资" w:id="483"/>
      <w:bookmarkEnd w:id="48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北京宣亚国际品 牌咨询有限公司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3,922,181.97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5,022,181.97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北京品推宝移动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13,601,213.30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109,455,694.51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123,056,907.81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秦皇岛宣亚公共 关系顾问有限公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8,585,634.41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8,585,634.41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北京英帕沃数字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宣亚国际品牌管 </w:t>
            </w:r>
            <w:r>
              <w:rPr>
                <w:rFonts w:ascii="宋体" w:hAnsi="宋体" w:cs="宋体" w:eastAsia="宋体" w:hint="default"/>
                <w:spacing w:val="-7"/>
                <w:sz w:val="18"/>
                <w:szCs w:val="18"/>
              </w:rPr>
              <w:t>理（湖南）有限公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广州宣亚品牌管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珠海宣亚互动数 字营销有限公司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宣亚国际有限公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6,476,900.00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6,476,900.00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北京新兵连文化 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4,865,227.66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4,865,227.66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44,471,157.34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110,555,694.51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155,026,851.85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484"/>
      <w:bookmarkEnd w:id="48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1048"/>
        <w:gridCol w:w="547"/>
        <w:gridCol w:w="798"/>
        <w:gridCol w:w="1065"/>
        <w:gridCol w:w="532"/>
        <w:gridCol w:w="798"/>
        <w:gridCol w:w="798"/>
        <w:gridCol w:w="798"/>
        <w:gridCol w:w="798"/>
        <w:gridCol w:w="1096"/>
        <w:gridCol w:w="500"/>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7" w:right="8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6"/>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79"/>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6"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北京威维 体育文化</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5,220,591.55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2,262,959.47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7,483,551.02</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1048"/>
        <w:gridCol w:w="547"/>
        <w:gridCol w:w="798"/>
        <w:gridCol w:w="1065"/>
        <w:gridCol w:w="532"/>
        <w:gridCol w:w="798"/>
        <w:gridCol w:w="798"/>
        <w:gridCol w:w="798"/>
        <w:gridCol w:w="798"/>
        <w:gridCol w:w="1096"/>
        <w:gridCol w:w="500"/>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5,220,591.55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2,262,959.47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7,483,551.02</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5,220,591.55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2,262,959.47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7,483,551.02</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营业收入和营业成本" w:id="485"/>
      <w:bookmarkEnd w:id="48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431,227,325.22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260,060,738.03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405,920,530.49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235,173,130.32</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431,227,325.22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260,060,738.03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405,920,530.49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235,173,130.32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投资收益" w:id="486"/>
      <w:bookmarkEnd w:id="48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218,066.24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30,372,260.47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2,262,959.47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1,109,447.31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-327,793.47</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2,481,025.71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31,153,914.31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87"/>
      <w:bookmarkEnd w:id="487"/>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八、补充资料" w:id="488"/>
      <w:bookmarkEnd w:id="488"/>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89"/>
      <w:bookmarkEnd w:id="48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-36,887.79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185,997.50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个税手续费返还等营业外收入</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37,277.43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793.04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3059"/>
        <w:gridCol w:w="317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111,039.24</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90"/>
      <w:bookmarkEnd w:id="49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491"/>
      <w:bookmarkEnd w:id="49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92"/>
      <w:bookmarkEnd w:id="49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93"/>
      <w:bookmarkEnd w:id="49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494"/>
      <w:bookmarkEnd w:id="49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8"/>
        </w:rPr>
        <w:t> </w:t>
      </w:r>
      <w:r>
        <w:rPr>
          <w:spacing w:val="-68"/>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495"/>
      <w:bookmarkEnd w:id="495"/>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无其他需要说明项目</w:t>
      </w:r>
    </w:p>
    <w:p>
      <w:pPr>
        <w:spacing w:after="0" w:line="240" w:lineRule="auto"/>
        <w:jc w:val="left"/>
        <w:sectPr>
          <w:pgSz w:w="11910" w:h="16840"/>
          <w:pgMar w:header="0"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496"/>
      <w:bookmarkEnd w:id="496"/>
      <w:r>
        <w:rPr>
          <w:b w:val="0"/>
          <w:bCs w:val="0"/>
        </w:rPr>
      </w:r>
      <w:bookmarkStart w:name="_bookmark11" w:id="497"/>
      <w:bookmarkEnd w:id="497"/>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117"/>
        <w:ind w:right="0"/>
        <w:jc w:val="left"/>
      </w:pPr>
      <w:r>
        <w:rPr/>
        <w:t>（二）载有会计师事务所盖章、注册会计师签名并盖章的审计报告原件；</w:t>
      </w:r>
    </w:p>
    <w:p>
      <w:pPr>
        <w:pStyle w:val="BodyText"/>
        <w:spacing w:line="240" w:lineRule="auto" w:before="116"/>
        <w:ind w:right="0"/>
        <w:jc w:val="left"/>
      </w:pPr>
      <w:r>
        <w:rPr/>
        <w:t>（三）报告期内在中国证监会指定网站上公开披露过的所有公司文件的正本及公告的原稿；</w:t>
      </w:r>
    </w:p>
    <w:p>
      <w:pPr>
        <w:pStyle w:val="BodyText"/>
        <w:spacing w:line="240" w:lineRule="auto" w:before="116"/>
        <w:ind w:right="0"/>
        <w:jc w:val="left"/>
      </w:pPr>
      <w:r>
        <w:rPr/>
        <w:t>（四）在其他证券市场公布的年度报告。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tabs>
          <w:tab w:pos="9833" w:val="left" w:leader="none"/>
        </w:tabs>
        <w:spacing w:line="240" w:lineRule="auto"/>
        <w:ind w:left="6103" w:right="0"/>
        <w:jc w:val="left"/>
        <w:rPr>
          <w:rFonts w:ascii="Times New Roman" w:hAnsi="Times New Roman" w:cs="Times New Roman" w:eastAsia="Times New Roman" w:hint="default"/>
        </w:rPr>
      </w:pPr>
      <w:r>
        <w:rPr/>
        <w:t>董事长：张秀兵（签字）</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29"/>
          <w:szCs w:val="29"/>
        </w:rPr>
      </w:pPr>
    </w:p>
    <w:p>
      <w:pPr>
        <w:pStyle w:val="BodyText"/>
        <w:spacing w:line="240" w:lineRule="auto" w:before="44"/>
        <w:ind w:left="0" w:right="150"/>
        <w:jc w:val="right"/>
      </w:pPr>
      <w:r>
        <w:rPr/>
        <w:t>董事会批准报送日期：</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19</w:t>
      </w:r>
      <w:r>
        <w:rPr/>
        <w:t>日</w:t>
      </w:r>
    </w:p>
    <w:sectPr>
      <w:pgSz w:w="11910" w:h="16840"/>
      <w:pgMar w:header="0"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773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773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73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7998pt;margin-top:535.357971pt;width:13pt;height:11pt;mso-position-horizontal-relative:page;mso-position-vertical-relative:page;z-index:-773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73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73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7998pt;margin-top:535.357971pt;width:13pt;height:11pt;mso-position-horizontal-relative:page;mso-position-vertical-relative:page;z-index:-773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73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773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773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0.220001pt;margin-top:36.325607pt;width:249.5pt;height:11.5pt;mso-position-horizontal-relative:page;mso-position-vertical-relative:page;z-index:-773800"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520020pt;margin-top:42.865631pt;width:249.5pt;height:11.5pt;mso-position-horizontal-relative:page;mso-position-vertical-relative:page;z-index:-773728"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77368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290.220001pt;margin-top:42.865608pt;width:249.5pt;height:11.5pt;mso-position-horizontal-relative:page;mso-position-vertical-relative:page;z-index:-773656"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520020pt;margin-top:42.865631pt;width:249.5pt;height:11.5pt;mso-position-horizontal-relative:page;mso-position-vertical-relative:page;z-index:-773584"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220001pt;margin-top:42.865608pt;width:249.5pt;height:11.5pt;mso-position-horizontal-relative:page;mso-position-vertical-relative:page;z-index:-773536"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43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sz w:val="21"/>
      <w:szCs w:val="21"/>
    </w:rPr>
  </w:style>
  <w:style w:styleId="Heading6" w:type="paragraph">
    <w:name w:val="Heading 6"/>
    <w:basedOn w:val="Normal"/>
    <w:uiPriority w:val="1"/>
    <w:qFormat/>
    <w:pPr>
      <w:ind w:left="51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shunyagroup.com/" TargetMode="External"/><Relationship Id="rId10" Type="http://schemas.openxmlformats.org/officeDocument/2006/relationships/hyperlink" Target="mailto:stock@shunyagroup.com"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hyperlink" Target="http://www.cninfo.com.cn/finalpage/2"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2.png"/><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header" Target="header5.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6.xml"/><Relationship Id="rId27" Type="http://schemas.openxmlformats.org/officeDocument/2006/relationships/footer" Target="footer10.xml"/><Relationship Id="rId2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宣亚国际品牌管理（北京）股份有限公司</dc:creator>
  <dc:title>宣亚国际品牌管理（北京）股份有限公司2017年年度报告全文</dc:title>
  <dcterms:created xsi:type="dcterms:W3CDTF">2020-05-03T01:09:45Z</dcterms:created>
  <dcterms:modified xsi:type="dcterms:W3CDTF">2020-05-03T01:09:45Z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