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Default Extension="png" ContentType="image/pn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11"/>
        <w:rPr>
          <w:rFonts w:ascii="Times New Roman" w:hAnsi="Times New Roman" w:cs="Times New Roman" w:eastAsia="Times New Roman" w:hint="default"/>
          <w:sz w:val="25"/>
          <w:szCs w:val="25"/>
        </w:rPr>
      </w:pPr>
    </w:p>
    <w:p>
      <w:pPr>
        <w:pStyle w:val="Heading5"/>
        <w:tabs>
          <w:tab w:pos="4161" w:val="left" w:leader="none"/>
          <w:tab w:pos="7866" w:val="left" w:leader="none"/>
        </w:tabs>
        <w:spacing w:line="240" w:lineRule="auto" w:before="44"/>
        <w:ind w:left="452" w:right="0"/>
        <w:jc w:val="left"/>
        <w:rPr>
          <w:rFonts w:ascii="宋体" w:hAnsi="宋体" w:cs="宋体" w:eastAsia="宋体" w:hint="default"/>
          <w:b w:val="0"/>
          <w:bCs w:val="0"/>
        </w:rPr>
      </w:pPr>
      <w:r>
        <w:rPr/>
        <w:pict>
          <v:group style="position:absolute;margin-left:55.200001pt;margin-top:-19.208298pt;width:485pt;height:.1pt;mso-position-horizontal-relative:page;mso-position-vertical-relative:paragraph;z-index:0" coordorigin="1104,-384" coordsize="9700,2">
            <v:shape style="position:absolute;left:1104;top:-384;width:9700;height:2" coordorigin="1104,-384" coordsize="9700,0" path="m1104,-384l10804,-384e" filled="false" stroked="true" strokeweight=".72pt" strokecolor="#000000">
              <v:path arrowok="t"/>
            </v:shape>
            <w10:wrap type="none"/>
          </v:group>
        </w:pict>
      </w:r>
      <w:r>
        <w:rPr>
          <w:w w:val="95"/>
        </w:rPr>
        <w:t>证券代码：</w:t>
      </w:r>
      <w:r>
        <w:rPr>
          <w:rFonts w:ascii="宋体" w:hAnsi="宋体" w:cs="宋体" w:eastAsia="宋体" w:hint="default"/>
          <w:w w:val="95"/>
        </w:rPr>
        <w:t>300612</w:t>
        <w:tab/>
      </w:r>
      <w:r>
        <w:rPr>
          <w:w w:val="95"/>
        </w:rPr>
        <w:t>证券简称：宣亚国际</w:t>
        <w:tab/>
      </w:r>
      <w:r>
        <w:rPr/>
        <w:t>公告编号：</w:t>
      </w:r>
      <w:r>
        <w:rPr>
          <w:rFonts w:ascii="宋体" w:hAnsi="宋体" w:cs="宋体" w:eastAsia="宋体" w:hint="default"/>
        </w:rPr>
        <w:t>2019-028</w:t>
      </w:r>
      <w:r>
        <w:rPr>
          <w:rFonts w:ascii="宋体" w:hAnsi="宋体" w:cs="宋体" w:eastAsia="宋体" w:hint="default"/>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3"/>
          <w:szCs w:val="13"/>
        </w:rPr>
      </w:pPr>
    </w:p>
    <w:p>
      <w:pPr>
        <w:spacing w:line="450" w:lineRule="exact"/>
        <w:ind w:left="3862" w:right="0" w:firstLine="0"/>
        <w:rPr>
          <w:rFonts w:ascii="宋体" w:hAnsi="宋体" w:cs="宋体" w:eastAsia="宋体" w:hint="default"/>
          <w:sz w:val="20"/>
          <w:szCs w:val="20"/>
        </w:rPr>
      </w:pPr>
      <w:r>
        <w:rPr>
          <w:rFonts w:ascii="宋体" w:hAnsi="宋体" w:cs="宋体" w:eastAsia="宋体" w:hint="default"/>
          <w:position w:val="-8"/>
          <w:sz w:val="20"/>
          <w:szCs w:val="20"/>
        </w:rPr>
        <w:drawing>
          <wp:inline distT="0" distB="0" distL="0" distR="0">
            <wp:extent cx="1410334" cy="285750"/>
            <wp:effectExtent l="0" t="0" r="0" b="0"/>
            <wp:docPr id="1" name="image2.png" descr=""/>
            <wp:cNvGraphicFramePr>
              <a:graphicFrameLocks noChangeAspect="1"/>
            </wp:cNvGraphicFramePr>
            <a:graphic>
              <a:graphicData uri="http://schemas.openxmlformats.org/drawingml/2006/picture">
                <pic:pic>
                  <pic:nvPicPr>
                    <pic:cNvPr id="2" name="image2.png"/>
                    <pic:cNvPicPr/>
                  </pic:nvPicPr>
                  <pic:blipFill>
                    <a:blip r:embed="rId7" cstate="print"/>
                    <a:stretch>
                      <a:fillRect/>
                    </a:stretch>
                  </pic:blipFill>
                  <pic:spPr>
                    <a:xfrm>
                      <a:off x="0" y="0"/>
                      <a:ext cx="1410334" cy="285750"/>
                    </a:xfrm>
                    <a:prstGeom prst="rect">
                      <a:avLst/>
                    </a:prstGeom>
                  </pic:spPr>
                </pic:pic>
              </a:graphicData>
            </a:graphic>
          </wp:inline>
        </w:drawing>
      </w:r>
      <w:r>
        <w:rPr>
          <w:rFonts w:ascii="宋体" w:hAnsi="宋体" w:cs="宋体" w:eastAsia="宋体" w:hint="default"/>
          <w:position w:val="-8"/>
          <w:sz w:val="20"/>
          <w:szCs w:val="20"/>
        </w:rPr>
      </w:r>
    </w:p>
    <w:p>
      <w:pPr>
        <w:spacing w:line="240" w:lineRule="auto" w:before="9"/>
        <w:rPr>
          <w:rFonts w:ascii="宋体" w:hAnsi="宋体" w:cs="宋体" w:eastAsia="宋体" w:hint="default"/>
          <w:b/>
          <w:bCs/>
          <w:sz w:val="11"/>
          <w:szCs w:val="11"/>
        </w:rPr>
      </w:pPr>
    </w:p>
    <w:p>
      <w:pPr>
        <w:spacing w:line="460" w:lineRule="exact" w:before="0"/>
        <w:ind w:left="279" w:right="1256" w:firstLine="0"/>
        <w:jc w:val="center"/>
        <w:rPr>
          <w:rFonts w:ascii="宋体" w:hAnsi="宋体" w:cs="宋体" w:eastAsia="宋体" w:hint="default"/>
          <w:sz w:val="36"/>
          <w:szCs w:val="36"/>
        </w:rPr>
      </w:pPr>
      <w:r>
        <w:rPr>
          <w:rFonts w:ascii="宋体" w:hAnsi="宋体" w:cs="宋体" w:eastAsia="宋体" w:hint="default"/>
          <w:b/>
          <w:bCs/>
          <w:sz w:val="36"/>
          <w:szCs w:val="36"/>
        </w:rPr>
        <w:t>宣亚国际品牌管理（北京）股份有限公司</w:t>
      </w:r>
      <w:r>
        <w:rPr>
          <w:rFonts w:ascii="宋体" w:hAnsi="宋体" w:cs="宋体" w:eastAsia="宋体" w:hint="default"/>
          <w:sz w:val="36"/>
          <w:szCs w:val="36"/>
        </w:rPr>
      </w:r>
    </w:p>
    <w:p>
      <w:pPr>
        <w:spacing w:line="240" w:lineRule="auto" w:before="9"/>
        <w:rPr>
          <w:rFonts w:ascii="宋体" w:hAnsi="宋体" w:cs="宋体" w:eastAsia="宋体" w:hint="default"/>
          <w:b/>
          <w:bCs/>
          <w:sz w:val="30"/>
          <w:szCs w:val="30"/>
        </w:rPr>
      </w:pPr>
    </w:p>
    <w:p>
      <w:pPr>
        <w:spacing w:before="0"/>
        <w:ind w:left="279" w:right="1258"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2018</w:t>
      </w:r>
      <w:r>
        <w:rPr>
          <w:rFonts w:ascii="Times New Roman" w:hAnsi="Times New Roman" w:cs="Times New Roman" w:eastAsia="Times New Roman" w:hint="default"/>
          <w:b/>
          <w:bCs/>
          <w:spacing w:val="-4"/>
          <w:sz w:val="32"/>
          <w:szCs w:val="32"/>
        </w:rPr>
        <w:t> </w:t>
      </w:r>
      <w:r>
        <w:rPr>
          <w:rFonts w:ascii="宋体" w:hAnsi="宋体" w:cs="宋体" w:eastAsia="宋体" w:hint="default"/>
          <w:b/>
          <w:bCs/>
          <w:sz w:val="32"/>
          <w:szCs w:val="32"/>
        </w:rPr>
        <w:t>年年度报告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279" w:right="1255"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2019</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2"/>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2"/>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7" w:footer="979" w:top="1060" w:bottom="1160" w:left="980" w:right="0"/>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5" w:right="0"/>
        <w:jc w:val="left"/>
        <w:rPr>
          <w:b w:val="0"/>
          <w:bCs w:val="0"/>
        </w:rPr>
      </w:pPr>
      <w:bookmarkStart w:name="第一节 重要提示、目录和释义" w:id="1"/>
      <w:bookmarkEnd w:id="1"/>
      <w:r>
        <w:rPr>
          <w:b w:val="0"/>
          <w:bCs w:val="0"/>
        </w:rPr>
      </w:r>
      <w:bookmarkStart w:name="_bookmark0" w:id="2"/>
      <w:bookmarkEnd w:id="2"/>
      <w:r>
        <w:rPr>
          <w:b w:val="0"/>
          <w:bCs w:val="0"/>
        </w:rPr>
      </w:r>
      <w:r>
        <w:rPr/>
        <w:t>第一节</w:t>
      </w:r>
      <w:r>
        <w:rPr>
          <w:spacing w:val="-11"/>
        </w:rPr>
        <w:t> </w:t>
      </w:r>
      <w:r>
        <w:rPr/>
        <w:t>重要提示、目录和释义</w:t>
      </w:r>
      <w:r>
        <w:rPr>
          <w:b w:val="0"/>
          <w:bCs w:val="0"/>
        </w:rPr>
      </w:r>
    </w:p>
    <w:p>
      <w:pPr>
        <w:spacing w:line="240" w:lineRule="auto" w:before="0"/>
        <w:rPr>
          <w:rFonts w:ascii="宋体" w:hAnsi="宋体" w:cs="宋体" w:eastAsia="宋体" w:hint="default"/>
          <w:b/>
          <w:bCs/>
          <w:sz w:val="32"/>
          <w:szCs w:val="32"/>
        </w:rPr>
      </w:pPr>
    </w:p>
    <w:p>
      <w:pPr>
        <w:spacing w:line="408" w:lineRule="auto" w:before="211"/>
        <w:ind w:left="154" w:right="1141"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公司董事会、监事会及董事、监事、高级管理人员保证年度报告内容的真</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6"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公司负责人张秀兵、主管会计工作负责人宾卫及会计机构负责人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会计主管</w:t>
      </w:r>
      <w:r>
        <w:rPr>
          <w:rFonts w:ascii="宋体" w:hAnsi="宋体" w:cs="宋体" w:eastAsia="宋体" w:hint="default"/>
          <w:b/>
          <w:bCs/>
          <w:spacing w:val="1"/>
          <w:w w:val="99"/>
          <w:sz w:val="28"/>
          <w:szCs w:val="28"/>
        </w:rPr>
        <w:t> </w:t>
      </w:r>
      <w:r>
        <w:rPr>
          <w:rFonts w:ascii="宋体" w:hAnsi="宋体" w:cs="宋体" w:eastAsia="宋体" w:hint="default"/>
          <w:b/>
          <w:bCs/>
          <w:sz w:val="28"/>
          <w:szCs w:val="28"/>
        </w:rPr>
        <w:t>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张靖声明：保证年度报告中财务报告的真实、准确、完整。</w:t>
      </w:r>
      <w:r>
        <w:rPr>
          <w:rFonts w:ascii="宋体" w:hAnsi="宋体" w:cs="宋体" w:eastAsia="宋体" w:hint="default"/>
          <w:sz w:val="28"/>
          <w:szCs w:val="28"/>
        </w:rPr>
      </w:r>
    </w:p>
    <w:p>
      <w:pPr>
        <w:spacing w:line="472" w:lineRule="auto" w:before="147"/>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本报告所涉及的经营业绩的预计等前瞻性陈述均属于公司计划性事项，存</w:t>
      </w:r>
      <w:r>
        <w:rPr>
          <w:rFonts w:ascii="宋体" w:hAnsi="宋体" w:cs="宋体" w:eastAsia="宋体" w:hint="default"/>
          <w:spacing w:val="3"/>
          <w:sz w:val="28"/>
          <w:szCs w:val="28"/>
        </w:rPr>
      </w:r>
    </w:p>
    <w:p>
      <w:pPr>
        <w:spacing w:line="408" w:lineRule="auto" w:before="0"/>
        <w:ind w:left="154" w:right="1138"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在一定的不确定性，不构成公司对投资者的实质性承诺，敬请投资者注意投资</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pacing w:val="3"/>
          <w:w w:val="95"/>
          <w:sz w:val="28"/>
          <w:szCs w:val="28"/>
        </w:rPr>
        <w:t>风险。公司年度报告中如有涉及未来计划、规划等预测性陈述，均不构成公司</w:t>
      </w:r>
      <w:r>
        <w:rPr>
          <w:rFonts w:ascii="宋体" w:hAnsi="宋体" w:cs="宋体" w:eastAsia="宋体" w:hint="default"/>
          <w:b/>
          <w:bCs/>
          <w:spacing w:val="29"/>
          <w:w w:val="95"/>
          <w:sz w:val="28"/>
          <w:szCs w:val="28"/>
        </w:rPr>
        <w:t> </w:t>
      </w:r>
      <w:r>
        <w:rPr>
          <w:rFonts w:ascii="宋体" w:hAnsi="宋体" w:cs="宋体" w:eastAsia="宋体" w:hint="default"/>
          <w:b/>
          <w:bCs/>
          <w:spacing w:val="29"/>
          <w:w w:val="95"/>
          <w:sz w:val="28"/>
          <w:szCs w:val="28"/>
        </w:rPr>
      </w:r>
      <w:r>
        <w:rPr>
          <w:rFonts w:ascii="宋体" w:hAnsi="宋体" w:cs="宋体" w:eastAsia="宋体" w:hint="default"/>
          <w:b/>
          <w:bCs/>
          <w:spacing w:val="3"/>
          <w:w w:val="95"/>
          <w:sz w:val="28"/>
          <w:szCs w:val="28"/>
        </w:rPr>
        <w:t>对投资者及相关人士的承诺，投资者及相关人士均应当对此保持足够的风险认</w:t>
      </w:r>
      <w:r>
        <w:rPr>
          <w:rFonts w:ascii="宋体" w:hAnsi="宋体" w:cs="宋体" w:eastAsia="宋体" w:hint="default"/>
          <w:b/>
          <w:bCs/>
          <w:spacing w:val="23"/>
          <w:w w:val="95"/>
          <w:sz w:val="28"/>
          <w:szCs w:val="28"/>
        </w:rPr>
        <w:t> </w:t>
      </w:r>
      <w:r>
        <w:rPr>
          <w:rFonts w:ascii="宋体" w:hAnsi="宋体" w:cs="宋体" w:eastAsia="宋体" w:hint="default"/>
          <w:b/>
          <w:bCs/>
          <w:spacing w:val="23"/>
          <w:w w:val="95"/>
          <w:sz w:val="28"/>
          <w:szCs w:val="28"/>
        </w:rPr>
      </w:r>
      <w:r>
        <w:rPr>
          <w:rFonts w:ascii="宋体" w:hAnsi="宋体" w:cs="宋体" w:eastAsia="宋体" w:hint="default"/>
          <w:b/>
          <w:bCs/>
          <w:sz w:val="28"/>
          <w:szCs w:val="28"/>
        </w:rPr>
        <w:t>识，并且应当理解计划、预测与承诺之间的差异。</w:t>
      </w:r>
      <w:r>
        <w:rPr>
          <w:rFonts w:ascii="宋体" w:hAnsi="宋体" w:cs="宋体" w:eastAsia="宋体" w:hint="default"/>
          <w:sz w:val="28"/>
          <w:szCs w:val="28"/>
        </w:rPr>
      </w:r>
    </w:p>
    <w:p>
      <w:pPr>
        <w:spacing w:line="398" w:lineRule="auto" w:before="161"/>
        <w:ind w:left="154" w:right="1132" w:firstLine="562"/>
        <w:jc w:val="both"/>
        <w:rPr>
          <w:rFonts w:ascii="宋体" w:hAnsi="宋体" w:cs="宋体" w:eastAsia="宋体" w:hint="default"/>
          <w:sz w:val="28"/>
          <w:szCs w:val="28"/>
        </w:rPr>
      </w:pPr>
      <w:r>
        <w:rPr>
          <w:rFonts w:ascii="宋体" w:hAnsi="宋体" w:cs="宋体" w:eastAsia="宋体" w:hint="default"/>
          <w:b/>
          <w:bCs/>
          <w:spacing w:val="3"/>
          <w:w w:val="95"/>
          <w:sz w:val="28"/>
          <w:szCs w:val="28"/>
        </w:rPr>
        <w:t>公司目前不存在影响公司正常经营的重大风险。公司日常经营中可能面临</w:t>
      </w:r>
      <w:r>
        <w:rPr>
          <w:rFonts w:ascii="宋体" w:hAnsi="宋体" w:cs="宋体" w:eastAsia="宋体" w:hint="default"/>
          <w:b/>
          <w:bCs/>
          <w:w w:val="99"/>
          <w:sz w:val="28"/>
          <w:szCs w:val="28"/>
        </w:rPr>
        <w:t> </w:t>
      </w:r>
      <w:r>
        <w:rPr>
          <w:rFonts w:ascii="宋体" w:hAnsi="宋体" w:cs="宋体" w:eastAsia="宋体" w:hint="default"/>
          <w:b/>
          <w:bCs/>
          <w:spacing w:val="3"/>
          <w:w w:val="95"/>
          <w:sz w:val="28"/>
          <w:szCs w:val="28"/>
        </w:rPr>
        <w:t>的风险因素详见</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第四节经营情况讨论与分析</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之</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九、公司未来发展的展望</w:t>
      </w:r>
      <w:r>
        <w:rPr>
          <w:rFonts w:ascii="Times New Roman" w:hAnsi="Times New Roman" w:cs="Times New Roman" w:eastAsia="Times New Roman" w:hint="default"/>
          <w:b/>
          <w:bCs/>
          <w:spacing w:val="3"/>
          <w:w w:val="95"/>
          <w:sz w:val="28"/>
          <w:szCs w:val="28"/>
        </w:rPr>
        <w:t>”</w:t>
      </w:r>
      <w:r>
        <w:rPr>
          <w:rFonts w:ascii="宋体" w:hAnsi="宋体" w:cs="宋体" w:eastAsia="宋体" w:hint="default"/>
          <w:b/>
          <w:bCs/>
          <w:spacing w:val="3"/>
          <w:w w:val="95"/>
          <w:sz w:val="28"/>
          <w:szCs w:val="28"/>
        </w:rPr>
        <w:t>。</w:t>
      </w:r>
      <w:r>
        <w:rPr>
          <w:rFonts w:ascii="宋体" w:hAnsi="宋体" w:cs="宋体" w:eastAsia="宋体" w:hint="default"/>
          <w:b/>
          <w:bCs/>
          <w:spacing w:val="32"/>
          <w:w w:val="95"/>
          <w:sz w:val="28"/>
          <w:szCs w:val="28"/>
        </w:rPr>
        <w:t> </w:t>
      </w:r>
      <w:r>
        <w:rPr>
          <w:rFonts w:ascii="宋体" w:hAnsi="宋体" w:cs="宋体" w:eastAsia="宋体" w:hint="default"/>
          <w:b/>
          <w:bCs/>
          <w:sz w:val="28"/>
          <w:szCs w:val="28"/>
        </w:rPr>
        <w:t>敬请广大投资者关注，并注意投资风险。</w:t>
      </w:r>
      <w:r>
        <w:rPr>
          <w:rFonts w:ascii="宋体" w:hAnsi="宋体" w:cs="宋体" w:eastAsia="宋体" w:hint="default"/>
          <w:sz w:val="28"/>
          <w:szCs w:val="28"/>
        </w:rPr>
      </w:r>
    </w:p>
    <w:p>
      <w:pPr>
        <w:spacing w:before="172"/>
        <w:ind w:left="716"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979" w:header="747" w:top="1060" w:bottom="116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279" w:right="1255"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3"/>
        <w:rPr>
          <w:rFonts w:ascii="宋体" w:hAnsi="宋体" w:cs="宋体" w:eastAsia="宋体" w:hint="default"/>
          <w:b/>
          <w:bCs/>
          <w:sz w:val="45"/>
          <w:szCs w:val="45"/>
        </w:rPr>
      </w:pPr>
    </w:p>
    <w:sdt>
      <w:sdtPr>
        <w:docPartObj>
          <w:docPartGallery w:val="Table of Contents"/>
          <w:docPartUnique/>
        </w:docPartObj>
      </w:sdtPr>
      <w:sdtEndPr/>
      <w:sdtContent>
        <w:p>
          <w:pPr>
            <w:pStyle w:val="TOC1"/>
            <w:tabs>
              <w:tab w:pos="9782"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bookmark0">
            <w:r>
              <w:rPr/>
              <w:t>第一节 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1">
            <w:r>
              <w:rPr/>
              <w:t>第二节 公司简介和主要财务指标</w:t>
            </w:r>
            <w:r>
              <w:rPr>
                <w:rFonts w:ascii="Times New Roman" w:hAnsi="Times New Roman" w:cs="Times New Roman" w:eastAsia="Times New Roman" w:hint="default"/>
              </w:rPr>
              <w:tab/>
              <w:t>6</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2">
            <w:r>
              <w:rPr/>
              <w:t>第三节 公司业务概要</w:t>
            </w:r>
            <w:r>
              <w:rPr>
                <w:rFonts w:ascii="Times New Roman" w:hAnsi="Times New Roman" w:cs="Times New Roman" w:eastAsia="Times New Roman" w:hint="default"/>
              </w:rPr>
              <w:tab/>
              <w:t>10</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3">
            <w:r>
              <w:rPr/>
              <w:t>第四节 经营情况讨论与分析</w:t>
            </w:r>
            <w:r>
              <w:rPr>
                <w:rFonts w:ascii="Times New Roman" w:hAnsi="Times New Roman" w:cs="Times New Roman" w:eastAsia="Times New Roman" w:hint="default"/>
              </w:rPr>
              <w:tab/>
              <w:t>12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4">
            <w:r>
              <w:rPr/>
              <w:t>第五节 重要事项</w:t>
            </w:r>
            <w:r>
              <w:rPr>
                <w:rFonts w:ascii="Times New Roman" w:hAnsi="Times New Roman" w:cs="Times New Roman" w:eastAsia="Times New Roman" w:hint="default"/>
              </w:rPr>
              <w:tab/>
              <w:t>30</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5">
            <w:r>
              <w:rPr/>
              <w:t>第六节 股份变动及股东情况</w:t>
            </w:r>
            <w:r>
              <w:rPr>
                <w:rFonts w:ascii="Times New Roman" w:hAnsi="Times New Roman" w:cs="Times New Roman" w:eastAsia="Times New Roman" w:hint="default"/>
              </w:rPr>
              <w:tab/>
              <w:t>51</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6">
            <w:r>
              <w:rPr/>
              <w:t>第七节 优先股相关情况</w:t>
            </w:r>
            <w:r>
              <w:rPr>
                <w:rFonts w:ascii="Times New Roman" w:hAnsi="Times New Roman" w:cs="Times New Roman" w:eastAsia="Times New Roman" w:hint="default"/>
              </w:rPr>
              <w:tab/>
              <w:t>58</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7">
            <w:r>
              <w:rPr/>
              <w:t>第八节 董事、监事、高级管理人员和员工情况</w:t>
            </w:r>
            <w:r>
              <w:rPr>
                <w:rFonts w:ascii="Times New Roman" w:hAnsi="Times New Roman" w:cs="Times New Roman" w:eastAsia="Times New Roman" w:hint="default"/>
              </w:rPr>
              <w:tab/>
              <w:t>59</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8">
            <w:r>
              <w:rPr/>
              <w:t>第九节 公司治理</w:t>
            </w:r>
            <w:r>
              <w:rPr>
                <w:rFonts w:ascii="Times New Roman" w:hAnsi="Times New Roman" w:cs="Times New Roman" w:eastAsia="Times New Roman" w:hint="default"/>
              </w:rPr>
              <w:tab/>
              <w:t>67</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bookmark9">
            <w:r>
              <w:rPr/>
              <w:t>第十节 公司债券相关情况</w:t>
            </w:r>
            <w:r>
              <w:rPr>
                <w:rFonts w:ascii="Times New Roman" w:hAnsi="Times New Roman" w:cs="Times New Roman" w:eastAsia="Times New Roman" w:hint="default"/>
              </w:rPr>
              <w:tab/>
              <w:t>74</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10">
            <w:r>
              <w:rPr/>
              <w:t>第十一节 财务报告</w:t>
            </w:r>
            <w:r>
              <w:rPr>
                <w:rFonts w:ascii="Times New Roman" w:hAnsi="Times New Roman" w:cs="Times New Roman" w:eastAsia="Times New Roman" w:hint="default"/>
              </w:rPr>
              <w:tab/>
              <w:t>75</w:t>
            </w:r>
          </w:hyperlink>
        </w:p>
        <w:p>
          <w:pPr>
            <w:pStyle w:val="TOC1"/>
            <w:tabs>
              <w:tab w:pos="9782" w:val="right" w:leader="dot"/>
            </w:tabs>
            <w:spacing w:line="240" w:lineRule="auto" w:before="103"/>
            <w:ind w:right="0"/>
            <w:jc w:val="left"/>
            <w:rPr>
              <w:rFonts w:ascii="Times New Roman" w:hAnsi="Times New Roman" w:cs="Times New Roman" w:eastAsia="Times New Roman" w:hint="default"/>
            </w:rPr>
          </w:pPr>
          <w:hyperlink w:history="true" w:anchor="_bookmark11">
            <w:r>
              <w:rPr/>
              <w:t>第十二节 备查文件目录</w:t>
            </w:r>
            <w:r>
              <w:rPr>
                <w:rFonts w:ascii="Times New Roman" w:hAnsi="Times New Roman" w:cs="Times New Roman" w:eastAsia="Times New Roman" w:hint="default"/>
              </w:rPr>
              <w:tab/>
              <w:t>174</w:t>
            </w:r>
          </w:hyperlink>
        </w:p>
        <w:p>
          <w:pPr/>
          <w:r>
            <w:fldChar w:fldCharType="end"/>
          </w:r>
        </w:p>
      </w:sdtContent>
    </w:sdt>
    <w:p>
      <w:pPr>
        <w:spacing w:after="0"/>
        <w:sectPr>
          <w:pgSz w:w="11910" w:h="16840"/>
          <w:pgMar w:header="747" w:footer="979" w:top="1060" w:bottom="1160" w:left="980" w:right="0"/>
        </w:sectPr>
      </w:pPr>
    </w:p>
    <w:p>
      <w:pPr>
        <w:spacing w:before="946"/>
        <w:ind w:left="279" w:right="1255"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26"/>
          <w:szCs w:val="26"/>
        </w:rPr>
      </w:pPr>
    </w:p>
    <w:tbl>
      <w:tblPr>
        <w:tblW w:w="0" w:type="auto"/>
        <w:jc w:val="left"/>
        <w:tblInd w:w="206" w:type="dxa"/>
        <w:tblLayout w:type="fixed"/>
        <w:tblCellMar>
          <w:top w:w="0" w:type="dxa"/>
          <w:left w:w="0" w:type="dxa"/>
          <w:bottom w:w="0" w:type="dxa"/>
          <w:right w:w="0" w:type="dxa"/>
        </w:tblCellMar>
        <w:tblLook w:val="01E0"/>
      </w:tblPr>
      <w:tblGrid>
        <w:gridCol w:w="2495"/>
        <w:gridCol w:w="611"/>
        <w:gridCol w:w="6418"/>
      </w:tblGrid>
      <w:tr>
        <w:trPr>
          <w:trHeight w:val="440"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98" w:hRule="exact"/>
        </w:trPr>
        <w:tc>
          <w:tcPr>
            <w:tcW w:w="2495" w:type="dxa"/>
            <w:tcBorders>
              <w:top w:val="single" w:sz="19" w:space="0" w:color="D2D2D2"/>
              <w:left w:val="single" w:sz="4" w:space="0" w:color="000000"/>
              <w:bottom w:val="single" w:sz="4" w:space="0" w:color="000000"/>
              <w:right w:val="single" w:sz="9" w:space="0" w:color="D2D2D2"/>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公司、本公司、宣亚国际</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19" w:space="0" w:color="D2D2D2"/>
              <w:left w:val="single" w:sz="13" w:space="0" w:color="D2D2D2"/>
              <w:bottom w:val="single" w:sz="4" w:space="0" w:color="000000"/>
              <w:right w:val="single" w:sz="4" w:space="0" w:color="000000"/>
            </w:tcBorders>
          </w:tcPr>
          <w:p>
            <w:pPr>
              <w:pStyle w:val="TableParagraph"/>
              <w:spacing w:line="240" w:lineRule="auto" w:before="89"/>
              <w:ind w:left="10" w:right="0"/>
              <w:jc w:val="left"/>
              <w:rPr>
                <w:rFonts w:ascii="宋体" w:hAnsi="宋体" w:cs="宋体" w:eastAsia="宋体" w:hint="default"/>
                <w:sz w:val="18"/>
                <w:szCs w:val="18"/>
              </w:rPr>
            </w:pPr>
            <w:r>
              <w:rPr>
                <w:rFonts w:ascii="宋体" w:hAnsi="宋体" w:cs="宋体" w:eastAsia="宋体" w:hint="default"/>
                <w:sz w:val="18"/>
                <w:szCs w:val="18"/>
              </w:rPr>
              <w:t>宣亚国际品牌管理（北京）股份有限公司</w:t>
            </w:r>
          </w:p>
        </w:tc>
      </w:tr>
      <w:tr>
        <w:trPr>
          <w:trHeight w:val="461" w:hRule="exact"/>
        </w:trPr>
        <w:tc>
          <w:tcPr>
            <w:tcW w:w="2495"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1"/>
              <w:ind w:left="10" w:right="0"/>
              <w:jc w:val="left"/>
              <w:rPr>
                <w:rFonts w:ascii="宋体" w:hAnsi="宋体" w:cs="宋体" w:eastAsia="宋体" w:hint="default"/>
                <w:sz w:val="18"/>
                <w:szCs w:val="18"/>
              </w:rPr>
            </w:pPr>
            <w:r>
              <w:rPr>
                <w:rFonts w:ascii="宋体" w:hAnsi="宋体" w:cs="宋体" w:eastAsia="宋体" w:hint="default"/>
                <w:sz w:val="18"/>
                <w:szCs w:val="18"/>
              </w:rPr>
              <w:t>北京宣亚国际投资有限公司，系公司的控股股东</w:t>
            </w:r>
          </w:p>
        </w:tc>
      </w:tr>
      <w:tr>
        <w:trPr>
          <w:trHeight w:val="479" w:hRule="exact"/>
        </w:trPr>
        <w:tc>
          <w:tcPr>
            <w:tcW w:w="2495"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橙色动力</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宋体" w:hAnsi="宋体" w:cs="宋体" w:eastAsia="宋体" w:hint="default"/>
                <w:sz w:val="18"/>
                <w:szCs w:val="18"/>
              </w:rPr>
            </w:pPr>
            <w:r>
              <w:rPr>
                <w:rFonts w:ascii="宋体" w:hAnsi="宋体" w:cs="宋体" w:eastAsia="宋体" w:hint="default"/>
                <w:sz w:val="18"/>
                <w:szCs w:val="18"/>
              </w:rPr>
              <w:t>北京橙色动力咨询中心（有限合伙</w:t>
            </w:r>
            <w:r>
              <w:rPr>
                <w:rFonts w:ascii="宋体" w:hAnsi="宋体" w:cs="宋体" w:eastAsia="宋体" w:hint="default"/>
                <w:spacing w:val="-90"/>
                <w:sz w:val="18"/>
                <w:szCs w:val="18"/>
              </w:rPr>
              <w:t>）</w:t>
            </w:r>
            <w:r>
              <w:rPr>
                <w:rFonts w:ascii="宋体" w:hAnsi="宋体" w:cs="宋体" w:eastAsia="宋体" w:hint="default"/>
                <w:sz w:val="18"/>
                <w:szCs w:val="18"/>
              </w:rPr>
              <w:t>，系公司的股东之一</w:t>
            </w:r>
          </w:p>
        </w:tc>
      </w:tr>
      <w:tr>
        <w:trPr>
          <w:trHeight w:val="479" w:hRule="exact"/>
        </w:trPr>
        <w:tc>
          <w:tcPr>
            <w:tcW w:w="2495"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伟岸仲合</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宋体" w:hAnsi="宋体" w:cs="宋体" w:eastAsia="宋体" w:hint="default"/>
                <w:sz w:val="18"/>
                <w:szCs w:val="18"/>
              </w:rPr>
            </w:pPr>
            <w:r>
              <w:rPr>
                <w:rFonts w:ascii="宋体" w:hAnsi="宋体" w:cs="宋体" w:eastAsia="宋体" w:hint="default"/>
                <w:sz w:val="18"/>
                <w:szCs w:val="18"/>
              </w:rPr>
              <w:t>北京伟岸仲合咨询中心（有限合伙</w:t>
            </w:r>
            <w:r>
              <w:rPr>
                <w:rFonts w:ascii="宋体" w:hAnsi="宋体" w:cs="宋体" w:eastAsia="宋体" w:hint="default"/>
                <w:spacing w:val="-90"/>
                <w:sz w:val="18"/>
                <w:szCs w:val="18"/>
              </w:rPr>
              <w:t>）</w:t>
            </w:r>
            <w:r>
              <w:rPr>
                <w:rFonts w:ascii="宋体" w:hAnsi="宋体" w:cs="宋体" w:eastAsia="宋体" w:hint="default"/>
                <w:sz w:val="18"/>
                <w:szCs w:val="18"/>
              </w:rPr>
              <w:t>，系公司的股东之一</w:t>
            </w:r>
          </w:p>
        </w:tc>
      </w:tr>
      <w:tr>
        <w:trPr>
          <w:trHeight w:val="480" w:hRule="exact"/>
        </w:trPr>
        <w:tc>
          <w:tcPr>
            <w:tcW w:w="2495"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金凤银凰</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0" w:right="0"/>
              <w:jc w:val="left"/>
              <w:rPr>
                <w:rFonts w:ascii="宋体" w:hAnsi="宋体" w:cs="宋体" w:eastAsia="宋体" w:hint="default"/>
                <w:sz w:val="18"/>
                <w:szCs w:val="18"/>
              </w:rPr>
            </w:pPr>
            <w:r>
              <w:rPr>
                <w:rFonts w:ascii="宋体" w:hAnsi="宋体" w:cs="宋体" w:eastAsia="宋体" w:hint="default"/>
                <w:sz w:val="18"/>
                <w:szCs w:val="18"/>
              </w:rPr>
              <w:t>北京金凤银凰咨询中心（有限合伙</w:t>
            </w:r>
            <w:r>
              <w:rPr>
                <w:rFonts w:ascii="宋体" w:hAnsi="宋体" w:cs="宋体" w:eastAsia="宋体" w:hint="default"/>
                <w:spacing w:val="-90"/>
                <w:sz w:val="18"/>
                <w:szCs w:val="18"/>
              </w:rPr>
              <w:t>）</w:t>
            </w:r>
            <w:r>
              <w:rPr>
                <w:rFonts w:ascii="宋体" w:hAnsi="宋体" w:cs="宋体" w:eastAsia="宋体" w:hint="default"/>
                <w:sz w:val="18"/>
                <w:szCs w:val="18"/>
              </w:rPr>
              <w:t>，系公司的股东之一</w:t>
            </w:r>
          </w:p>
        </w:tc>
      </w:tr>
      <w:tr>
        <w:trPr>
          <w:trHeight w:val="479" w:hRule="exact"/>
        </w:trPr>
        <w:tc>
          <w:tcPr>
            <w:tcW w:w="2495"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8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BBDO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亚太</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9"/>
              <w:ind w:left="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BBDO</w:t>
            </w:r>
            <w:r>
              <w:rPr>
                <w:rFonts w:ascii="Times New Roman" w:hAnsi="Times New Roman" w:cs="Times New Roman" w:eastAsia="Times New Roman" w:hint="default"/>
                <w:spacing w:val="-11"/>
                <w:sz w:val="18"/>
                <w:szCs w:val="18"/>
              </w:rPr>
              <w:t> </w:t>
            </w:r>
            <w:r>
              <w:rPr>
                <w:rFonts w:ascii="Times New Roman" w:hAnsi="Times New Roman" w:cs="Times New Roman" w:eastAsia="Times New Roman" w:hint="default"/>
                <w:sz w:val="18"/>
                <w:szCs w:val="18"/>
              </w:rPr>
              <w:t>Asia Pacific</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Ltd.</w:t>
            </w:r>
            <w:r>
              <w:rPr>
                <w:rFonts w:ascii="宋体" w:hAnsi="宋体" w:cs="宋体" w:eastAsia="宋体" w:hint="default"/>
                <w:sz w:val="18"/>
                <w:szCs w:val="18"/>
              </w:rPr>
              <w:t>，译为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BBDO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亚太有限公司，系公司的股东之一</w:t>
            </w:r>
          </w:p>
        </w:tc>
      </w:tr>
      <w:tr>
        <w:trPr>
          <w:trHeight w:val="46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品推宝</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北京品推宝移动科技有限公司，系公司全资子公司</w:t>
            </w:r>
          </w:p>
        </w:tc>
      </w:tr>
      <w:tr>
        <w:trPr>
          <w:trHeight w:val="47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新兵连公司</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北京新兵连文化传媒有限公司，系公司全资子公司</w:t>
            </w:r>
          </w:p>
        </w:tc>
      </w:tr>
      <w:tr>
        <w:trPr>
          <w:trHeight w:val="47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秦皇岛公关公司</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秦皇岛宣亚公共关系顾问有限公司，系公司全资子公司</w:t>
            </w:r>
          </w:p>
        </w:tc>
      </w:tr>
      <w:tr>
        <w:trPr>
          <w:trHeight w:val="860"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宣亚美国</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24"/>
              <w:ind w:left="22" w:right="95"/>
              <w:jc w:val="left"/>
              <w:rPr>
                <w:rFonts w:ascii="宋体" w:hAnsi="宋体" w:cs="宋体" w:eastAsia="宋体" w:hint="default"/>
                <w:sz w:val="18"/>
                <w:szCs w:val="18"/>
              </w:rPr>
            </w:pPr>
            <w:r>
              <w:rPr>
                <w:rFonts w:ascii="Times New Roman" w:hAnsi="Times New Roman" w:cs="Times New Roman" w:eastAsia="Times New Roman" w:hint="default"/>
                <w:spacing w:val="-4"/>
                <w:w w:val="99"/>
                <w:sz w:val="18"/>
                <w:szCs w:val="18"/>
              </w:rPr>
              <w:t>SHUNYA</w:t>
            </w:r>
            <w:r>
              <w:rPr>
                <w:rFonts w:ascii="Times New Roman" w:hAnsi="Times New Roman" w:cs="Times New Roman" w:eastAsia="Times New Roman" w:hint="default"/>
                <w:spacing w:val="-3"/>
                <w:w w:val="99"/>
                <w:sz w:val="18"/>
                <w:szCs w:val="18"/>
              </w:rPr>
              <w:t> </w:t>
            </w:r>
            <w:r>
              <w:rPr>
                <w:rFonts w:ascii="Times New Roman" w:hAnsi="Times New Roman" w:cs="Times New Roman" w:eastAsia="Times New Roman" w:hint="default"/>
                <w:spacing w:val="-2"/>
                <w:w w:val="99"/>
                <w:sz w:val="18"/>
                <w:szCs w:val="18"/>
              </w:rPr>
              <w:t>INTERNATIONAL</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pacing w:val="-4"/>
                <w:sz w:val="18"/>
                <w:szCs w:val="18"/>
              </w:rPr>
              <w:t>INC.</w:t>
            </w:r>
            <w:r>
              <w:rPr>
                <w:rFonts w:ascii="宋体" w:hAnsi="宋体" w:cs="宋体" w:eastAsia="宋体" w:hint="default"/>
                <w:spacing w:val="-4"/>
                <w:sz w:val="18"/>
                <w:szCs w:val="18"/>
              </w:rPr>
              <w:t>（译为：宣亚国际有限公司），系公司于美国设</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立的全资子公司</w:t>
            </w:r>
          </w:p>
        </w:tc>
      </w:tr>
      <w:tr>
        <w:trPr>
          <w:trHeight w:val="46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广州宣亚</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广州宣亚品牌管理有限公司，系公司控股子公司</w:t>
            </w:r>
          </w:p>
        </w:tc>
      </w:tr>
      <w:tr>
        <w:trPr>
          <w:trHeight w:val="47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品牌咨询</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北京宣亚国际品牌咨询有限公司，系公司控股子公司</w:t>
            </w:r>
          </w:p>
        </w:tc>
      </w:tr>
      <w:tr>
        <w:trPr>
          <w:trHeight w:val="480"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宣亚湖南</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宣亚国际品牌管理（湖南）有限公司，系公司控股子公司</w:t>
            </w:r>
          </w:p>
        </w:tc>
      </w:tr>
      <w:tr>
        <w:trPr>
          <w:trHeight w:val="858"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宣亚数字</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23"/>
              <w:ind w:left="22" w:right="22"/>
              <w:jc w:val="left"/>
              <w:rPr>
                <w:rFonts w:ascii="宋体" w:hAnsi="宋体" w:cs="宋体" w:eastAsia="宋体" w:hint="default"/>
                <w:sz w:val="18"/>
                <w:szCs w:val="18"/>
              </w:rPr>
            </w:pPr>
            <w:r>
              <w:rPr>
                <w:rFonts w:ascii="宋体" w:hAnsi="宋体" w:cs="宋体" w:eastAsia="宋体" w:hint="default"/>
                <w:spacing w:val="-4"/>
                <w:sz w:val="18"/>
                <w:szCs w:val="18"/>
              </w:rPr>
              <w:t>北京宣亚国际数字技术有限公司（原名：北京英帕沃数字技术有限公司），系公司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控股子公司</w:t>
            </w:r>
          </w:p>
        </w:tc>
      </w:tr>
      <w:tr>
        <w:trPr>
          <w:trHeight w:val="462"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珠海宣亚</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珠海宣亚互动数字营销有限公司，系公司控股子公司</w:t>
            </w:r>
          </w:p>
        </w:tc>
      </w:tr>
      <w:tr>
        <w:trPr>
          <w:trHeight w:val="47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金色区块</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北京金色区块网络科技有限公司，系公司控股子公司</w:t>
            </w:r>
          </w:p>
        </w:tc>
      </w:tr>
      <w:tr>
        <w:trPr>
          <w:trHeight w:val="47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威维体育</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北京威维体育文化有限公司，系公司参股公司</w:t>
            </w:r>
          </w:p>
        </w:tc>
      </w:tr>
      <w:tr>
        <w:trPr>
          <w:trHeight w:val="47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链极科技</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链极智能科技</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有限公司，系公司参股公司</w:t>
            </w:r>
          </w:p>
        </w:tc>
      </w:tr>
      <w:tr>
        <w:trPr>
          <w:trHeight w:val="47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周同科技</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北京周同科技有限公司，系公司参股公司</w:t>
            </w:r>
          </w:p>
        </w:tc>
      </w:tr>
      <w:tr>
        <w:trPr>
          <w:trHeight w:val="46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爱点互动</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北京爱点互动科技有限公司，系公司参股公司</w:t>
            </w:r>
          </w:p>
        </w:tc>
      </w:tr>
      <w:tr>
        <w:trPr>
          <w:trHeight w:val="480"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宣亚国际广州分公司</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宣亚国际品牌管理（北京）股份有限公司广州分公司</w:t>
            </w:r>
          </w:p>
        </w:tc>
      </w:tr>
      <w:tr>
        <w:trPr>
          <w:trHeight w:val="47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深交所、证券交易所</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bl>
    <w:p>
      <w:pPr>
        <w:spacing w:after="0" w:line="240" w:lineRule="auto"/>
        <w:jc w:val="left"/>
        <w:rPr>
          <w:rFonts w:ascii="宋体" w:hAnsi="宋体" w:cs="宋体" w:eastAsia="宋体" w:hint="default"/>
          <w:sz w:val="18"/>
          <w:szCs w:val="18"/>
        </w:rPr>
        <w:sectPr>
          <w:pgSz w:w="11910" w:h="16840"/>
          <w:pgMar w:header="747" w:footer="979" w:top="1060" w:bottom="1160" w:left="98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4"/>
          <w:szCs w:val="14"/>
        </w:rPr>
      </w:pPr>
    </w:p>
    <w:p>
      <w:pPr>
        <w:pStyle w:val="BodyText"/>
        <w:spacing w:line="240" w:lineRule="auto" w:before="44"/>
        <w:ind w:left="0" w:right="1127"/>
        <w:jc w:val="right"/>
      </w:pPr>
      <w:r>
        <w:rPr/>
        <w:pict>
          <v:shape style="position:absolute;margin-left:59.34pt;margin-top:-95.78830pt;width:476.95pt;height:346.3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495"/>
                    <w:gridCol w:w="611"/>
                    <w:gridCol w:w="6418"/>
                  </w:tblGrid>
                  <w:tr>
                    <w:trPr>
                      <w:trHeight w:val="47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立信所、公司会计师</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7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中德证券、保荐机构、保荐人</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中德证券有限责任公司</w:t>
                        </w:r>
                      </w:p>
                    </w:tc>
                  </w:tr>
                  <w:tr>
                    <w:trPr>
                      <w:trHeight w:val="46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80"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宋体" w:hAnsi="宋体" w:cs="宋体" w:eastAsia="宋体" w:hint="default"/>
                            <w:sz w:val="18"/>
                            <w:szCs w:val="18"/>
                          </w:rPr>
                        </w:pPr>
                        <w:r>
                          <w:rPr>
                            <w:rFonts w:ascii="宋体" w:hAnsi="宋体" w:cs="宋体" w:eastAsia="宋体" w:hint="default"/>
                            <w:sz w:val="18"/>
                            <w:szCs w:val="18"/>
                          </w:rPr>
                          <w:t>人民币元</w:t>
                        </w:r>
                      </w:p>
                    </w:tc>
                  </w:tr>
                  <w:tr>
                    <w:trPr>
                      <w:trHeight w:val="1338"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传统营销</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85"/>
                          <w:jc w:val="both"/>
                          <w:rPr>
                            <w:rFonts w:ascii="宋体" w:hAnsi="宋体" w:cs="宋体" w:eastAsia="宋体" w:hint="default"/>
                            <w:sz w:val="18"/>
                            <w:szCs w:val="18"/>
                          </w:rPr>
                        </w:pPr>
                        <w:r>
                          <w:rPr>
                            <w:rFonts w:ascii="宋体" w:hAnsi="宋体" w:cs="宋体" w:eastAsia="宋体" w:hint="default"/>
                            <w:spacing w:val="-1"/>
                            <w:sz w:val="18"/>
                            <w:szCs w:val="18"/>
                          </w:rPr>
                          <w:t>传统传播渠道营销服务，是指利用传统的营销技术及手段（包括通过电视、报纸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杂志等媒介形式进行公关、广告及体验营销等）为品牌主提供的整合营销传播服 务，传统营销的具体服务内容包括策略制定、传统广告、传统公关、体验营销、 危机管理、效果监测及投放优化等一体化的链式服务。</w:t>
                        </w:r>
                      </w:p>
                    </w:tc>
                  </w:tr>
                  <w:tr>
                    <w:trPr>
                      <w:trHeight w:val="1600"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数字营销</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3"/>
                            <w:szCs w:val="13"/>
                          </w:rPr>
                        </w:pPr>
                      </w:p>
                      <w:p>
                        <w:pPr>
                          <w:pStyle w:val="TableParagraph"/>
                          <w:spacing w:line="316" w:lineRule="auto"/>
                          <w:ind w:left="22" w:right="85"/>
                          <w:jc w:val="both"/>
                          <w:rPr>
                            <w:rFonts w:ascii="宋体" w:hAnsi="宋体" w:cs="宋体" w:eastAsia="宋体" w:hint="default"/>
                            <w:sz w:val="18"/>
                            <w:szCs w:val="18"/>
                          </w:rPr>
                        </w:pPr>
                        <w:r>
                          <w:rPr>
                            <w:rFonts w:ascii="宋体" w:hAnsi="宋体" w:cs="宋体" w:eastAsia="宋体" w:hint="default"/>
                            <w:sz w:val="18"/>
                            <w:szCs w:val="18"/>
                          </w:rPr>
                          <w:t>数字传播渠道营销服务，是指公司为品牌主提供的以数字营销技术及手段（主要 </w:t>
                        </w:r>
                        <w:r>
                          <w:rPr>
                            <w:rFonts w:ascii="宋体" w:hAnsi="宋体" w:cs="宋体" w:eastAsia="宋体" w:hint="default"/>
                            <w:spacing w:val="-1"/>
                            <w:sz w:val="18"/>
                            <w:szCs w:val="18"/>
                          </w:rPr>
                          <w:t>包括通过互联网、移动互联网等数字媒介形式进行的公关、广告及社会化营销等</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为主导的整合营销传播服务，公司数字营销的具体服务内容包括策略制定、数字 广告、数字公关、效果监测、投放优化以及配套的体验营销等。</w:t>
                        </w:r>
                      </w:p>
                    </w:tc>
                  </w:tr>
                  <w:tr>
                    <w:trPr>
                      <w:trHeight w:val="859"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体验营销</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24"/>
                          <w:ind w:left="22" w:right="85"/>
                          <w:jc w:val="left"/>
                          <w:rPr>
                            <w:rFonts w:ascii="宋体" w:hAnsi="宋体" w:cs="宋体" w:eastAsia="宋体" w:hint="default"/>
                            <w:sz w:val="18"/>
                            <w:szCs w:val="18"/>
                          </w:rPr>
                        </w:pPr>
                        <w:r>
                          <w:rPr>
                            <w:rFonts w:ascii="宋体" w:hAnsi="宋体" w:cs="宋体" w:eastAsia="宋体" w:hint="default"/>
                            <w:sz w:val="18"/>
                            <w:szCs w:val="18"/>
                          </w:rPr>
                          <w:t>通过新闻发布会、产品上市发布会、巡展、大型公众活动、学术交流论坛等多样 </w:t>
                        </w:r>
                        <w:r>
                          <w:rPr>
                            <w:rFonts w:ascii="宋体" w:hAnsi="宋体" w:cs="宋体" w:eastAsia="宋体" w:hint="default"/>
                            <w:spacing w:val="-1"/>
                            <w:sz w:val="18"/>
                            <w:szCs w:val="18"/>
                          </w:rPr>
                          <w:t>化的线下活动形式，为客户提供企业形象及品牌宣传、促销及客户关系管理服务</w:t>
                        </w:r>
                      </w:p>
                    </w:tc>
                  </w:tr>
                  <w:tr>
                    <w:trPr>
                      <w:trHeight w:val="1220"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营销技术</w:t>
                        </w:r>
                      </w:p>
                    </w:tc>
                    <w:tc>
                      <w:tcPr>
                        <w:tcW w:w="6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641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48"/>
                          <w:ind w:left="22" w:right="85"/>
                          <w:jc w:val="both"/>
                          <w:rPr>
                            <w:rFonts w:ascii="宋体" w:hAnsi="宋体" w:cs="宋体" w:eastAsia="宋体" w:hint="default"/>
                            <w:sz w:val="18"/>
                            <w:szCs w:val="18"/>
                          </w:rPr>
                        </w:pPr>
                        <w:r>
                          <w:rPr>
                            <w:rFonts w:ascii="宋体" w:hAnsi="宋体" w:cs="宋体" w:eastAsia="宋体" w:hint="default"/>
                            <w:sz w:val="18"/>
                            <w:szCs w:val="18"/>
                          </w:rPr>
                          <w:t>营销技术指利用技术实现营销目标的举措和工具，并对营销领域的规划、执行和 分析，进行组织和优化。营销技术的具体应用包括网络分析、客户关系管理、竞 争情报、数字资产管理、内容管理等。</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4"/>
          <w:szCs w:val="14"/>
        </w:rPr>
      </w:pPr>
    </w:p>
    <w:p>
      <w:pPr>
        <w:pStyle w:val="BodyText"/>
        <w:spacing w:line="240" w:lineRule="auto" w:before="44"/>
        <w:ind w:left="0" w:right="112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44"/>
        <w:ind w:left="0" w:right="1129"/>
        <w:jc w:val="right"/>
      </w:pPr>
      <w:r>
        <w:rPr/>
        <w:t>。</w:t>
      </w:r>
    </w:p>
    <w:p>
      <w:pPr>
        <w:spacing w:after="0" w:line="240" w:lineRule="auto"/>
        <w:jc w:val="righ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644" w:right="0"/>
        <w:jc w:val="left"/>
        <w:rPr>
          <w:b w:val="0"/>
          <w:bCs w:val="0"/>
        </w:rPr>
      </w:pPr>
      <w:bookmarkStart w:name="第二节 公司简介和主要财务指标" w:id="3"/>
      <w:bookmarkEnd w:id="3"/>
      <w:r>
        <w:rPr>
          <w:b w:val="0"/>
          <w:bCs w:val="0"/>
        </w:rPr>
      </w:r>
      <w:bookmarkStart w:name="_bookmark1" w:id="4"/>
      <w:bookmarkEnd w:id="4"/>
      <w:r>
        <w:rPr>
          <w:b w:val="0"/>
          <w:bCs w:val="0"/>
        </w:rPr>
      </w:r>
      <w:r>
        <w:rPr/>
        <w:t>第二节</w:t>
      </w:r>
      <w:r>
        <w:rPr>
          <w:spacing w:val="-11"/>
        </w:rPr>
        <w:t> </w:t>
      </w:r>
      <w:r>
        <w:rPr/>
        <w:t>公司简介和主要财务指标</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r>
        <w:rPr/>
        <w:pict>
          <v:group style="position:absolute;margin-left:172.339996pt;margin-top:114.735596pt;width:361.5pt;height:19.6pt;mso-position-horizontal-relative:page;mso-position-vertical-relative:paragraph;z-index:-971560" coordorigin="3447,2295" coordsize="7230,392">
            <v:shape style="position:absolute;left:3447;top:2295;width:7230;height:392" coordorigin="3447,2295" coordsize="7230,392" path="m3447,2686l10676,2686,10676,2295,3447,2295,3447,2686xe" filled="true" fillcolor="#ffffff" stroked="false">
              <v:path arrowok="t"/>
              <v:fill type="solid"/>
            </v:shape>
            <w10:wrap type="none"/>
          </v:group>
        </w:pict>
      </w:r>
      <w:bookmarkStart w:name="一、公司信息" w:id="5"/>
      <w:bookmarkEnd w:id="5"/>
      <w:r>
        <w:rPr>
          <w:b w:val="0"/>
          <w:bCs w:val="0"/>
        </w:rPr>
      </w: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73"/>
        <w:gridCol w:w="2965"/>
        <w:gridCol w:w="2145"/>
        <w:gridCol w:w="2188"/>
      </w:tblGrid>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6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宣亚国际</w:t>
            </w:r>
          </w:p>
        </w:tc>
        <w:tc>
          <w:tcPr>
            <w:tcW w:w="2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left="27" w:right="0"/>
              <w:jc w:val="left"/>
              <w:rPr>
                <w:rFonts w:ascii="Times New Roman" w:hAnsi="Times New Roman" w:cs="Times New Roman" w:eastAsia="Times New Roman" w:hint="default"/>
                <w:sz w:val="18"/>
                <w:szCs w:val="18"/>
              </w:rPr>
            </w:pPr>
            <w:r>
              <w:rPr>
                <w:rFonts w:ascii="Times New Roman"/>
                <w:sz w:val="18"/>
              </w:rPr>
              <w:t>300612</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宣亚国际品牌管理（北京）股份有限公司</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宣亚国际</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Shunya International Brand Consulting (Beijing) Co.,</w:t>
            </w:r>
            <w:r>
              <w:rPr>
                <w:rFonts w:ascii="Times New Roman"/>
                <w:spacing w:val="-14"/>
                <w:sz w:val="18"/>
              </w:rPr>
              <w:t> </w:t>
            </w:r>
            <w:r>
              <w:rPr>
                <w:rFonts w:ascii="Times New Roman"/>
                <w:sz w:val="18"/>
              </w:rPr>
              <w:t>Ltd.</w:t>
            </w:r>
          </w:p>
        </w:tc>
      </w:tr>
      <w:tr>
        <w:trPr>
          <w:trHeight w:val="402" w:hRule="exact"/>
        </w:trPr>
        <w:tc>
          <w:tcPr>
            <w:tcW w:w="2273"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2"/>
              <w:ind w:left="22" w:right="-58"/>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97" w:type="dxa"/>
            <w:gridSpan w:val="3"/>
            <w:tcBorders>
              <w:top w:val="single" w:sz="4" w:space="0" w:color="000000"/>
              <w:left w:val="single" w:sz="23" w:space="0" w:color="FFFFFF"/>
              <w:bottom w:val="single" w:sz="4" w:space="0" w:color="000000"/>
              <w:right w:val="single" w:sz="4" w:space="0" w:color="000000"/>
            </w:tcBorders>
          </w:tcPr>
          <w:p>
            <w:pPr>
              <w:pStyle w:val="TableParagraph"/>
              <w:spacing w:line="240" w:lineRule="auto" w:before="92"/>
              <w:ind w:left="12" w:right="0"/>
              <w:jc w:val="left"/>
              <w:rPr>
                <w:rFonts w:ascii="Times New Roman" w:hAnsi="Times New Roman" w:cs="Times New Roman" w:eastAsia="Times New Roman" w:hint="default"/>
                <w:sz w:val="18"/>
                <w:szCs w:val="18"/>
              </w:rPr>
            </w:pPr>
            <w:r>
              <w:rPr>
                <w:rFonts w:ascii="Times New Roman"/>
                <w:sz w:val="18"/>
              </w:rPr>
              <w:t>Shunya</w:t>
            </w:r>
            <w:r>
              <w:rPr>
                <w:rFonts w:ascii="Times New Roman"/>
                <w:spacing w:val="-5"/>
                <w:sz w:val="18"/>
              </w:rPr>
              <w:t> </w:t>
            </w:r>
            <w:r>
              <w:rPr>
                <w:rFonts w:ascii="Times New Roman"/>
                <w:sz w:val="18"/>
              </w:rPr>
              <w:t>International</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宋体" w:hAnsi="宋体" w:cs="宋体" w:eastAsia="宋体" w:hint="default"/>
                <w:sz w:val="18"/>
                <w:szCs w:val="18"/>
              </w:rPr>
            </w:pPr>
            <w:r>
              <w:rPr>
                <w:rFonts w:ascii="宋体" w:hAnsi="宋体" w:cs="宋体" w:eastAsia="宋体" w:hint="default"/>
                <w:sz w:val="18"/>
                <w:szCs w:val="18"/>
              </w:rPr>
              <w:t>张秀兵</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北京市朝阳区八里庄东里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CN02-B</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100025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52"/>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北京市朝阳区八里庄东里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CN02-B</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r>
              <w:rPr>
                <w:rFonts w:ascii="Times New Roman"/>
                <w:sz w:val="18"/>
              </w:rPr>
              <w:t>100025</w:t>
            </w:r>
          </w:p>
        </w:tc>
      </w:tr>
      <w:tr>
        <w:trPr>
          <w:trHeight w:val="402"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9">
              <w:r>
                <w:rPr>
                  <w:rFonts w:ascii="Times New Roman"/>
                  <w:sz w:val="18"/>
                </w:rPr>
                <w:t>http://www.shunyagroup.com</w:t>
              </w:r>
            </w:hyperlink>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7"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left="28" w:right="0"/>
              <w:jc w:val="left"/>
              <w:rPr>
                <w:rFonts w:ascii="Times New Roman" w:hAnsi="Times New Roman" w:cs="Times New Roman" w:eastAsia="Times New Roman" w:hint="default"/>
                <w:sz w:val="18"/>
                <w:szCs w:val="18"/>
              </w:rPr>
            </w:pPr>
            <w:hyperlink r:id="rId10">
              <w:r>
                <w:rPr>
                  <w:rFonts w:ascii="Times New Roman"/>
                  <w:sz w:val="18"/>
                </w:rPr>
                <w:t>stock@shunyagroup.com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二、联系人和联系方式" w:id="6"/>
      <w:bookmarkEnd w:id="6"/>
      <w:r>
        <w:rPr>
          <w:b w:val="0"/>
          <w:bCs w:val="0"/>
        </w:rPr>
      </w: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宾卫</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汪晓文</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北京市朝阳区八里庄东里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CN02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北京市朝阳区八里庄东里</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CN02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010-85079688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010-85079688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010-85079555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010-85079555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stock@shunyagroup.com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0">
              <w:r>
                <w:rPr>
                  <w:rFonts w:ascii="Times New Roman"/>
                  <w:sz w:val="18"/>
                </w:rPr>
                <w:t>stock@shunyagroup.com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三、信息披露及备置地点" w:id="7"/>
      <w:bookmarkEnd w:id="7"/>
      <w:r>
        <w:rPr>
          <w:b w:val="0"/>
          <w:bCs w:val="0"/>
        </w:rPr>
      </w: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《中国证券报</w:t>
            </w:r>
            <w:r>
              <w:rPr>
                <w:rFonts w:ascii="宋体" w:hAnsi="宋体" w:cs="宋体" w:eastAsia="宋体" w:hint="default"/>
                <w:spacing w:val="-90"/>
                <w:sz w:val="18"/>
                <w:szCs w:val="18"/>
              </w:rPr>
              <w:t>》</w:t>
            </w:r>
            <w:r>
              <w:rPr>
                <w:rFonts w:ascii="宋体" w:hAnsi="宋体" w:cs="宋体" w:eastAsia="宋体" w:hint="default"/>
                <w:sz w:val="18"/>
                <w:szCs w:val="18"/>
              </w:rPr>
              <w:t>《上海证券报》</w:t>
            </w:r>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hyperlink r:id="rId11">
              <w:r>
                <w:rPr>
                  <w:rFonts w:ascii="Times New Roman"/>
                  <w:sz w:val="18"/>
                </w:rPr>
                <w:t>http://www.cninfo.com.cn</w:t>
              </w:r>
            </w:hyperlink>
          </w:p>
        </w:tc>
      </w:tr>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line="240" w:lineRule="auto" w:before="2"/>
        <w:rPr>
          <w:rFonts w:ascii="宋体" w:hAnsi="宋体" w:cs="宋体" w:eastAsia="宋体" w:hint="default"/>
          <w:b/>
          <w:bCs/>
          <w:sz w:val="18"/>
          <w:szCs w:val="18"/>
        </w:rPr>
      </w:pPr>
    </w:p>
    <w:p>
      <w:pPr>
        <w:pStyle w:val="Heading2"/>
        <w:spacing w:line="240" w:lineRule="auto" w:before="26"/>
        <w:ind w:right="0"/>
        <w:jc w:val="left"/>
        <w:rPr>
          <w:b w:val="0"/>
          <w:bCs w:val="0"/>
        </w:rPr>
      </w:pPr>
      <w:bookmarkStart w:name="四、其他有关资料" w:id="8"/>
      <w:bookmarkEnd w:id="8"/>
      <w:r>
        <w:rPr>
          <w:b w:val="0"/>
          <w:bCs w:val="0"/>
        </w:rPr>
      </w:r>
      <w:r>
        <w:rPr/>
        <w:t>四、其他有关资料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after="0" w:line="240" w:lineRule="auto"/>
        <w:jc w:val="left"/>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北京市朝阳区安定路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号楼中海国际中心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许培梅、顾欣</w:t>
            </w:r>
          </w:p>
        </w:tc>
      </w:tr>
    </w:tbl>
    <w:p>
      <w:pPr>
        <w:pStyle w:val="BodyText"/>
        <w:spacing w:line="240" w:lineRule="auto" w:before="51"/>
        <w:ind w:right="0"/>
        <w:jc w:val="left"/>
      </w:pPr>
      <w:r>
        <w:rPr/>
        <w:t>公司聘请的报告期内履行持续督导职责的保荐机构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60" w:right="0"/>
              <w:jc w:val="left"/>
              <w:rPr>
                <w:rFonts w:ascii="宋体" w:hAnsi="宋体" w:cs="宋体" w:eastAsia="宋体" w:hint="default"/>
                <w:sz w:val="18"/>
                <w:szCs w:val="18"/>
              </w:rPr>
            </w:pPr>
            <w:r>
              <w:rPr>
                <w:rFonts w:ascii="宋体" w:hAnsi="宋体" w:cs="宋体" w:eastAsia="宋体" w:hint="default"/>
                <w:sz w:val="18"/>
                <w:szCs w:val="18"/>
              </w:rPr>
              <w:t>保荐代表人姓名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中德证券有限责任公司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北京市朝阳区建国路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号华</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贸中心</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号写字楼</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层</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王僚俊、崔胜朝</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r>
    </w:tbl>
    <w:p>
      <w:pPr>
        <w:pStyle w:val="BodyText"/>
        <w:spacing w:line="240" w:lineRule="auto" w:before="51"/>
        <w:ind w:right="0"/>
        <w:jc w:val="left"/>
      </w:pPr>
      <w:r>
        <w:rPr/>
        <w:t>公司聘请的报告期内履行持续督导职责的财务顾问</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bookmarkStart w:name="五、主要会计数据和财务指标" w:id="9"/>
      <w:bookmarkEnd w:id="9"/>
      <w:r>
        <w:rPr>
          <w:b w:val="0"/>
          <w:bCs w:val="0"/>
        </w:rPr>
      </w:r>
      <w:r>
        <w:rPr/>
        <w:t>五、主要会计数据和财务指标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公司是否需追溯调整或重述以前年度会计数据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6"/>
        <w:gridCol w:w="1738"/>
        <w:gridCol w:w="1735"/>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7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本年比上年增减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369,281,216.23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504,510,269.50</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-26.80%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467,441,970.49</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21,062,083.21</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74,956,482.53</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-71.90%</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58,710,099.47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17,002,888.86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74,845,443.29</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-77.28%</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58,413,682.00</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114,288,360.35</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-29,761,510.62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484.01%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50,977,709.70</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-72.92%</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4.66%</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18.07%</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-13.41%</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35.97%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
              <w:jc w:val="right"/>
              <w:rPr>
                <w:rFonts w:ascii="宋体" w:hAnsi="宋体" w:cs="宋体" w:eastAsia="宋体" w:hint="default"/>
                <w:sz w:val="18"/>
                <w:szCs w:val="18"/>
              </w:rPr>
            </w:pPr>
            <w:r>
              <w:rPr>
                <w:rFonts w:ascii="宋体" w:hAnsi="宋体" w:cs="宋体" w:eastAsia="宋体" w:hint="default"/>
                <w:sz w:val="18"/>
                <w:szCs w:val="18"/>
              </w:rPr>
              <w:t>本年末比上年末增减</w:t>
            </w:r>
          </w:p>
        </w:tc>
        <w:tc>
          <w:tcPr>
            <w:tcW w:w="1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500,505,791.28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618,622,613.22</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-19.09%</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317,510,416.67</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75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409,334,900.78</w:t>
            </w:r>
          </w:p>
        </w:tc>
        <w:tc>
          <w:tcPr>
            <w:tcW w:w="1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478,900,637.25</w:t>
            </w:r>
          </w:p>
        </w:tc>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-14.53%</w:t>
            </w:r>
          </w:p>
        </w:tc>
        <w:tc>
          <w:tcPr>
            <w:tcW w:w="1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189,293,546.39</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六、分季度主要财务指标" w:id="10"/>
      <w:bookmarkEnd w:id="10"/>
      <w:r>
        <w:rPr>
          <w:b w:val="0"/>
          <w:bCs w:val="0"/>
        </w:rPr>
      </w:r>
      <w:r>
        <w:rPr/>
        <w:t>六、分季度主要财务指标</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88,973,378.55</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86,655,545.88</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94,104,103.99</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99,548,187.81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3,254,497.28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-652,766.31</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4,916,207.66</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13,544,144.58</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598"/>
        <w:gridCol w:w="1752"/>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4"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-124,604.42</w:t>
            </w:r>
            <w:r>
              <w:rPr>
                <w:rFonts w:ascii="Times New Roman"/>
                <w:sz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-867,420.30</w:t>
            </w:r>
            <w:r>
              <w:rPr>
                <w:rFonts w:ascii="Times New Roman"/>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4,913,958.21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13,080,955.37</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53,069,680.49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23,539,059.80</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20,531,381.93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17,148,238.13</w:t>
            </w:r>
          </w:p>
        </w:tc>
      </w:tr>
    </w:tbl>
    <w:p>
      <w:pPr>
        <w:pStyle w:val="BodyText"/>
        <w:spacing w:line="240" w:lineRule="auto" w:before="51"/>
        <w:ind w:right="0"/>
        <w:jc w:val="left"/>
      </w:pPr>
      <w:r>
        <w:rPr/>
        <w:t>上述财务指标或其加总数是否与公司已披露季度报告、半年度报告相关财务指标存在重大差异</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七、境内外会计准则下会计数据差异" w:id="11"/>
      <w:bookmarkEnd w:id="11"/>
      <w:r>
        <w:rPr>
          <w:b w:val="0"/>
          <w:bCs w:val="0"/>
        </w:rPr>
      </w:r>
      <w:r>
        <w:rPr/>
        <w:t>七、境内外会计准则下会计数据差异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照中国会计准则披露的财务报告中净利润和净资产差异情况" w:id="12"/>
      <w:bookmarkEnd w:id="12"/>
      <w:r>
        <w:rPr>
          <w:b w:val="0"/>
          <w:bCs w:val="0"/>
        </w:rPr>
      </w:r>
      <w:r>
        <w:rPr>
          <w:rFonts w:ascii="Times New Roman" w:hAnsi="Times New Roman" w:cs="Times New Roman" w:eastAsia="Times New Roman" w:hint="default"/>
        </w:rPr>
        <w:t>1</w:t>
      </w:r>
      <w:r>
        <w:rPr/>
        <w:t>、同时按照国际会计准则与按照中国会计准则披露的财务报告中净利润和净资产差异情况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1393"/>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公司报告期不存在按照国际会计准则与按照中国会计准则披露的财务报告中净利润和净资产差异情况。</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同时按照境外会计准则与按照中国会计准则披露的财务报告中净利润和净资产差异情况" w:id="13"/>
      <w:bookmarkEnd w:id="13"/>
      <w:r>
        <w:rPr>
          <w:b w:val="0"/>
          <w:bCs w:val="0"/>
        </w:rPr>
      </w:r>
      <w:r>
        <w:rPr>
          <w:rFonts w:ascii="Times New Roman" w:hAnsi="Times New Roman" w:cs="Times New Roman" w:eastAsia="Times New Roman" w:hint="default"/>
        </w:rPr>
        <w:t>2</w:t>
      </w:r>
      <w:r>
        <w:rPr/>
        <w:t>、同时按照境外会计准则与按照中国会计准则披露的财务报告中净利润和净资产差异情况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26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非经常性损益项目及金额" w:id="14"/>
      <w:bookmarkEnd w:id="14"/>
      <w:r>
        <w:rPr>
          <w:b w:val="0"/>
          <w:bCs w:val="0"/>
        </w:rPr>
      </w:r>
      <w:r>
        <w:rPr/>
        <w:t>八、非经常性损益项目及金额</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4"/>
        <w:gridCol w:w="1134"/>
        <w:gridCol w:w="1134"/>
        <w:gridCol w:w="1277"/>
        <w:gridCol w:w="4038"/>
      </w:tblGrid>
      <w:tr>
        <w:trPr>
          <w:trHeight w:val="402"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4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026" w:hRule="exact"/>
        </w:trPr>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1"/>
              <w:jc w:val="left"/>
              <w:rPr>
                <w:rFonts w:ascii="宋体" w:hAnsi="宋体" w:cs="宋体" w:eastAsia="宋体" w:hint="default"/>
                <w:sz w:val="18"/>
                <w:szCs w:val="18"/>
              </w:rPr>
            </w:pPr>
            <w:r>
              <w:rPr>
                <w:rFonts w:ascii="宋体" w:hAnsi="宋体" w:cs="宋体" w:eastAsia="宋体" w:hint="default"/>
                <w:spacing w:val="-5"/>
                <w:sz w:val="18"/>
                <w:szCs w:val="18"/>
              </w:rPr>
              <w:t>非流动资产处置损益（包</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括已计提资产减值准备 的冲销部分）</w:t>
            </w:r>
          </w:p>
        </w:tc>
        <w:tc>
          <w:tcPr>
            <w:tcW w:w="11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78,260.19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-36,887.79</w:t>
            </w:r>
            <w:r>
              <w:rPr>
                <w:rFonts w:ascii="Times New Roman"/>
                <w:sz w:val="18"/>
              </w:rPr>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73" w:right="0"/>
              <w:jc w:val="left"/>
              <w:rPr>
                <w:rFonts w:ascii="Times New Roman" w:hAnsi="Times New Roman" w:cs="Times New Roman" w:eastAsia="Times New Roman" w:hint="default"/>
                <w:sz w:val="18"/>
                <w:szCs w:val="18"/>
              </w:rPr>
            </w:pPr>
            <w:r>
              <w:rPr>
                <w:rFonts w:ascii="Times New Roman"/>
                <w:sz w:val="18"/>
              </w:rPr>
              <w:t>-855,188.92</w:t>
            </w:r>
          </w:p>
        </w:tc>
        <w:tc>
          <w:tcPr>
            <w:tcW w:w="4038" w:type="dxa"/>
            <w:tcBorders>
              <w:top w:val="single" w:sz="4" w:space="0" w:color="000000"/>
              <w:left w:val="single" w:sz="4" w:space="0" w:color="000000"/>
              <w:bottom w:val="single" w:sz="4" w:space="0" w:color="000000"/>
              <w:right w:val="single" w:sz="4" w:space="0" w:color="000000"/>
            </w:tcBorders>
          </w:tcPr>
          <w:p>
            <w:pPr/>
          </w:p>
        </w:tc>
      </w:tr>
      <w:tr>
        <w:trPr>
          <w:trHeight w:val="1604" w:hRule="exact"/>
        </w:trPr>
        <w:tc>
          <w:tcPr>
            <w:tcW w:w="19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149" w:right="0"/>
              <w:jc w:val="left"/>
              <w:rPr>
                <w:rFonts w:ascii="Times New Roman" w:hAnsi="Times New Roman" w:cs="Times New Roman" w:eastAsia="Times New Roman" w:hint="default"/>
                <w:sz w:val="18"/>
                <w:szCs w:val="18"/>
              </w:rPr>
            </w:pPr>
            <w:r>
              <w:rPr>
                <w:rFonts w:ascii="Times New Roman"/>
                <w:sz w:val="18"/>
              </w:rPr>
              <w:t>5,408,383.44</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186,588.79</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1,251,747.13</w:t>
            </w:r>
          </w:p>
        </w:tc>
        <w:tc>
          <w:tcPr>
            <w:tcW w:w="403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45"/>
              <w:jc w:val="left"/>
              <w:rPr>
                <w:rFonts w:ascii="宋体" w:hAnsi="宋体" w:cs="宋体" w:eastAsia="宋体" w:hint="default"/>
                <w:sz w:val="18"/>
                <w:szCs w:val="18"/>
              </w:rPr>
            </w:pPr>
            <w:r>
              <w:rPr>
                <w:rFonts w:ascii="宋体" w:hAnsi="宋体" w:cs="宋体" w:eastAsia="宋体" w:hint="default"/>
                <w:sz w:val="18"/>
                <w:szCs w:val="18"/>
              </w:rPr>
              <w:t>推动企业上市资金：根据《北京市人民政府办公厅 </w:t>
            </w:r>
            <w:r>
              <w:rPr>
                <w:rFonts w:ascii="宋体" w:hAnsi="宋体" w:cs="宋体" w:eastAsia="宋体" w:hint="default"/>
                <w:spacing w:val="-5"/>
                <w:sz w:val="18"/>
                <w:szCs w:val="18"/>
              </w:rPr>
              <w:t>关于进一步推动企业上市工作的意见》（京政办发</w:t>
            </w:r>
          </w:p>
          <w:p>
            <w:pPr>
              <w:pStyle w:val="TableParagraph"/>
              <w:spacing w:line="302" w:lineRule="auto" w:before="19"/>
              <w:ind w:left="22" w:right="4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2010</w:t>
            </w:r>
            <w:r>
              <w:rPr>
                <w:rFonts w:ascii="宋体" w:hAnsi="宋体" w:cs="宋体" w:eastAsia="宋体" w:hint="default"/>
                <w:sz w:val="18"/>
                <w:szCs w:val="18"/>
              </w:rPr>
              <w:t>〕</w:t>
            </w:r>
            <w:r>
              <w:rPr>
                <w:rFonts w:ascii="Times New Roman" w:hAnsi="Times New Roman" w:cs="Times New Roman" w:eastAsia="Times New Roman" w:hint="default"/>
                <w:sz w:val="18"/>
                <w:szCs w:val="18"/>
              </w:rPr>
              <w:t>35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号给予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万元奖励，于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 收到该款项；</w:t>
            </w:r>
          </w:p>
          <w:p>
            <w:pPr>
              <w:pStyle w:val="TableParagraph"/>
              <w:spacing w:line="312" w:lineRule="auto" w:before="69"/>
              <w:ind w:left="22" w:right="20"/>
              <w:jc w:val="left"/>
              <w:rPr>
                <w:rFonts w:ascii="宋体" w:hAnsi="宋体" w:cs="宋体" w:eastAsia="宋体" w:hint="default"/>
                <w:sz w:val="18"/>
                <w:szCs w:val="18"/>
              </w:rPr>
            </w:pPr>
            <w:r>
              <w:rPr>
                <w:rFonts w:ascii="宋体" w:hAnsi="宋体" w:cs="宋体" w:eastAsia="宋体" w:hint="default"/>
                <w:sz w:val="18"/>
                <w:szCs w:val="18"/>
              </w:rPr>
              <w:t>公共服务平台类支持：根据《朝阳区促进国家文化 产业创新实验区建设发展引导资金管理办法（试 </w:t>
            </w:r>
            <w:r>
              <w:rPr>
                <w:rFonts w:ascii="宋体" w:hAnsi="宋体" w:cs="宋体" w:eastAsia="宋体" w:hint="default"/>
                <w:spacing w:val="-18"/>
                <w:sz w:val="18"/>
                <w:szCs w:val="18"/>
              </w:rPr>
              <w:t>行）》给予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万元支持，于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月收到该款 项；</w:t>
            </w:r>
          </w:p>
          <w:p>
            <w:pPr>
              <w:pStyle w:val="TableParagraph"/>
              <w:spacing w:line="309" w:lineRule="auto" w:before="61"/>
              <w:ind w:left="22" w:right="20"/>
              <w:jc w:val="both"/>
              <w:rPr>
                <w:rFonts w:ascii="Times New Roman" w:hAnsi="Times New Roman" w:cs="Times New Roman" w:eastAsia="Times New Roman" w:hint="default"/>
                <w:sz w:val="18"/>
                <w:szCs w:val="18"/>
              </w:rPr>
            </w:pPr>
            <w:r>
              <w:rPr>
                <w:rFonts w:ascii="宋体" w:hAnsi="宋体" w:cs="宋体" w:eastAsia="宋体" w:hint="default"/>
                <w:spacing w:val="-6"/>
                <w:sz w:val="18"/>
                <w:szCs w:val="18"/>
              </w:rPr>
              <w:t>货款贴息：根据《北京市实施文化创意产业</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投贷奖</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pacing w:val="-8"/>
                <w:sz w:val="18"/>
                <w:szCs w:val="18"/>
              </w:rPr>
              <w:t>联动推动文化金融融合发展管理办法（试行）》（京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文领办文</w:t>
            </w:r>
            <w:r>
              <w:rPr>
                <w:rFonts w:ascii="Times New Roman" w:hAnsi="Times New Roman" w:cs="Times New Roman" w:eastAsia="Times New Roman" w:hint="default"/>
                <w:sz w:val="18"/>
                <w:szCs w:val="18"/>
              </w:rPr>
              <w:t>[2017]3 </w:t>
            </w:r>
            <w:r>
              <w:rPr>
                <w:rFonts w:ascii="宋体" w:hAnsi="宋体" w:cs="宋体" w:eastAsia="宋体" w:hint="default"/>
                <w:spacing w:val="-7"/>
                <w:sz w:val="18"/>
                <w:szCs w:val="18"/>
              </w:rPr>
              <w:t>号）给予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21.17 </w:t>
            </w:r>
            <w:r>
              <w:rPr>
                <w:rFonts w:ascii="宋体" w:hAnsi="宋体" w:cs="宋体" w:eastAsia="宋体" w:hint="default"/>
                <w:spacing w:val="-5"/>
                <w:sz w:val="18"/>
                <w:szCs w:val="18"/>
              </w:rPr>
              <w:t>万元支持，于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324" w:lineRule="auto" w:before="6"/>
              <w:ind w:left="22" w:right="21"/>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月收到该款项； 信用体系类支持：根据《朝阳区促进国家文化产业 </w:t>
            </w:r>
            <w:r>
              <w:rPr>
                <w:rFonts w:ascii="宋体" w:hAnsi="宋体" w:cs="宋体" w:eastAsia="宋体" w:hint="default"/>
                <w:spacing w:val="-7"/>
                <w:sz w:val="18"/>
                <w:szCs w:val="18"/>
              </w:rPr>
              <w:t>创新实验区建设发展引导资金管理办法（试行）》给</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18.34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万元支持，于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月收到该款项；</w:t>
            </w:r>
          </w:p>
        </w:tc>
      </w:tr>
      <w:tr>
        <w:trPr>
          <w:trHeight w:val="1640" w:hRule="exact"/>
        </w:trPr>
        <w:tc>
          <w:tcPr>
            <w:tcW w:w="19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z w:val="18"/>
                <w:szCs w:val="18"/>
              </w:rPr>
              <w:t>计入当期损益的政府补 助（与企业业务密切相 </w:t>
            </w:r>
            <w:r>
              <w:rPr>
                <w:rFonts w:ascii="宋体" w:hAnsi="宋体" w:cs="宋体" w:eastAsia="宋体" w:hint="default"/>
                <w:spacing w:val="-5"/>
                <w:sz w:val="18"/>
                <w:szCs w:val="18"/>
              </w:rPr>
              <w:t>关，按照国家统一标准定</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额或定量享受的政府补 助除外）</w:t>
            </w:r>
          </w:p>
        </w:tc>
        <w:tc>
          <w:tcPr>
            <w:tcW w:w="1134" w:type="dxa"/>
            <w:vMerge/>
            <w:tcBorders>
              <w:left w:val="single" w:sz="9" w:space="0" w:color="D2D2D2"/>
              <w:right w:val="single" w:sz="4" w:space="0" w:color="000000"/>
            </w:tcBorders>
          </w:tcPr>
          <w:p>
            <w:pPr/>
          </w:p>
        </w:tc>
        <w:tc>
          <w:tcPr>
            <w:tcW w:w="1134"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4038" w:type="dxa"/>
            <w:vMerge/>
            <w:tcBorders>
              <w:left w:val="single" w:sz="4" w:space="0" w:color="000000"/>
              <w:right w:val="single" w:sz="4" w:space="0" w:color="000000"/>
            </w:tcBorders>
          </w:tcPr>
          <w:p>
            <w:pPr/>
          </w:p>
        </w:tc>
      </w:tr>
      <w:tr>
        <w:trPr>
          <w:trHeight w:val="1606" w:hRule="exact"/>
        </w:trPr>
        <w:tc>
          <w:tcPr>
            <w:tcW w:w="19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9" w:space="0" w:color="D2D2D2"/>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4038"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962"/>
        <w:gridCol w:w="1145"/>
        <w:gridCol w:w="1134"/>
        <w:gridCol w:w="1277"/>
        <w:gridCol w:w="4038"/>
      </w:tblGrid>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9"/>
              <w:jc w:val="righ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年金额</w:t>
            </w:r>
          </w:p>
        </w:tc>
        <w:tc>
          <w:tcPr>
            <w:tcW w:w="4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1611"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45"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4038"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19"/>
              <w:jc w:val="both"/>
              <w:rPr>
                <w:rFonts w:ascii="Times New Roman" w:hAnsi="Times New Roman" w:cs="Times New Roman" w:eastAsia="Times New Roman" w:hint="default"/>
                <w:sz w:val="18"/>
                <w:szCs w:val="18"/>
              </w:rPr>
            </w:pPr>
            <w:r>
              <w:rPr>
                <w:rFonts w:ascii="宋体" w:hAnsi="宋体" w:cs="宋体" w:eastAsia="宋体" w:hint="default"/>
                <w:spacing w:val="-6"/>
                <w:sz w:val="18"/>
                <w:szCs w:val="18"/>
              </w:rPr>
              <w:t>贷款贴息：根据《北京市实施文化创意产业</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投贷奖</w:t>
            </w:r>
            <w:r>
              <w:rPr>
                <w:rFonts w:ascii="Times New Roman" w:hAnsi="Times New Roman" w:cs="Times New Roman" w:eastAsia="Times New Roman" w:hint="default"/>
                <w:spacing w:val="-6"/>
                <w:sz w:val="18"/>
                <w:szCs w:val="18"/>
              </w:rPr>
              <w:t>”</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联动</w:t>
            </w:r>
            <w:r>
              <w:rPr>
                <w:rFonts w:ascii="宋体" w:hAnsi="宋体" w:cs="宋体" w:eastAsia="宋体" w:hint="default"/>
                <w:spacing w:val="3"/>
                <w:sz w:val="18"/>
                <w:szCs w:val="18"/>
              </w:rPr>
              <w:t> </w:t>
            </w:r>
            <w:r>
              <w:rPr>
                <w:rFonts w:ascii="宋体" w:hAnsi="宋体" w:cs="宋体" w:eastAsia="宋体" w:hint="default"/>
                <w:spacing w:val="-12"/>
                <w:sz w:val="18"/>
                <w:szCs w:val="18"/>
              </w:rPr>
              <w:t>推动文化金融融合发展管理办法（试行）》（京</w:t>
            </w:r>
            <w:r>
              <w:rPr>
                <w:rFonts w:ascii="宋体" w:hAnsi="宋体" w:cs="宋体" w:eastAsia="宋体" w:hint="default"/>
                <w:sz w:val="18"/>
                <w:szCs w:val="18"/>
              </w:rPr>
              <w:t> 文领办文</w:t>
            </w:r>
            <w:r>
              <w:rPr>
                <w:rFonts w:ascii="Times New Roman" w:hAnsi="Times New Roman" w:cs="Times New Roman" w:eastAsia="Times New Roman" w:hint="default"/>
                <w:sz w:val="18"/>
                <w:szCs w:val="18"/>
              </w:rPr>
              <w:t>[2017]3</w:t>
            </w:r>
            <w:r>
              <w:rPr>
                <w:rFonts w:ascii="Times New Roman" w:hAnsi="Times New Roman" w:cs="Times New Roman" w:eastAsia="Times New Roman" w:hint="default"/>
                <w:spacing w:val="-12"/>
                <w:sz w:val="18"/>
                <w:szCs w:val="18"/>
              </w:rPr>
              <w:t> </w:t>
            </w:r>
            <w:r>
              <w:rPr>
                <w:rFonts w:ascii="宋体" w:hAnsi="宋体" w:cs="宋体" w:eastAsia="宋体" w:hint="default"/>
                <w:spacing w:val="-23"/>
                <w:sz w:val="18"/>
                <w:szCs w:val="18"/>
              </w:rPr>
              <w:t>号）给予</w:t>
            </w:r>
            <w:r>
              <w:rPr>
                <w:rFonts w:ascii="宋体" w:hAnsi="宋体" w:cs="宋体" w:eastAsia="宋体" w:hint="default"/>
                <w:spacing w:val="-57"/>
                <w:sz w:val="18"/>
                <w:szCs w:val="18"/>
              </w:rPr>
              <w:t> </w:t>
            </w:r>
            <w:r>
              <w:rPr>
                <w:rFonts w:ascii="Times New Roman" w:hAnsi="Times New Roman" w:cs="Times New Roman" w:eastAsia="Times New Roman" w:hint="default"/>
                <w:spacing w:val="-1"/>
                <w:sz w:val="18"/>
                <w:szCs w:val="18"/>
              </w:rPr>
              <w:t>20.6528</w:t>
            </w:r>
            <w:r>
              <w:rPr>
                <w:rFonts w:ascii="Times New Roman" w:hAnsi="Times New Roman" w:cs="Times New Roman" w:eastAsia="Times New Roman" w:hint="default"/>
                <w:spacing w:val="-12"/>
                <w:sz w:val="18"/>
                <w:szCs w:val="18"/>
              </w:rPr>
              <w:t> </w:t>
            </w:r>
            <w:r>
              <w:rPr>
                <w:rFonts w:ascii="宋体" w:hAnsi="宋体" w:cs="宋体" w:eastAsia="宋体" w:hint="default"/>
                <w:spacing w:val="-15"/>
                <w:sz w:val="18"/>
                <w:szCs w:val="18"/>
              </w:rPr>
              <w:t>万元支持，于</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2018</w:t>
            </w:r>
          </w:p>
          <w:p>
            <w:pPr>
              <w:pStyle w:val="TableParagraph"/>
              <w:spacing w:line="302" w:lineRule="auto" w:before="5"/>
              <w:ind w:left="22" w:right="83"/>
              <w:jc w:val="both"/>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月收到该款项</w:t>
            </w:r>
            <w:r>
              <w:rPr>
                <w:rFonts w:ascii="Times New Roman" w:hAnsi="Times New Roman" w:cs="Times New Roman" w:eastAsia="Times New Roman" w:hint="default"/>
                <w:sz w:val="18"/>
                <w:szCs w:val="18"/>
              </w:rPr>
              <w:t>;</w:t>
            </w:r>
            <w:r>
              <w:rPr>
                <w:rFonts w:ascii="宋体" w:hAnsi="宋体" w:cs="宋体" w:eastAsia="宋体" w:hint="default"/>
                <w:sz w:val="18"/>
                <w:szCs w:val="18"/>
              </w:rPr>
              <w:t>代扣代缴个税、所得税、残保 金手续费返还 。</w:t>
            </w:r>
          </w:p>
        </w:tc>
      </w:tr>
      <w:tr>
        <w:trPr>
          <w:trHeight w:val="71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9"/>
              <w:jc w:val="left"/>
              <w:rPr>
                <w:rFonts w:ascii="宋体" w:hAnsi="宋体" w:cs="宋体" w:eastAsia="宋体" w:hint="default"/>
                <w:sz w:val="18"/>
                <w:szCs w:val="18"/>
              </w:rPr>
            </w:pPr>
            <w:r>
              <w:rPr>
                <w:rFonts w:ascii="宋体" w:hAnsi="宋体" w:cs="宋体" w:eastAsia="宋体" w:hint="default"/>
                <w:sz w:val="18"/>
                <w:szCs w:val="18"/>
              </w:rPr>
              <w:t>除上述各项之外的其他 营业外收入和支出</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-70,138.00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-591.29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19.99</w:t>
            </w:r>
          </w:p>
        </w:tc>
        <w:tc>
          <w:tcPr>
            <w:tcW w:w="40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1,353,729.96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37,277.43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99,144.55</w:t>
            </w:r>
          </w:p>
        </w:tc>
        <w:tc>
          <w:tcPr>
            <w:tcW w:w="403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9" w:firstLine="360"/>
              <w:jc w:val="left"/>
              <w:rPr>
                <w:rFonts w:ascii="宋体" w:hAnsi="宋体" w:cs="宋体" w:eastAsia="宋体" w:hint="default"/>
                <w:sz w:val="18"/>
                <w:szCs w:val="18"/>
              </w:rPr>
            </w:pPr>
            <w:r>
              <w:rPr>
                <w:rFonts w:ascii="宋体" w:hAnsi="宋体" w:cs="宋体" w:eastAsia="宋体" w:hint="default"/>
                <w:sz w:val="18"/>
                <w:szCs w:val="18"/>
              </w:rPr>
              <w:t>少数股东权益影响 额（税后）</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3,581.32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793.04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1,016.18</w:t>
            </w:r>
          </w:p>
        </w:tc>
        <w:tc>
          <w:tcPr>
            <w:tcW w:w="403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5"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4,059,194.35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111,039.24</w:t>
            </w:r>
          </w:p>
        </w:tc>
        <w:tc>
          <w:tcPr>
            <w:tcW w:w="1277" w:type="dxa"/>
            <w:tcBorders>
              <w:top w:val="single" w:sz="4" w:space="0" w:color="000000"/>
              <w:left w:val="single" w:sz="4" w:space="0" w:color="000000"/>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296,417.47</w:t>
            </w:r>
          </w:p>
        </w:tc>
        <w:tc>
          <w:tcPr>
            <w:tcW w:w="4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1"/>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2" w:lineRule="auto" w:before="101"/>
        <w:ind w:right="1115"/>
        <w:jc w:val="left"/>
      </w:pPr>
      <w:r>
        <w:rPr/>
        <w:t>公司报告期不存在将根据《公开发行证券的公司信息披露解释性公告第</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9"/>
        </w:rPr>
        <w:t> </w:t>
      </w:r>
      <w:r>
        <w:rPr>
          <w:spacing w:val="-3"/>
        </w:rPr>
        <w:t>号</w:t>
      </w:r>
      <w:r>
        <w:rPr>
          <w:rFonts w:ascii="Times New Roman" w:hAnsi="Times New Roman" w:cs="Times New Roman" w:eastAsia="Times New Roman" w:hint="default"/>
          <w:spacing w:val="-3"/>
        </w:rPr>
        <w:t>——</w:t>
      </w:r>
      <w:r>
        <w:rPr>
          <w:spacing w:val="-3"/>
        </w:rPr>
        <w:t>非经常性损益》定义、列举的非经常性损益</w:t>
      </w:r>
      <w:r>
        <w:rPr/>
        <w:t> 项目界定为经常性损益的项目的情形。</w:t>
      </w:r>
    </w:p>
    <w:p>
      <w:pPr>
        <w:spacing w:after="0" w:line="302"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447" w:right="0"/>
        <w:jc w:val="left"/>
        <w:rPr>
          <w:b w:val="0"/>
          <w:bCs w:val="0"/>
        </w:rPr>
      </w:pPr>
      <w:bookmarkStart w:name="第三节 公司业务概要" w:id="15"/>
      <w:bookmarkEnd w:id="15"/>
      <w:r>
        <w:rPr>
          <w:b w:val="0"/>
          <w:bCs w:val="0"/>
        </w:rPr>
      </w:r>
      <w:bookmarkStart w:name="_bookmark2" w:id="16"/>
      <w:bookmarkEnd w:id="16"/>
      <w:r>
        <w:rPr>
          <w:b w:val="0"/>
          <w:bCs w:val="0"/>
        </w:rPr>
      </w:r>
      <w:r>
        <w:rPr/>
        <w:t>第三节</w:t>
      </w:r>
      <w:r>
        <w:rPr>
          <w:spacing w:val="-7"/>
        </w:rPr>
        <w:t> </w:t>
      </w:r>
      <w:r>
        <w:rPr/>
        <w:t>公司业务概要</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报告期内公司从事的主要业务" w:id="17"/>
      <w:bookmarkEnd w:id="17"/>
      <w:r>
        <w:rPr>
          <w:b w:val="0"/>
          <w:bCs w:val="0"/>
        </w:rPr>
      </w: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00" w:lineRule="auto" w:before="25"/>
        <w:ind w:right="0" w:firstLine="379"/>
        <w:jc w:val="left"/>
      </w:pPr>
      <w:r>
        <w:rPr/>
        <w:t>公司是国内领先的整合营销传播服务商，始终秉持</w:t>
      </w:r>
      <w:r>
        <w:rPr>
          <w:rFonts w:ascii="Times New Roman" w:hAnsi="Times New Roman" w:cs="Times New Roman" w:eastAsia="Times New Roman" w:hint="default"/>
        </w:rPr>
        <w:t>“</w:t>
      </w:r>
      <w:r>
        <w:rPr/>
        <w:t>合适就是竞争力</w:t>
      </w:r>
      <w:r>
        <w:rPr>
          <w:rFonts w:ascii="Times New Roman" w:hAnsi="Times New Roman" w:cs="Times New Roman" w:eastAsia="Times New Roman" w:hint="default"/>
        </w:rPr>
        <w:t>”</w:t>
      </w:r>
      <w:r>
        <w:rPr/>
        <w:t>的传播哲学，以打造</w:t>
      </w:r>
      <w:r>
        <w:rPr>
          <w:rFonts w:ascii="Times New Roman" w:hAnsi="Times New Roman" w:cs="Times New Roman" w:eastAsia="Times New Roman" w:hint="default"/>
        </w:rPr>
        <w:t>“</w:t>
      </w:r>
      <w:r>
        <w:rPr/>
        <w:t>中国传播行业第一推动力</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为使命，以全面营销解决方案满足客户多元化、多层次、多专业领域的需求，为客户提供一站式营销传播服务。</w:t>
      </w:r>
    </w:p>
    <w:p>
      <w:pPr>
        <w:pStyle w:val="BodyText"/>
        <w:spacing w:line="309" w:lineRule="auto" w:before="31"/>
        <w:ind w:right="1032" w:firstLine="343"/>
        <w:jc w:val="left"/>
      </w:pPr>
      <w:r>
        <w:rPr>
          <w:spacing w:val="-2"/>
        </w:rPr>
        <w:t>公司持续以客户为中心，顺应技术变革的趋势，深挖客户痛点，结合公司上下游行业的竞争格局，积极探索整合营销领</w:t>
      </w:r>
      <w:r>
        <w:rPr/>
        <w:t> 域的技术改革方向和措施。公司深入分析整合营销全链条的各个环节，结合客户行业特征和发展趋势，在舆情大数据分析、 精准营销、口碑营销、盘活存量市场、高质提升增量市场等营销技术方面进行了广泛探索和深入研究，公司积极参与了</w:t>
      </w:r>
      <w:r>
        <w:rPr>
          <w:rFonts w:ascii="Times New Roman" w:hAnsi="Times New Roman" w:cs="Times New Roman" w:eastAsia="Times New Roman" w:hint="default"/>
        </w:rPr>
        <w:t>“</w:t>
      </w:r>
      <w:r>
        <w:rPr/>
        <w:t>汽</w:t>
      </w:r>
      <w:r>
        <w:rPr>
          <w:spacing w:val="-73"/>
        </w:rPr>
        <w:t> </w:t>
      </w:r>
      <w:r>
        <w:rPr>
          <w:spacing w:val="-2"/>
        </w:rPr>
        <w:t>车</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互联网及信息技术</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能源</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金融</w:t>
      </w:r>
      <w:r>
        <w:rPr>
          <w:rFonts w:ascii="Times New Roman" w:hAnsi="Times New Roman" w:cs="Times New Roman" w:eastAsia="Times New Roman" w:hint="default"/>
          <w:spacing w:val="-2"/>
        </w:rPr>
        <w:t>”</w:t>
      </w:r>
      <w:r>
        <w:rPr>
          <w:spacing w:val="-2"/>
        </w:rPr>
        <w:t>、</w:t>
      </w:r>
      <w:r>
        <w:rPr>
          <w:rFonts w:ascii="Times New Roman" w:hAnsi="Times New Roman" w:cs="Times New Roman" w:eastAsia="Times New Roman" w:hint="default"/>
          <w:spacing w:val="-2"/>
        </w:rPr>
        <w:t>“</w:t>
      </w:r>
      <w:r>
        <w:rPr>
          <w:spacing w:val="-2"/>
        </w:rPr>
        <w:t>新零售</w:t>
      </w:r>
      <w:r>
        <w:rPr>
          <w:rFonts w:ascii="Times New Roman" w:hAnsi="Times New Roman" w:cs="Times New Roman" w:eastAsia="Times New Roman" w:hint="default"/>
          <w:spacing w:val="-2"/>
        </w:rPr>
        <w:t>”</w:t>
      </w:r>
      <w:r>
        <w:rPr>
          <w:spacing w:val="-2"/>
        </w:rPr>
        <w:t>等行业客户的竞标，向客户充分展现了公司在营销领域的整合优势和</w:t>
      </w:r>
      <w:r>
        <w:rPr>
          <w:spacing w:val="-58"/>
        </w:rPr>
        <w:t> </w:t>
      </w:r>
      <w:r>
        <w:rPr>
          <w:spacing w:val="-58"/>
        </w:rPr>
      </w:r>
      <w:r>
        <w:rPr/>
        <w:t>营销技术领域的广泛探索成果，并初步得到了客户和市场的认可。</w:t>
      </w:r>
    </w:p>
    <w:p>
      <w:pPr>
        <w:pStyle w:val="BodyText"/>
        <w:spacing w:line="300" w:lineRule="auto" w:before="24"/>
        <w:ind w:right="1131" w:firstLine="397"/>
        <w:jc w:val="both"/>
      </w:pPr>
      <w:r>
        <w:rPr>
          <w:rFonts w:ascii="Times New Roman" w:hAnsi="Times New Roman" w:cs="Times New Roman" w:eastAsia="Times New Roman" w:hint="default"/>
        </w:rPr>
        <w:t>2018</w:t>
      </w:r>
      <w:r>
        <w:rPr/>
        <w:t>年，受到国际贸易环境不确定性增强、国内经济下行压力、全球竞争态势加剧等因素影响，公司的前三大行业客 </w:t>
      </w:r>
      <w:r>
        <w:rPr>
          <w:spacing w:val="-1"/>
        </w:rPr>
        <w:t>户</w:t>
      </w:r>
      <w:r>
        <w:rPr>
          <w:rFonts w:ascii="Times New Roman" w:hAnsi="Times New Roman" w:cs="Times New Roman" w:eastAsia="Times New Roman" w:hint="default"/>
          <w:spacing w:val="-1"/>
        </w:rPr>
        <w:t>“</w:t>
      </w:r>
      <w:r>
        <w:rPr>
          <w:spacing w:val="-1"/>
        </w:rPr>
        <w:t>汽车</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互联网及信息技术</w:t>
      </w:r>
      <w:r>
        <w:rPr>
          <w:rFonts w:ascii="Times New Roman" w:hAnsi="Times New Roman" w:cs="Times New Roman" w:eastAsia="Times New Roman" w:hint="default"/>
          <w:spacing w:val="-1"/>
        </w:rPr>
        <w:t>”</w:t>
      </w:r>
      <w:r>
        <w:rPr>
          <w:spacing w:val="-1"/>
        </w:rPr>
        <w:t>和</w:t>
      </w:r>
      <w:r>
        <w:rPr>
          <w:rFonts w:ascii="Times New Roman" w:hAnsi="Times New Roman" w:cs="Times New Roman" w:eastAsia="Times New Roman" w:hint="default"/>
          <w:spacing w:val="-1"/>
        </w:rPr>
        <w:t>“</w:t>
      </w:r>
      <w:r>
        <w:rPr>
          <w:spacing w:val="-1"/>
        </w:rPr>
        <w:t>制造业</w:t>
      </w:r>
      <w:r>
        <w:rPr>
          <w:rFonts w:ascii="Times New Roman" w:hAnsi="Times New Roman" w:cs="Times New Roman" w:eastAsia="Times New Roman" w:hint="default"/>
          <w:spacing w:val="-1"/>
        </w:rPr>
        <w:t>”</w:t>
      </w:r>
      <w:r>
        <w:rPr>
          <w:spacing w:val="-1"/>
        </w:rPr>
        <w:t>类公司为应对自身竞争压力，不同程度的缩减了营销预算，间接导致公司营业总</w:t>
      </w:r>
      <w:r>
        <w:rPr>
          <w:spacing w:val="-59"/>
        </w:rPr>
        <w:t> </w:t>
      </w:r>
      <w:r>
        <w:rPr>
          <w:spacing w:val="-59"/>
        </w:rPr>
      </w:r>
      <w:r>
        <w:rPr/>
        <w:t>收入减少和项目毛利率降低。</w:t>
      </w:r>
    </w:p>
    <w:p>
      <w:pPr>
        <w:pStyle w:val="BodyText"/>
        <w:spacing w:line="300" w:lineRule="auto" w:before="31"/>
        <w:ind w:right="0" w:firstLine="325"/>
        <w:jc w:val="left"/>
      </w:pPr>
      <w:r>
        <w:rPr>
          <w:spacing w:val="-2"/>
        </w:rPr>
        <w:t>报告期内，公司实现营业收入</w:t>
      </w:r>
      <w:r>
        <w:rPr>
          <w:rFonts w:ascii="Times New Roman" w:hAnsi="Times New Roman" w:cs="Times New Roman" w:eastAsia="Times New Roman" w:hint="default"/>
          <w:spacing w:val="-2"/>
        </w:rPr>
        <w:t>36,928.12</w:t>
      </w:r>
      <w:r>
        <w:rPr>
          <w:spacing w:val="-2"/>
        </w:rPr>
        <w:t>万元，其中数字营销收入达到了</w:t>
      </w:r>
      <w:r>
        <w:rPr>
          <w:rFonts w:ascii="Times New Roman" w:hAnsi="Times New Roman" w:cs="Times New Roman" w:eastAsia="Times New Roman" w:hint="default"/>
          <w:spacing w:val="-2"/>
        </w:rPr>
        <w:t>23,134.47</w:t>
      </w:r>
      <w:r>
        <w:rPr>
          <w:spacing w:val="-2"/>
        </w:rPr>
        <w:t>万元，约占营业收入的</w:t>
      </w:r>
      <w:r>
        <w:rPr>
          <w:rFonts w:ascii="Times New Roman" w:hAnsi="Times New Roman" w:cs="Times New Roman" w:eastAsia="Times New Roman" w:hint="default"/>
          <w:spacing w:val="-2"/>
        </w:rPr>
        <w:t>62.65%</w:t>
      </w:r>
      <w:r>
        <w:rPr>
          <w:spacing w:val="-2"/>
        </w:rPr>
        <w:t>。由于受</w:t>
      </w:r>
      <w:r>
        <w:rPr/>
        <w:t> 项目总体收入减少和项目毛利率降低的影响，公司实现归属于上市公司股东的净利润</w:t>
      </w:r>
      <w:r>
        <w:rPr>
          <w:rFonts w:ascii="Times New Roman" w:hAnsi="Times New Roman" w:cs="Times New Roman" w:eastAsia="Times New Roman" w:hint="default"/>
        </w:rPr>
        <w:t>2,106.21</w:t>
      </w:r>
      <w:r>
        <w:rPr/>
        <w:t>万元，同比下降了</w:t>
      </w:r>
      <w:r>
        <w:rPr>
          <w:rFonts w:ascii="Times New Roman" w:hAnsi="Times New Roman" w:cs="Times New Roman" w:eastAsia="Times New Roman" w:hint="default"/>
        </w:rPr>
        <w:t>71.90%</w:t>
      </w:r>
      <w:r>
        <w:rPr/>
        <w:t>。</w:t>
      </w:r>
    </w:p>
    <w:p>
      <w:pPr>
        <w:spacing w:line="240" w:lineRule="auto" w:before="4"/>
        <w:rPr>
          <w:rFonts w:ascii="宋体" w:hAnsi="宋体" w:cs="宋体" w:eastAsia="宋体" w:hint="default"/>
          <w:sz w:val="20"/>
          <w:szCs w:val="20"/>
        </w:rPr>
      </w:pPr>
    </w:p>
    <w:p>
      <w:pPr>
        <w:pStyle w:val="Heading2"/>
        <w:spacing w:line="240" w:lineRule="auto"/>
        <w:ind w:right="0"/>
        <w:jc w:val="left"/>
        <w:rPr>
          <w:b w:val="0"/>
          <w:bCs w:val="0"/>
        </w:rPr>
      </w:pPr>
      <w:bookmarkStart w:name="二、主要资产重大变化情况" w:id="18"/>
      <w:bookmarkEnd w:id="18"/>
      <w:r>
        <w:rPr>
          <w:b w:val="0"/>
          <w:bCs w:val="0"/>
        </w:rPr>
      </w: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资产重大变化情况" w:id="19"/>
      <w:bookmarkEnd w:id="19"/>
      <w:r>
        <w:rPr>
          <w:b w:val="0"/>
          <w:bCs w:val="0"/>
        </w:rPr>
      </w:r>
      <w:r>
        <w:rPr>
          <w:rFonts w:ascii="Times New Roman" w:hAnsi="Times New Roman" w:cs="Times New Roman" w:eastAsia="Times New Roman" w:hint="default"/>
        </w:rPr>
        <w:t>1</w:t>
      </w:r>
      <w:r>
        <w:rPr/>
        <w:t>、主要资产重大变化情况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052"/>
        <w:gridCol w:w="6517"/>
      </w:tblGrid>
      <w:tr>
        <w:trPr>
          <w:trHeight w:val="186" w:hRule="exact"/>
        </w:trPr>
        <w:tc>
          <w:tcPr>
            <w:tcW w:w="3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3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6" w:hRule="exact"/>
        </w:trPr>
        <w:tc>
          <w:tcPr>
            <w:tcW w:w="3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报告期新增股权投资所致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无重大变化</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报告期新增可供出售金融资产</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报告期跨年度未结束项目实际花费金额增多导致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报告期内调整应收品牌咨询追加投资款和代垫款项减少所致</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报告期新增预付办公室装修款</w:t>
            </w:r>
          </w:p>
        </w:tc>
      </w:tr>
      <w:tr>
        <w:trPr>
          <w:trHeight w:val="402" w:hRule="exact"/>
        </w:trPr>
        <w:tc>
          <w:tcPr>
            <w:tcW w:w="305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6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报告期重大客户回款及业务量下降导致</w:t>
            </w:r>
          </w:p>
        </w:tc>
      </w:tr>
    </w:tbl>
    <w:p>
      <w:pPr>
        <w:spacing w:line="240" w:lineRule="auto" w:before="3"/>
        <w:rPr>
          <w:rFonts w:ascii="宋体" w:hAnsi="宋体" w:cs="宋体" w:eastAsia="宋体" w:hint="default"/>
          <w:b/>
          <w:bCs/>
          <w:sz w:val="19"/>
          <w:szCs w:val="19"/>
        </w:rPr>
      </w:pPr>
    </w:p>
    <w:p>
      <w:pPr>
        <w:pStyle w:val="Heading4"/>
        <w:spacing w:line="240" w:lineRule="auto" w:before="35"/>
        <w:ind w:right="0"/>
        <w:jc w:val="left"/>
        <w:rPr>
          <w:b w:val="0"/>
          <w:bCs w:val="0"/>
        </w:rPr>
      </w:pPr>
      <w:bookmarkStart w:name="2、主要境外资产情况" w:id="20"/>
      <w:bookmarkEnd w:id="20"/>
      <w:r>
        <w:rPr>
          <w:b w:val="0"/>
          <w:bCs w:val="0"/>
        </w:rPr>
      </w:r>
      <w:r>
        <w:rPr>
          <w:rFonts w:ascii="Times New Roman" w:hAnsi="Times New Roman" w:cs="Times New Roman" w:eastAsia="Times New Roman" w:hint="default"/>
        </w:rPr>
        <w:t>2</w:t>
      </w:r>
      <w:r>
        <w:rPr/>
        <w:t>、主要境外资产情况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bookmarkStart w:name="三、核心竞争力分析" w:id="21"/>
      <w:bookmarkEnd w:id="21"/>
      <w:r>
        <w:rPr>
          <w:b w:val="0"/>
          <w:bCs w:val="0"/>
        </w:rPr>
      </w:r>
      <w:r>
        <w:rPr/>
        <w:t>三、核心竞争力分析</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309" w:lineRule="auto" w:before="28"/>
        <w:ind w:right="1131" w:firstLine="360"/>
        <w:jc w:val="both"/>
      </w:pPr>
      <w:r>
        <w:rPr>
          <w:spacing w:val="-2"/>
        </w:rPr>
        <w:t>报告期内，公司持续秉持</w:t>
      </w:r>
      <w:r>
        <w:rPr>
          <w:rFonts w:ascii="Times New Roman" w:hAnsi="Times New Roman" w:cs="Times New Roman" w:eastAsia="Times New Roman" w:hint="default"/>
          <w:spacing w:val="-2"/>
        </w:rPr>
        <w:t>“</w:t>
      </w:r>
      <w:r>
        <w:rPr>
          <w:spacing w:val="-2"/>
        </w:rPr>
        <w:t>合适就是竞争力</w:t>
      </w:r>
      <w:r>
        <w:rPr>
          <w:rFonts w:ascii="Times New Roman" w:hAnsi="Times New Roman" w:cs="Times New Roman" w:eastAsia="Times New Roman" w:hint="default"/>
          <w:spacing w:val="-2"/>
        </w:rPr>
        <w:t>”</w:t>
      </w:r>
      <w:r>
        <w:rPr>
          <w:spacing w:val="-2"/>
        </w:rPr>
        <w:t>的传播哲学，面向客户需求，打破沟壑分明的品牌传播专业壁垒，进一步增</w:t>
      </w:r>
      <w:r>
        <w:rPr/>
        <w:t> </w:t>
      </w:r>
      <w:r>
        <w:rPr>
          <w:spacing w:val="-2"/>
        </w:rPr>
        <w:t>强公司的品牌影响力；基于客户营销场景，从客户需求出发，通过整合各种不同应用场景、打通媒介资源、探索营销全链条</w:t>
      </w:r>
      <w:r>
        <w:rPr>
          <w:spacing w:val="-66"/>
        </w:rPr>
        <w:t> </w:t>
      </w:r>
      <w:r>
        <w:rPr>
          <w:spacing w:val="-66"/>
        </w:rPr>
      </w:r>
      <w:r>
        <w:rPr/>
        <w:t>技术应用，增强核心竞争力，积极广泛地参与招投标活动，深挖现有客户需求、拓展优质新客户。</w:t>
      </w:r>
    </w:p>
    <w:p>
      <w:pPr>
        <w:pStyle w:val="BodyText"/>
        <w:spacing w:line="300" w:lineRule="auto" w:before="24"/>
        <w:ind w:left="534" w:right="0"/>
        <w:jc w:val="left"/>
      </w:pPr>
      <w:r>
        <w:rPr>
          <w:rFonts w:ascii="Times New Roman" w:hAnsi="Times New Roman" w:cs="Times New Roman" w:eastAsia="Times New Roman" w:hint="default"/>
        </w:rPr>
        <w:t>1</w:t>
      </w:r>
      <w:r>
        <w:rPr/>
        <w:t>、公司品牌影响力 报告期内，公司为众多国内外知名品牌提供了全方位的整合营销传播及营销技术服务，在行业内积累了丰富的业务经</w:t>
      </w:r>
    </w:p>
    <w:p>
      <w:pPr>
        <w:pStyle w:val="BodyText"/>
        <w:spacing w:line="300" w:lineRule="auto" w:before="31"/>
        <w:ind w:right="0"/>
        <w:jc w:val="left"/>
      </w:pPr>
      <w:r>
        <w:rPr>
          <w:spacing w:val="-2"/>
        </w:rPr>
        <w:t>验，形成了良好的客户关系，并获得了中国国际公共关系协会</w:t>
      </w:r>
      <w:r>
        <w:rPr>
          <w:rFonts w:ascii="Times New Roman" w:hAnsi="Times New Roman" w:cs="Times New Roman" w:eastAsia="Times New Roman" w:hint="default"/>
          <w:spacing w:val="-2"/>
        </w:rPr>
        <w:t>2018</w:t>
      </w:r>
      <w:r>
        <w:rPr>
          <w:spacing w:val="-2"/>
        </w:rPr>
        <w:t>年度最佳团队、</w:t>
      </w:r>
      <w:r>
        <w:rPr>
          <w:rFonts w:ascii="Times New Roman" w:hAnsi="Times New Roman" w:cs="Times New Roman" w:eastAsia="Times New Roman" w:hint="default"/>
          <w:spacing w:val="-2"/>
        </w:rPr>
        <w:t>2018</w:t>
      </w:r>
      <w:r>
        <w:rPr>
          <w:spacing w:val="-2"/>
        </w:rPr>
        <w:t>年度最佳新人奖、</w:t>
      </w:r>
      <w:r>
        <w:rPr>
          <w:rFonts w:ascii="Times New Roman" w:hAnsi="Times New Roman" w:cs="Times New Roman" w:eastAsia="Times New Roman" w:hint="default"/>
          <w:spacing w:val="-2"/>
        </w:rPr>
        <w:t>2018</w:t>
      </w:r>
      <w:r>
        <w:rPr>
          <w:spacing w:val="-2"/>
        </w:rPr>
        <w:t>年度最佳经理</w:t>
      </w:r>
      <w:r>
        <w:rPr>
          <w:spacing w:val="-53"/>
        </w:rPr>
        <w:t> </w:t>
      </w:r>
      <w:r>
        <w:rPr/>
        <w:t>人、</w:t>
      </w:r>
      <w:r>
        <w:rPr>
          <w:rFonts w:ascii="Times New Roman" w:hAnsi="Times New Roman" w:cs="Times New Roman" w:eastAsia="Times New Roman" w:hint="default"/>
        </w:rPr>
        <w:t>2018</w:t>
      </w:r>
      <w:r>
        <w:rPr/>
        <w:t>年度公关成就奖等多项荣誉及奖项。</w:t>
      </w:r>
    </w:p>
    <w:p>
      <w:pPr>
        <w:pStyle w:val="BodyText"/>
        <w:spacing w:line="307" w:lineRule="auto" w:before="13"/>
        <w:ind w:right="0" w:firstLine="380"/>
        <w:jc w:val="left"/>
      </w:pPr>
      <w:r>
        <w:rPr>
          <w:spacing w:val="-2"/>
        </w:rPr>
        <w:t>公司的新定位是成为</w:t>
      </w:r>
      <w:r>
        <w:rPr>
          <w:rFonts w:ascii="Times New Roman" w:hAnsi="Times New Roman" w:cs="Times New Roman" w:eastAsia="Times New Roman" w:hint="default"/>
          <w:spacing w:val="-2"/>
        </w:rPr>
        <w:t>“</w:t>
      </w:r>
      <w:r>
        <w:rPr>
          <w:spacing w:val="-2"/>
        </w:rPr>
        <w:t>营销技术方案运营商，全面赋能产业互联网</w:t>
      </w:r>
      <w:r>
        <w:rPr>
          <w:rFonts w:ascii="Times New Roman" w:hAnsi="Times New Roman" w:cs="Times New Roman" w:eastAsia="Times New Roman" w:hint="default"/>
          <w:spacing w:val="-2"/>
        </w:rPr>
        <w:t>”</w:t>
      </w:r>
      <w:r>
        <w:rPr>
          <w:spacing w:val="-2"/>
        </w:rPr>
        <w:t>，公司的新使命是</w:t>
      </w:r>
      <w:r>
        <w:rPr>
          <w:rFonts w:ascii="Times New Roman" w:hAnsi="Times New Roman" w:cs="Times New Roman" w:eastAsia="Times New Roman" w:hint="default"/>
          <w:spacing w:val="-2"/>
        </w:rPr>
        <w:t>“</w:t>
      </w:r>
      <w:r>
        <w:rPr>
          <w:spacing w:val="-2"/>
        </w:rPr>
        <w:t>聚焦客户关注的营销挑战和压力，</w:t>
      </w:r>
      <w:r>
        <w:rPr/>
        <w:t> 提供富有竞争力的营销技术解决方案和运营服务，持续为客户创造最大价值</w:t>
      </w:r>
      <w:r>
        <w:rPr>
          <w:rFonts w:ascii="Times New Roman" w:hAnsi="Times New Roman" w:cs="Times New Roman" w:eastAsia="Times New Roman" w:hint="default"/>
        </w:rPr>
        <w:t>”</w:t>
      </w:r>
      <w:r>
        <w:rPr/>
        <w:t>。公司的新定位、新使命、新战略、新架构、</w:t>
      </w:r>
      <w:r>
        <w:rPr>
          <w:spacing w:val="-75"/>
        </w:rPr>
        <w:t> </w:t>
      </w:r>
      <w:r>
        <w:rPr>
          <w:spacing w:val="-75"/>
        </w:rPr>
      </w:r>
      <w:r>
        <w:rPr>
          <w:spacing w:val="-2"/>
        </w:rPr>
        <w:t>新产品均立足于客户的需求和挑战，通过借鉴和学习国际先进理念和经验，同时结合中国市场的营销特征和独特需求，经过</w:t>
      </w:r>
      <w:r>
        <w:rPr>
          <w:spacing w:val="-66"/>
        </w:rPr>
        <w:t> </w:t>
      </w:r>
      <w:r>
        <w:rPr>
          <w:spacing w:val="-66"/>
        </w:rPr>
      </w:r>
      <w:r>
        <w:rPr/>
        <w:t>多年的积累，公司具备了</w:t>
      </w:r>
      <w:r>
        <w:rPr>
          <w:spacing w:val="53"/>
        </w:rPr>
        <w:t> </w:t>
      </w:r>
      <w:r>
        <w:rPr>
          <w:rFonts w:ascii="Times New Roman" w:hAnsi="Times New Roman" w:cs="Times New Roman" w:eastAsia="Times New Roman" w:hint="default"/>
        </w:rPr>
        <w:t>“</w:t>
      </w:r>
      <w:r>
        <w:rPr/>
        <w:t>营销技术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传播技术</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服务技术</w:t>
      </w:r>
      <w:r>
        <w:rPr>
          <w:rFonts w:ascii="Times New Roman" w:hAnsi="Times New Roman" w:cs="Times New Roman" w:eastAsia="Times New Roman" w:hint="default"/>
        </w:rPr>
        <w:t>”</w:t>
      </w:r>
      <w:r>
        <w:rPr/>
        <w:t>等一系列综合解决能力，在业内建立了良好的口碑，培育</w:t>
      </w:r>
    </w:p>
    <w:p>
      <w:pPr>
        <w:spacing w:line="240" w:lineRule="auto" w:before="12"/>
        <w:rPr>
          <w:rFonts w:ascii="宋体" w:hAnsi="宋体" w:cs="宋体" w:eastAsia="宋体" w:hint="default"/>
          <w:sz w:val="12"/>
          <w:szCs w:val="12"/>
        </w:rPr>
      </w:pPr>
    </w:p>
    <w:p>
      <w:pPr>
        <w:pStyle w:val="BodyText"/>
        <w:spacing w:line="240" w:lineRule="auto"/>
        <w:ind w:right="0"/>
        <w:jc w:val="left"/>
        <w:rPr>
          <w:rFonts w:ascii="宋体" w:hAnsi="宋体" w:cs="宋体" w:eastAsia="宋体" w:hint="default"/>
        </w:rPr>
      </w:pPr>
      <w:r>
        <w:rPr/>
        <w:t>了较高的品牌知名度和美誉度</w:t>
      </w:r>
      <w:r>
        <w:rPr>
          <w:rFonts w:ascii="宋体" w:hAnsi="宋体" w:cs="宋体" w:eastAsia="宋体" w:hint="default"/>
        </w:rPr>
        <w:t>。</w:t>
      </w:r>
    </w:p>
    <w:p>
      <w:pPr>
        <w:spacing w:line="240" w:lineRule="auto" w:before="4"/>
        <w:rPr>
          <w:rFonts w:ascii="宋体" w:hAnsi="宋体" w:cs="宋体" w:eastAsia="宋体" w:hint="default"/>
          <w:sz w:val="17"/>
          <w:szCs w:val="17"/>
        </w:rPr>
      </w:pPr>
    </w:p>
    <w:p>
      <w:pPr>
        <w:pStyle w:val="BodyText"/>
        <w:spacing w:line="240" w:lineRule="auto"/>
        <w:ind w:left="514" w:right="0"/>
        <w:jc w:val="left"/>
      </w:pPr>
      <w:r>
        <w:rPr>
          <w:rFonts w:ascii="Times New Roman" w:hAnsi="Times New Roman" w:cs="Times New Roman" w:eastAsia="Times New Roman" w:hint="default"/>
        </w:rPr>
        <w:t>2</w:t>
      </w:r>
      <w:r>
        <w:rPr/>
        <w:t>、</w:t>
      </w:r>
      <w:r>
        <w:rPr>
          <w:rFonts w:ascii="Times New Roman" w:hAnsi="Times New Roman" w:cs="Times New Roman" w:eastAsia="Times New Roman" w:hint="default"/>
        </w:rPr>
        <w:t>“</w:t>
      </w:r>
      <w:r>
        <w:rPr/>
        <w:t>营销技术</w:t>
      </w:r>
      <w:r>
        <w:rPr>
          <w:rFonts w:ascii="Times New Roman" w:hAnsi="Times New Roman" w:cs="Times New Roman" w:eastAsia="Times New Roman" w:hint="default"/>
        </w:rPr>
        <w:t>”</w:t>
      </w:r>
      <w:r>
        <w:rPr/>
        <w:t>领域综合竞争力</w:t>
      </w:r>
    </w:p>
    <w:p>
      <w:pPr>
        <w:pStyle w:val="BodyText"/>
        <w:spacing w:line="309" w:lineRule="auto" w:before="63"/>
        <w:ind w:right="0" w:firstLine="380"/>
        <w:jc w:val="left"/>
      </w:pPr>
      <w:r>
        <w:rPr/>
        <w:t>公司顺应</w:t>
      </w:r>
      <w:r>
        <w:rPr>
          <w:rFonts w:ascii="Times New Roman" w:hAnsi="Times New Roman" w:cs="Times New Roman" w:eastAsia="Times New Roman" w:hint="default"/>
        </w:rPr>
        <w:t>“</w:t>
      </w:r>
      <w:r>
        <w:rPr/>
        <w:t>互联网</w:t>
      </w:r>
      <w:r>
        <w:rPr>
          <w:rFonts w:ascii="Times New Roman" w:hAnsi="Times New Roman" w:cs="Times New Roman" w:eastAsia="Times New Roman" w:hint="default"/>
        </w:rPr>
        <w:t>+”</w:t>
      </w:r>
      <w:r>
        <w:rPr/>
        <w:t>的发展趋势，积极拥抱领先技术，高度重视领先技术在营销领域的应用，以公司主营业务为主要应 </w:t>
      </w:r>
      <w:r>
        <w:rPr>
          <w:spacing w:val="-4"/>
        </w:rPr>
        <w:t>用场景，通过搭建前台业务团队、中台技术团队和后台服务团队的联动平台，初步实现了在行业研究、人群洞察、数据分析、</w:t>
      </w:r>
      <w:r>
        <w:rPr>
          <w:spacing w:val="-43"/>
        </w:rPr>
        <w:t> </w:t>
      </w:r>
      <w:r>
        <w:rPr>
          <w:spacing w:val="-43"/>
        </w:rPr>
      </w:r>
      <w:r>
        <w:rPr/>
        <w:t>媒介价值研究及评估、消费行为分析到企业发展及品牌生命力分析等方面的应用实践。</w:t>
      </w:r>
    </w:p>
    <w:p>
      <w:pPr>
        <w:pStyle w:val="BodyText"/>
        <w:spacing w:line="300" w:lineRule="auto" w:before="24"/>
        <w:ind w:left="534" w:right="0" w:hanging="21"/>
        <w:jc w:val="left"/>
      </w:pPr>
      <w:r>
        <w:rPr>
          <w:rFonts w:ascii="Times New Roman" w:hAnsi="Times New Roman" w:cs="Times New Roman" w:eastAsia="Times New Roman" w:hint="default"/>
        </w:rPr>
        <w:t>3</w:t>
      </w:r>
      <w:r>
        <w:rPr/>
        <w:t>、前瞻性的创新理念竞争力 </w:t>
      </w:r>
      <w:r>
        <w:rPr>
          <w:spacing w:val="-2"/>
        </w:rPr>
        <w:t>公司是国内较早运用</w:t>
      </w:r>
      <w:r>
        <w:rPr>
          <w:rFonts w:ascii="Times New Roman" w:hAnsi="Times New Roman" w:cs="Times New Roman" w:eastAsia="Times New Roman" w:hint="default"/>
          <w:spacing w:val="-2"/>
        </w:rPr>
        <w:t>“</w:t>
      </w:r>
      <w:r>
        <w:rPr>
          <w:spacing w:val="-2"/>
        </w:rPr>
        <w:t>全传播</w:t>
      </w:r>
      <w:r>
        <w:rPr>
          <w:rFonts w:ascii="Times New Roman" w:hAnsi="Times New Roman" w:cs="Times New Roman" w:eastAsia="Times New Roman" w:hint="default"/>
          <w:spacing w:val="-2"/>
        </w:rPr>
        <w:t>”</w:t>
      </w:r>
      <w:r>
        <w:rPr>
          <w:spacing w:val="-2"/>
        </w:rPr>
        <w:t>概念的营销服务公司，在整合各种不同应用场景、打通媒介资源的基础上，逐步深耕营销</w:t>
      </w:r>
    </w:p>
    <w:p>
      <w:pPr>
        <w:pStyle w:val="BodyText"/>
        <w:spacing w:line="309" w:lineRule="auto" w:before="13"/>
        <w:ind w:left="514" w:right="1118" w:hanging="360"/>
        <w:jc w:val="left"/>
      </w:pPr>
      <w:r>
        <w:rPr/>
        <w:t>技术应用、营销数据分析、营销场景创新、营销服务运营，初步形成了四位一体的差异化体系竞争力。 </w:t>
      </w:r>
      <w:r>
        <w:rPr>
          <w:rFonts w:ascii="Times New Roman" w:hAnsi="Times New Roman" w:cs="Times New Roman" w:eastAsia="Times New Roman" w:hint="default"/>
        </w:rPr>
        <w:t>4</w:t>
      </w:r>
      <w:r>
        <w:rPr/>
        <w:t>、稳定优质的客户资源 公司凭借自有品牌竞争力、优秀的创意策划能力和高效的执行管理能力，为近百家国内外知名企业提供全方位的整合</w:t>
      </w:r>
    </w:p>
    <w:p>
      <w:pPr>
        <w:pStyle w:val="BodyText"/>
        <w:spacing w:line="316" w:lineRule="auto" w:before="24"/>
        <w:ind w:right="0"/>
        <w:jc w:val="left"/>
      </w:pPr>
      <w:r>
        <w:rPr>
          <w:spacing w:val="-2"/>
        </w:rPr>
        <w:t>营销传播服务。通过深刻把握客户需求以及对客户品牌的深入洞察，与大多数客户建立了长期的合作关系，积累了大批稳定</w:t>
      </w:r>
      <w:r>
        <w:rPr>
          <w:spacing w:val="-66"/>
        </w:rPr>
        <w:t> </w:t>
      </w:r>
      <w:r>
        <w:rPr>
          <w:spacing w:val="-66"/>
        </w:rPr>
      </w:r>
      <w:r>
        <w:rPr/>
        <w:t>而优质的客户资源。</w:t>
      </w:r>
    </w:p>
    <w:p>
      <w:pPr>
        <w:spacing w:after="0" w:line="316" w:lineRule="auto"/>
        <w:jc w:val="left"/>
        <w:sectPr>
          <w:pgSz w:w="11910" w:h="16840"/>
          <w:pgMar w:header="747"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6" w:right="0"/>
        <w:jc w:val="left"/>
        <w:rPr>
          <w:b w:val="0"/>
          <w:bCs w:val="0"/>
        </w:rPr>
      </w:pPr>
      <w:bookmarkStart w:name="第四节 经营情况讨论与分析" w:id="22"/>
      <w:bookmarkEnd w:id="22"/>
      <w:r>
        <w:rPr>
          <w:b w:val="0"/>
          <w:bCs w:val="0"/>
        </w:rPr>
      </w:r>
      <w:bookmarkStart w:name="_bookmark3" w:id="23"/>
      <w:bookmarkEnd w:id="23"/>
      <w:r>
        <w:rPr>
          <w:b w:val="0"/>
          <w:bCs w:val="0"/>
        </w:rPr>
      </w:r>
      <w:r>
        <w:rPr/>
        <w:t>第四节</w:t>
      </w:r>
      <w:r>
        <w:rPr>
          <w:spacing w:val="-10"/>
        </w:rPr>
        <w:t> </w:t>
      </w:r>
      <w:r>
        <w:rPr/>
        <w:t>经营情况讨论与分析</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概述" w:id="24"/>
      <w:bookmarkEnd w:id="24"/>
      <w:r>
        <w:rPr>
          <w:b w:val="0"/>
          <w:bCs w:val="0"/>
        </w:rPr>
      </w:r>
      <w:r>
        <w:rPr/>
        <w:t>一、概述</w:t>
      </w:r>
      <w:r>
        <w:rPr>
          <w:b w:val="0"/>
          <w:bCs w:val="0"/>
        </w:rPr>
      </w:r>
    </w:p>
    <w:p>
      <w:pPr>
        <w:spacing w:line="240" w:lineRule="auto" w:before="6"/>
        <w:rPr>
          <w:rFonts w:ascii="宋体" w:hAnsi="宋体" w:cs="宋体" w:eastAsia="宋体" w:hint="default"/>
          <w:b/>
          <w:bCs/>
          <w:sz w:val="23"/>
          <w:szCs w:val="23"/>
        </w:rPr>
      </w:pPr>
    </w:p>
    <w:p>
      <w:pPr>
        <w:pStyle w:val="BodyText"/>
        <w:spacing w:line="240" w:lineRule="auto"/>
        <w:ind w:left="424" w:right="0"/>
        <w:jc w:val="left"/>
      </w:pPr>
      <w:r>
        <w:rPr/>
        <w:t>（一）</w:t>
      </w:r>
      <w:r>
        <w:rPr>
          <w:rFonts w:ascii="Times New Roman" w:hAnsi="Times New Roman" w:cs="Times New Roman" w:eastAsia="Times New Roman" w:hint="default"/>
        </w:rPr>
        <w:t>2018</w:t>
      </w:r>
      <w:r>
        <w:rPr/>
        <w:t>年整体经营概述</w:t>
      </w:r>
    </w:p>
    <w:p>
      <w:pPr>
        <w:pStyle w:val="BodyText"/>
        <w:spacing w:line="348" w:lineRule="auto" w:before="100"/>
        <w:ind w:right="1132" w:firstLine="397"/>
        <w:jc w:val="both"/>
      </w:pPr>
      <w:r>
        <w:rPr>
          <w:rFonts w:ascii="Times New Roman" w:hAnsi="Times New Roman" w:cs="Times New Roman" w:eastAsia="Times New Roman" w:hint="default"/>
        </w:rPr>
        <w:t>2018</w:t>
      </w:r>
      <w:r>
        <w:rPr/>
        <w:t>年，国际贸易环境不确定性增强，国内经济下行压力大，行业竞争不断加剧，但机遇与挑战并存，报告期内，公 </w:t>
      </w:r>
      <w:r>
        <w:rPr>
          <w:spacing w:val="-2"/>
        </w:rPr>
        <w:t>司加大开源节流力度，持续以客户为中心，顺应技术变革的趋势，深挖客户痛点，结合公司上下游行业的竞争格局，积极探</w:t>
      </w:r>
      <w:r>
        <w:rPr>
          <w:spacing w:val="-66"/>
        </w:rPr>
        <w:t> </w:t>
      </w:r>
      <w:r>
        <w:rPr>
          <w:spacing w:val="-66"/>
        </w:rPr>
      </w:r>
      <w:r>
        <w:rPr/>
        <w:t>索整合营销领域的技术改革方向和措施。</w:t>
      </w:r>
    </w:p>
    <w:p>
      <w:pPr>
        <w:pStyle w:val="BodyText"/>
        <w:spacing w:line="357" w:lineRule="auto" w:before="34"/>
        <w:ind w:right="1086" w:firstLine="325"/>
        <w:jc w:val="both"/>
      </w:pPr>
      <w:r>
        <w:rPr/>
        <w:t>公司结合现有服务客户的营销场景，深入分析整合营销全链条的各个环节，在舆情大数据分析、精准营销、口碑营销、 </w:t>
      </w:r>
      <w:r>
        <w:rPr>
          <w:spacing w:val="-2"/>
        </w:rPr>
        <w:t>盘活存量市场、高质提升增量市场等营销技术方面进行了广泛探索和深入研究，为公司汽车、互联网及信息技术、快速消费</w:t>
      </w:r>
      <w:r>
        <w:rPr>
          <w:spacing w:val="-66"/>
        </w:rPr>
        <w:t> </w:t>
      </w:r>
      <w:r>
        <w:rPr>
          <w:spacing w:val="-66"/>
        </w:rPr>
      </w:r>
      <w:r>
        <w:rPr/>
        <w:t>品、制造业、金融等行业客户提供了综合的</w:t>
      </w:r>
      <w:r>
        <w:rPr>
          <w:rFonts w:ascii="Times New Roman" w:hAnsi="Times New Roman" w:cs="Times New Roman" w:eastAsia="Times New Roman" w:hint="default"/>
        </w:rPr>
        <w:t>“</w:t>
      </w:r>
      <w:r>
        <w:rPr/>
        <w:t>营销技术</w:t>
      </w:r>
      <w:r>
        <w:rPr>
          <w:rFonts w:ascii="Times New Roman" w:hAnsi="Times New Roman" w:cs="Times New Roman" w:eastAsia="Times New Roman" w:hint="default"/>
        </w:rPr>
        <w:t>”</w:t>
      </w:r>
      <w:r>
        <w:rPr/>
        <w:t>解决方案。</w:t>
      </w:r>
    </w:p>
    <w:p>
      <w:pPr>
        <w:pStyle w:val="BodyText"/>
        <w:spacing w:line="338" w:lineRule="auto" w:before="3"/>
        <w:ind w:right="1129" w:firstLine="325"/>
        <w:jc w:val="both"/>
      </w:pPr>
      <w:r>
        <w:rPr/>
        <w:t>报告期公司实现营业收入</w:t>
      </w:r>
      <w:r>
        <w:rPr>
          <w:rFonts w:ascii="Times New Roman" w:hAnsi="Times New Roman" w:cs="Times New Roman" w:eastAsia="Times New Roman" w:hint="default"/>
        </w:rPr>
        <w:t>36,928.12</w:t>
      </w:r>
      <w:r>
        <w:rPr/>
        <w:t>万元，其中数字营销收入达到了</w:t>
      </w:r>
      <w:r>
        <w:rPr>
          <w:rFonts w:ascii="Times New Roman" w:hAnsi="Times New Roman" w:cs="Times New Roman" w:eastAsia="Times New Roman" w:hint="default"/>
        </w:rPr>
        <w:t>23,134.47</w:t>
      </w:r>
      <w:r>
        <w:rPr/>
        <w:t>万元，约占营业收入的</w:t>
      </w:r>
      <w:r>
        <w:rPr>
          <w:rFonts w:ascii="Times New Roman" w:hAnsi="Times New Roman" w:cs="Times New Roman" w:eastAsia="Times New Roman" w:hint="default"/>
        </w:rPr>
        <w:t>62.65%</w:t>
      </w:r>
      <w:r>
        <w:rPr>
          <w:rFonts w:ascii="Times New Roman" w:hAnsi="Times New Roman" w:cs="Times New Roman" w:eastAsia="Times New Roman" w:hint="default"/>
          <w:spacing w:val="15"/>
        </w:rPr>
        <w:t> </w:t>
      </w:r>
      <w:r>
        <w:rPr/>
        <w:t>。由于受项 目总体收入减少和项目毛利率降低的影响，公司实现归属于上市公司股东的净利润</w:t>
      </w:r>
      <w:r>
        <w:rPr>
          <w:rFonts w:ascii="Times New Roman" w:hAnsi="Times New Roman" w:cs="Times New Roman" w:eastAsia="Times New Roman" w:hint="default"/>
        </w:rPr>
        <w:t>2,106.21</w:t>
      </w:r>
      <w:r>
        <w:rPr/>
        <w:t>万元，同比下降了</w:t>
      </w:r>
      <w:r>
        <w:rPr>
          <w:rFonts w:ascii="Times New Roman" w:hAnsi="Times New Roman" w:cs="Times New Roman" w:eastAsia="Times New Roman" w:hint="default"/>
        </w:rPr>
        <w:t>71.90%</w:t>
      </w:r>
      <w:r>
        <w:rPr/>
        <w:t>。</w:t>
      </w:r>
    </w:p>
    <w:p>
      <w:pPr>
        <w:pStyle w:val="BodyText"/>
        <w:spacing w:line="240" w:lineRule="auto" w:before="19"/>
        <w:ind w:left="424" w:right="0"/>
        <w:jc w:val="left"/>
      </w:pPr>
      <w:r>
        <w:rPr/>
        <w:t>（二）报告期重要业务回顾</w:t>
      </w:r>
    </w:p>
    <w:p>
      <w:pPr>
        <w:pStyle w:val="BodyText"/>
        <w:spacing w:line="336" w:lineRule="auto" w:before="115"/>
        <w:ind w:left="479" w:right="1087" w:firstLine="34"/>
        <w:jc w:val="left"/>
      </w:pPr>
      <w:r>
        <w:rPr>
          <w:rFonts w:ascii="Times New Roman" w:hAnsi="Times New Roman" w:cs="Times New Roman" w:eastAsia="Times New Roman" w:hint="default"/>
        </w:rPr>
        <w:t>1</w:t>
      </w:r>
      <w:r>
        <w:rPr/>
        <w:t>、持续横向拓展优质客户 公司以</w:t>
      </w:r>
      <w:r>
        <w:rPr>
          <w:rFonts w:ascii="Times New Roman" w:hAnsi="Times New Roman" w:cs="Times New Roman" w:eastAsia="Times New Roman" w:hint="default"/>
        </w:rPr>
        <w:t>“</w:t>
      </w:r>
      <w:r>
        <w:rPr/>
        <w:t>营销技术</w:t>
      </w:r>
      <w:r>
        <w:rPr>
          <w:rFonts w:ascii="Times New Roman" w:hAnsi="Times New Roman" w:cs="Times New Roman" w:eastAsia="Times New Roman" w:hint="default"/>
        </w:rPr>
        <w:t>”</w:t>
      </w:r>
      <w:r>
        <w:rPr/>
        <w:t>为核心，从客户需求出发，通过整合各种不同应用场景、打通媒介资源、探索营销全链条技术应用，</w:t>
      </w:r>
    </w:p>
    <w:p>
      <w:pPr>
        <w:pStyle w:val="BodyText"/>
        <w:spacing w:line="338" w:lineRule="auto" w:before="21"/>
        <w:ind w:right="1032"/>
        <w:jc w:val="left"/>
      </w:pPr>
      <w:r>
        <w:rPr/>
        <w:t>增强核心竞争力，积极广泛地参与招投标活动，拓展优质客户。报告期内，公司新增客户公司新增客户</w:t>
      </w:r>
      <w:r>
        <w:rPr>
          <w:rFonts w:ascii="Times New Roman" w:hAnsi="Times New Roman" w:cs="Times New Roman" w:eastAsia="Times New Roman" w:hint="default"/>
        </w:rPr>
        <w:t>59</w:t>
      </w:r>
      <w:r>
        <w:rPr/>
        <w:t>个，分布在文化、 汽车、商务服务业、金融、互联网及信息技术等行业。</w:t>
      </w:r>
    </w:p>
    <w:p>
      <w:pPr>
        <w:pStyle w:val="BodyText"/>
        <w:spacing w:line="338" w:lineRule="auto" w:before="41"/>
        <w:ind w:left="479" w:right="1067" w:firstLine="18"/>
        <w:jc w:val="left"/>
      </w:pPr>
      <w:r>
        <w:rPr>
          <w:rFonts w:ascii="Times New Roman" w:hAnsi="Times New Roman" w:cs="Times New Roman" w:eastAsia="Times New Roman" w:hint="default"/>
        </w:rPr>
        <w:t>2</w:t>
      </w:r>
      <w:r>
        <w:rPr/>
        <w:t>、加速纵向探索技术应用 报告期内，公司深入分析整合营销全链条的各个环节，结合客户行业特征和发展趋势，在舆情大数据分析、精准营销、</w:t>
      </w:r>
    </w:p>
    <w:p>
      <w:pPr>
        <w:pStyle w:val="BodyText"/>
        <w:spacing w:line="357" w:lineRule="auto" w:before="40"/>
        <w:ind w:right="0"/>
        <w:jc w:val="left"/>
      </w:pPr>
      <w:r>
        <w:rPr>
          <w:spacing w:val="-2"/>
        </w:rPr>
        <w:t>口碑营销、盘活存量市场、高质提升增量市场等营销技术方面进行了广泛探索和深入研究，向客户充分展现了公司在营销领</w:t>
      </w:r>
      <w:r>
        <w:rPr>
          <w:spacing w:val="-66"/>
        </w:rPr>
        <w:t> </w:t>
      </w:r>
      <w:r>
        <w:rPr>
          <w:spacing w:val="-66"/>
        </w:rPr>
      </w:r>
      <w:r>
        <w:rPr/>
        <w:t>域的整合优势和营销技术领域的广泛探索成果，并初步得到了客户和市场的认可。</w:t>
      </w:r>
    </w:p>
    <w:p>
      <w:pPr>
        <w:pStyle w:val="BodyText"/>
        <w:spacing w:line="338" w:lineRule="auto" w:before="26"/>
        <w:ind w:left="479" w:right="1119" w:firstLine="18"/>
        <w:jc w:val="left"/>
      </w:pPr>
      <w:r>
        <w:rPr>
          <w:rFonts w:ascii="Times New Roman" w:hAnsi="Times New Roman" w:cs="Times New Roman" w:eastAsia="Times New Roman" w:hint="default"/>
        </w:rPr>
        <w:t>3</w:t>
      </w:r>
      <w:r>
        <w:rPr/>
        <w:t>、深入优化公司整体架构 </w:t>
      </w:r>
      <w:r>
        <w:rPr>
          <w:spacing w:val="-1"/>
        </w:rPr>
        <w:t>报告期内，公司高效整合内部资源，力争打通前、中、后台架构和体系衔接，积极引导培养全员学习意识、加大对员工</w:t>
      </w:r>
    </w:p>
    <w:p>
      <w:pPr>
        <w:pStyle w:val="BodyText"/>
        <w:spacing w:line="336" w:lineRule="auto" w:before="41"/>
        <w:ind w:right="0"/>
        <w:jc w:val="left"/>
      </w:pPr>
      <w:r>
        <w:rPr>
          <w:spacing w:val="-2"/>
        </w:rPr>
        <w:t>的培训力度、丰富员工的知识体系，公司各业务团队主动拥抱</w:t>
      </w:r>
      <w:r>
        <w:rPr>
          <w:rFonts w:ascii="Times New Roman" w:hAnsi="Times New Roman" w:cs="Times New Roman" w:eastAsia="Times New Roman" w:hint="default"/>
          <w:spacing w:val="-2"/>
        </w:rPr>
        <w:t>“</w:t>
      </w:r>
      <w:r>
        <w:rPr>
          <w:spacing w:val="-2"/>
        </w:rPr>
        <w:t>营销技术</w:t>
      </w:r>
      <w:r>
        <w:rPr>
          <w:rFonts w:ascii="Times New Roman" w:hAnsi="Times New Roman" w:cs="Times New Roman" w:eastAsia="Times New Roman" w:hint="default"/>
          <w:spacing w:val="-2"/>
        </w:rPr>
        <w:t>”</w:t>
      </w:r>
      <w:r>
        <w:rPr>
          <w:spacing w:val="-2"/>
        </w:rPr>
        <w:t>变革，紧紧围绕客户现时存量需求，灵活地紧随及</w:t>
      </w:r>
      <w:r>
        <w:rPr>
          <w:spacing w:val="-44"/>
        </w:rPr>
        <w:t> </w:t>
      </w:r>
      <w:r>
        <w:rPr>
          <w:spacing w:val="-44"/>
        </w:rPr>
      </w:r>
      <w:r>
        <w:rPr/>
        <w:t>挖掘增量需求，有效促进了公司</w:t>
      </w:r>
      <w:r>
        <w:rPr>
          <w:rFonts w:ascii="Times New Roman" w:hAnsi="Times New Roman" w:cs="Times New Roman" w:eastAsia="Times New Roman" w:hint="default"/>
        </w:rPr>
        <w:t>“</w:t>
      </w:r>
      <w:r>
        <w:rPr/>
        <w:t>营销技术</w:t>
      </w:r>
      <w:r>
        <w:rPr>
          <w:rFonts w:ascii="Times New Roman" w:hAnsi="Times New Roman" w:cs="Times New Roman" w:eastAsia="Times New Roman" w:hint="default"/>
        </w:rPr>
        <w:t>”</w:t>
      </w:r>
      <w:r>
        <w:rPr/>
        <w:t>运营解决方案的输出和客户满意度的提升。</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二、主营业务分析" w:id="25"/>
      <w:bookmarkEnd w:id="25"/>
      <w:r>
        <w:rPr>
          <w:b w:val="0"/>
          <w:bCs w:val="0"/>
        </w:rPr>
      </w:r>
      <w:r>
        <w:rPr/>
        <w:t>二、主营业务分析</w:t>
      </w:r>
      <w:r>
        <w:rPr>
          <w:b w:val="0"/>
          <w:bCs w:val="0"/>
        </w:rPr>
      </w:r>
    </w:p>
    <w:p>
      <w:pPr>
        <w:spacing w:line="240" w:lineRule="auto" w:before="8"/>
        <w:rPr>
          <w:rFonts w:ascii="宋体" w:hAnsi="宋体" w:cs="宋体" w:eastAsia="宋体" w:hint="default"/>
          <w:b/>
          <w:bCs/>
          <w:sz w:val="24"/>
          <w:szCs w:val="24"/>
        </w:rPr>
      </w:pPr>
    </w:p>
    <w:p>
      <w:pPr>
        <w:spacing w:line="547" w:lineRule="auto" w:before="0"/>
        <w:ind w:left="154" w:right="7892" w:firstLine="0"/>
        <w:jc w:val="left"/>
        <w:rPr>
          <w:rFonts w:ascii="宋体" w:hAnsi="宋体" w:cs="宋体" w:eastAsia="宋体" w:hint="default"/>
          <w:sz w:val="21"/>
          <w:szCs w:val="21"/>
        </w:rPr>
      </w:pPr>
      <w:bookmarkStart w:name="1、概述" w:id="26"/>
      <w:bookmarkEnd w:id="26"/>
      <w:r>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参见本节中的</w:t>
      </w:r>
      <w:r>
        <w:rPr>
          <w:rFonts w:ascii="Times New Roman" w:hAnsi="Times New Roman" w:cs="Times New Roman" w:eastAsia="Times New Roman" w:hint="default"/>
          <w:sz w:val="18"/>
          <w:szCs w:val="18"/>
        </w:rPr>
        <w:t>“</w:t>
      </w:r>
      <w:r>
        <w:rPr>
          <w:rFonts w:ascii="宋体" w:hAnsi="宋体" w:cs="宋体" w:eastAsia="宋体" w:hint="default"/>
          <w:sz w:val="18"/>
          <w:szCs w:val="18"/>
        </w:rPr>
        <w:t>一、概述</w:t>
      </w:r>
      <w:r>
        <w:rPr>
          <w:rFonts w:ascii="Times New Roman" w:hAnsi="Times New Roman" w:cs="Times New Roman" w:eastAsia="Times New Roman" w:hint="default"/>
          <w:sz w:val="18"/>
          <w:szCs w:val="18"/>
        </w:rPr>
        <w:t>”</w:t>
      </w:r>
      <w:r>
        <w:rPr>
          <w:rFonts w:ascii="宋体" w:hAnsi="宋体" w:cs="宋体" w:eastAsia="宋体" w:hint="default"/>
          <w:sz w:val="18"/>
          <w:szCs w:val="18"/>
        </w:rPr>
        <w:t>相关内容。 </w:t>
      </w:r>
      <w:bookmarkStart w:name="2、收入与成本" w:id="27"/>
      <w:bookmarkEnd w:id="27"/>
      <w:r>
        <w:rPr>
          <w:rFonts w:ascii="宋体" w:hAnsi="宋体" w:cs="宋体" w:eastAsia="宋体" w:hint="default"/>
          <w:sz w:val="18"/>
          <w:szCs w:val="18"/>
        </w:rPr>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5"/>
        <w:ind w:right="0"/>
        <w:jc w:val="left"/>
        <w:rPr>
          <w:b w:val="0"/>
          <w:bCs w:val="0"/>
        </w:rPr>
      </w:pPr>
      <w:bookmarkStart w:name="（1）营业收入构成" w:id="28"/>
      <w:bookmarkEnd w:id="28"/>
      <w:r>
        <w:rPr>
          <w:b w:val="0"/>
          <w:bCs w:val="0"/>
        </w:rPr>
      </w:r>
      <w:r>
        <w:rPr/>
        <w:t>（</w:t>
      </w:r>
      <w:r>
        <w:rPr>
          <w:rFonts w:ascii="Times New Roman" w:hAnsi="Times New Roman" w:cs="Times New Roman" w:eastAsia="Times New Roman" w:hint="default"/>
        </w:rPr>
        <w:t>1</w:t>
      </w:r>
      <w:r>
        <w:rPr/>
        <w:t>）营业收入构成</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6972"/>
        <w:jc w:val="left"/>
      </w:pPr>
      <w:r>
        <w:rPr/>
        <w:t>公司是否需要遵守光伏产业链相关业的披露要求 否</w:t>
      </w:r>
    </w:p>
    <w:p>
      <w:pPr>
        <w:spacing w:after="0" w:line="36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right="139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2"/>
        <w:ind w:right="1135"/>
        <w:jc w:val="left"/>
      </w:pPr>
      <w:r>
        <w:rPr/>
        <w:t>公司是否需遵守《深圳证券交易所创业板行业信息披露指引第</w:t>
      </w:r>
      <w:r>
        <w:rPr>
          <w:spacing w:val="-45"/>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w:t>
      </w:r>
      <w:r>
        <w:rPr>
          <w:spacing w:val="-46"/>
        </w:rPr>
        <w:t> </w:t>
      </w:r>
      <w:r>
        <w:rPr>
          <w:rFonts w:ascii="Times New Roman" w:hAnsi="Times New Roman" w:cs="Times New Roman" w:eastAsia="Times New Roman" w:hint="default"/>
        </w:rPr>
        <w:t>LED</w:t>
      </w:r>
      <w:r>
        <w:rPr>
          <w:rFonts w:ascii="Times New Roman" w:hAnsi="Times New Roman" w:cs="Times New Roman" w:eastAsia="Times New Roman" w:hint="default"/>
          <w:spacing w:val="-1"/>
        </w:rPr>
        <w:t> </w:t>
      </w:r>
      <w:r>
        <w:rPr/>
        <w:t>产业链相关业务》的披露要求： 否</w:t>
      </w:r>
    </w:p>
    <w:p>
      <w:pPr>
        <w:pStyle w:val="BodyText"/>
        <w:spacing w:line="338" w:lineRule="auto" w:before="40"/>
        <w:ind w:right="1664"/>
        <w:jc w:val="left"/>
      </w:pPr>
      <w:r>
        <w:rPr/>
        <w:t>公司是否需遵守《深圳证券交易所创业板行业信息披露指引第</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上市公司从事医疗器械业务》的披露要求： 否</w:t>
      </w:r>
    </w:p>
    <w:p>
      <w:pPr>
        <w:pStyle w:val="BodyText"/>
        <w:spacing w:line="338" w:lineRule="auto" w:before="43"/>
        <w:ind w:right="1483"/>
        <w:jc w:val="left"/>
      </w:pPr>
      <w:r>
        <w:rPr/>
        <w:t>公司是否需遵守《深圳证券交易所行业信息披露指引第</w:t>
      </w:r>
      <w:r>
        <w:rPr>
          <w:spacing w:val="-45"/>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上市公司从软件与信息技术服务业务》的披露要求： 否</w:t>
      </w:r>
    </w:p>
    <w:p>
      <w:pPr>
        <w:pStyle w:val="BodyText"/>
        <w:spacing w:line="240" w:lineRule="auto" w:before="42"/>
        <w:ind w:right="0"/>
        <w:jc w:val="left"/>
      </w:pPr>
      <w:r>
        <w:rPr/>
        <w:t>营业收入整体情况</w:t>
      </w:r>
    </w:p>
    <w:p>
      <w:pPr>
        <w:pStyle w:val="BodyText"/>
        <w:spacing w:line="240" w:lineRule="auto" w:before="117"/>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6"/>
        <w:gridCol w:w="1597"/>
        <w:gridCol w:w="1592"/>
        <w:gridCol w:w="1597"/>
        <w:gridCol w:w="1588"/>
        <w:gridCol w:w="1598"/>
      </w:tblGrid>
      <w:tr>
        <w:trPr>
          <w:trHeight w:val="206"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318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596" w:type="dxa"/>
            <w:vMerge w:val="restart"/>
            <w:tcBorders>
              <w:top w:val="nil" w:sz="6" w:space="0" w:color="auto"/>
              <w:left w:val="single" w:sz="4" w:space="0" w:color="000000"/>
              <w:right w:val="single" w:sz="4" w:space="0" w:color="000000"/>
            </w:tcBorders>
            <w:shd w:val="clear" w:color="auto" w:fill="D2D2D2"/>
          </w:tcPr>
          <w:p>
            <w:pPr/>
          </w:p>
        </w:tc>
        <w:tc>
          <w:tcPr>
            <w:tcW w:w="3189" w:type="dxa"/>
            <w:gridSpan w:val="2"/>
            <w:vMerge/>
            <w:tcBorders>
              <w:left w:val="single" w:sz="4" w:space="0" w:color="000000"/>
              <w:bottom w:val="single" w:sz="4" w:space="0" w:color="000000"/>
              <w:right w:val="single" w:sz="4" w:space="0" w:color="000000"/>
            </w:tcBorders>
            <w:shd w:val="clear" w:color="auto" w:fill="D2D2D2"/>
          </w:tcPr>
          <w:p>
            <w:pPr/>
          </w:p>
        </w:tc>
        <w:tc>
          <w:tcPr>
            <w:tcW w:w="3185" w:type="dxa"/>
            <w:gridSpan w:val="2"/>
            <w:vMerge/>
            <w:tcBorders>
              <w:left w:val="single" w:sz="4" w:space="0" w:color="000000"/>
              <w:bottom w:val="single" w:sz="4" w:space="0" w:color="000000"/>
              <w:right w:val="single" w:sz="4" w:space="0" w:color="000000"/>
            </w:tcBorders>
            <w:shd w:val="clear" w:color="auto" w:fill="D2D2D2"/>
          </w:tcPr>
          <w:p>
            <w:pPr/>
          </w:p>
        </w:tc>
        <w:tc>
          <w:tcPr>
            <w:tcW w:w="159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36"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200" w:hRule="exact"/>
        </w:trPr>
        <w:tc>
          <w:tcPr>
            <w:tcW w:w="1596" w:type="dxa"/>
            <w:vMerge/>
            <w:tcBorders>
              <w:left w:val="single" w:sz="4" w:space="0" w:color="000000"/>
              <w:bottom w:val="nil" w:sz="6" w:space="0" w:color="auto"/>
              <w:right w:val="single" w:sz="4" w:space="0" w:color="000000"/>
            </w:tcBorders>
            <w:shd w:val="clear" w:color="auto" w:fill="D2D2D2"/>
          </w:tcPr>
          <w:p>
            <w:pP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0"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9"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2"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5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7"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597"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369,281,216.23</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7"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504,510,269.50</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c>
          <w:tcPr>
            <w:tcW w:w="159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-26.80%</w:t>
            </w:r>
          </w:p>
        </w:tc>
      </w:tr>
      <w:tr>
        <w:trPr>
          <w:trHeight w:val="397"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173,802,939.27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47.07%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240,140,101.97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47.60%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互联网及信息技术</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78,834,763.32</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114,750,173.93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22.74%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快速消费品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23,772,527.98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6.44%</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34,502,149.13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6.84%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-31.10%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制造业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35,124,008.27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57,826,554.27</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sz w:val="18"/>
              </w:rPr>
              <w:t>11.46%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-39.26%</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27,593,075.79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7.47%</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5,751,583.03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1.14%</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379.75%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奢侈品</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0.00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60,566.04</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0.01%</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w:t>
            </w:r>
            <w:r>
              <w:rPr>
                <w:rFonts w:ascii="Times New Roman"/>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交通运输业</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1,768,476.40</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7,568,816.91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1.50%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-76.63%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能源</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231,772.65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254,746.23</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-9.02%</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文化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15,204,409.57</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6,839,334.89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1.36%</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122.31%</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12,949,242.98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36,816,243.10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7.30%</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-64.83%</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传统营销</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137,936,461.54</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37.35%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230,790,301.69</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45.75%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数字营销</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231,344,754.69</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62.65%</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273,719,967.81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54.25%</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-15.48%</w:t>
            </w:r>
          </w:p>
        </w:tc>
      </w:tr>
      <w:tr>
        <w:trPr>
          <w:trHeight w:val="402"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367,776,274.05</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99.59%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501,368,052.95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99.38%</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1,504,942.18</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3,142,216.55</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0.62%</w:t>
            </w:r>
          </w:p>
        </w:tc>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-52.11%</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占公司营业收入或营业利润10%以上的行业、产品或地区情况" w:id="29"/>
      <w:bookmarkEnd w:id="29"/>
      <w:r>
        <w:rPr>
          <w:b w:val="0"/>
          <w:bCs w:val="0"/>
        </w:rPr>
      </w:r>
      <w:r>
        <w:rPr/>
        <w:t>（</w:t>
      </w:r>
      <w:r>
        <w:rPr>
          <w:rFonts w:ascii="Times New Roman" w:hAnsi="Times New Roman" w:cs="Times New Roman" w:eastAsia="Times New Roman" w:hint="default"/>
        </w:rPr>
        <w:t>2</w:t>
      </w:r>
      <w:r>
        <w:rPr/>
        <w:t>）占公司营业收入或营业利润</w:t>
      </w:r>
      <w:r>
        <w:rPr>
          <w:spacing w:val="-59"/>
        </w:rPr>
        <w:t> </w:t>
      </w:r>
      <w:r>
        <w:rPr>
          <w:rFonts w:ascii="Times New Roman" w:hAnsi="Times New Roman" w:cs="Times New Roman" w:eastAsia="Times New Roman" w:hint="default"/>
        </w:rPr>
        <w:t>10%</w:t>
      </w:r>
      <w:r>
        <w:rPr/>
        <w:t>以上的行业、产品或地区情况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公司是否需要遵守特殊行业的披露要求</w:t>
      </w:r>
    </w:p>
    <w:p>
      <w:pPr>
        <w:spacing w:after="0" w:line="340" w:lineRule="auto"/>
        <w:jc w:val="left"/>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否</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1276"/>
        <w:gridCol w:w="1264"/>
        <w:gridCol w:w="1367"/>
        <w:gridCol w:w="1367"/>
        <w:gridCol w:w="1367"/>
        <w:gridCol w:w="1372"/>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营业收入</w:t>
            </w:r>
          </w:p>
        </w:tc>
        <w:tc>
          <w:tcPr>
            <w:tcW w:w="12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07"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18" w:right="47" w:hanging="271"/>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汽车</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173,802,939.27</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109,726,272.69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-5.27%</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互联网及信息技术</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4" w:right="0"/>
              <w:jc w:val="center"/>
              <w:rPr>
                <w:rFonts w:ascii="Times New Roman" w:hAnsi="Times New Roman" w:cs="Times New Roman" w:eastAsia="Times New Roman" w:hint="default"/>
                <w:sz w:val="18"/>
                <w:szCs w:val="18"/>
              </w:rPr>
            </w:pPr>
            <w:r>
              <w:rPr>
                <w:rFonts w:ascii="Times New Roman"/>
                <w:sz w:val="18"/>
              </w:rPr>
              <w:t>78,834,763.32</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39,685,580.31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49.66%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-27.15%</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-2.86%</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传统营销</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137,936,461.54</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92,793,835.30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32.73%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-40.23%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-27.92%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-11.49%</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数字营销</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231,344,754.69</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128,383,154.22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-15.48%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-9.52%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-3.65%</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center"/>
              <w:rPr>
                <w:rFonts w:ascii="Times New Roman" w:hAnsi="Times New Roman" w:cs="Times New Roman" w:eastAsia="Times New Roman" w:hint="default"/>
                <w:sz w:val="18"/>
                <w:szCs w:val="18"/>
              </w:rPr>
            </w:pPr>
            <w:r>
              <w:rPr>
                <w:rFonts w:ascii="Times New Roman"/>
                <w:sz w:val="18"/>
              </w:rPr>
              <w:t>367,776,274.05</w:t>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220,582,047.36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-26.65%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-18.07%</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w:t>
            </w:r>
          </w:p>
        </w:tc>
      </w:tr>
    </w:tbl>
    <w:p>
      <w:pPr>
        <w:pStyle w:val="BodyText"/>
        <w:spacing w:line="240" w:lineRule="auto" w:before="51"/>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 </w:t>
      </w:r>
      <w:r>
        <w:rPr/>
        <w:t>年按报告期末口径调整后的主营业务数据</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公司实物销售收入是否大于劳务收入" w:id="30"/>
      <w:bookmarkEnd w:id="30"/>
      <w:r>
        <w:rPr>
          <w:b w:val="0"/>
          <w:bCs w:val="0"/>
        </w:rPr>
      </w:r>
      <w:r>
        <w:rPr/>
        <w:t>（</w:t>
      </w:r>
      <w:r>
        <w:rPr>
          <w:rFonts w:ascii="Times New Roman" w:hAnsi="Times New Roman" w:cs="Times New Roman" w:eastAsia="Times New Roman" w:hint="default"/>
        </w:rPr>
        <w:t>3</w:t>
      </w:r>
      <w:r>
        <w:rPr/>
        <w:t>）公司实物销售收入是否大于劳务收入</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公司已签订的重大销售合同截至本报告期的履行情况" w:id="31"/>
      <w:bookmarkEnd w:id="31"/>
      <w:r>
        <w:rPr>
          <w:b w:val="0"/>
          <w:bCs w:val="0"/>
        </w:rPr>
      </w:r>
      <w:r>
        <w:rPr/>
        <w:t>（</w:t>
      </w:r>
      <w:r>
        <w:rPr>
          <w:rFonts w:ascii="Times New Roman" w:hAnsi="Times New Roman" w:cs="Times New Roman" w:eastAsia="Times New Roman"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营业成本构成" w:id="32"/>
      <w:bookmarkEnd w:id="32"/>
      <w:r>
        <w:rPr>
          <w:b w:val="0"/>
          <w:bCs w:val="0"/>
        </w:rPr>
      </w:r>
      <w:r>
        <w:rPr/>
        <w:t>（</w:t>
      </w:r>
      <w:r>
        <w:rPr>
          <w:rFonts w:ascii="Times New Roman" w:hAnsi="Times New Roman" w:cs="Times New Roman" w:eastAsia="Times New Roman" w:hint="default"/>
        </w:rPr>
        <w:t>5</w:t>
      </w:r>
      <w:r>
        <w:rPr/>
        <w:t>）营业成本构成</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t>产品分类</w:t>
      </w:r>
    </w:p>
    <w:p>
      <w:pPr>
        <w:pStyle w:val="BodyText"/>
        <w:spacing w:line="240" w:lineRule="auto" w:before="116"/>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367"/>
        <w:gridCol w:w="1367"/>
        <w:gridCol w:w="1367"/>
        <w:gridCol w:w="1368"/>
        <w:gridCol w:w="1367"/>
        <w:gridCol w:w="1367"/>
      </w:tblGrid>
      <w:tr>
        <w:trPr>
          <w:trHeight w:val="402" w:hRule="exact"/>
        </w:trPr>
        <w:tc>
          <w:tcPr>
            <w:tcW w:w="13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70"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传统营销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媒介成本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39,961,265.55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54,135,024.75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-26.18%</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传统营销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现场活动相关成 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52,184,484.51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23.59%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73,937,906.61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-29.42%</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数字营销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媒介成本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92,098,920.91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41.64%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113,398,374.11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-18.78%</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数字营销</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现场活动相关成 本</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35,456,929.44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27,949,919.13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10.33%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26.86%</w:t>
            </w:r>
          </w:p>
        </w:tc>
      </w:tr>
    </w:tbl>
    <w:p>
      <w:pPr>
        <w:pStyle w:val="BodyText"/>
        <w:spacing w:line="338" w:lineRule="auto" w:before="51"/>
        <w:ind w:right="1118"/>
        <w:jc w:val="left"/>
      </w:pPr>
      <w:r>
        <w:rPr/>
        <w:t>说明 </w:t>
      </w:r>
      <w:r>
        <w:rPr>
          <w:spacing w:val="-2"/>
        </w:rPr>
        <w:t>营业成本构成按产品分类：传统营销和数字营销；公司主营业务为整合营销传播服务，业务开展主要投入是媒介成本和现场</w:t>
      </w:r>
      <w:r>
        <w:rPr>
          <w:spacing w:val="-66"/>
        </w:rPr>
        <w:t> </w:t>
      </w:r>
      <w:r>
        <w:rPr>
          <w:spacing w:val="-66"/>
        </w:rPr>
      </w:r>
      <w:r>
        <w:rPr/>
        <w:t>活动相关成本。</w:t>
      </w:r>
    </w:p>
    <w:p>
      <w:pPr>
        <w:spacing w:after="0" w:line="338" w:lineRule="auto"/>
        <w:jc w:val="left"/>
        <w:sectPr>
          <w:pgSz w:w="11910" w:h="16840"/>
          <w:pgMar w:header="74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6）报告期内合并范围是否发生变动" w:id="33"/>
      <w:bookmarkEnd w:id="33"/>
      <w:r>
        <w:rPr>
          <w:b w:val="0"/>
          <w:bCs w:val="0"/>
        </w:rPr>
      </w:r>
      <w:r>
        <w:rPr/>
        <w:t>（</w:t>
      </w:r>
      <w:r>
        <w:rPr>
          <w:rFonts w:ascii="Times New Roman" w:hAnsi="Times New Roman" w:cs="Times New Roman" w:eastAsia="Times New Roman" w:hint="default"/>
        </w:rPr>
        <w:t>6</w:t>
      </w:r>
      <w:r>
        <w:rPr/>
        <w:t>）报告期内合并范围是否发生变动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1"/>
        <w:ind w:left="514" w:right="0"/>
        <w:jc w:val="left"/>
      </w:pPr>
      <w:r>
        <w:rPr/>
        <w:t>本公司于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05</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24</w:t>
      </w:r>
      <w:r>
        <w:rPr>
          <w:rFonts w:ascii="Times New Roman" w:hAnsi="Times New Roman" w:cs="Times New Roman" w:eastAsia="Times New Roman" w:hint="default"/>
          <w:spacing w:val="-9"/>
        </w:rPr>
        <w:t> </w:t>
      </w:r>
      <w:r>
        <w:rPr/>
        <w:t>日与种房（北京）科技有限公司、邓伟玉、北京财到信息技术有限公司、宜昌泰如丰汇网络</w:t>
      </w:r>
    </w:p>
    <w:p>
      <w:pPr>
        <w:pStyle w:val="BodyText"/>
        <w:spacing w:line="240" w:lineRule="auto" w:before="63"/>
        <w:ind w:right="0"/>
        <w:jc w:val="left"/>
      </w:pPr>
      <w:r>
        <w:rPr>
          <w:spacing w:val="-5"/>
        </w:rPr>
        <w:t>科技有限公司（</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3"/>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月</w:t>
      </w:r>
      <w:r>
        <w:rPr>
          <w:spacing w:val="-39"/>
        </w:rPr>
        <w:t> </w:t>
      </w:r>
      <w:r>
        <w:rPr>
          <w:rFonts w:ascii="Times New Roman" w:hAnsi="Times New Roman" w:cs="Times New Roman" w:eastAsia="Times New Roman" w:hint="default"/>
        </w:rPr>
        <w:t>18</w:t>
      </w:r>
      <w:r>
        <w:rPr>
          <w:rFonts w:ascii="Times New Roman" w:hAnsi="Times New Roman" w:cs="Times New Roman" w:eastAsia="Times New Roman" w:hint="default"/>
          <w:spacing w:val="-3"/>
        </w:rPr>
        <w:t> </w:t>
      </w:r>
      <w:r>
        <w:rPr>
          <w:spacing w:val="-3"/>
        </w:rPr>
        <w:t>日</w:t>
      </w:r>
      <w:r>
        <w:rPr>
          <w:rFonts w:ascii="Times New Roman" w:hAnsi="Times New Roman" w:cs="Times New Roman" w:eastAsia="Times New Roman" w:hint="default"/>
          <w:spacing w:val="-3"/>
        </w:rPr>
        <w:t>“</w:t>
      </w:r>
      <w:r>
        <w:rPr>
          <w:spacing w:val="-3"/>
        </w:rPr>
        <w:t>宜昌泰如丰汇网络科技有限公司</w:t>
      </w:r>
      <w:r>
        <w:rPr>
          <w:rFonts w:ascii="Times New Roman" w:hAnsi="Times New Roman" w:cs="Times New Roman" w:eastAsia="Times New Roman" w:hint="default"/>
          <w:spacing w:val="-3"/>
        </w:rPr>
        <w:t>”</w:t>
      </w:r>
      <w:r>
        <w:rPr>
          <w:spacing w:val="-3"/>
        </w:rPr>
        <w:t>将所持股权转让给</w:t>
      </w:r>
      <w:r>
        <w:rPr>
          <w:rFonts w:ascii="Times New Roman" w:hAnsi="Times New Roman" w:cs="Times New Roman" w:eastAsia="Times New Roman" w:hint="default"/>
          <w:spacing w:val="-3"/>
        </w:rPr>
        <w:t>“</w:t>
      </w:r>
      <w:r>
        <w:rPr>
          <w:spacing w:val="-3"/>
        </w:rPr>
        <w:t>北京墨多客科技中心（有限合伙）</w:t>
      </w:r>
      <w:r>
        <w:rPr>
          <w:rFonts w:ascii="Times New Roman" w:hAnsi="Times New Roman" w:cs="Times New Roman" w:eastAsia="Times New Roman" w:hint="default"/>
          <w:spacing w:val="-3"/>
        </w:rPr>
        <w:t>”</w:t>
      </w:r>
      <w:r>
        <w:rPr>
          <w:spacing w:val="-3"/>
        </w:rPr>
        <w:t>）</w:t>
      </w:r>
    </w:p>
    <w:p>
      <w:pPr>
        <w:pStyle w:val="BodyText"/>
        <w:spacing w:line="240" w:lineRule="auto" w:before="63"/>
        <w:ind w:right="0"/>
        <w:jc w:val="left"/>
      </w:pPr>
      <w:r>
        <w:rPr/>
        <w:t>及丁来滨出资设立子公司北京金色区块网络科技有限公司。截至</w:t>
      </w:r>
      <w:r>
        <w:rPr>
          <w:spacing w:val="-45"/>
        </w:rPr>
        <w:t> </w:t>
      </w: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日，北京金色区块网络科技有限公司注册</w:t>
      </w:r>
    </w:p>
    <w:p>
      <w:pPr>
        <w:pStyle w:val="BodyText"/>
        <w:spacing w:line="302" w:lineRule="auto" w:before="63"/>
        <w:ind w:right="1138"/>
        <w:jc w:val="left"/>
      </w:pPr>
      <w:r>
        <w:rPr/>
        <w:t>资本</w:t>
      </w:r>
      <w:r>
        <w:rPr>
          <w:spacing w:val="-46"/>
        </w:rPr>
        <w:t> </w:t>
      </w:r>
      <w:r>
        <w:rPr>
          <w:rFonts w:ascii="Times New Roman" w:hAnsi="Times New Roman" w:cs="Times New Roman" w:eastAsia="Times New Roman" w:hint="default"/>
        </w:rPr>
        <w:t>2,000</w:t>
      </w:r>
      <w:r>
        <w:rPr>
          <w:rFonts w:ascii="Times New Roman" w:hAnsi="Times New Roman" w:cs="Times New Roman" w:eastAsia="Times New Roman" w:hint="default"/>
          <w:spacing w:val="-9"/>
        </w:rPr>
        <w:t> </w:t>
      </w:r>
      <w:r>
        <w:rPr/>
        <w:t>万元，实收资本</w:t>
      </w:r>
      <w:r>
        <w:rPr>
          <w:spacing w:val="-46"/>
        </w:rPr>
        <w:t> </w:t>
      </w:r>
      <w:r>
        <w:rPr>
          <w:rFonts w:ascii="Times New Roman" w:hAnsi="Times New Roman" w:cs="Times New Roman" w:eastAsia="Times New Roman" w:hint="default"/>
        </w:rPr>
        <w:t>1,400.00</w:t>
      </w:r>
      <w:r>
        <w:rPr>
          <w:rFonts w:ascii="Times New Roman" w:hAnsi="Times New Roman" w:cs="Times New Roman" w:eastAsia="Times New Roman" w:hint="default"/>
          <w:spacing w:val="-9"/>
        </w:rPr>
        <w:t> </w:t>
      </w:r>
      <w:r>
        <w:rPr/>
        <w:t>万元，法定代表人丁来滨。本公司出资</w:t>
      </w:r>
      <w:r>
        <w:rPr>
          <w:spacing w:val="-46"/>
        </w:rPr>
        <w:t> </w:t>
      </w:r>
      <w:r>
        <w:rPr>
          <w:rFonts w:ascii="Times New Roman" w:hAnsi="Times New Roman" w:cs="Times New Roman" w:eastAsia="Times New Roman" w:hint="default"/>
        </w:rPr>
        <w:t>714</w:t>
      </w:r>
      <w:r>
        <w:rPr>
          <w:rFonts w:ascii="Times New Roman" w:hAnsi="Times New Roman" w:cs="Times New Roman" w:eastAsia="Times New Roman" w:hint="default"/>
          <w:spacing w:val="-9"/>
        </w:rPr>
        <w:t> </w:t>
      </w:r>
      <w:r>
        <w:rPr/>
        <w:t>万元，持股</w:t>
      </w:r>
      <w:r>
        <w:rPr>
          <w:spacing w:val="-46"/>
        </w:rPr>
        <w:t> </w:t>
      </w:r>
      <w:r>
        <w:rPr>
          <w:rFonts w:ascii="Times New Roman" w:hAnsi="Times New Roman" w:cs="Times New Roman" w:eastAsia="Times New Roman" w:hint="default"/>
        </w:rPr>
        <w:t>35.7%</w:t>
      </w:r>
      <w:r>
        <w:rPr/>
        <w:t>，为第一大股东，能够控 制该公司，本年将其纳入合并报表范围。</w:t>
      </w:r>
    </w:p>
    <w:p>
      <w:pPr>
        <w:spacing w:line="240" w:lineRule="auto" w:before="3"/>
        <w:rPr>
          <w:rFonts w:ascii="宋体" w:hAnsi="宋体" w:cs="宋体" w:eastAsia="宋体" w:hint="default"/>
          <w:sz w:val="23"/>
          <w:szCs w:val="23"/>
        </w:rPr>
      </w:pPr>
    </w:p>
    <w:p>
      <w:pPr>
        <w:pStyle w:val="Heading4"/>
        <w:spacing w:line="240" w:lineRule="auto"/>
        <w:ind w:right="0"/>
        <w:jc w:val="left"/>
        <w:rPr>
          <w:b w:val="0"/>
          <w:bCs w:val="0"/>
        </w:rPr>
      </w:pPr>
      <w:bookmarkStart w:name="（7）公司报告期内业务、产品或服务发生重大变化或调整有关情况" w:id="34"/>
      <w:bookmarkEnd w:id="34"/>
      <w:r>
        <w:rPr>
          <w:b w:val="0"/>
          <w:bCs w:val="0"/>
        </w:rPr>
      </w:r>
      <w:r>
        <w:rPr/>
        <w:t>（</w:t>
      </w:r>
      <w:r>
        <w:rPr>
          <w:rFonts w:ascii="Times New Roman" w:hAnsi="Times New Roman" w:cs="Times New Roman" w:eastAsia="Times New Roman" w:hint="default"/>
        </w:rPr>
        <w:t>7</w:t>
      </w:r>
      <w:r>
        <w:rPr/>
        <w:t>）公司报告期内业务、产品或服务发生重大变化或调整有关情况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8）主要销售客户和主要供应商情况" w:id="35"/>
      <w:bookmarkEnd w:id="35"/>
      <w:r>
        <w:rPr>
          <w:b w:val="0"/>
          <w:bCs w:val="0"/>
        </w:rPr>
      </w:r>
      <w:r>
        <w:rPr/>
        <w:t>（</w:t>
      </w:r>
      <w:r>
        <w:rPr>
          <w:rFonts w:ascii="Times New Roman" w:hAnsi="Times New Roman" w:cs="Times New Roman" w:eastAsia="Times New Roman" w:hint="default"/>
        </w:rPr>
        <w:t>8</w:t>
      </w:r>
      <w:r>
        <w:rPr/>
        <w:t>）主要销售客户和主要供应商情况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130,038,310.50</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35.21%</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91"/>
        <w:gridCol w:w="3313"/>
        <w:gridCol w:w="2322"/>
        <w:gridCol w:w="3143"/>
      </w:tblGrid>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15"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43,800,995.68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11.86%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24,870,651.08</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6.73%</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23,688,665.60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6.41%</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19,052,566.05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5.16%</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33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客户五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18,625,432.09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5.04%</w:t>
            </w:r>
          </w:p>
        </w:tc>
      </w:tr>
      <w:tr>
        <w:trPr>
          <w:trHeight w:val="402"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130,038,310.50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35.21%</w:t>
            </w:r>
          </w:p>
        </w:tc>
      </w:tr>
    </w:tbl>
    <w:p>
      <w:pPr>
        <w:pStyle w:val="BodyText"/>
        <w:spacing w:line="240" w:lineRule="auto" w:before="51"/>
        <w:ind w:right="0"/>
        <w:jc w:val="left"/>
      </w:pPr>
      <w:r>
        <w:rPr/>
        <w:t>主要客户其他情况说明</w:t>
      </w:r>
    </w:p>
    <w:p>
      <w:pPr>
        <w:pStyle w:val="BodyText"/>
        <w:spacing w:line="338" w:lineRule="auto" w:before="117"/>
        <w:ind w:right="91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公司主要供应商情况</w:t>
      </w:r>
    </w:p>
    <w:p>
      <w:pPr>
        <w:spacing w:line="240" w:lineRule="auto" w:before="6"/>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8"/>
        <w:gridCol w:w="5311"/>
      </w:tblGrid>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33,299,604.39</w:t>
            </w:r>
          </w:p>
        </w:tc>
      </w:tr>
      <w:tr>
        <w:trPr>
          <w:trHeight w:val="402"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14.05%</w:t>
            </w:r>
          </w:p>
        </w:tc>
      </w:tr>
      <w:tr>
        <w:trPr>
          <w:trHeight w:val="714" w:hRule="exact"/>
        </w:trPr>
        <w:tc>
          <w:tcPr>
            <w:tcW w:w="4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83"/>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spacing w:line="240" w:lineRule="auto" w:before="0"/>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1</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供应商一</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43" w:right="0"/>
              <w:jc w:val="left"/>
              <w:rPr>
                <w:rFonts w:ascii="Times New Roman" w:hAnsi="Times New Roman" w:cs="Times New Roman" w:eastAsia="Times New Roman" w:hint="default"/>
                <w:sz w:val="18"/>
                <w:szCs w:val="18"/>
              </w:rPr>
            </w:pPr>
            <w:r>
              <w:rPr>
                <w:rFonts w:ascii="Times New Roman"/>
                <w:sz w:val="18"/>
              </w:rPr>
              <w:t>8,361,583.50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80"/>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0"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6"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2</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供应商二</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8,009,881.87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3</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供应商三</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4</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供应商四</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5,800,000.00</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2.45%</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left"/>
              <w:rPr>
                <w:rFonts w:ascii="Times New Roman" w:hAnsi="Times New Roman" w:cs="Times New Roman" w:eastAsia="Times New Roman" w:hint="default"/>
                <w:sz w:val="18"/>
                <w:szCs w:val="18"/>
              </w:rPr>
            </w:pPr>
            <w:r>
              <w:rPr>
                <w:rFonts w:ascii="Times New Roman"/>
                <w:sz w:val="18"/>
              </w:rPr>
              <w:t>5</w:t>
            </w:r>
          </w:p>
        </w:tc>
        <w:tc>
          <w:tcPr>
            <w:tcW w:w="318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供应商五</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4,228,139.02</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8" w:right="0"/>
              <w:jc w:val="center"/>
              <w:rPr>
                <w:rFonts w:ascii="Times New Roman" w:hAnsi="Times New Roman" w:cs="Times New Roman" w:eastAsia="Times New Roman" w:hint="default"/>
                <w:sz w:val="18"/>
                <w:szCs w:val="18"/>
              </w:rPr>
            </w:pPr>
            <w:r>
              <w:rPr>
                <w:rFonts w:ascii="Times New Roman"/>
                <w:sz w:val="18"/>
              </w:rPr>
              <w:t>--</w:t>
            </w:r>
          </w:p>
        </w:tc>
        <w:tc>
          <w:tcPr>
            <w:tcW w:w="232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33,299,604.39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14.05%</w:t>
            </w:r>
          </w:p>
        </w:tc>
      </w:tr>
    </w:tbl>
    <w:p>
      <w:pPr>
        <w:pStyle w:val="BodyText"/>
        <w:spacing w:line="240" w:lineRule="auto" w:before="51"/>
        <w:ind w:right="0"/>
        <w:jc w:val="left"/>
      </w:pPr>
      <w:r>
        <w:rPr/>
        <w:t>主要供应商其他情况说明</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费用" w:id="36"/>
      <w:bookmarkEnd w:id="36"/>
      <w:r>
        <w:rPr>
          <w:b w:val="0"/>
          <w:bCs w:val="0"/>
        </w:rPr>
      </w:r>
      <w:r>
        <w:rPr>
          <w:rFonts w:ascii="Times New Roman" w:hAnsi="Times New Roman" w:cs="Times New Roman" w:eastAsia="Times New Roman" w:hint="default"/>
        </w:rPr>
        <w:t>3</w:t>
      </w:r>
      <w:r>
        <w:rPr/>
        <w:t>、费用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8"/>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77,909,360.25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76,401,292.04</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162" w:hRule="exact"/>
        </w:trPr>
        <w:tc>
          <w:tcPr>
            <w:tcW w:w="18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649" w:type="dxa"/>
            <w:vMerge w:val="restart"/>
            <w:tcBorders>
              <w:top w:val="single" w:sz="4" w:space="0" w:color="000000"/>
              <w:left w:val="single" w:sz="10" w:space="0" w:color="D2D2D2"/>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4" w:right="0"/>
              <w:jc w:val="left"/>
              <w:rPr>
                <w:rFonts w:ascii="Times New Roman" w:hAnsi="Times New Roman" w:cs="Times New Roman" w:eastAsia="Times New Roman" w:hint="default"/>
                <w:sz w:val="18"/>
                <w:szCs w:val="18"/>
              </w:rPr>
            </w:pPr>
            <w:r>
              <w:rPr>
                <w:rFonts w:ascii="Times New Roman"/>
                <w:sz w:val="18"/>
              </w:rPr>
              <w:t>25,843,835.43</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70" w:right="0"/>
              <w:jc w:val="left"/>
              <w:rPr>
                <w:rFonts w:ascii="Times New Roman" w:hAnsi="Times New Roman" w:cs="Times New Roman" w:eastAsia="Times New Roman" w:hint="default"/>
                <w:sz w:val="18"/>
                <w:szCs w:val="18"/>
              </w:rPr>
            </w:pPr>
            <w:r>
              <w:rPr>
                <w:rFonts w:ascii="Times New Roman"/>
                <w:sz w:val="18"/>
              </w:rPr>
              <w:t>32,846,423.13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13" w:right="0"/>
              <w:jc w:val="left"/>
              <w:rPr>
                <w:rFonts w:ascii="Times New Roman" w:hAnsi="Times New Roman" w:cs="Times New Roman" w:eastAsia="Times New Roman" w:hint="default"/>
                <w:sz w:val="18"/>
                <w:szCs w:val="18"/>
              </w:rPr>
            </w:pPr>
            <w:r>
              <w:rPr>
                <w:rFonts w:ascii="Times New Roman"/>
                <w:sz w:val="18"/>
              </w:rPr>
              <w:t>-21.32%</w:t>
            </w:r>
          </w:p>
        </w:tc>
        <w:tc>
          <w:tcPr>
            <w:tcW w:w="2918"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2"/>
                <w:sz w:val="18"/>
                <w:szCs w:val="18"/>
              </w:rPr>
              <w:t>报告期人员减少，导致人工成本减少</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及重组中介费减少</w:t>
            </w:r>
          </w:p>
        </w:tc>
      </w:tr>
      <w:tr>
        <w:trPr>
          <w:trHeight w:val="391" w:hRule="exact"/>
        </w:trPr>
        <w:tc>
          <w:tcPr>
            <w:tcW w:w="18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vMerge/>
            <w:tcBorders>
              <w:left w:val="single" w:sz="10"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8"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649" w:type="dxa"/>
            <w:vMerge/>
            <w:tcBorders>
              <w:left w:val="single" w:sz="10"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8" w:type="dxa"/>
            <w:vMerge/>
            <w:tcBorders>
              <w:left w:val="single" w:sz="4" w:space="0" w:color="000000"/>
              <w:bottom w:val="single" w:sz="4" w:space="0" w:color="000000"/>
              <w:right w:val="single" w:sz="4" w:space="0" w:color="000000"/>
            </w:tcBorders>
          </w:tcPr>
          <w:p>
            <w:pP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-177,990.38</w:t>
            </w:r>
            <w:r>
              <w:rPr>
                <w:rFonts w:ascii="Times New Roman"/>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-931,071.42</w:t>
            </w:r>
            <w:r>
              <w:rPr>
                <w:rFonts w:ascii="Times New Roman"/>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80.88%</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报告期利息支出增加所致</w:t>
            </w: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14,684,127.72</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18,842,176.87</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-22.07%</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报告期研发人员减少所致</w:t>
            </w:r>
          </w:p>
        </w:tc>
      </w:tr>
    </w:tbl>
    <w:p>
      <w:pPr>
        <w:spacing w:line="240" w:lineRule="auto" w:before="3"/>
        <w:rPr>
          <w:rFonts w:ascii="宋体" w:hAnsi="宋体" w:cs="宋体" w:eastAsia="宋体" w:hint="default"/>
          <w:sz w:val="19"/>
          <w:szCs w:val="19"/>
        </w:rPr>
      </w:pPr>
    </w:p>
    <w:p>
      <w:pPr>
        <w:pStyle w:val="Heading4"/>
        <w:spacing w:line="240" w:lineRule="auto" w:before="35"/>
        <w:ind w:right="0"/>
        <w:jc w:val="both"/>
        <w:rPr>
          <w:b w:val="0"/>
          <w:bCs w:val="0"/>
        </w:rPr>
      </w:pPr>
      <w:bookmarkStart w:name="4、研发投入" w:id="37"/>
      <w:bookmarkEnd w:id="37"/>
      <w:r>
        <w:rPr>
          <w:b w:val="0"/>
          <w:bCs w:val="0"/>
        </w:rPr>
      </w:r>
      <w:r>
        <w:rPr>
          <w:rFonts w:ascii="Times New Roman" w:hAnsi="Times New Roman" w:cs="Times New Roman" w:eastAsia="Times New Roman" w:hint="default"/>
        </w:rPr>
        <w:t>4</w:t>
      </w:r>
      <w:r>
        <w:rPr/>
        <w:t>、研发投入</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left="534" w:right="1118" w:hanging="381"/>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公司持续顺应技术发展与变革的趋势，积极优化数字营销平台建设项目，报告期内，公司加大了人工智能（</w:t>
      </w:r>
      <w:r>
        <w:rPr>
          <w:rFonts w:ascii="宋体" w:hAnsi="宋体" w:cs="宋体" w:eastAsia="宋体" w:hint="default"/>
        </w:rPr>
        <w:t>AI</w:t>
      </w:r>
      <w:r>
        <w:rPr/>
        <w:t>）、大</w:t>
      </w:r>
    </w:p>
    <w:p>
      <w:pPr>
        <w:pStyle w:val="BodyText"/>
        <w:spacing w:line="316" w:lineRule="auto" w:before="2"/>
        <w:ind w:right="1129"/>
        <w:jc w:val="both"/>
      </w:pPr>
      <w:r>
        <w:rPr>
          <w:spacing w:val="-1"/>
        </w:rPr>
        <w:t>数据（</w:t>
      </w:r>
      <w:r>
        <w:rPr>
          <w:rFonts w:ascii="宋体" w:hAnsi="宋体" w:cs="宋体" w:eastAsia="宋体" w:hint="default"/>
          <w:spacing w:val="-1"/>
        </w:rPr>
        <w:t>Big</w:t>
      </w:r>
      <w:r>
        <w:rPr>
          <w:rFonts w:ascii="宋体" w:hAnsi="宋体" w:cs="宋体" w:eastAsia="宋体" w:hint="default"/>
          <w:spacing w:val="-27"/>
        </w:rPr>
        <w:t> </w:t>
      </w:r>
      <w:r>
        <w:rPr>
          <w:rFonts w:ascii="宋体" w:hAnsi="宋体" w:cs="宋体" w:eastAsia="宋体" w:hint="default"/>
          <w:spacing w:val="-1"/>
        </w:rPr>
        <w:t>Data</w:t>
      </w:r>
      <w:r>
        <w:rPr>
          <w:spacing w:val="-1"/>
        </w:rPr>
        <w:t>）、区块链（</w:t>
      </w:r>
      <w:r>
        <w:rPr>
          <w:rFonts w:ascii="宋体" w:hAnsi="宋体" w:cs="宋体" w:eastAsia="宋体" w:hint="default"/>
          <w:spacing w:val="-1"/>
        </w:rPr>
        <w:t>Blockchain</w:t>
      </w:r>
      <w:r>
        <w:rPr>
          <w:spacing w:val="-1"/>
        </w:rPr>
        <w:t>）技术在营销场景应用探索的投入，充分结合客户需求的痛点，研发了舆情大数据</w:t>
      </w:r>
      <w:r>
        <w:rPr>
          <w:spacing w:val="-86"/>
        </w:rPr>
        <w:t> </w:t>
      </w:r>
      <w:r>
        <w:rPr>
          <w:spacing w:val="-86"/>
        </w:rPr>
      </w:r>
      <w:r>
        <w:rPr>
          <w:spacing w:val="-2"/>
        </w:rPr>
        <w:t>分析、内容智能创作、媒介价值评估等一系列数字营销平台应用产品。其中，舆情大数据分析平台依托</w:t>
      </w:r>
      <w:r>
        <w:rPr>
          <w:rFonts w:ascii="宋体" w:hAnsi="宋体" w:cs="宋体" w:eastAsia="宋体" w:hint="default"/>
          <w:spacing w:val="-2"/>
        </w:rPr>
        <w:t>AI</w:t>
      </w:r>
      <w:r>
        <w:rPr>
          <w:spacing w:val="-2"/>
        </w:rPr>
        <w:t>技术实现了智能全</w:t>
      </w:r>
      <w:r>
        <w:rPr>
          <w:spacing w:val="-64"/>
        </w:rPr>
        <w:t> </w:t>
      </w:r>
      <w:r>
        <w:rPr>
          <w:spacing w:val="-2"/>
        </w:rPr>
        <w:t>媒体监测，为客户极大地提升了服务效率与效益；内容智能创作平台打造了从内容智能生产、分发及效果反馈闭环产品解决</w:t>
      </w:r>
      <w:r>
        <w:rPr>
          <w:spacing w:val="-66"/>
        </w:rPr>
        <w:t> </w:t>
      </w:r>
      <w:r>
        <w:rPr>
          <w:spacing w:val="-66"/>
        </w:rPr>
      </w:r>
      <w:r>
        <w:rPr>
          <w:spacing w:val="-2"/>
        </w:rPr>
        <w:t>方案，为内容营销行业的参与者提供一个高效制作、协作平台；根据长时间在媒体端数据积累，结合大数据分析技术研发了</w:t>
      </w:r>
      <w:r>
        <w:rPr>
          <w:spacing w:val="-66"/>
        </w:rPr>
        <w:t> </w:t>
      </w:r>
      <w:r>
        <w:rPr>
          <w:spacing w:val="-66"/>
        </w:rPr>
      </w:r>
      <w:r>
        <w:rPr/>
        <w:t>媒体价值评估系统，为客户推荐适合自己品牌的媒体，为客户精准化传播、精细化运营提供综合解决方案。</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3"/>
          <w:szCs w:val="13"/>
        </w:rPr>
      </w:pPr>
    </w:p>
    <w:p>
      <w:pPr>
        <w:pStyle w:val="BodyText"/>
        <w:spacing w:line="240" w:lineRule="auto"/>
        <w:ind w:right="0"/>
        <w:jc w:val="both"/>
      </w:pPr>
      <w:r>
        <w:rPr/>
        <w:t>近三年公司研发投入金额及占营业收入的比例</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4"/>
        <w:gridCol w:w="1820"/>
        <w:gridCol w:w="2392"/>
        <w:gridCol w:w="2392"/>
      </w:tblGrid>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8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12.84%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6.15%</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14,684,127.72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18,842,176.87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11,863,210.57</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2.54%</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研发支出资本化的金额（元）</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资本化研发支出占研发投入的比例</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资本化研发支出占当期净利润的比重</w:t>
            </w:r>
          </w:p>
        </w:tc>
        <w:tc>
          <w:tcPr>
            <w:tcW w:w="182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t>研发投入总额占营业收入的比重较上年发生显著变化的原因</w:t>
      </w:r>
    </w:p>
    <w:p>
      <w:pPr>
        <w:pStyle w:val="BodyText"/>
        <w:spacing w:line="340" w:lineRule="auto" w:before="116"/>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研发投入资本化率大幅变动的原因及其合理性说明</w:t>
      </w:r>
    </w:p>
    <w:p>
      <w:pPr>
        <w:pStyle w:val="BodyText"/>
        <w:spacing w:line="240" w:lineRule="auto" w:before="40"/>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现金流" w:id="38"/>
      <w:bookmarkEnd w:id="38"/>
      <w:r>
        <w:rPr>
          <w:b w:val="0"/>
          <w:bCs w:val="0"/>
        </w:rPr>
      </w:r>
      <w:r>
        <w:rPr>
          <w:rFonts w:ascii="Times New Roman" w:hAnsi="Times New Roman" w:cs="Times New Roman" w:eastAsia="Times New Roman" w:hint="default"/>
        </w:rPr>
        <w:t>5</w:t>
      </w:r>
      <w:r>
        <w:rPr/>
        <w:t>、现金流</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672"/>
        <w:gridCol w:w="2102"/>
        <w:gridCol w:w="2392"/>
        <w:gridCol w:w="2392"/>
      </w:tblGrid>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591,179,960.16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480,150,655.93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23.12%</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476,891,599.81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509,912,166.55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-6.48%</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114,288,360.35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-29,761,510.62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484.01%</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-42.86%</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71,849,789.22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21,816,074.00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229.34%</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-71,769,789.22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-21,676,074.00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-231.10%</w:t>
            </w:r>
            <w:r>
              <w:rPr>
                <w:rFonts w:ascii="Times New Roman"/>
                <w:sz w:val="18"/>
              </w:rPr>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56,860,000.00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264,686,366.48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-78.52%</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150,015,289.27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60,287,372.68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148.83%</w:t>
            </w:r>
          </w:p>
        </w:tc>
      </w:tr>
      <w:tr>
        <w:trPr>
          <w:trHeight w:val="402"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-93,155,289.27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204,398,993.80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-145.58%</w:t>
            </w:r>
            <w:r>
              <w:rPr>
                <w:rFonts w:ascii="Times New Roman"/>
                <w:sz w:val="18"/>
              </w:rPr>
            </w:r>
          </w:p>
        </w:tc>
      </w:tr>
      <w:tr>
        <w:trPr>
          <w:trHeight w:val="40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1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-48,091,598.49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152,702,992.53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w w:val="95"/>
                <w:sz w:val="18"/>
              </w:rPr>
              <w:t>-131.49%</w:t>
            </w:r>
            <w:r>
              <w:rPr>
                <w:rFonts w:ascii="Times New Roman"/>
                <w:sz w:val="18"/>
              </w:rPr>
            </w:r>
          </w:p>
        </w:tc>
      </w:tr>
    </w:tbl>
    <w:p>
      <w:pPr>
        <w:pStyle w:val="BodyText"/>
        <w:spacing w:line="240" w:lineRule="auto" w:before="51"/>
        <w:ind w:right="0"/>
        <w:jc w:val="left"/>
      </w:pPr>
      <w:r>
        <w:rPr/>
        <w:t>相关数据同比发生重大变动的主要影响因素说明</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444" w:right="0"/>
        <w:jc w:val="left"/>
      </w:pPr>
      <w:r>
        <w:rPr>
          <w:rFonts w:ascii="Times New Roman" w:hAnsi="Times New Roman" w:cs="Times New Roman" w:eastAsia="Times New Roman" w:hint="default"/>
        </w:rPr>
        <w:t>2018</w:t>
      </w:r>
      <w:r>
        <w:rPr/>
        <w:t>年随着收款管理的加强，公司经营现金流量净额持续改善增加。</w:t>
      </w:r>
    </w:p>
    <w:p>
      <w:pPr>
        <w:pStyle w:val="BodyText"/>
        <w:spacing w:line="240" w:lineRule="auto" w:before="63"/>
        <w:ind w:left="444" w:right="0"/>
        <w:jc w:val="left"/>
      </w:pPr>
      <w:r>
        <w:rPr>
          <w:rFonts w:ascii="Times New Roman" w:hAnsi="Times New Roman" w:cs="Times New Roman" w:eastAsia="Times New Roman" w:hint="default"/>
        </w:rPr>
        <w:t>2018</w:t>
      </w:r>
      <w:r>
        <w:rPr/>
        <w:t>年投资活动现金流入为处置固定资产收回的现金净额。</w:t>
      </w:r>
    </w:p>
    <w:p>
      <w:pPr>
        <w:pStyle w:val="BodyText"/>
        <w:spacing w:line="240" w:lineRule="auto" w:before="63"/>
        <w:ind w:left="444" w:right="0"/>
        <w:jc w:val="left"/>
      </w:pPr>
      <w:r>
        <w:rPr>
          <w:rFonts w:ascii="Times New Roman" w:hAnsi="Times New Roman" w:cs="Times New Roman" w:eastAsia="Times New Roman" w:hint="default"/>
        </w:rPr>
        <w:t>2018</w:t>
      </w:r>
      <w:r>
        <w:rPr/>
        <w:t>年投资活动的现金流出增加为支付对外投资款高于去年同期。</w:t>
      </w:r>
    </w:p>
    <w:p>
      <w:pPr>
        <w:pStyle w:val="BodyText"/>
        <w:spacing w:line="300" w:lineRule="auto" w:before="63"/>
        <w:ind w:right="1282" w:firstLine="290"/>
        <w:jc w:val="left"/>
      </w:pPr>
      <w:r>
        <w:rPr>
          <w:rFonts w:ascii="Times New Roman" w:hAnsi="Times New Roman" w:cs="Times New Roman" w:eastAsia="Times New Roman" w:hint="default"/>
        </w:rPr>
        <w:t>2018</w:t>
      </w:r>
      <w:r>
        <w:rPr/>
        <w:t>年筹资活动现金流入减少主要系公司取得银行贷款及吸收投资合计金额少于</w:t>
      </w:r>
      <w:r>
        <w:rPr>
          <w:rFonts w:ascii="Times New Roman" w:hAnsi="Times New Roman" w:cs="Times New Roman" w:eastAsia="Times New Roman" w:hint="default"/>
        </w:rPr>
        <w:t>2017</w:t>
      </w:r>
      <w:r>
        <w:rPr/>
        <w:t>年公司首次公开发行新股收到募 集资金金额。</w:t>
      </w:r>
    </w:p>
    <w:p>
      <w:pPr>
        <w:pStyle w:val="BodyText"/>
        <w:spacing w:line="300" w:lineRule="auto" w:before="31"/>
        <w:ind w:left="439" w:right="3807"/>
        <w:jc w:val="left"/>
      </w:pPr>
      <w:r>
        <w:rPr>
          <w:rFonts w:ascii="Times New Roman" w:hAnsi="Times New Roman" w:cs="Times New Roman" w:eastAsia="Times New Roman" w:hint="default"/>
        </w:rPr>
        <w:t>2018</w:t>
      </w:r>
      <w:r>
        <w:rPr/>
        <w:t>年筹资活动现金流出增加主要系公司偿还银行贷款、分配股利及回购公司股份。 报告期内公司经营活动产生的现金净流量与本年度净利润存在重大差异的原因说明</w:t>
      </w:r>
    </w:p>
    <w:p>
      <w:pPr>
        <w:pStyle w:val="BodyText"/>
        <w:spacing w:line="338" w:lineRule="auto" w:before="72"/>
        <w:ind w:left="371" w:right="1175" w:hanging="2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报告期随着收款管理的加强，公司经营现金流量净额持续改善增加，应收款项回款期与应付款项付款期的差异，造成经</w:t>
      </w:r>
    </w:p>
    <w:p>
      <w:pPr>
        <w:pStyle w:val="BodyText"/>
        <w:spacing w:line="240" w:lineRule="auto" w:before="2"/>
        <w:ind w:right="0"/>
        <w:jc w:val="left"/>
      </w:pPr>
      <w:r>
        <w:rPr/>
        <w:t>营活动产生的现金净流量与年度净利润存在差异。</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三、非主营业务情况" w:id="39"/>
      <w:bookmarkEnd w:id="39"/>
      <w:r>
        <w:rPr>
          <w:b w:val="0"/>
          <w:bCs w:val="0"/>
        </w:rPr>
      </w:r>
      <w:r>
        <w:rPr/>
        <w:t>三、非主营业务情况</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0"/>
        <w:gridCol w:w="1928"/>
        <w:gridCol w:w="1623"/>
        <w:gridCol w:w="2166"/>
        <w:gridCol w:w="2340"/>
      </w:tblGrid>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-893,454.20</w:t>
            </w:r>
            <w:r>
              <w:rPr>
                <w:rFonts w:ascii="Times New Roman"/>
                <w:sz w:val="18"/>
              </w:rPr>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-2.88%</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长期股权投资损失</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公允价值变动损益</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66" w:type="dxa"/>
            <w:tcBorders>
              <w:top w:val="single" w:sz="4" w:space="0" w:color="000000"/>
              <w:left w:val="single" w:sz="4" w:space="0" w:color="000000"/>
              <w:bottom w:val="single" w:sz="4" w:space="0" w:color="000000"/>
              <w:right w:val="single" w:sz="4" w:space="0" w:color="000000"/>
            </w:tcBorders>
          </w:tcPr>
          <w:p>
            <w:pPr/>
          </w:p>
        </w:tc>
        <w:tc>
          <w:tcPr>
            <w:tcW w:w="234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500"/>
        <w:gridCol w:w="1928"/>
        <w:gridCol w:w="1623"/>
        <w:gridCol w:w="2166"/>
        <w:gridCol w:w="2340"/>
      </w:tblGrid>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38"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3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1,095,471.55</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3.53%</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坏账损失及存货跌价准备</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抵减增值税税控盘费用</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70,338.00</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0.23%</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捐赠支出</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5,408,383.44</w:t>
            </w:r>
          </w:p>
        </w:tc>
        <w:tc>
          <w:tcPr>
            <w:tcW w:w="16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17.45%</w:t>
            </w:r>
          </w:p>
        </w:tc>
        <w:tc>
          <w:tcPr>
            <w:tcW w:w="2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23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四、资产及负债状况" w:id="40"/>
      <w:bookmarkEnd w:id="40"/>
      <w:r>
        <w:rPr>
          <w:b w:val="0"/>
          <w:bCs w:val="0"/>
        </w:rPr>
      </w:r>
      <w:r>
        <w:rPr/>
        <w:t>四、资产及负债状况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资产构成重大变动情况" w:id="41"/>
      <w:bookmarkEnd w:id="41"/>
      <w:r>
        <w:rPr>
          <w:b w:val="0"/>
          <w:bCs w:val="0"/>
        </w:rPr>
      </w:r>
      <w:r>
        <w:rPr>
          <w:rFonts w:ascii="Times New Roman" w:hAnsi="Times New Roman" w:cs="Times New Roman" w:eastAsia="Times New Roman" w:hint="default"/>
        </w:rPr>
        <w:t>1</w:t>
      </w:r>
      <w:r>
        <w:rPr/>
        <w:t>、资产构成重大变动情况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1276"/>
        <w:gridCol w:w="852"/>
        <w:gridCol w:w="1529"/>
        <w:gridCol w:w="880"/>
        <w:gridCol w:w="851"/>
        <w:gridCol w:w="3048"/>
      </w:tblGrid>
      <w:tr>
        <w:trPr>
          <w:trHeight w:val="385" w:hRule="exact"/>
        </w:trPr>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21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240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w:t>
            </w: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4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78" w:hRule="exact"/>
        </w:trPr>
        <w:tc>
          <w:tcPr>
            <w:tcW w:w="1134" w:type="dxa"/>
            <w:vMerge w:val="restart"/>
            <w:tcBorders>
              <w:top w:val="nil" w:sz="6" w:space="0" w:color="auto"/>
              <w:left w:val="single" w:sz="4" w:space="0" w:color="000000"/>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241" w:right="59"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88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254" w:right="73" w:hanging="180"/>
              <w:jc w:val="left"/>
              <w:rPr>
                <w:rFonts w:ascii="宋体" w:hAnsi="宋体" w:cs="宋体" w:eastAsia="宋体" w:hint="default"/>
                <w:sz w:val="18"/>
                <w:szCs w:val="18"/>
              </w:rPr>
            </w:pPr>
            <w:r>
              <w:rPr>
                <w:rFonts w:ascii="宋体" w:hAnsi="宋体" w:cs="宋体" w:eastAsia="宋体" w:hint="default"/>
                <w:sz w:val="18"/>
                <w:szCs w:val="18"/>
              </w:rPr>
              <w:t>占总资产 比例</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6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30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78"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1" w:hRule="exact"/>
        </w:trPr>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2" w:type="dxa"/>
            <w:vMerge/>
            <w:tcBorders>
              <w:left w:val="single" w:sz="4" w:space="0" w:color="000000"/>
              <w:right w:val="single" w:sz="4" w:space="0" w:color="000000"/>
            </w:tcBorders>
            <w:shd w:val="clear" w:color="auto" w:fill="D2D2D2"/>
          </w:tcPr>
          <w:p>
            <w:pP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80" w:type="dxa"/>
            <w:vMerge/>
            <w:tcBorders>
              <w:left w:val="single" w:sz="4" w:space="0" w:color="000000"/>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304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134"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852" w:type="dxa"/>
            <w:vMerge/>
            <w:tcBorders>
              <w:left w:val="single" w:sz="4" w:space="0" w:color="000000"/>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880" w:type="dxa"/>
            <w:vMerge/>
            <w:tcBorders>
              <w:left w:val="single" w:sz="4" w:space="0" w:color="000000"/>
              <w:right w:val="single" w:sz="4" w:space="0" w:color="000000"/>
            </w:tcBorders>
            <w:shd w:val="clear" w:color="auto" w:fill="D2D2D2"/>
          </w:tcPr>
          <w:p>
            <w:pPr/>
          </w:p>
        </w:tc>
        <w:tc>
          <w:tcPr>
            <w:tcW w:w="851" w:type="dxa"/>
            <w:vMerge w:val="restart"/>
            <w:tcBorders>
              <w:top w:val="nil" w:sz="6" w:space="0" w:color="auto"/>
              <w:left w:val="single" w:sz="4" w:space="0" w:color="000000"/>
              <w:right w:val="single" w:sz="4" w:space="0" w:color="000000"/>
            </w:tcBorders>
            <w:shd w:val="clear" w:color="auto" w:fill="D2D2D2"/>
          </w:tcPr>
          <w:p>
            <w:pPr/>
          </w:p>
        </w:tc>
        <w:tc>
          <w:tcPr>
            <w:tcW w:w="3048"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2" w:type="dxa"/>
            <w:vMerge/>
            <w:tcBorders>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880"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304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210,949,768.73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42.15%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259,040,480.88</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41.87%</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0.28%</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未发生重大变动</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140,540,231.26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28.08%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253,694,732.65</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41.01%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-12.93%</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报告期重大客户回款导致</w:t>
            </w:r>
          </w:p>
        </w:tc>
      </w:tr>
      <w:tr>
        <w:trPr>
          <w:trHeight w:val="161" w:hRule="exact"/>
        </w:trPr>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2" w:right="0"/>
              <w:jc w:val="left"/>
              <w:rPr>
                <w:rFonts w:ascii="Times New Roman" w:hAnsi="Times New Roman" w:cs="Times New Roman" w:eastAsia="Times New Roman" w:hint="default"/>
                <w:sz w:val="18"/>
                <w:szCs w:val="18"/>
              </w:rPr>
            </w:pPr>
            <w:r>
              <w:rPr>
                <w:rFonts w:ascii="Times New Roman"/>
                <w:sz w:val="18"/>
              </w:rPr>
              <w:t>14,646,178.30</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5" w:right="0"/>
              <w:jc w:val="left"/>
              <w:rPr>
                <w:rFonts w:ascii="Times New Roman" w:hAnsi="Times New Roman" w:cs="Times New Roman" w:eastAsia="Times New Roman" w:hint="default"/>
                <w:sz w:val="18"/>
                <w:szCs w:val="18"/>
              </w:rPr>
            </w:pPr>
            <w:r>
              <w:rPr>
                <w:rFonts w:ascii="Times New Roman"/>
                <w:sz w:val="18"/>
              </w:rPr>
              <w:t>2.93%</w:t>
            </w:r>
          </w:p>
        </w:tc>
        <w:tc>
          <w:tcPr>
            <w:tcW w:w="152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1" w:right="0"/>
              <w:jc w:val="left"/>
              <w:rPr>
                <w:rFonts w:ascii="Times New Roman" w:hAnsi="Times New Roman" w:cs="Times New Roman" w:eastAsia="Times New Roman" w:hint="default"/>
                <w:sz w:val="18"/>
                <w:szCs w:val="18"/>
              </w:rPr>
            </w:pPr>
            <w:r>
              <w:rPr>
                <w:rFonts w:ascii="Times New Roman"/>
                <w:sz w:val="18"/>
              </w:rPr>
              <w:t>7,503,501.31</w:t>
            </w:r>
          </w:p>
        </w:tc>
        <w:tc>
          <w:tcPr>
            <w:tcW w:w="88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2" w:right="0"/>
              <w:jc w:val="left"/>
              <w:rPr>
                <w:rFonts w:ascii="Times New Roman" w:hAnsi="Times New Roman" w:cs="Times New Roman" w:eastAsia="Times New Roman" w:hint="default"/>
                <w:sz w:val="18"/>
                <w:szCs w:val="18"/>
              </w:rPr>
            </w:pPr>
            <w:r>
              <w:rPr>
                <w:rFonts w:ascii="Times New Roman"/>
                <w:sz w:val="18"/>
              </w:rPr>
              <w:t>1.21%</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4" w:right="0"/>
              <w:jc w:val="left"/>
              <w:rPr>
                <w:rFonts w:ascii="Times New Roman" w:hAnsi="Times New Roman" w:cs="Times New Roman" w:eastAsia="Times New Roman" w:hint="default"/>
                <w:sz w:val="18"/>
                <w:szCs w:val="18"/>
              </w:rPr>
            </w:pPr>
            <w:r>
              <w:rPr>
                <w:rFonts w:ascii="Times New Roman"/>
                <w:sz w:val="18"/>
              </w:rPr>
              <w:t>1.72%</w:t>
            </w:r>
          </w:p>
        </w:tc>
        <w:tc>
          <w:tcPr>
            <w:tcW w:w="3048"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报告期跨年度未结束项目实际花费金 额增多导致</w:t>
            </w:r>
          </w:p>
        </w:tc>
      </w:tr>
      <w:tr>
        <w:trPr>
          <w:trHeight w:val="392" w:hRule="exact"/>
        </w:trPr>
        <w:tc>
          <w:tcPr>
            <w:tcW w:w="11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276" w:type="dxa"/>
            <w:vMerge/>
            <w:tcBorders>
              <w:left w:val="single" w:sz="9" w:space="0" w:color="D2D2D2"/>
              <w:right w:val="single" w:sz="4" w:space="0" w:color="000000"/>
            </w:tcBorders>
          </w:tcPr>
          <w:p>
            <w:pPr/>
          </w:p>
        </w:tc>
        <w:tc>
          <w:tcPr>
            <w:tcW w:w="852" w:type="dxa"/>
            <w:vMerge/>
            <w:tcBorders>
              <w:left w:val="single" w:sz="4" w:space="0" w:color="000000"/>
              <w:right w:val="single" w:sz="4" w:space="0" w:color="000000"/>
            </w:tcBorders>
          </w:tcPr>
          <w:p>
            <w:pPr/>
          </w:p>
        </w:tc>
        <w:tc>
          <w:tcPr>
            <w:tcW w:w="1529" w:type="dxa"/>
            <w:vMerge/>
            <w:tcBorders>
              <w:left w:val="single" w:sz="4" w:space="0" w:color="000000"/>
              <w:right w:val="single" w:sz="4" w:space="0" w:color="000000"/>
            </w:tcBorders>
          </w:tcPr>
          <w:p>
            <w:pPr/>
          </w:p>
        </w:tc>
        <w:tc>
          <w:tcPr>
            <w:tcW w:w="880"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3048" w:type="dxa"/>
            <w:vMerge/>
            <w:tcBorders>
              <w:left w:val="single" w:sz="4" w:space="0" w:color="000000"/>
              <w:right w:val="single" w:sz="4" w:space="0" w:color="000000"/>
            </w:tcBorders>
          </w:tcPr>
          <w:p>
            <w:pPr/>
          </w:p>
        </w:tc>
      </w:tr>
      <w:tr>
        <w:trPr>
          <w:trHeight w:val="161" w:hRule="exact"/>
        </w:trPr>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9" w:space="0" w:color="D2D2D2"/>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1529" w:type="dxa"/>
            <w:vMerge/>
            <w:tcBorders>
              <w:left w:val="single" w:sz="4" w:space="0" w:color="000000"/>
              <w:bottom w:val="single" w:sz="4" w:space="0" w:color="000000"/>
              <w:right w:val="single" w:sz="4" w:space="0" w:color="000000"/>
            </w:tcBorders>
          </w:tcPr>
          <w:p>
            <w:pPr/>
          </w:p>
        </w:tc>
        <w:tc>
          <w:tcPr>
            <w:tcW w:w="880"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3048" w:type="dxa"/>
            <w:vMerge/>
            <w:tcBorders>
              <w:left w:val="single" w:sz="4" w:space="0" w:color="000000"/>
              <w:bottom w:val="single" w:sz="4" w:space="0" w:color="000000"/>
              <w:right w:val="single" w:sz="4" w:space="0" w:color="000000"/>
            </w:tcBorders>
          </w:tcPr>
          <w:p>
            <w:pP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投资性房地 产</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长期股权投 资</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36,590,096.82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7.31%</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7,483,551.02</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1.21%</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6.10%</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报告期新增股权投资减少所致</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6,952,349.64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1.39%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8,945,905.72</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1.45%</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-0.06%</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报告期处置固定资产汽车</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0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16,984,595.19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3.39%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35,225,088.50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报告期应收票据减少</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4,773,939.89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0.95%</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18,518,926.70</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-2.04%</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35"/>
              <w:jc w:val="left"/>
              <w:rPr>
                <w:rFonts w:ascii="宋体" w:hAnsi="宋体" w:cs="宋体" w:eastAsia="宋体" w:hint="default"/>
                <w:sz w:val="18"/>
                <w:szCs w:val="18"/>
              </w:rPr>
            </w:pPr>
            <w:r>
              <w:rPr>
                <w:rFonts w:ascii="宋体" w:hAnsi="宋体" w:cs="宋体" w:eastAsia="宋体" w:hint="default"/>
                <w:sz w:val="18"/>
                <w:szCs w:val="18"/>
              </w:rPr>
              <w:t>报告期内调整应收品牌咨询追加投资 款和代垫款项减少所致</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2" w:right="201"/>
              <w:jc w:val="left"/>
              <w:rPr>
                <w:rFonts w:ascii="宋体" w:hAnsi="宋体" w:cs="宋体" w:eastAsia="宋体" w:hint="default"/>
                <w:sz w:val="18"/>
                <w:szCs w:val="18"/>
              </w:rPr>
            </w:pPr>
            <w:r>
              <w:rPr>
                <w:rFonts w:ascii="宋体" w:hAnsi="宋体" w:cs="宋体" w:eastAsia="宋体" w:hint="default"/>
                <w:sz w:val="18"/>
                <w:szCs w:val="18"/>
              </w:rPr>
              <w:t>可供出售金 融资产</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50,233,669.58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10.04%</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19,388,694.11</w:t>
            </w:r>
          </w:p>
        </w:tc>
        <w:tc>
          <w:tcPr>
            <w:tcW w:w="8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3.13%</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6.91%</w:t>
            </w:r>
          </w:p>
        </w:tc>
        <w:tc>
          <w:tcPr>
            <w:tcW w:w="304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2" w:right="20"/>
              <w:jc w:val="both"/>
              <w:rPr>
                <w:rFonts w:ascii="宋体" w:hAnsi="宋体" w:cs="宋体" w:eastAsia="宋体" w:hint="default"/>
                <w:sz w:val="18"/>
                <w:szCs w:val="18"/>
              </w:rPr>
            </w:pPr>
            <w:r>
              <w:rPr>
                <w:rFonts w:ascii="宋体" w:hAnsi="宋体" w:cs="宋体" w:eastAsia="宋体" w:hint="default"/>
                <w:sz w:val="18"/>
                <w:szCs w:val="18"/>
              </w:rPr>
              <w:t>报告期，宣亚国际新增投资</w:t>
            </w:r>
            <w:r>
              <w:rPr>
                <w:rFonts w:ascii="Times New Roman" w:hAnsi="Times New Roman" w:cs="Times New Roman" w:eastAsia="Times New Roman" w:hint="default"/>
                <w:sz w:val="18"/>
                <w:szCs w:val="18"/>
              </w:rPr>
              <w:t>“</w:t>
            </w:r>
            <w:r>
              <w:rPr>
                <w:rFonts w:ascii="宋体" w:hAnsi="宋体" w:cs="宋体" w:eastAsia="宋体" w:hint="default"/>
                <w:sz w:val="18"/>
                <w:szCs w:val="18"/>
              </w:rPr>
              <w:t>北京周同 </w:t>
            </w:r>
            <w:r>
              <w:rPr>
                <w:rFonts w:ascii="宋体" w:hAnsi="宋体" w:cs="宋体" w:eastAsia="宋体" w:hint="default"/>
                <w:spacing w:val="-3"/>
                <w:sz w:val="18"/>
                <w:szCs w:val="18"/>
              </w:rPr>
              <w:t>科技有限公司</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北京爱点互动科技有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及宣亚美国新增投资</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Sunshine </w:t>
            </w:r>
            <w:r>
              <w:rPr>
                <w:rFonts w:ascii="Times New Roman" w:hAnsi="Times New Roman" w:cs="Times New Roman" w:eastAsia="Times New Roman" w:hint="default"/>
                <w:sz w:val="18"/>
                <w:szCs w:val="18"/>
              </w:rPr>
              <w:t>Partners Group</w:t>
            </w:r>
            <w:r>
              <w:rPr>
                <w:rFonts w:ascii="Times New Roman" w:hAnsi="Times New Roman" w:cs="Times New Roman" w:eastAsia="Times New Roman" w:hint="default"/>
                <w:spacing w:val="-2"/>
                <w:sz w:val="18"/>
                <w:szCs w:val="18"/>
              </w:rPr>
              <w:t> </w:t>
            </w:r>
            <w:r>
              <w:rPr>
                <w:rFonts w:ascii="Times New Roman" w:hAnsi="Times New Roman" w:cs="Times New Roman" w:eastAsia="Times New Roman" w:hint="default"/>
                <w:sz w:val="18"/>
                <w:szCs w:val="18"/>
              </w:rPr>
              <w:t>Limited”</w:t>
            </w:r>
            <w:r>
              <w:rPr>
                <w:rFonts w:ascii="宋体" w:hAnsi="宋体" w:cs="宋体" w:eastAsia="宋体" w:hint="default"/>
                <w:sz w:val="18"/>
                <w:szCs w:val="18"/>
              </w:rPr>
              <w:t>所致</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以公允价值计量的资产和负债" w:id="42"/>
      <w:bookmarkEnd w:id="42"/>
      <w:r>
        <w:rPr>
          <w:b w:val="0"/>
          <w:bCs w:val="0"/>
        </w:rPr>
      </w:r>
      <w:r>
        <w:rPr>
          <w:rFonts w:ascii="Times New Roman" w:hAnsi="Times New Roman" w:cs="Times New Roman" w:eastAsia="Times New Roman" w:hint="default"/>
        </w:rPr>
        <w:t>2</w:t>
      </w:r>
      <w:r>
        <w:rPr/>
        <w:t>、以公允价值计量的资产和负债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74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3、截至报告期末的资产权利受限情况" w:id="43"/>
      <w:bookmarkEnd w:id="43"/>
      <w:r>
        <w:rPr>
          <w:b w:val="0"/>
          <w:bCs w:val="0"/>
        </w:rPr>
      </w:r>
      <w:r>
        <w:rPr>
          <w:rFonts w:ascii="Times New Roman" w:hAnsi="Times New Roman" w:cs="Times New Roman" w:eastAsia="Times New Roman" w:hint="default"/>
        </w:rPr>
        <w:t>3</w:t>
      </w:r>
      <w:r>
        <w:rPr/>
        <w:t>、截至报告期末的资产权利受限情况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886.34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存出投资款</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z w:val="18"/>
              </w:rPr>
              <w:t>886.34</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1"/>
          <w:szCs w:val="21"/>
        </w:rPr>
      </w:pPr>
    </w:p>
    <w:p>
      <w:pPr>
        <w:pStyle w:val="Heading2"/>
        <w:spacing w:line="240" w:lineRule="auto" w:before="26"/>
        <w:ind w:right="0"/>
        <w:jc w:val="left"/>
        <w:rPr>
          <w:b w:val="0"/>
          <w:bCs w:val="0"/>
        </w:rPr>
      </w:pPr>
      <w:bookmarkStart w:name="五、投资状况分析" w:id="44"/>
      <w:bookmarkEnd w:id="44"/>
      <w:r>
        <w:rPr>
          <w:b w:val="0"/>
          <w:bCs w:val="0"/>
        </w:rPr>
      </w: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总体情况" w:id="45"/>
      <w:bookmarkEnd w:id="45"/>
      <w:r>
        <w:rPr>
          <w:b w:val="0"/>
          <w:bCs w:val="0"/>
        </w:rPr>
      </w:r>
      <w:r>
        <w:rPr>
          <w:rFonts w:ascii="Times New Roman" w:hAnsi="Times New Roman" w:cs="Times New Roman" w:eastAsia="Times New Roman" w:hint="default"/>
        </w:rPr>
        <w:t>1</w:t>
      </w:r>
      <w:r>
        <w:rPr/>
        <w:t>、总体情况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76,291,270.00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39" w:right="0"/>
              <w:jc w:val="left"/>
              <w:rPr>
                <w:rFonts w:ascii="Times New Roman" w:hAnsi="Times New Roman" w:cs="Times New Roman" w:eastAsia="Times New Roman" w:hint="default"/>
                <w:sz w:val="18"/>
                <w:szCs w:val="18"/>
              </w:rPr>
            </w:pPr>
            <w:r>
              <w:rPr>
                <w:rFonts w:ascii="Times New Roman"/>
                <w:sz w:val="18"/>
              </w:rPr>
              <w:t>110,555,694.51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-30.99%</w:t>
            </w:r>
          </w:p>
        </w:tc>
      </w:tr>
    </w:tbl>
    <w:p>
      <w:pPr>
        <w:spacing w:after="0" w:line="240" w:lineRule="auto"/>
        <w:jc w:val="right"/>
        <w:rPr>
          <w:rFonts w:ascii="Times New Roman" w:hAnsi="Times New Roman" w:cs="Times New Roman" w:eastAsia="Times New Roman" w:hint="default"/>
          <w:sz w:val="18"/>
          <w:szCs w:val="18"/>
        </w:rPr>
        <w:sectPr>
          <w:pgSz w:w="11910" w:h="16840"/>
          <w:pgMar w:header="74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02" w:right="0" w:firstLine="0"/>
        <w:rPr>
          <w:rFonts w:ascii="宋体" w:hAnsi="宋体" w:cs="宋体" w:eastAsia="宋体" w:hint="default"/>
          <w:sz w:val="2"/>
          <w:szCs w:val="2"/>
        </w:rPr>
      </w:pPr>
      <w:r>
        <w:rPr>
          <w:rFonts w:ascii="宋体" w:hAnsi="宋体" w:cs="宋体" w:eastAsia="宋体"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宋体" w:hAnsi="宋体" w:cs="宋体" w:eastAsia="宋体" w:hint="default"/>
          <w:sz w:val="2"/>
          <w:szCs w:val="2"/>
        </w:rPr>
      </w:r>
    </w:p>
    <w:p>
      <w:pPr>
        <w:pStyle w:val="Heading4"/>
        <w:spacing w:line="240" w:lineRule="auto"/>
        <w:ind w:left="140" w:right="0"/>
        <w:jc w:val="left"/>
        <w:rPr>
          <w:b w:val="0"/>
          <w:bCs w:val="0"/>
        </w:rPr>
      </w:pPr>
      <w:bookmarkStart w:name="2、报告期内获取的重大的股权投资情况" w:id="46"/>
      <w:bookmarkEnd w:id="46"/>
      <w:r>
        <w:rPr>
          <w:b w:val="0"/>
          <w:bCs w:val="0"/>
        </w:rPr>
      </w:r>
      <w:r>
        <w:rPr>
          <w:rFonts w:ascii="Times New Roman" w:hAnsi="Times New Roman" w:cs="Times New Roman" w:eastAsia="Times New Roman" w:hint="default"/>
        </w:rPr>
        <w:t>2</w:t>
      </w:r>
      <w:r>
        <w:rPr/>
        <w:t>、报告期内获取的重大的股权投资情况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456"/>
        <w:jc w:val="right"/>
      </w:pPr>
      <w:r>
        <w:rPr/>
        <w:t>单位：元</w:t>
      </w:r>
    </w:p>
    <w:p>
      <w:pPr>
        <w:spacing w:line="240" w:lineRule="auto" w:before="1"/>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037"/>
        <w:gridCol w:w="1037"/>
        <w:gridCol w:w="479"/>
        <w:gridCol w:w="1276"/>
        <w:gridCol w:w="850"/>
        <w:gridCol w:w="992"/>
        <w:gridCol w:w="1134"/>
        <w:gridCol w:w="994"/>
        <w:gridCol w:w="1842"/>
        <w:gridCol w:w="708"/>
        <w:gridCol w:w="1277"/>
        <w:gridCol w:w="850"/>
        <w:gridCol w:w="994"/>
        <w:gridCol w:w="826"/>
      </w:tblGrid>
      <w:tr>
        <w:trPr>
          <w:trHeight w:val="1015" w:hRule="exact"/>
        </w:trPr>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333" w:right="61" w:hanging="270"/>
              <w:jc w:val="left"/>
              <w:rPr>
                <w:rFonts w:ascii="宋体" w:hAnsi="宋体" w:cs="宋体" w:eastAsia="宋体" w:hint="default"/>
                <w:sz w:val="18"/>
                <w:szCs w:val="18"/>
              </w:rPr>
            </w:pPr>
            <w:r>
              <w:rPr>
                <w:rFonts w:ascii="宋体" w:hAnsi="宋体" w:cs="宋体" w:eastAsia="宋体" w:hint="default"/>
                <w:sz w:val="18"/>
                <w:szCs w:val="18"/>
              </w:rPr>
              <w:t>被投资公司 名称</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53" w:right="53"/>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72"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59"/>
              <w:jc w:val="right"/>
              <w:rPr>
                <w:rFonts w:ascii="宋体" w:hAnsi="宋体" w:cs="宋体" w:eastAsia="宋体" w:hint="default"/>
                <w:sz w:val="18"/>
                <w:szCs w:val="18"/>
              </w:rPr>
            </w:pPr>
            <w:r>
              <w:rPr>
                <w:rFonts w:ascii="宋体" w:hAnsi="宋体" w:cs="宋体" w:eastAsia="宋体" w:hint="default"/>
                <w:sz w:val="18"/>
                <w:szCs w:val="18"/>
              </w:rPr>
              <w:t>持股比例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32"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291" w:right="0"/>
              <w:jc w:val="left"/>
              <w:rPr>
                <w:rFonts w:ascii="宋体" w:hAnsi="宋体" w:cs="宋体" w:eastAsia="宋体" w:hint="default"/>
                <w:sz w:val="18"/>
                <w:szCs w:val="18"/>
              </w:rPr>
            </w:pPr>
            <w:r>
              <w:rPr>
                <w:rFonts w:ascii="宋体" w:hAnsi="宋体" w:cs="宋体" w:eastAsia="宋体" w:hint="default"/>
                <w:sz w:val="18"/>
                <w:szCs w:val="18"/>
              </w:rPr>
              <w:t>合作方</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130" w:right="0"/>
              <w:jc w:val="left"/>
              <w:rPr>
                <w:rFonts w:ascii="宋体" w:hAnsi="宋体" w:cs="宋体" w:eastAsia="宋体" w:hint="default"/>
                <w:sz w:val="18"/>
                <w:szCs w:val="18"/>
              </w:rPr>
            </w:pPr>
            <w:r>
              <w:rPr>
                <w:rFonts w:ascii="宋体" w:hAnsi="宋体" w:cs="宋体" w:eastAsia="宋体" w:hint="default"/>
                <w:sz w:val="18"/>
                <w:szCs w:val="18"/>
              </w:rPr>
              <w:t>投资期限</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555" w:right="0"/>
              <w:jc w:val="left"/>
              <w:rPr>
                <w:rFonts w:ascii="宋体" w:hAnsi="宋体" w:cs="宋体" w:eastAsia="宋体" w:hint="default"/>
                <w:sz w:val="18"/>
                <w:szCs w:val="18"/>
              </w:rPr>
            </w:pPr>
            <w:r>
              <w:rPr>
                <w:rFonts w:ascii="宋体" w:hAnsi="宋体" w:cs="宋体" w:eastAsia="宋体" w:hint="default"/>
                <w:sz w:val="18"/>
                <w:szCs w:val="18"/>
              </w:rPr>
              <w:t>产品类型</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357" w:lineRule="auto"/>
              <w:ind w:left="169" w:right="167"/>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91"/>
              <w:jc w:val="right"/>
              <w:rPr>
                <w:rFonts w:ascii="宋体" w:hAnsi="宋体" w:cs="宋体" w:eastAsia="宋体" w:hint="default"/>
                <w:sz w:val="18"/>
                <w:szCs w:val="18"/>
              </w:rPr>
            </w:pPr>
            <w:r>
              <w:rPr>
                <w:rFonts w:ascii="宋体" w:hAnsi="宋体" w:cs="宋体" w:eastAsia="宋体" w:hint="default"/>
                <w:sz w:val="18"/>
                <w:szCs w:val="18"/>
              </w:rPr>
              <w:t>本期投资盈亏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59" w:right="0"/>
              <w:jc w:val="left"/>
              <w:rPr>
                <w:rFonts w:ascii="宋体" w:hAnsi="宋体" w:cs="宋体" w:eastAsia="宋体" w:hint="default"/>
                <w:sz w:val="18"/>
                <w:szCs w:val="18"/>
              </w:rPr>
            </w:pPr>
            <w:r>
              <w:rPr>
                <w:rFonts w:ascii="宋体" w:hAnsi="宋体" w:cs="宋体" w:eastAsia="宋体" w:hint="default"/>
                <w:sz w:val="18"/>
                <w:szCs w:val="18"/>
              </w:rPr>
              <w:t>是否涉诉</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7"/>
              <w:ind w:left="131"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7"/>
              <w:ind w:left="48"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1030"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sz w:val="16"/>
                <w:szCs w:val="16"/>
              </w:rPr>
            </w:pPr>
          </w:p>
          <w:p>
            <w:pPr>
              <w:pStyle w:val="TableParagraph"/>
              <w:spacing w:line="316" w:lineRule="auto"/>
              <w:ind w:left="22" w:right="102"/>
              <w:jc w:val="left"/>
              <w:rPr>
                <w:rFonts w:ascii="宋体" w:hAnsi="宋体" w:cs="宋体" w:eastAsia="宋体" w:hint="default"/>
                <w:sz w:val="18"/>
                <w:szCs w:val="18"/>
              </w:rPr>
            </w:pPr>
            <w:r>
              <w:rPr>
                <w:rFonts w:ascii="宋体" w:hAnsi="宋体" w:cs="宋体" w:eastAsia="宋体" w:hint="default"/>
                <w:sz w:val="18"/>
                <w:szCs w:val="18"/>
              </w:rPr>
              <w:t>宣亚国际有 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77"/>
              <w:jc w:val="center"/>
              <w:rPr>
                <w:rFonts w:ascii="宋体" w:hAnsi="宋体" w:cs="宋体" w:eastAsia="宋体" w:hint="default"/>
                <w:sz w:val="18"/>
                <w:szCs w:val="18"/>
              </w:rPr>
            </w:pPr>
            <w:r>
              <w:rPr>
                <w:rFonts w:ascii="宋体" w:hAnsi="宋体" w:cs="宋体" w:eastAsia="宋体" w:hint="default"/>
                <w:sz w:val="18"/>
                <w:szCs w:val="18"/>
              </w:rPr>
              <w:t>管理、策划</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增资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39,051,270.00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无固定期</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管理、策划</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r>
        <w:trPr>
          <w:trHeight w:val="5336"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北京金色区 块网络科技 有限公司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6" w:lineRule="auto"/>
              <w:ind w:left="23" w:right="101"/>
              <w:jc w:val="both"/>
              <w:rPr>
                <w:rFonts w:ascii="宋体" w:hAnsi="宋体" w:cs="宋体" w:eastAsia="宋体" w:hint="default"/>
                <w:sz w:val="18"/>
                <w:szCs w:val="18"/>
              </w:rPr>
            </w:pPr>
            <w:r>
              <w:rPr>
                <w:rFonts w:ascii="宋体" w:hAnsi="宋体" w:cs="宋体" w:eastAsia="宋体" w:hint="default"/>
                <w:sz w:val="18"/>
                <w:szCs w:val="18"/>
              </w:rPr>
              <w:t>技术开发、 技术推广、 技术服务、 技术转让、 技术咨询； 公共关系服 务；企业管 理咨询</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新设</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7,140,000.00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35.70%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z w:val="18"/>
                <w:szCs w:val="18"/>
              </w:rPr>
              <w:t>北京财到信 息技术有限 公司、北京墨 多客科技中 心（有限合 </w:t>
            </w:r>
            <w:r>
              <w:rPr>
                <w:rFonts w:ascii="宋体" w:hAnsi="宋体" w:cs="宋体" w:eastAsia="宋体" w:hint="default"/>
                <w:spacing w:val="-26"/>
                <w:sz w:val="18"/>
                <w:szCs w:val="18"/>
              </w:rPr>
              <w:t>伙）、种房（北</w:t>
            </w:r>
            <w:r>
              <w:rPr>
                <w:rFonts w:ascii="宋体" w:hAnsi="宋体" w:cs="宋体" w:eastAsia="宋体" w:hint="default"/>
                <w:sz w:val="18"/>
                <w:szCs w:val="18"/>
              </w:rPr>
              <w:t> 京）科技有限 公司、邓伟 玉、丁来滨</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无固定期</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314" w:lineRule="auto"/>
              <w:ind w:left="22" w:right="7"/>
              <w:jc w:val="both"/>
              <w:rPr>
                <w:rFonts w:ascii="宋体" w:hAnsi="宋体" w:cs="宋体" w:eastAsia="宋体" w:hint="default"/>
                <w:sz w:val="18"/>
                <w:szCs w:val="18"/>
              </w:rPr>
            </w:pPr>
            <w:r>
              <w:rPr>
                <w:rFonts w:ascii="宋体" w:hAnsi="宋体" w:cs="宋体" w:eastAsia="宋体" w:hint="default"/>
                <w:sz w:val="18"/>
                <w:szCs w:val="18"/>
              </w:rPr>
              <w:t>技术开发、技术推广、 技术服务、技术转让、 技术咨询</w:t>
            </w:r>
            <w:r>
              <w:rPr>
                <w:rFonts w:ascii="Times New Roman" w:hAnsi="Times New Roman" w:cs="Times New Roman" w:eastAsia="Times New Roman" w:hint="default"/>
                <w:sz w:val="18"/>
                <w:szCs w:val="18"/>
              </w:rPr>
              <w:t>; </w:t>
            </w:r>
            <w:r>
              <w:rPr>
                <w:rFonts w:ascii="宋体" w:hAnsi="宋体" w:cs="宋体" w:eastAsia="宋体" w:hint="default"/>
                <w:sz w:val="18"/>
                <w:szCs w:val="18"/>
              </w:rPr>
              <w:t>软件开发； 公共关系服务；企业管 理咨询；承办展览展示 服务；设计、制作、代 理、发布广告；互联网 信息服务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不适用</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
        </w:tc>
        <w:tc>
          <w:tcPr>
            <w:tcW w:w="826"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12"/>
          <w:footerReference w:type="default" r:id="rId13"/>
          <w:pgSz w:w="16840" w:h="11910" w:orient="landscape"/>
          <w:pgMar w:header="867" w:footer="979" w:top="1060" w:bottom="1160" w:left="1300" w:right="980"/>
          <w:pgNumType w:start="20"/>
        </w:sectPr>
      </w:pPr>
    </w:p>
    <w:p>
      <w:pPr>
        <w:spacing w:line="240" w:lineRule="auto" w:before="12"/>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1037"/>
        <w:gridCol w:w="1037"/>
        <w:gridCol w:w="479"/>
        <w:gridCol w:w="1276"/>
        <w:gridCol w:w="850"/>
        <w:gridCol w:w="992"/>
        <w:gridCol w:w="1134"/>
        <w:gridCol w:w="994"/>
        <w:gridCol w:w="1842"/>
        <w:gridCol w:w="708"/>
        <w:gridCol w:w="1277"/>
        <w:gridCol w:w="850"/>
        <w:gridCol w:w="994"/>
        <w:gridCol w:w="826"/>
      </w:tblGrid>
      <w:tr>
        <w:trPr>
          <w:trHeight w:val="1030" w:hRule="exact"/>
        </w:trPr>
        <w:tc>
          <w:tcPr>
            <w:tcW w:w="103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333" w:right="61" w:hanging="270"/>
              <w:jc w:val="left"/>
              <w:rPr>
                <w:rFonts w:ascii="宋体" w:hAnsi="宋体" w:cs="宋体" w:eastAsia="宋体" w:hint="default"/>
                <w:sz w:val="18"/>
                <w:szCs w:val="18"/>
              </w:rPr>
            </w:pPr>
            <w:r>
              <w:rPr>
                <w:rFonts w:ascii="宋体" w:hAnsi="宋体" w:cs="宋体" w:eastAsia="宋体" w:hint="default"/>
                <w:sz w:val="18"/>
                <w:szCs w:val="18"/>
              </w:rPr>
              <w:t>被投资公司 名称</w:t>
            </w:r>
          </w:p>
        </w:tc>
        <w:tc>
          <w:tcPr>
            <w:tcW w:w="103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0"/>
              <w:jc w:val="center"/>
              <w:rPr>
                <w:rFonts w:ascii="宋体" w:hAnsi="宋体" w:cs="宋体" w:eastAsia="宋体" w:hint="default"/>
                <w:sz w:val="18"/>
                <w:szCs w:val="18"/>
              </w:rPr>
            </w:pPr>
            <w:r>
              <w:rPr>
                <w:rFonts w:ascii="宋体" w:hAnsi="宋体" w:cs="宋体" w:eastAsia="宋体" w:hint="default"/>
                <w:sz w:val="18"/>
                <w:szCs w:val="18"/>
              </w:rPr>
              <w:t>主要业务</w:t>
            </w:r>
          </w:p>
        </w:tc>
        <w:tc>
          <w:tcPr>
            <w:tcW w:w="47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319" w:lineRule="auto"/>
              <w:ind w:left="53" w:right="53"/>
              <w:jc w:val="left"/>
              <w:rPr>
                <w:rFonts w:ascii="宋体" w:hAnsi="宋体" w:cs="宋体" w:eastAsia="宋体" w:hint="default"/>
                <w:sz w:val="18"/>
                <w:szCs w:val="18"/>
              </w:rPr>
            </w:pPr>
            <w:r>
              <w:rPr>
                <w:rFonts w:ascii="宋体" w:hAnsi="宋体" w:cs="宋体" w:eastAsia="宋体" w:hint="default"/>
                <w:sz w:val="18"/>
                <w:szCs w:val="18"/>
              </w:rPr>
              <w:t>投资 方式</w:t>
            </w:r>
          </w:p>
        </w:tc>
        <w:tc>
          <w:tcPr>
            <w:tcW w:w="127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272" w:right="0"/>
              <w:jc w:val="left"/>
              <w:rPr>
                <w:rFonts w:ascii="宋体" w:hAnsi="宋体" w:cs="宋体" w:eastAsia="宋体" w:hint="default"/>
                <w:sz w:val="18"/>
                <w:szCs w:val="18"/>
              </w:rPr>
            </w:pPr>
            <w:r>
              <w:rPr>
                <w:rFonts w:ascii="宋体" w:hAnsi="宋体" w:cs="宋体" w:eastAsia="宋体" w:hint="default"/>
                <w:sz w:val="18"/>
                <w:szCs w:val="18"/>
              </w:rPr>
              <w:t>投资金额</w:t>
            </w:r>
          </w:p>
        </w:tc>
        <w:tc>
          <w:tcPr>
            <w:tcW w:w="85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59"/>
              <w:jc w:val="right"/>
              <w:rPr>
                <w:rFonts w:ascii="宋体" w:hAnsi="宋体" w:cs="宋体" w:eastAsia="宋体" w:hint="default"/>
                <w:sz w:val="18"/>
                <w:szCs w:val="18"/>
              </w:rPr>
            </w:pPr>
            <w:r>
              <w:rPr>
                <w:rFonts w:ascii="宋体" w:hAnsi="宋体" w:cs="宋体" w:eastAsia="宋体" w:hint="default"/>
                <w:sz w:val="18"/>
                <w:szCs w:val="18"/>
              </w:rPr>
              <w:t>持股比例</w:t>
            </w:r>
          </w:p>
        </w:tc>
        <w:tc>
          <w:tcPr>
            <w:tcW w:w="99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32" w:right="0"/>
              <w:jc w:val="left"/>
              <w:rPr>
                <w:rFonts w:ascii="宋体" w:hAnsi="宋体" w:cs="宋体" w:eastAsia="宋体" w:hint="default"/>
                <w:sz w:val="18"/>
                <w:szCs w:val="18"/>
              </w:rPr>
            </w:pPr>
            <w:r>
              <w:rPr>
                <w:rFonts w:ascii="宋体" w:hAnsi="宋体" w:cs="宋体" w:eastAsia="宋体" w:hint="default"/>
                <w:sz w:val="18"/>
                <w:szCs w:val="18"/>
              </w:rPr>
              <w:t>资金来源</w:t>
            </w:r>
          </w:p>
        </w:tc>
        <w:tc>
          <w:tcPr>
            <w:tcW w:w="113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合作方</w:t>
            </w:r>
          </w:p>
        </w:tc>
        <w:tc>
          <w:tcPr>
            <w:tcW w:w="99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30" w:right="0"/>
              <w:jc w:val="left"/>
              <w:rPr>
                <w:rFonts w:ascii="宋体" w:hAnsi="宋体" w:cs="宋体" w:eastAsia="宋体" w:hint="default"/>
                <w:sz w:val="18"/>
                <w:szCs w:val="18"/>
              </w:rPr>
            </w:pPr>
            <w:r>
              <w:rPr>
                <w:rFonts w:ascii="宋体" w:hAnsi="宋体" w:cs="宋体" w:eastAsia="宋体" w:hint="default"/>
                <w:sz w:val="18"/>
                <w:szCs w:val="18"/>
              </w:rPr>
              <w:t>投资期限</w:t>
            </w:r>
          </w:p>
        </w:tc>
        <w:tc>
          <w:tcPr>
            <w:tcW w:w="184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
              <w:jc w:val="center"/>
              <w:rPr>
                <w:rFonts w:ascii="宋体" w:hAnsi="宋体" w:cs="宋体" w:eastAsia="宋体" w:hint="default"/>
                <w:sz w:val="18"/>
                <w:szCs w:val="18"/>
              </w:rPr>
            </w:pPr>
            <w:r>
              <w:rPr>
                <w:rFonts w:ascii="宋体" w:hAnsi="宋体" w:cs="宋体" w:eastAsia="宋体" w:hint="default"/>
                <w:sz w:val="18"/>
                <w:szCs w:val="18"/>
              </w:rPr>
              <w:t>产品类型</w:t>
            </w:r>
          </w:p>
        </w:tc>
        <w:tc>
          <w:tcPr>
            <w:tcW w:w="708"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3"/>
                <w:szCs w:val="13"/>
              </w:rPr>
            </w:pPr>
          </w:p>
          <w:p>
            <w:pPr>
              <w:pStyle w:val="TableParagraph"/>
              <w:spacing w:line="360" w:lineRule="auto"/>
              <w:ind w:left="169" w:right="167"/>
              <w:jc w:val="left"/>
              <w:rPr>
                <w:rFonts w:ascii="宋体" w:hAnsi="宋体" w:cs="宋体" w:eastAsia="宋体" w:hint="default"/>
                <w:sz w:val="18"/>
                <w:szCs w:val="18"/>
              </w:rPr>
            </w:pPr>
            <w:r>
              <w:rPr>
                <w:rFonts w:ascii="宋体" w:hAnsi="宋体" w:cs="宋体" w:eastAsia="宋体" w:hint="default"/>
                <w:sz w:val="18"/>
                <w:szCs w:val="18"/>
              </w:rPr>
              <w:t>预计 收益</w:t>
            </w:r>
          </w:p>
        </w:tc>
        <w:tc>
          <w:tcPr>
            <w:tcW w:w="1277"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91"/>
              <w:jc w:val="right"/>
              <w:rPr>
                <w:rFonts w:ascii="宋体" w:hAnsi="宋体" w:cs="宋体" w:eastAsia="宋体" w:hint="default"/>
                <w:sz w:val="18"/>
                <w:szCs w:val="18"/>
              </w:rPr>
            </w:pPr>
            <w:r>
              <w:rPr>
                <w:rFonts w:ascii="宋体" w:hAnsi="宋体" w:cs="宋体" w:eastAsia="宋体" w:hint="default"/>
                <w:sz w:val="18"/>
                <w:szCs w:val="18"/>
              </w:rPr>
              <w:t>本期投资盈亏</w:t>
            </w:r>
          </w:p>
        </w:tc>
        <w:tc>
          <w:tcPr>
            <w:tcW w:w="850"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59" w:right="0"/>
              <w:jc w:val="left"/>
              <w:rPr>
                <w:rFonts w:ascii="宋体" w:hAnsi="宋体" w:cs="宋体" w:eastAsia="宋体" w:hint="default"/>
                <w:sz w:val="18"/>
                <w:szCs w:val="18"/>
              </w:rPr>
            </w:pPr>
            <w:r>
              <w:rPr>
                <w:rFonts w:ascii="宋体" w:hAnsi="宋体" w:cs="宋体" w:eastAsia="宋体" w:hint="default"/>
                <w:sz w:val="18"/>
                <w:szCs w:val="18"/>
              </w:rPr>
              <w:t>是否涉诉</w:t>
            </w:r>
          </w:p>
        </w:tc>
        <w:tc>
          <w:tcPr>
            <w:tcW w:w="99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披露日期</w:t>
            </w:r>
          </w:p>
          <w:p>
            <w:pPr>
              <w:pStyle w:val="TableParagraph"/>
              <w:spacing w:line="240" w:lineRule="auto" w:before="77"/>
              <w:ind w:left="131"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82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48" w:right="0"/>
              <w:jc w:val="left"/>
              <w:rPr>
                <w:rFonts w:ascii="宋体" w:hAnsi="宋体" w:cs="宋体" w:eastAsia="宋体" w:hint="default"/>
                <w:sz w:val="18"/>
                <w:szCs w:val="18"/>
              </w:rPr>
            </w:pPr>
            <w:r>
              <w:rPr>
                <w:rFonts w:ascii="宋体" w:hAnsi="宋体" w:cs="宋体" w:eastAsia="宋体" w:hint="default"/>
                <w:sz w:val="18"/>
                <w:szCs w:val="18"/>
              </w:rPr>
              <w:t>披露索引</w:t>
            </w:r>
          </w:p>
          <w:p>
            <w:pPr>
              <w:pStyle w:val="TableParagraph"/>
              <w:spacing w:line="240" w:lineRule="auto" w:before="77"/>
              <w:ind w:left="48" w:right="0"/>
              <w:jc w:val="left"/>
              <w:rPr>
                <w:rFonts w:ascii="宋体" w:hAnsi="宋体" w:cs="宋体" w:eastAsia="宋体" w:hint="default"/>
                <w:sz w:val="18"/>
                <w:szCs w:val="18"/>
              </w:rPr>
            </w:pPr>
            <w:r>
              <w:rPr>
                <w:rFonts w:ascii="宋体" w:hAnsi="宋体" w:cs="宋体" w:eastAsia="宋体" w:hint="default"/>
                <w:sz w:val="18"/>
                <w:szCs w:val="18"/>
              </w:rPr>
              <w:t>（如有）</w:t>
            </w:r>
          </w:p>
        </w:tc>
      </w:tr>
      <w:tr>
        <w:trPr>
          <w:trHeight w:val="5066" w:hRule="exact"/>
        </w:trPr>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4"/>
                <w:szCs w:val="14"/>
              </w:rPr>
            </w:pPr>
          </w:p>
          <w:p>
            <w:pPr>
              <w:pStyle w:val="TableParagraph"/>
              <w:spacing w:line="309" w:lineRule="auto"/>
              <w:ind w:left="22" w:right="102"/>
              <w:jc w:val="both"/>
              <w:rPr>
                <w:rFonts w:ascii="宋体" w:hAnsi="宋体" w:cs="宋体" w:eastAsia="宋体" w:hint="default"/>
                <w:sz w:val="18"/>
                <w:szCs w:val="18"/>
              </w:rPr>
            </w:pPr>
            <w:r>
              <w:rPr>
                <w:rFonts w:ascii="宋体" w:hAnsi="宋体" w:cs="宋体" w:eastAsia="宋体" w:hint="default"/>
                <w:sz w:val="18"/>
                <w:szCs w:val="18"/>
              </w:rPr>
              <w:t>链极智能科 技</w:t>
            </w:r>
            <w:r>
              <w:rPr>
                <w:rFonts w:ascii="Times New Roman" w:hAnsi="Times New Roman" w:cs="Times New Roman" w:eastAsia="Times New Roman" w:hint="default"/>
                <w:sz w:val="18"/>
                <w:szCs w:val="18"/>
              </w:rPr>
              <w:t>(</w:t>
            </w:r>
            <w:r>
              <w:rPr>
                <w:rFonts w:ascii="宋体" w:hAnsi="宋体" w:cs="宋体" w:eastAsia="宋体" w:hint="default"/>
                <w:sz w:val="18"/>
                <w:szCs w:val="18"/>
              </w:rPr>
              <w:t>上海</w:t>
            </w:r>
            <w:r>
              <w:rPr>
                <w:rFonts w:ascii="Times New Roman" w:hAnsi="Times New Roman" w:cs="Times New Roman" w:eastAsia="Times New Roman" w:hint="default"/>
                <w:sz w:val="18"/>
                <w:szCs w:val="18"/>
              </w:rPr>
              <w:t>)</w:t>
            </w:r>
            <w:r>
              <w:rPr>
                <w:rFonts w:ascii="宋体" w:hAnsi="宋体" w:cs="宋体" w:eastAsia="宋体" w:hint="default"/>
                <w:sz w:val="18"/>
                <w:szCs w:val="18"/>
              </w:rPr>
              <w:t>有 限公司</w:t>
            </w:r>
          </w:p>
        </w:tc>
        <w:tc>
          <w:tcPr>
            <w:tcW w:w="10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23" w:right="101"/>
              <w:jc w:val="left"/>
              <w:rPr>
                <w:rFonts w:ascii="宋体" w:hAnsi="宋体" w:cs="宋体" w:eastAsia="宋体" w:hint="default"/>
                <w:sz w:val="18"/>
                <w:szCs w:val="18"/>
              </w:rPr>
            </w:pPr>
            <w:r>
              <w:rPr>
                <w:rFonts w:ascii="宋体" w:hAnsi="宋体" w:cs="宋体" w:eastAsia="宋体" w:hint="default"/>
                <w:sz w:val="18"/>
                <w:szCs w:val="18"/>
              </w:rPr>
              <w:t>智能科技、 计算机科 技、网络科 技、通讯科 技专业领域 内的技术开 发、技术转 让、技术咨 询、技术服 务</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right="61"/>
              <w:jc w:val="center"/>
              <w:rPr>
                <w:rFonts w:ascii="宋体" w:hAnsi="宋体" w:cs="宋体" w:eastAsia="宋体" w:hint="default"/>
                <w:sz w:val="18"/>
                <w:szCs w:val="18"/>
              </w:rPr>
            </w:pPr>
            <w:r>
              <w:rPr>
                <w:rFonts w:ascii="宋体" w:hAnsi="宋体" w:cs="宋体" w:eastAsia="宋体" w:hint="default"/>
                <w:sz w:val="18"/>
                <w:szCs w:val="18"/>
              </w:rPr>
              <w:t>收购</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30,000,000.00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319" w:lineRule="auto"/>
              <w:ind w:left="22" w:right="21"/>
              <w:jc w:val="left"/>
              <w:rPr>
                <w:rFonts w:ascii="宋体" w:hAnsi="宋体" w:cs="宋体" w:eastAsia="宋体" w:hint="default"/>
                <w:sz w:val="18"/>
                <w:szCs w:val="18"/>
              </w:rPr>
            </w:pPr>
            <w:r>
              <w:rPr>
                <w:rFonts w:ascii="宋体" w:hAnsi="宋体" w:cs="宋体" w:eastAsia="宋体" w:hint="default"/>
                <w:sz w:val="18"/>
                <w:szCs w:val="18"/>
              </w:rPr>
              <w:t>上海链瑜企 业管理合伙 企业（有限合 伙）</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无固定期</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z w:val="18"/>
                <w:szCs w:val="18"/>
              </w:rPr>
              <w:t>智能科技、计算机科 </w:t>
            </w:r>
            <w:r>
              <w:rPr>
                <w:rFonts w:ascii="宋体" w:hAnsi="宋体" w:cs="宋体" w:eastAsia="宋体" w:hint="default"/>
                <w:spacing w:val="-2"/>
                <w:sz w:val="18"/>
                <w:szCs w:val="18"/>
              </w:rPr>
              <w:t>技、网络科技、通讯科</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技专业领域内的技术 </w:t>
            </w:r>
            <w:r>
              <w:rPr>
                <w:rFonts w:ascii="宋体" w:hAnsi="宋体" w:cs="宋体" w:eastAsia="宋体" w:hint="default"/>
                <w:spacing w:val="-2"/>
                <w:sz w:val="18"/>
                <w:szCs w:val="18"/>
              </w:rPr>
              <w:t>开发、技术转让、技术</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咨询、技术服务</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-1,794,847.40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316" w:lineRule="auto"/>
              <w:ind w:left="22" w:right="71"/>
              <w:jc w:val="left"/>
              <w:rPr>
                <w:rFonts w:ascii="宋体" w:hAnsi="宋体" w:cs="宋体" w:eastAsia="宋体" w:hint="default"/>
                <w:sz w:val="18"/>
                <w:szCs w:val="18"/>
              </w:rPr>
            </w:pPr>
            <w:r>
              <w:rPr>
                <w:rFonts w:ascii="宋体" w:hAnsi="宋体" w:cs="宋体" w:eastAsia="宋体" w:hint="default"/>
                <w:sz w:val="18"/>
                <w:szCs w:val="18"/>
              </w:rPr>
              <w:t>巨潮资讯 网</w:t>
            </w:r>
          </w:p>
          <w:p>
            <w:pPr>
              <w:pStyle w:val="TableParagraph"/>
              <w:spacing w:line="338" w:lineRule="auto" w:before="19"/>
              <w:ind w:left="22" w:right="55"/>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www.c</w:t>
            </w:r>
            <w:r>
              <w:rPr>
                <w:rFonts w:ascii="Times New Roman" w:hAnsi="Times New Roman" w:cs="Times New Roman" w:eastAsia="Times New Roman" w:hint="default"/>
                <w:spacing w:val="-42"/>
                <w:sz w:val="18"/>
                <w:szCs w:val="18"/>
              </w:rPr>
              <w:t> </w:t>
            </w:r>
            <w:r>
              <w:rPr>
                <w:rFonts w:ascii="Times New Roman" w:hAnsi="Times New Roman" w:cs="Times New Roman" w:eastAsia="Times New Roman" w:hint="default"/>
                <w:spacing w:val="-42"/>
                <w:sz w:val="18"/>
                <w:szCs w:val="18"/>
              </w:rPr>
            </w:r>
            <w:r>
              <w:rPr>
                <w:rFonts w:ascii="Times New Roman" w:hAnsi="Times New Roman" w:cs="Times New Roman" w:eastAsia="Times New Roman" w:hint="default"/>
                <w:sz w:val="18"/>
                <w:szCs w:val="18"/>
              </w:rPr>
              <w:t>ninfo.com</w:t>
            </w:r>
          </w:p>
          <w:p>
            <w:pPr>
              <w:pStyle w:val="TableParagraph"/>
              <w:spacing w:line="240" w:lineRule="auto" w:before="24"/>
              <w:ind w:left="22" w:right="0"/>
              <w:jc w:val="left"/>
              <w:rPr>
                <w:rFonts w:ascii="Times New Roman" w:hAnsi="Times New Roman" w:cs="Times New Roman" w:eastAsia="Times New Roman" w:hint="default"/>
                <w:sz w:val="18"/>
                <w:szCs w:val="18"/>
              </w:rPr>
            </w:pPr>
            <w:r>
              <w:rPr>
                <w:rFonts w:ascii="Times New Roman"/>
                <w:sz w:val="18"/>
              </w:rPr>
              <w:t>.cn)</w:t>
            </w:r>
          </w:p>
        </w:tc>
      </w:tr>
      <w:tr>
        <w:trPr>
          <w:trHeight w:val="715" w:hRule="exact"/>
        </w:trPr>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76,191,270.00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-1,794,847.40</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8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4"/>
        <w:spacing w:line="240" w:lineRule="auto" w:before="35"/>
        <w:ind w:left="120" w:right="0"/>
        <w:jc w:val="left"/>
        <w:rPr>
          <w:b w:val="0"/>
          <w:bCs w:val="0"/>
        </w:rPr>
      </w:pPr>
      <w:bookmarkStart w:name="3、报告期内正在进行的重大的非股权投资情况" w:id="47"/>
      <w:bookmarkEnd w:id="47"/>
      <w:r>
        <w:rPr>
          <w:b w:val="0"/>
          <w:bCs w:val="0"/>
        </w:rPr>
      </w:r>
      <w:r>
        <w:rPr>
          <w:rFonts w:ascii="Times New Roman" w:hAnsi="Times New Roman" w:cs="Times New Roman" w:eastAsia="Times New Roman" w:hint="default"/>
        </w:rPr>
        <w:t>3</w:t>
      </w:r>
      <w:r>
        <w:rPr/>
        <w:t>、报告期内正在进行的重大的非股权投资情况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left="120" w:right="0"/>
        <w:jc w:val="left"/>
        <w:rPr>
          <w:b w:val="0"/>
          <w:bCs w:val="0"/>
        </w:rPr>
      </w:pPr>
      <w:bookmarkStart w:name="4、以公允价值计量的金融资产" w:id="48"/>
      <w:bookmarkEnd w:id="48"/>
      <w:r>
        <w:rPr>
          <w:b w:val="0"/>
          <w:bCs w:val="0"/>
        </w:rPr>
      </w:r>
      <w:r>
        <w:rPr>
          <w:rFonts w:ascii="Times New Roman" w:hAnsi="Times New Roman" w:cs="Times New Roman" w:eastAsia="Times New Roman" w:hint="default"/>
        </w:rPr>
        <w:t>4</w:t>
      </w:r>
      <w:r>
        <w:rPr/>
        <w:t>、以公允价值计量的金融资产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12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6840" w:h="11910" w:orient="landscape"/>
          <w:pgMar w:header="867" w:footer="979" w:top="1060" w:bottom="1160" w:left="132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pStyle w:val="Heading4"/>
        <w:spacing w:line="240" w:lineRule="auto" w:before="35"/>
        <w:ind w:right="0"/>
        <w:jc w:val="left"/>
        <w:rPr>
          <w:b w:val="0"/>
          <w:bCs w:val="0"/>
        </w:rPr>
      </w:pPr>
      <w:bookmarkStart w:name="5、募集资金使用情况" w:id="49"/>
      <w:bookmarkEnd w:id="49"/>
      <w:r>
        <w:rPr>
          <w:b w:val="0"/>
          <w:bCs w:val="0"/>
        </w:rPr>
      </w:r>
      <w:r>
        <w:rPr>
          <w:rFonts w:ascii="Times New Roman" w:hAnsi="Times New Roman" w:cs="Times New Roman" w:eastAsia="Times New Roman"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1）募集资金总体使用情况" w:id="50"/>
      <w:bookmarkEnd w:id="50"/>
      <w:r>
        <w:rPr>
          <w:b w:val="0"/>
          <w:bCs w:val="0"/>
        </w:rPr>
      </w: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70"/>
        <w:gridCol w:w="870"/>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49" w:right="68"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9"/>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92"/>
              <w:jc w:val="center"/>
              <w:rPr>
                <w:rFonts w:ascii="宋体" w:hAnsi="宋体" w:cs="宋体" w:eastAsia="宋体" w:hint="default"/>
                <w:sz w:val="18"/>
                <w:szCs w:val="18"/>
              </w:rPr>
            </w:pPr>
            <w:r>
              <w:rPr>
                <w:rFonts w:ascii="宋体" w:hAnsi="宋体" w:cs="宋体" w:eastAsia="宋体" w:hint="default"/>
                <w:sz w:val="18"/>
                <w:szCs w:val="18"/>
              </w:rPr>
              <w:t>公开发行</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3" w:right="0"/>
              <w:jc w:val="center"/>
              <w:rPr>
                <w:rFonts w:ascii="Times New Roman" w:hAnsi="Times New Roman" w:cs="Times New Roman" w:eastAsia="Times New Roman" w:hint="default"/>
                <w:sz w:val="18"/>
                <w:szCs w:val="18"/>
              </w:rPr>
            </w:pPr>
            <w:r>
              <w:rPr>
                <w:rFonts w:ascii="Times New Roman"/>
                <w:sz w:val="18"/>
              </w:rPr>
              <w:t>24,867.04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7,369.51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center"/>
              <w:rPr>
                <w:rFonts w:ascii="Times New Roman" w:hAnsi="Times New Roman" w:cs="Times New Roman" w:eastAsia="Times New Roman" w:hint="default"/>
                <w:sz w:val="18"/>
                <w:szCs w:val="18"/>
              </w:rPr>
            </w:pPr>
            <w:r>
              <w:rPr>
                <w:rFonts w:ascii="Times New Roman"/>
                <w:sz w:val="18"/>
              </w:rPr>
              <w:t>17,838.34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5,616.53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5,616.53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22.59%</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7,028.7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15"/>
              <w:jc w:val="both"/>
              <w:rPr>
                <w:rFonts w:ascii="宋体" w:hAnsi="宋体" w:cs="宋体" w:eastAsia="宋体" w:hint="default"/>
                <w:sz w:val="18"/>
                <w:szCs w:val="18"/>
              </w:rPr>
            </w:pPr>
            <w:r>
              <w:rPr>
                <w:rFonts w:ascii="宋体" w:hAnsi="宋体" w:cs="宋体" w:eastAsia="宋体" w:hint="default"/>
                <w:sz w:val="18"/>
                <w:szCs w:val="18"/>
              </w:rPr>
              <w:t>存放于募 集资金专 户</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81" w:right="0"/>
              <w:jc w:val="center"/>
              <w:rPr>
                <w:rFonts w:ascii="Times New Roman" w:hAnsi="Times New Roman" w:cs="Times New Roman" w:eastAsia="Times New Roman" w:hint="default"/>
                <w:sz w:val="18"/>
                <w:szCs w:val="18"/>
              </w:rPr>
            </w:pPr>
            <w:r>
              <w:rPr>
                <w:rFonts w:ascii="Times New Roman"/>
                <w:sz w:val="18"/>
              </w:rPr>
              <w:t>24,867.04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7,369.51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17,838.34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5,616.53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5,616.53</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22.59%</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7,028.7</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2"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经中国证券监督管理委员会《关于核准宣亚国际品牌管理（北京）股份有限公司首次公开发行股票的批复</w:t>
            </w:r>
            <w:r>
              <w:rPr>
                <w:rFonts w:ascii="宋体" w:hAnsi="宋体" w:cs="宋体" w:eastAsia="宋体" w:hint="default"/>
                <w:spacing w:val="-90"/>
                <w:sz w:val="18"/>
                <w:szCs w:val="18"/>
              </w:rPr>
              <w:t>》</w:t>
            </w:r>
            <w:r>
              <w:rPr>
                <w:rFonts w:ascii="宋体" w:hAnsi="宋体" w:cs="宋体" w:eastAsia="宋体" w:hint="default"/>
                <w:sz w:val="18"/>
                <w:szCs w:val="18"/>
              </w:rPr>
              <w:t>（证监许可</w:t>
            </w:r>
          </w:p>
          <w:p>
            <w:pPr>
              <w:pStyle w:val="TableParagraph"/>
              <w:spacing w:line="240" w:lineRule="auto" w:before="7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[2017]124 </w:t>
            </w:r>
            <w:r>
              <w:rPr>
                <w:rFonts w:ascii="宋体" w:hAnsi="宋体" w:cs="宋体" w:eastAsia="宋体" w:hint="default"/>
                <w:sz w:val="18"/>
                <w:szCs w:val="18"/>
              </w:rPr>
              <w:t>号）核准，公司首次公开发行人民币普通股（</w:t>
            </w:r>
            <w:r>
              <w:rPr>
                <w:rFonts w:ascii="Times New Roman" w:hAnsi="Times New Roman" w:cs="Times New Roman" w:eastAsia="Times New Roman" w:hint="default"/>
                <w:sz w:val="18"/>
                <w:szCs w:val="18"/>
              </w:rPr>
              <w:t>A </w:t>
            </w:r>
            <w:r>
              <w:rPr>
                <w:rFonts w:ascii="宋体" w:hAnsi="宋体" w:cs="宋体" w:eastAsia="宋体" w:hint="default"/>
                <w:sz w:val="18"/>
                <w:szCs w:val="18"/>
              </w:rPr>
              <w:t>股）</w:t>
            </w:r>
            <w:r>
              <w:rPr>
                <w:rFonts w:ascii="Times New Roman" w:hAnsi="Times New Roman" w:cs="Times New Roman" w:eastAsia="Times New Roman" w:hint="default"/>
                <w:sz w:val="18"/>
                <w:szCs w:val="18"/>
              </w:rPr>
              <w:t>1,800 </w:t>
            </w:r>
            <w:r>
              <w:rPr>
                <w:rFonts w:ascii="宋体" w:hAnsi="宋体" w:cs="宋体" w:eastAsia="宋体" w:hint="default"/>
                <w:sz w:val="18"/>
                <w:szCs w:val="18"/>
              </w:rPr>
              <w:t>万股，每股发行价格为人民币 </w:t>
            </w:r>
            <w:r>
              <w:rPr>
                <w:rFonts w:ascii="Times New Roman" w:hAnsi="Times New Roman" w:cs="Times New Roman" w:eastAsia="Times New Roman" w:hint="default"/>
                <w:sz w:val="18"/>
                <w:szCs w:val="18"/>
              </w:rPr>
              <w:t>16.14</w:t>
            </w:r>
            <w:r>
              <w:rPr>
                <w:rFonts w:ascii="Times New Roman" w:hAnsi="Times New Roman" w:cs="Times New Roman" w:eastAsia="Times New Roman" w:hint="default"/>
                <w:spacing w:val="-16"/>
                <w:sz w:val="18"/>
                <w:szCs w:val="18"/>
              </w:rPr>
              <w:t> </w:t>
            </w:r>
            <w:r>
              <w:rPr>
                <w:rFonts w:ascii="宋体" w:hAnsi="宋体" w:cs="宋体" w:eastAsia="宋体" w:hint="default"/>
                <w:sz w:val="18"/>
                <w:szCs w:val="18"/>
              </w:rPr>
              <w:t>元，募集资金总</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额人民币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29,052.00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万元，扣除承销费、保荐费、审计费、律师费、信息披露等发行费用</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4,184.96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万元后，实际募集资金</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24,867.04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日，本公司累计使用募集资金人民币</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22,018.41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万元，募集资金专户</w:t>
            </w:r>
          </w:p>
          <w:p>
            <w:pPr>
              <w:pStyle w:val="TableParagraph"/>
              <w:spacing w:line="302" w:lineRule="auto" w:before="63"/>
              <w:ind w:left="22" w:right="21"/>
              <w:jc w:val="left"/>
              <w:rPr>
                <w:rFonts w:ascii="宋体" w:hAnsi="宋体" w:cs="宋体" w:eastAsia="宋体" w:hint="default"/>
                <w:sz w:val="18"/>
                <w:szCs w:val="18"/>
              </w:rPr>
            </w:pPr>
            <w:r>
              <w:rPr>
                <w:rFonts w:ascii="宋体" w:hAnsi="宋体" w:cs="宋体" w:eastAsia="宋体" w:hint="default"/>
                <w:sz w:val="18"/>
                <w:szCs w:val="18"/>
              </w:rPr>
              <w:t>余额人民币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7,124.58 </w:t>
            </w:r>
            <w:r>
              <w:rPr>
                <w:rFonts w:ascii="宋体" w:hAnsi="宋体" w:cs="宋体" w:eastAsia="宋体" w:hint="default"/>
                <w:spacing w:val="-3"/>
                <w:sz w:val="18"/>
                <w:szCs w:val="18"/>
              </w:rPr>
              <w:t>万元，与实际募集资金总额人民币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29,052.00 </w:t>
            </w:r>
            <w:r>
              <w:rPr>
                <w:rFonts w:ascii="宋体" w:hAnsi="宋体" w:cs="宋体" w:eastAsia="宋体" w:hint="default"/>
                <w:sz w:val="18"/>
                <w:szCs w:val="18"/>
              </w:rPr>
              <w:t>万元的差异人民币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90.99</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万元，系募集资金银行存款累计</w:t>
            </w:r>
            <w:r>
              <w:rPr>
                <w:rFonts w:ascii="宋体" w:hAnsi="宋体" w:cs="宋体" w:eastAsia="宋体" w:hint="default"/>
                <w:sz w:val="18"/>
                <w:szCs w:val="18"/>
              </w:rPr>
              <w:t> 利息收入扣除银行手续费支出后的净额。</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募集资金承诺项目情况" w:id="51"/>
      <w:bookmarkEnd w:id="51"/>
      <w:r>
        <w:rPr>
          <w:b w:val="0"/>
          <w:bCs w:val="0"/>
        </w:rPr>
      </w: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0" w:right="1130"/>
        <w:jc w:val="right"/>
      </w:pPr>
      <w:r>
        <w:rPr/>
        <w:t>单位：万元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134"/>
        <w:gridCol w:w="709"/>
        <w:gridCol w:w="851"/>
        <w:gridCol w:w="850"/>
        <w:gridCol w:w="852"/>
        <w:gridCol w:w="845"/>
        <w:gridCol w:w="721"/>
        <w:gridCol w:w="842"/>
        <w:gridCol w:w="602"/>
        <w:gridCol w:w="722"/>
        <w:gridCol w:w="721"/>
        <w:gridCol w:w="722"/>
      </w:tblGrid>
      <w:tr>
        <w:trPr>
          <w:trHeight w:val="1650"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1" w:right="111"/>
              <w:jc w:val="center"/>
              <w:rPr>
                <w:rFonts w:ascii="宋体" w:hAnsi="宋体" w:cs="宋体" w:eastAsia="宋体" w:hint="default"/>
                <w:sz w:val="18"/>
                <w:szCs w:val="18"/>
              </w:rPr>
            </w:pPr>
            <w:r>
              <w:rPr>
                <w:rFonts w:ascii="宋体" w:hAnsi="宋体" w:cs="宋体" w:eastAsia="宋体" w:hint="default"/>
                <w:sz w:val="18"/>
                <w:szCs w:val="18"/>
              </w:rPr>
              <w:t>承诺投资项 目和超募资 金投向</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49" w:right="48"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0" w:right="59"/>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4" w:right="43" w:firstLine="1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1" w:right="5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6" w:right="5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6" w:right="54"/>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数字营销平 台项目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10,961.33</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10,945.57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1,627.22</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4,726.18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2" w:right="0"/>
              <w:jc w:val="center"/>
              <w:rPr>
                <w:rFonts w:ascii="Times New Roman" w:hAnsi="Times New Roman" w:cs="Times New Roman" w:eastAsia="Times New Roman" w:hint="default"/>
                <w:sz w:val="18"/>
                <w:szCs w:val="18"/>
              </w:rPr>
            </w:pPr>
            <w:r>
              <w:rPr>
                <w:rFonts w:ascii="Times New Roman"/>
                <w:sz w:val="18"/>
              </w:rPr>
              <w:t>43.18%</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02</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8"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信息化数字 平台升级项 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936.42</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935.07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82.68</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82.68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02" w:right="0"/>
              <w:jc w:val="center"/>
              <w:rPr>
                <w:rFonts w:ascii="Times New Roman" w:hAnsi="Times New Roman" w:cs="Times New Roman" w:eastAsia="Times New Roman" w:hint="default"/>
                <w:sz w:val="18"/>
                <w:szCs w:val="18"/>
              </w:rPr>
            </w:pPr>
            <w:r>
              <w:rPr>
                <w:rFonts w:ascii="Times New Roman"/>
                <w:sz w:val="18"/>
              </w:rPr>
              <w:t>8.84%</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2021 </w:t>
            </w:r>
            <w:r>
              <w:rPr>
                <w:rFonts w:ascii="宋体" w:hAnsi="宋体" w:cs="宋体" w:eastAsia="宋体" w:hint="default"/>
                <w:sz w:val="18"/>
                <w:szCs w:val="18"/>
              </w:rPr>
              <w:t>年</w:t>
            </w:r>
            <w:r>
              <w:rPr>
                <w:rFonts w:ascii="宋体" w:hAnsi="宋体" w:cs="宋体" w:eastAsia="宋体" w:hint="default"/>
                <w:spacing w:val="-70"/>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headerReference w:type="default" r:id="rId14"/>
          <w:footerReference w:type="default" r:id="rId15"/>
          <w:pgSz w:w="11910" w:h="16840"/>
          <w:pgMar w:header="877" w:footer="979" w:top="1100" w:bottom="1160" w:left="980" w:right="0"/>
          <w:pgNumType w:start="22"/>
        </w:sectPr>
      </w:pPr>
    </w:p>
    <w:p>
      <w:pPr>
        <w:spacing w:line="240" w:lineRule="auto" w:before="0"/>
        <w:rPr>
          <w:rFonts w:ascii="宋体" w:hAnsi="宋体" w:cs="宋体" w:eastAsia="宋体" w:hint="default"/>
          <w:sz w:val="20"/>
          <w:szCs w:val="20"/>
        </w:rPr>
      </w:pPr>
      <w:r>
        <w:rPr/>
        <w:pict>
          <v:shape style="position:absolute;margin-left:56.459999pt;margin-top:71.999985pt;width:479.35pt;height:685.1pt;mso-position-horizontal-relative:page;mso-position-vertical-relative:page;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720"/>
                    <w:gridCol w:w="414"/>
                    <w:gridCol w:w="709"/>
                    <w:gridCol w:w="851"/>
                    <w:gridCol w:w="850"/>
                    <w:gridCol w:w="852"/>
                    <w:gridCol w:w="845"/>
                    <w:gridCol w:w="721"/>
                    <w:gridCol w:w="842"/>
                    <w:gridCol w:w="602"/>
                    <w:gridCol w:w="722"/>
                    <w:gridCol w:w="721"/>
                    <w:gridCol w:w="722"/>
                  </w:tblGrid>
                  <w:tr>
                    <w:trPr>
                      <w:trHeight w:val="1650" w:hRule="exact"/>
                    </w:trPr>
                    <w:tc>
                      <w:tcPr>
                        <w:tcW w:w="11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111" w:right="111"/>
                          <w:jc w:val="center"/>
                          <w:rPr>
                            <w:rFonts w:ascii="宋体" w:hAnsi="宋体" w:cs="宋体" w:eastAsia="宋体" w:hint="default"/>
                            <w:sz w:val="18"/>
                            <w:szCs w:val="18"/>
                          </w:rPr>
                        </w:pPr>
                        <w:r>
                          <w:rPr>
                            <w:rFonts w:ascii="宋体" w:hAnsi="宋体" w:cs="宋体" w:eastAsia="宋体" w:hint="default"/>
                            <w:sz w:val="18"/>
                            <w:szCs w:val="18"/>
                          </w:rPr>
                          <w:t>承诺投资项 目和超募资 金投向</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49" w:right="48"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60" w:right="59"/>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44" w:right="43" w:firstLine="1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1" w:right="59"/>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56" w:right="5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0" w:right="68"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56" w:right="54"/>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6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25" w:right="2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8"/>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714" w:hRule="exact"/>
                    </w:trPr>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境内业务网 络扩建项目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1,626.85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已终止</w:t>
                        </w:r>
                      </w:p>
                    </w:tc>
                    <w:tc>
                      <w:tcPr>
                        <w:tcW w:w="84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境外业务网 络建设项目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3,997.76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0"/>
                          <w:jc w:val="right"/>
                          <w:rPr>
                            <w:rFonts w:ascii="宋体" w:hAnsi="宋体" w:cs="宋体" w:eastAsia="宋体" w:hint="default"/>
                            <w:sz w:val="18"/>
                            <w:szCs w:val="18"/>
                          </w:rPr>
                        </w:pPr>
                        <w:r>
                          <w:rPr>
                            <w:rFonts w:ascii="宋体" w:hAnsi="宋体" w:cs="宋体" w:eastAsia="宋体" w:hint="default"/>
                            <w:sz w:val="18"/>
                            <w:szCs w:val="18"/>
                          </w:rPr>
                          <w:t>已终止</w:t>
                        </w:r>
                      </w:p>
                    </w:tc>
                    <w:tc>
                      <w:tcPr>
                        <w:tcW w:w="84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补充流动资 金项目</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7,380.48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12,986.4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5,659.61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13,029.48</w:t>
                        </w: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100.33%</w:t>
                        </w:r>
                      </w:p>
                    </w:tc>
                    <w:tc>
                      <w:tcPr>
                        <w:tcW w:w="84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24"/>
                          <w:jc w:val="center"/>
                          <w:rPr>
                            <w:rFonts w:ascii="宋体" w:hAnsi="宋体" w:cs="宋体" w:eastAsia="宋体" w:hint="default"/>
                            <w:sz w:val="18"/>
                            <w:szCs w:val="18"/>
                          </w:rPr>
                        </w:pPr>
                        <w:r>
                          <w:rPr>
                            <w:rFonts w:ascii="宋体" w:hAnsi="宋体" w:cs="宋体" w:eastAsia="宋体" w:hint="default"/>
                            <w:sz w:val="18"/>
                            <w:szCs w:val="18"/>
                          </w:rPr>
                          <w:t>不适用</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61" w:hRule="exact"/>
                    </w:trPr>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201"/>
                          <w:jc w:val="left"/>
                          <w:rPr>
                            <w:rFonts w:ascii="宋体" w:hAnsi="宋体" w:cs="宋体" w:eastAsia="宋体" w:hint="default"/>
                            <w:sz w:val="18"/>
                            <w:szCs w:val="18"/>
                          </w:rPr>
                        </w:pPr>
                        <w:r>
                          <w:rPr>
                            <w:rFonts w:ascii="宋体" w:hAnsi="宋体" w:cs="宋体" w:eastAsia="宋体" w:hint="default"/>
                            <w:sz w:val="18"/>
                            <w:szCs w:val="18"/>
                          </w:rPr>
                          <w:t>承诺投资项 目小计</w:t>
                        </w: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10"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24,902.84</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Times New Roman" w:hAnsi="Times New Roman" w:cs="Times New Roman" w:eastAsia="Times New Roman" w:hint="default"/>
                            <w:sz w:val="18"/>
                            <w:szCs w:val="18"/>
                          </w:rPr>
                        </w:pPr>
                        <w:r>
                          <w:rPr>
                            <w:rFonts w:ascii="Times New Roman"/>
                            <w:sz w:val="18"/>
                          </w:rPr>
                          <w:t>24,867.04</w:t>
                        </w:r>
                      </w:p>
                    </w:tc>
                    <w:tc>
                      <w:tcPr>
                        <w:tcW w:w="85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9" w:right="0"/>
                          <w:jc w:val="left"/>
                          <w:rPr>
                            <w:rFonts w:ascii="Times New Roman" w:hAnsi="Times New Roman" w:cs="Times New Roman" w:eastAsia="Times New Roman" w:hint="default"/>
                            <w:sz w:val="18"/>
                            <w:szCs w:val="18"/>
                          </w:rPr>
                        </w:pPr>
                        <w:r>
                          <w:rPr>
                            <w:rFonts w:ascii="Times New Roman"/>
                            <w:sz w:val="18"/>
                          </w:rPr>
                          <w:t>7,369.51</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1" w:right="0"/>
                          <w:jc w:val="left"/>
                          <w:rPr>
                            <w:rFonts w:ascii="Times New Roman" w:hAnsi="Times New Roman" w:cs="Times New Roman" w:eastAsia="Times New Roman" w:hint="default"/>
                            <w:sz w:val="18"/>
                            <w:szCs w:val="18"/>
                          </w:rPr>
                        </w:pPr>
                        <w:r>
                          <w:rPr>
                            <w:rFonts w:ascii="Times New Roman"/>
                            <w:sz w:val="18"/>
                          </w:rPr>
                          <w:t>17,838.34</w:t>
                        </w:r>
                      </w:p>
                    </w:tc>
                    <w:tc>
                      <w:tcPr>
                        <w:tcW w:w="721"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7" w:right="0"/>
                          <w:jc w:val="left"/>
                          <w:rPr>
                            <w:rFonts w:ascii="Times New Roman" w:hAnsi="Times New Roman" w:cs="Times New Roman" w:eastAsia="Times New Roman" w:hint="default"/>
                            <w:sz w:val="18"/>
                            <w:szCs w:val="18"/>
                          </w:rPr>
                        </w:pPr>
                        <w:r>
                          <w:rPr>
                            <w:rFonts w:ascii="Times New Roman"/>
                            <w:sz w:val="18"/>
                          </w:rPr>
                          <w:t>71.73%</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02" w:type="dxa"/>
                        <w:vMerge w:val="restart"/>
                        <w:tcBorders>
                          <w:top w:val="single" w:sz="4" w:space="0" w:color="000000"/>
                          <w:left w:val="single" w:sz="9" w:space="0" w:color="D2D2D2"/>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22" w:type="dxa"/>
                        <w:vMerge w:val="restart"/>
                        <w:tcBorders>
                          <w:top w:val="single" w:sz="4" w:space="0" w:color="000000"/>
                          <w:left w:val="single" w:sz="4" w:space="0" w:color="000000"/>
                          <w:right w:val="single" w:sz="9"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1134" w:type="dxa"/>
                        <w:gridSpan w:val="2"/>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1" w:type="dxa"/>
                        <w:vMerge/>
                        <w:tcBorders>
                          <w:left w:val="single" w:sz="10"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85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721" w:type="dxa"/>
                        <w:vMerge/>
                        <w:tcBorders>
                          <w:left w:val="single" w:sz="4" w:space="0" w:color="000000"/>
                          <w:right w:val="single" w:sz="9" w:space="0" w:color="D2D2D2"/>
                        </w:tcBorders>
                      </w:tcPr>
                      <w:p>
                        <w:pPr/>
                      </w:p>
                    </w:tc>
                    <w:tc>
                      <w:tcPr>
                        <w:tcW w:w="84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02" w:type="dxa"/>
                        <w:vMerge/>
                        <w:tcBorders>
                          <w:left w:val="single" w:sz="9" w:space="0" w:color="D2D2D2"/>
                          <w:right w:val="single" w:sz="4" w:space="0" w:color="000000"/>
                        </w:tcBorders>
                      </w:tcPr>
                      <w:p>
                        <w:pPr/>
                      </w:p>
                    </w:tc>
                    <w:tc>
                      <w:tcPr>
                        <w:tcW w:w="722" w:type="dxa"/>
                        <w:vMerge/>
                        <w:tcBorders>
                          <w:left w:val="single" w:sz="4" w:space="0" w:color="000000"/>
                          <w:right w:val="single" w:sz="9" w:space="0" w:color="D2D2D2"/>
                        </w:tcBorders>
                      </w:tcPr>
                      <w:p>
                        <w:pPr/>
                      </w:p>
                    </w:tc>
                    <w:tc>
                      <w:tcPr>
                        <w:tcW w:w="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166" w:hRule="exact"/>
                    </w:trPr>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10"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85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721" w:type="dxa"/>
                        <w:vMerge/>
                        <w:tcBorders>
                          <w:left w:val="single" w:sz="4" w:space="0" w:color="000000"/>
                          <w:bottom w:val="single" w:sz="4" w:space="0" w:color="000000"/>
                          <w:right w:val="single" w:sz="9" w:space="0" w:color="D2D2D2"/>
                        </w:tcBorders>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02" w:type="dxa"/>
                        <w:vMerge/>
                        <w:tcBorders>
                          <w:left w:val="single" w:sz="9" w:space="0" w:color="D2D2D2"/>
                          <w:bottom w:val="single" w:sz="4" w:space="0" w:color="000000"/>
                          <w:right w:val="single" w:sz="4" w:space="0" w:color="000000"/>
                        </w:tcBorders>
                      </w:tcPr>
                      <w:p>
                        <w:pPr/>
                      </w:p>
                    </w:tc>
                    <w:tc>
                      <w:tcPr>
                        <w:tcW w:w="722" w:type="dxa"/>
                        <w:vMerge/>
                        <w:tcBorders>
                          <w:left w:val="single" w:sz="4" w:space="0" w:color="000000"/>
                          <w:bottom w:val="single" w:sz="4" w:space="0" w:color="000000"/>
                          <w:right w:val="single" w:sz="9" w:space="0" w:color="D2D2D2"/>
                        </w:tcBorders>
                      </w:tcPr>
                      <w:p>
                        <w:pPr/>
                      </w:p>
                    </w:tc>
                    <w:tc>
                      <w:tcPr>
                        <w:tcW w:w="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7" w:hRule="exact"/>
                    </w:trPr>
                    <w:tc>
                      <w:tcPr>
                        <w:tcW w:w="72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8852"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1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709"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45"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842" w:type="dxa"/>
                        <w:tcBorders>
                          <w:top w:val="single" w:sz="4" w:space="0" w:color="000000"/>
                          <w:left w:val="single" w:sz="4" w:space="0" w:color="000000"/>
                          <w:bottom w:val="single" w:sz="4" w:space="0" w:color="000000"/>
                          <w:right w:val="single" w:sz="4" w:space="0" w:color="000000"/>
                        </w:tcBorders>
                      </w:tcPr>
                      <w:p>
                        <w:pPr/>
                      </w:p>
                    </w:tc>
                    <w:tc>
                      <w:tcPr>
                        <w:tcW w:w="602"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c>
                      <w:tcPr>
                        <w:tcW w:w="721" w:type="dxa"/>
                        <w:tcBorders>
                          <w:top w:val="single" w:sz="4" w:space="0" w:color="000000"/>
                          <w:left w:val="single" w:sz="4" w:space="0" w:color="000000"/>
                          <w:bottom w:val="single" w:sz="4" w:space="0" w:color="000000"/>
                          <w:right w:val="single" w:sz="4" w:space="0" w:color="000000"/>
                        </w:tcBorders>
                      </w:tcPr>
                      <w:p>
                        <w:pPr/>
                      </w:p>
                    </w:tc>
                    <w:tc>
                      <w:tcPr>
                        <w:tcW w:w="72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88"/>
                          <w:jc w:val="right"/>
                          <w:rPr>
                            <w:rFonts w:ascii="Times New Roman" w:hAnsi="Times New Roman" w:cs="Times New Roman" w:eastAsia="Times New Roman" w:hint="default"/>
                            <w:sz w:val="18"/>
                            <w:szCs w:val="18"/>
                          </w:rPr>
                        </w:pPr>
                        <w:r>
                          <w:rPr>
                            <w:rFonts w:ascii="Times New Roman"/>
                            <w:sz w:val="18"/>
                          </w:rPr>
                          <w:t>--</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24,902.84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24,867.04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7,369.51</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17,838.34</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95"/>
                          <w:jc w:val="right"/>
                          <w:rPr>
                            <w:rFonts w:ascii="Times New Roman" w:hAnsi="Times New Roman" w:cs="Times New Roman" w:eastAsia="Times New Roman" w:hint="default"/>
                            <w:sz w:val="18"/>
                            <w:szCs w:val="18"/>
                          </w:rPr>
                        </w:pPr>
                        <w:r>
                          <w:rPr>
                            <w:rFonts w:ascii="Times New Roman"/>
                            <w:sz w:val="18"/>
                          </w:rPr>
                          <w:t>--</w:t>
                        </w:r>
                      </w:p>
                    </w:tc>
                  </w:tr>
                  <w:tr>
                    <w:trPr>
                      <w:trHeight w:val="4498" w:hRule="exact"/>
                    </w:trPr>
                    <w:tc>
                      <w:tcPr>
                        <w:tcW w:w="11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2"/>
                            <w:szCs w:val="22"/>
                          </w:rPr>
                        </w:pPr>
                      </w:p>
                      <w:p>
                        <w:pPr>
                          <w:pStyle w:val="TableParagraph"/>
                          <w:spacing w:line="316" w:lineRule="auto"/>
                          <w:ind w:left="22" w:right="22"/>
                          <w:jc w:val="left"/>
                          <w:rPr>
                            <w:rFonts w:ascii="宋体" w:hAnsi="宋体" w:cs="宋体" w:eastAsia="宋体" w:hint="default"/>
                            <w:sz w:val="18"/>
                            <w:szCs w:val="18"/>
                          </w:rPr>
                        </w:pPr>
                        <w:r>
                          <w:rPr>
                            <w:rFonts w:ascii="宋体" w:hAnsi="宋体" w:cs="宋体" w:eastAsia="宋体" w:hint="default"/>
                            <w:sz w:val="18"/>
                            <w:szCs w:val="18"/>
                          </w:rPr>
                          <w:t>未达到计划 进度或预计 收益的情况 和原因（分具 体项目）</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29" w:type="dxa"/>
                        <w:gridSpan w:val="10"/>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、数字营销平台项目：延长</w:t>
                        </w:r>
                        <w:r>
                          <w:rPr>
                            <w:rFonts w:ascii="Times New Roman" w:hAnsi="Times New Roman" w:cs="Times New Roman" w:eastAsia="Times New Roman" w:hint="default"/>
                            <w:sz w:val="18"/>
                            <w:szCs w:val="18"/>
                          </w:rPr>
                          <w:t>“</w:t>
                        </w:r>
                        <w:r>
                          <w:rPr>
                            <w:rFonts w:ascii="宋体" w:hAnsi="宋体" w:cs="宋体" w:eastAsia="宋体" w:hint="default"/>
                            <w:sz w:val="18"/>
                            <w:szCs w:val="18"/>
                          </w:rPr>
                          <w:t>数字营销平台项目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建设期的原因主要系在移动互联网和数字传播技 </w:t>
                        </w:r>
                        <w:r>
                          <w:rPr>
                            <w:rFonts w:ascii="宋体" w:hAnsi="宋体" w:cs="宋体" w:eastAsia="宋体" w:hint="default"/>
                            <w:spacing w:val="-2"/>
                            <w:sz w:val="18"/>
                            <w:szCs w:val="18"/>
                          </w:rPr>
                          <w:t>术迅猛发展的大趋势下，面对媒体、传播形态和公众信息获取方式、消费态度的颠覆性变化，公司</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经综合考量，放缓了投资进程。由于市场变化较快，媒介渠道、客户需求变化迅速，技术迭代加速</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Times New Roman" w:hAnsi="Times New Roman" w:cs="Times New Roman" w:eastAsia="Times New Roman" w:hint="default"/>
                            <w:sz w:val="18"/>
                            <w:szCs w:val="18"/>
                          </w:rPr>
                          <w:t>IT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技术人员及项目执行等高素质人才流失等诸多因素，公司若仍按照原计划进行投资，可能导致 </w:t>
                        </w:r>
                        <w:r>
                          <w:rPr>
                            <w:rFonts w:ascii="宋体" w:hAnsi="宋体" w:cs="宋体" w:eastAsia="宋体" w:hint="default"/>
                            <w:spacing w:val="-4"/>
                            <w:sz w:val="18"/>
                            <w:szCs w:val="18"/>
                          </w:rPr>
                          <w:t>项目投入产出比无法达到预期效果，从而影响公司的持续盈利能力。本着对全体投资者负责的态度</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pacing w:val="-2"/>
                            <w:sz w:val="18"/>
                            <w:szCs w:val="18"/>
                          </w:rPr>
                          <w:t>避免因盲目追求募投项目投资进度带来的投资风险，为确保募集资金使用的高效性，实现公司与投</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资者的利益最大化，公司在已使用部分募集资金进行研发、软硬件等合理投入的基础上，采取了较</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为审慎的募集资金投入策略。因此，根据目前项目实施的具体情况，经慎重考虑，公司董事会决定</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延长数字营销平台项目建设期，将建设期限延长至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2022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w:t>
                        </w:r>
                        <w:r>
                          <w:rPr>
                            <w:rFonts w:ascii="Times New Roman" w:hAnsi="Times New Roman" w:cs="Times New Roman" w:eastAsia="Times New Roman" w:hint="default"/>
                            <w:sz w:val="18"/>
                            <w:szCs w:val="18"/>
                          </w:rPr>
                          <w:t>2</w:t>
                        </w:r>
                        <w:r>
                          <w:rPr>
                            <w:rFonts w:ascii="宋体" w:hAnsi="宋体" w:cs="宋体" w:eastAsia="宋体" w:hint="default"/>
                            <w:sz w:val="18"/>
                            <w:szCs w:val="18"/>
                          </w:rPr>
                          <w:t>、信息化数字平台升级项目：延长</w:t>
                        </w:r>
                        <w:r>
                          <w:rPr>
                            <w:rFonts w:ascii="Times New Roman" w:hAnsi="Times New Roman" w:cs="Times New Roman" w:eastAsia="Times New Roman" w:hint="default"/>
                            <w:sz w:val="18"/>
                            <w:szCs w:val="18"/>
                          </w:rPr>
                          <w:t>“</w:t>
                        </w:r>
                        <w:r>
                          <w:rPr>
                            <w:rFonts w:ascii="宋体" w:hAnsi="宋体" w:cs="宋体" w:eastAsia="宋体" w:hint="default"/>
                            <w:sz w:val="18"/>
                            <w:szCs w:val="18"/>
                          </w:rPr>
                          <w:t>信息化数字平台升级项目</w:t>
                        </w:r>
                        <w:r>
                          <w:rPr>
                            <w:rFonts w:ascii="Times New Roman" w:hAnsi="Times New Roman" w:cs="Times New Roman" w:eastAsia="Times New Roman" w:hint="default"/>
                            <w:sz w:val="18"/>
                            <w:szCs w:val="18"/>
                          </w:rPr>
                          <w:t>”</w:t>
                        </w:r>
                        <w:r>
                          <w:rPr>
                            <w:rFonts w:ascii="宋体" w:hAnsi="宋体" w:cs="宋体" w:eastAsia="宋体" w:hint="default"/>
                            <w:sz w:val="18"/>
                            <w:szCs w:val="18"/>
                          </w:rPr>
                          <w:t>建设期的原因主要系公司所处行业 </w:t>
                        </w:r>
                        <w:r>
                          <w:rPr>
                            <w:rFonts w:ascii="宋体" w:hAnsi="宋体" w:cs="宋体" w:eastAsia="宋体" w:hint="default"/>
                            <w:spacing w:val="-2"/>
                            <w:sz w:val="18"/>
                            <w:szCs w:val="18"/>
                          </w:rPr>
                          <w:t>发生的变化。随着近年来互联网和移动互联网营销市场环境和技术环境发生较大变化，公司为精准</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改造内部管理系统，以全面对接移动互联时代的管理和办公需求，从而更好地适应业务发展和业务</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技术全面升级的需要。公司管理层秉持谨慎投资的态度，经反复研讨论证，该项目已于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p>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月正式启动，因启动时间延期，该募投项目的完成日期也将相应延期至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1338" w:hRule="exact"/>
                    </w:trPr>
                    <w:tc>
                      <w:tcPr>
                        <w:tcW w:w="11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01"/>
                          <w:jc w:val="both"/>
                          <w:rPr>
                            <w:rFonts w:ascii="宋体" w:hAnsi="宋体" w:cs="宋体" w:eastAsia="宋体" w:hint="default"/>
                            <w:sz w:val="18"/>
                            <w:szCs w:val="18"/>
                          </w:rPr>
                        </w:pPr>
                        <w:r>
                          <w:rPr>
                            <w:rFonts w:ascii="宋体" w:hAnsi="宋体" w:cs="宋体" w:eastAsia="宋体" w:hint="default"/>
                            <w:sz w:val="18"/>
                            <w:szCs w:val="18"/>
                          </w:rPr>
                          <w:t>项目可行性 发生重大变 化的情况说 明</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2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13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22" w:right="22"/>
                          <w:jc w:val="left"/>
                          <w:rPr>
                            <w:rFonts w:ascii="宋体" w:hAnsi="宋体" w:cs="宋体" w:eastAsia="宋体" w:hint="default"/>
                            <w:sz w:val="18"/>
                            <w:szCs w:val="18"/>
                          </w:rPr>
                        </w:pPr>
                        <w:r>
                          <w:rPr>
                            <w:rFonts w:ascii="宋体" w:hAnsi="宋体" w:cs="宋体" w:eastAsia="宋体" w:hint="default"/>
                            <w:sz w:val="18"/>
                            <w:szCs w:val="18"/>
                          </w:rPr>
                          <w:t>超募资金的 金额、用途及 使用进展情 况</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2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936" w:hRule="exact"/>
                    </w:trPr>
                    <w:tc>
                      <w:tcPr>
                        <w:tcW w:w="1134" w:type="dxa"/>
                        <w:gridSpan w:val="2"/>
                        <w:vMerge/>
                        <w:tcBorders>
                          <w:left w:val="single" w:sz="4" w:space="0" w:color="000000"/>
                          <w:bottom w:val="single" w:sz="4" w:space="0" w:color="FFFFFF"/>
                          <w:right w:val="single" w:sz="4" w:space="0" w:color="000000"/>
                        </w:tcBorders>
                        <w:shd w:val="clear" w:color="auto" w:fill="D2D2D2"/>
                      </w:tcPr>
                      <w:p>
                        <w:pPr/>
                      </w:p>
                    </w:tc>
                    <w:tc>
                      <w:tcPr>
                        <w:tcW w:w="70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29" w:type="dxa"/>
                        <w:gridSpan w:val="10"/>
                        <w:tcBorders>
                          <w:top w:val="single" w:sz="4" w:space="0" w:color="000000"/>
                          <w:left w:val="single" w:sz="4" w:space="0" w:color="000000"/>
                          <w:bottom w:val="single" w:sz="4" w:space="0" w:color="FFFFFF"/>
                          <w:right w:val="single" w:sz="4" w:space="0" w:color="000000"/>
                        </w:tcBorders>
                      </w:tcPr>
                      <w:p>
                        <w:pPr/>
                      </w:p>
                    </w:tc>
                  </w:tr>
                  <w:tr>
                    <w:trPr>
                      <w:trHeight w:val="402" w:hRule="exact"/>
                    </w:trPr>
                    <w:tc>
                      <w:tcPr>
                        <w:tcW w:w="1134" w:type="dxa"/>
                        <w:gridSpan w:val="2"/>
                        <w:vMerge w:val="restart"/>
                        <w:tcBorders>
                          <w:top w:val="single" w:sz="4" w:space="0" w:color="FFFFFF"/>
                          <w:left w:val="single" w:sz="4" w:space="0" w:color="000000"/>
                          <w:right w:val="single" w:sz="4" w:space="0" w:color="000000"/>
                        </w:tcBorders>
                        <w:shd w:val="clear" w:color="auto" w:fill="D2D2D2"/>
                      </w:tcPr>
                      <w:p>
                        <w:pPr>
                          <w:pStyle w:val="TableParagraph"/>
                          <w:spacing w:line="316" w:lineRule="auto" w:before="117"/>
                          <w:ind w:left="22" w:right="201"/>
                          <w:jc w:val="left"/>
                          <w:rPr>
                            <w:rFonts w:ascii="宋体" w:hAnsi="宋体" w:cs="宋体" w:eastAsia="宋体" w:hint="default"/>
                            <w:sz w:val="18"/>
                            <w:szCs w:val="18"/>
                          </w:rPr>
                        </w:pPr>
                        <w:r>
                          <w:rPr>
                            <w:rFonts w:ascii="宋体" w:hAnsi="宋体" w:cs="宋体" w:eastAsia="宋体" w:hint="default"/>
                            <w:sz w:val="18"/>
                            <w:szCs w:val="18"/>
                          </w:rPr>
                          <w:t>募集资金投 资项目实施</w:t>
                        </w:r>
                      </w:p>
                    </w:tc>
                    <w:tc>
                      <w:tcPr>
                        <w:tcW w:w="709"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7729" w:type="dxa"/>
                        <w:gridSpan w:val="10"/>
                        <w:tcBorders>
                          <w:top w:val="single" w:sz="4" w:space="0" w:color="FFFFFF"/>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134" w:type="dxa"/>
                        <w:gridSpan w:val="2"/>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29" w:type="dxa"/>
                        <w:gridSpan w:val="10"/>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9"/>
          <w:szCs w:val="29"/>
        </w:rPr>
      </w:pPr>
    </w:p>
    <w:p>
      <w:pPr>
        <w:pStyle w:val="BodyText"/>
        <w:spacing w:line="240" w:lineRule="auto" w:before="44"/>
        <w:ind w:left="0" w:right="1136"/>
        <w:jc w:val="right"/>
      </w:pPr>
      <w:r>
        <w:rPr/>
        <w:t>、</w:t>
      </w:r>
    </w:p>
    <w:p>
      <w:pPr>
        <w:spacing w:line="240" w:lineRule="auto" w:before="4"/>
        <w:rPr>
          <w:rFonts w:ascii="宋体" w:hAnsi="宋体" w:cs="宋体" w:eastAsia="宋体" w:hint="default"/>
          <w:sz w:val="26"/>
          <w:szCs w:val="26"/>
        </w:rPr>
      </w:pPr>
    </w:p>
    <w:p>
      <w:pPr>
        <w:pStyle w:val="BodyText"/>
        <w:spacing w:line="240" w:lineRule="auto" w:before="44"/>
        <w:ind w:left="0" w:right="1137"/>
        <w:jc w:val="right"/>
      </w:pPr>
      <w:r>
        <w:rPr/>
        <w:t>，</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134"/>
        <w:gridCol w:w="709"/>
        <w:gridCol w:w="839"/>
        <w:gridCol w:w="861"/>
        <w:gridCol w:w="864"/>
        <w:gridCol w:w="833"/>
        <w:gridCol w:w="722"/>
        <w:gridCol w:w="842"/>
        <w:gridCol w:w="601"/>
        <w:gridCol w:w="722"/>
        <w:gridCol w:w="722"/>
        <w:gridCol w:w="722"/>
      </w:tblGrid>
      <w:tr>
        <w:trPr>
          <w:trHeight w:val="161"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839" w:type="dxa"/>
            <w:vMerge w:val="restart"/>
            <w:tcBorders>
              <w:top w:val="single" w:sz="4" w:space="0" w:color="000000"/>
              <w:left w:val="single" w:sz="4" w:space="0" w:color="000000"/>
              <w:right w:val="single" w:sz="4" w:space="0" w:color="000000"/>
            </w:tcBorders>
            <w:shd w:val="clear" w:color="auto" w:fill="D2D2D2"/>
          </w:tcPr>
          <w:p>
            <w:pPr/>
          </w:p>
        </w:tc>
        <w:tc>
          <w:tcPr>
            <w:tcW w:w="861" w:type="dxa"/>
            <w:vMerge w:val="restart"/>
            <w:tcBorders>
              <w:top w:val="single" w:sz="4" w:space="0" w:color="000000"/>
              <w:left w:val="single" w:sz="4" w:space="0" w:color="000000"/>
              <w:right w:val="single" w:sz="4" w:space="0" w:color="000000"/>
            </w:tcBorders>
            <w:shd w:val="clear" w:color="auto" w:fill="D2D2D2"/>
          </w:tcPr>
          <w:p>
            <w:pPr/>
          </w:p>
        </w:tc>
        <w:tc>
          <w:tcPr>
            <w:tcW w:w="864" w:type="dxa"/>
            <w:vMerge w:val="restart"/>
            <w:tcBorders>
              <w:top w:val="single" w:sz="4" w:space="0" w:color="000000"/>
              <w:left w:val="single" w:sz="4" w:space="0" w:color="000000"/>
              <w:right w:val="single" w:sz="4" w:space="0" w:color="000000"/>
            </w:tcBorders>
            <w:shd w:val="clear" w:color="auto" w:fill="D2D2D2"/>
          </w:tcPr>
          <w:p>
            <w:pPr/>
          </w:p>
        </w:tc>
        <w:tc>
          <w:tcPr>
            <w:tcW w:w="833" w:type="dxa"/>
            <w:vMerge w:val="restart"/>
            <w:tcBorders>
              <w:top w:val="single" w:sz="4" w:space="0" w:color="000000"/>
              <w:left w:val="single" w:sz="4" w:space="0" w:color="000000"/>
              <w:right w:val="single" w:sz="4" w:space="0" w:color="000000"/>
            </w:tcBorders>
            <w:shd w:val="clear" w:color="auto" w:fill="D2D2D2"/>
          </w:tcPr>
          <w:p>
            <w:pPr/>
          </w:p>
        </w:tc>
        <w:tc>
          <w:tcPr>
            <w:tcW w:w="72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601" w:type="dxa"/>
            <w:vMerge w:val="restart"/>
            <w:tcBorders>
              <w:top w:val="single" w:sz="4" w:space="0" w:color="000000"/>
              <w:left w:val="single" w:sz="4" w:space="0" w:color="000000"/>
              <w:right w:val="single" w:sz="4" w:space="0" w:color="000000"/>
            </w:tcBorders>
            <w:shd w:val="clear" w:color="auto" w:fill="D2D2D2"/>
          </w:tcPr>
          <w:p>
            <w:pPr/>
          </w:p>
        </w:tc>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85" w:right="86"/>
              <w:jc w:val="center"/>
              <w:rPr>
                <w:rFonts w:ascii="宋体" w:hAnsi="宋体" w:cs="宋体" w:eastAsia="宋体" w:hint="default"/>
                <w:sz w:val="18"/>
                <w:szCs w:val="18"/>
              </w:rPr>
            </w:pPr>
            <w:r>
              <w:rPr>
                <w:rFonts w:ascii="宋体" w:hAnsi="宋体" w:cs="宋体" w:eastAsia="宋体" w:hint="default"/>
                <w:sz w:val="18"/>
                <w:szCs w:val="18"/>
              </w:rPr>
              <w:t>截止报 告期末 累计实 现的效 益</w:t>
            </w:r>
          </w:p>
        </w:tc>
        <w:tc>
          <w:tcPr>
            <w:tcW w:w="722" w:type="dxa"/>
            <w:vMerge w:val="restart"/>
            <w:tcBorders>
              <w:top w:val="single" w:sz="4" w:space="0" w:color="000000"/>
              <w:left w:val="single" w:sz="4" w:space="0" w:color="000000"/>
              <w:right w:val="single" w:sz="4" w:space="0" w:color="000000"/>
            </w:tcBorders>
            <w:shd w:val="clear" w:color="auto" w:fill="D2D2D2"/>
          </w:tcPr>
          <w:p>
            <w:pPr/>
          </w:p>
        </w:tc>
        <w:tc>
          <w:tcPr>
            <w:tcW w:w="72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85" w:right="85"/>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156" w:hRule="exact"/>
        </w:trPr>
        <w:tc>
          <w:tcPr>
            <w:tcW w:w="1134"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312" w:lineRule="auto" w:before="51"/>
              <w:ind w:left="49" w:right="48" w:firstLine="30"/>
              <w:jc w:val="both"/>
              <w:rPr>
                <w:rFonts w:ascii="Times New Roman" w:hAnsi="Times New Roman" w:cs="Times New Roman" w:eastAsia="Times New Roman" w:hint="default"/>
                <w:sz w:val="18"/>
                <w:szCs w:val="18"/>
              </w:rPr>
            </w:pPr>
            <w:r>
              <w:rPr>
                <w:rFonts w:ascii="宋体" w:hAnsi="宋体" w:cs="宋体" w:eastAsia="宋体" w:hint="default"/>
                <w:sz w:val="18"/>
                <w:szCs w:val="18"/>
              </w:rPr>
              <w:t>是否已 变更项 目</w:t>
            </w:r>
            <w:r>
              <w:rPr>
                <w:rFonts w:ascii="Times New Roman" w:hAnsi="Times New Roman" w:cs="Times New Roman" w:eastAsia="Times New Roman" w:hint="default"/>
                <w:sz w:val="18"/>
                <w:szCs w:val="18"/>
              </w:rPr>
              <w:t>(</w:t>
            </w:r>
            <w:r>
              <w:rPr>
                <w:rFonts w:ascii="宋体" w:hAnsi="宋体" w:cs="宋体" w:eastAsia="宋体" w:hint="default"/>
                <w:sz w:val="18"/>
                <w:szCs w:val="18"/>
              </w:rPr>
              <w:t>含部 分变更</w:t>
            </w:r>
            <w:r>
              <w:rPr>
                <w:rFonts w:ascii="Times New Roman" w:hAnsi="Times New Roman" w:cs="Times New Roman" w:eastAsia="Times New Roman" w:hint="default"/>
                <w:sz w:val="18"/>
                <w:szCs w:val="18"/>
              </w:rPr>
              <w:t>)</w:t>
            </w:r>
          </w:p>
        </w:tc>
        <w:tc>
          <w:tcPr>
            <w:tcW w:w="839" w:type="dxa"/>
            <w:vMerge/>
            <w:tcBorders>
              <w:left w:val="single" w:sz="4" w:space="0" w:color="000000"/>
              <w:bottom w:val="nil" w:sz="6" w:space="0" w:color="auto"/>
              <w:right w:val="single" w:sz="4" w:space="0" w:color="000000"/>
            </w:tcBorders>
            <w:shd w:val="clear" w:color="auto" w:fill="D2D2D2"/>
          </w:tcPr>
          <w:p>
            <w:pPr/>
          </w:p>
        </w:tc>
        <w:tc>
          <w:tcPr>
            <w:tcW w:w="861" w:type="dxa"/>
            <w:vMerge/>
            <w:tcBorders>
              <w:left w:val="single" w:sz="4" w:space="0" w:color="000000"/>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c>
          <w:tcPr>
            <w:tcW w:w="833" w:type="dxa"/>
            <w:vMerge/>
            <w:tcBorders>
              <w:left w:val="single" w:sz="4" w:space="0" w:color="000000"/>
              <w:bottom w:val="nil" w:sz="6" w:space="0" w:color="auto"/>
              <w:right w:val="single" w:sz="4" w:space="0" w:color="000000"/>
            </w:tcBorders>
            <w:shd w:val="clear" w:color="auto" w:fill="D2D2D2"/>
          </w:tcPr>
          <w:p>
            <w:pPr/>
          </w:p>
        </w:tc>
        <w:tc>
          <w:tcPr>
            <w:tcW w:w="72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71" w:right="69" w:firstLine="14"/>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 末投资 进度</w:t>
            </w:r>
            <w:r>
              <w:rPr>
                <w:rFonts w:ascii="Times New Roman" w:hAnsi="Times New Roman" w:cs="Times New Roman" w:eastAsia="Times New Roman" w:hint="default"/>
                <w:sz w:val="18"/>
                <w:szCs w:val="18"/>
              </w:rPr>
              <w:t>(3)</w:t>
            </w:r>
          </w:p>
          <w:p>
            <w:pPr>
              <w:pStyle w:val="TableParagraph"/>
              <w:spacing w:line="240" w:lineRule="auto"/>
              <w:ind w:left="31"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(2)/(1)</w:t>
            </w: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5" w:right="54"/>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601" w:type="dxa"/>
            <w:vMerge/>
            <w:tcBorders>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2" w:type="dxa"/>
            <w:vMerge/>
            <w:tcBorders>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r>
      <w:tr>
        <w:trPr>
          <w:trHeight w:val="156" w:hRule="exact"/>
        </w:trPr>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111" w:right="111"/>
              <w:jc w:val="center"/>
              <w:rPr>
                <w:rFonts w:ascii="宋体" w:hAnsi="宋体" w:cs="宋体" w:eastAsia="宋体" w:hint="default"/>
                <w:sz w:val="18"/>
                <w:szCs w:val="18"/>
              </w:rPr>
            </w:pPr>
            <w:r>
              <w:rPr>
                <w:rFonts w:ascii="宋体" w:hAnsi="宋体" w:cs="宋体" w:eastAsia="宋体" w:hint="default"/>
                <w:sz w:val="18"/>
                <w:szCs w:val="18"/>
              </w:rPr>
              <w:t>承诺投资项 目和超募资 金投向</w:t>
            </w:r>
          </w:p>
        </w:tc>
        <w:tc>
          <w:tcPr>
            <w:tcW w:w="709" w:type="dxa"/>
            <w:vMerge/>
            <w:tcBorders>
              <w:left w:val="single" w:sz="4" w:space="0" w:color="000000"/>
              <w:right w:val="single" w:sz="4" w:space="0" w:color="000000"/>
            </w:tcBorders>
            <w:shd w:val="clear" w:color="auto" w:fill="D2D2D2"/>
          </w:tcPr>
          <w:p>
            <w:pPr/>
          </w:p>
        </w:tc>
        <w:tc>
          <w:tcPr>
            <w:tcW w:w="83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60" w:right="47"/>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861" w:type="dxa"/>
            <w:vMerge/>
            <w:tcBorders>
              <w:left w:val="single" w:sz="4" w:space="0" w:color="000000"/>
              <w:bottom w:val="nil" w:sz="6" w:space="0" w:color="auto"/>
              <w:right w:val="single" w:sz="4" w:space="0" w:color="000000"/>
            </w:tcBorders>
            <w:shd w:val="clear" w:color="auto" w:fill="D2D2D2"/>
          </w:tcPr>
          <w:p>
            <w:pPr/>
          </w:p>
        </w:tc>
        <w:tc>
          <w:tcPr>
            <w:tcW w:w="864" w:type="dxa"/>
            <w:vMerge/>
            <w:tcBorders>
              <w:left w:val="single" w:sz="4" w:space="0" w:color="000000"/>
              <w:bottom w:val="nil" w:sz="6" w:space="0" w:color="auto"/>
              <w:right w:val="single" w:sz="4" w:space="0" w:color="000000"/>
            </w:tcBorders>
            <w:shd w:val="clear" w:color="auto" w:fill="D2D2D2"/>
          </w:tcPr>
          <w:p>
            <w:pPr/>
          </w:p>
        </w:tc>
        <w:tc>
          <w:tcPr>
            <w:tcW w:w="833"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45" w:right="56"/>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2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601"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5" w:right="24"/>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722" w:type="dxa"/>
            <w:vMerge/>
            <w:tcBorders>
              <w:left w:val="single" w:sz="4" w:space="0" w:color="000000"/>
              <w:right w:val="single" w:sz="4" w:space="0" w:color="000000"/>
            </w:tcBorders>
            <w:shd w:val="clear" w:color="auto" w:fill="D2D2D2"/>
          </w:tcPr>
          <w:p>
            <w:pPr/>
          </w:p>
        </w:tc>
        <w:tc>
          <w:tcPr>
            <w:tcW w:w="722"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85" w:right="84"/>
              <w:jc w:val="both"/>
              <w:rPr>
                <w:rFonts w:ascii="宋体" w:hAnsi="宋体" w:cs="宋体" w:eastAsia="宋体" w:hint="default"/>
                <w:sz w:val="18"/>
                <w:szCs w:val="18"/>
              </w:rPr>
            </w:pPr>
            <w:r>
              <w:rPr>
                <w:rFonts w:ascii="宋体" w:hAnsi="宋体" w:cs="宋体" w:eastAsia="宋体" w:hint="default"/>
                <w:sz w:val="18"/>
                <w:szCs w:val="18"/>
              </w:rPr>
              <w:t>是否达 到预计 效益</w:t>
            </w:r>
          </w:p>
        </w:tc>
        <w:tc>
          <w:tcPr>
            <w:tcW w:w="722" w:type="dxa"/>
            <w:vMerge/>
            <w:tcBorders>
              <w:left w:val="single" w:sz="4" w:space="0" w:color="000000"/>
              <w:right w:val="single" w:sz="4" w:space="0" w:color="000000"/>
            </w:tcBorders>
            <w:shd w:val="clear" w:color="auto" w:fill="D2D2D2"/>
          </w:tcPr>
          <w:p>
            <w:pPr/>
          </w:p>
        </w:tc>
      </w:tr>
      <w:tr>
        <w:trPr>
          <w:trHeight w:val="704" w:hRule="exact"/>
        </w:trPr>
        <w:tc>
          <w:tcPr>
            <w:tcW w:w="1134" w:type="dxa"/>
            <w:vMerge/>
            <w:tcBorders>
              <w:left w:val="single" w:sz="4" w:space="0" w:color="000000"/>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839" w:type="dxa"/>
            <w:vMerge/>
            <w:tcBorders>
              <w:left w:val="single" w:sz="4" w:space="0" w:color="000000"/>
              <w:right w:val="single" w:sz="4" w:space="0" w:color="000000"/>
            </w:tcBorders>
            <w:shd w:val="clear" w:color="auto" w:fill="D2D2D2"/>
          </w:tcPr>
          <w:p>
            <w:pPr/>
          </w:p>
        </w:tc>
        <w:tc>
          <w:tcPr>
            <w:tcW w:w="86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55" w:right="43" w:firstLine="15"/>
              <w:jc w:val="left"/>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w:t>
            </w:r>
            <w:r>
              <w:rPr>
                <w:rFonts w:ascii="Times New Roman" w:hAnsi="Times New Roman" w:cs="Times New Roman" w:eastAsia="Times New Roman" w:hint="default"/>
                <w:sz w:val="18"/>
                <w:szCs w:val="18"/>
              </w:rPr>
              <w:t>(1)</w:t>
            </w:r>
          </w:p>
        </w:tc>
        <w:tc>
          <w:tcPr>
            <w:tcW w:w="86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61" w:right="71"/>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833"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601"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r>
      <w:tr>
        <w:trPr>
          <w:trHeight w:val="156" w:hRule="exact"/>
        </w:trPr>
        <w:tc>
          <w:tcPr>
            <w:tcW w:w="1134"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839" w:type="dxa"/>
            <w:vMerge/>
            <w:tcBorders>
              <w:left w:val="single" w:sz="4" w:space="0" w:color="000000"/>
              <w:bottom w:val="nil" w:sz="6" w:space="0" w:color="auto"/>
              <w:right w:val="single" w:sz="4" w:space="0" w:color="000000"/>
            </w:tcBorders>
            <w:shd w:val="clear" w:color="auto" w:fill="D2D2D2"/>
          </w:tcPr>
          <w:p>
            <w:pPr/>
          </w:p>
        </w:tc>
        <w:tc>
          <w:tcPr>
            <w:tcW w:w="861" w:type="dxa"/>
            <w:vMerge w:val="restart"/>
            <w:tcBorders>
              <w:top w:val="nil" w:sz="6" w:space="0" w:color="auto"/>
              <w:left w:val="single" w:sz="4" w:space="0" w:color="000000"/>
              <w:right w:val="single" w:sz="4" w:space="0" w:color="000000"/>
            </w:tcBorders>
            <w:shd w:val="clear" w:color="auto" w:fill="D2D2D2"/>
          </w:tcPr>
          <w:p>
            <w:pPr/>
          </w:p>
        </w:tc>
        <w:tc>
          <w:tcPr>
            <w:tcW w:w="864" w:type="dxa"/>
            <w:vMerge w:val="restart"/>
            <w:tcBorders>
              <w:top w:val="nil" w:sz="6" w:space="0" w:color="auto"/>
              <w:left w:val="single" w:sz="4" w:space="0" w:color="000000"/>
              <w:right w:val="single" w:sz="4" w:space="0" w:color="000000"/>
            </w:tcBorders>
            <w:shd w:val="clear" w:color="auto" w:fill="D2D2D2"/>
          </w:tcPr>
          <w:p>
            <w:pPr/>
          </w:p>
        </w:tc>
        <w:tc>
          <w:tcPr>
            <w:tcW w:w="833" w:type="dxa"/>
            <w:vMerge/>
            <w:tcBorders>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601" w:type="dxa"/>
            <w:vMerge/>
            <w:tcBorders>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2" w:type="dxa"/>
            <w:vMerge/>
            <w:tcBorders>
              <w:left w:val="single" w:sz="4" w:space="0" w:color="000000"/>
              <w:bottom w:val="nil" w:sz="6" w:space="0" w:color="auto"/>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r>
      <w:tr>
        <w:trPr>
          <w:trHeight w:val="156" w:hRule="exact"/>
        </w:trPr>
        <w:tc>
          <w:tcPr>
            <w:tcW w:w="1134" w:type="dxa"/>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839" w:type="dxa"/>
            <w:vMerge w:val="restart"/>
            <w:tcBorders>
              <w:top w:val="nil" w:sz="6" w:space="0" w:color="auto"/>
              <w:left w:val="single" w:sz="4" w:space="0" w:color="000000"/>
              <w:right w:val="single" w:sz="4" w:space="0" w:color="000000"/>
            </w:tcBorders>
            <w:shd w:val="clear" w:color="auto" w:fill="D2D2D2"/>
          </w:tcPr>
          <w:p>
            <w:pPr/>
          </w:p>
        </w:tc>
        <w:tc>
          <w:tcPr>
            <w:tcW w:w="861" w:type="dxa"/>
            <w:vMerge/>
            <w:tcBorders>
              <w:left w:val="single" w:sz="4" w:space="0" w:color="000000"/>
              <w:right w:val="single" w:sz="4" w:space="0" w:color="000000"/>
            </w:tcBorders>
            <w:shd w:val="clear" w:color="auto" w:fill="D2D2D2"/>
          </w:tcPr>
          <w:p>
            <w:pPr/>
          </w:p>
        </w:tc>
        <w:tc>
          <w:tcPr>
            <w:tcW w:w="864" w:type="dxa"/>
            <w:vMerge/>
            <w:tcBorders>
              <w:left w:val="single" w:sz="4" w:space="0" w:color="000000"/>
              <w:right w:val="single" w:sz="4" w:space="0" w:color="000000"/>
            </w:tcBorders>
            <w:shd w:val="clear" w:color="auto" w:fill="D2D2D2"/>
          </w:tcPr>
          <w:p>
            <w:pPr/>
          </w:p>
        </w:tc>
        <w:tc>
          <w:tcPr>
            <w:tcW w:w="833" w:type="dxa"/>
            <w:vMerge w:val="restart"/>
            <w:tcBorders>
              <w:top w:val="nil" w:sz="6" w:space="0" w:color="auto"/>
              <w:left w:val="single" w:sz="4" w:space="0" w:color="000000"/>
              <w:right w:val="single" w:sz="4" w:space="0" w:color="000000"/>
            </w:tcBorders>
            <w:shd w:val="clear" w:color="auto" w:fill="D2D2D2"/>
          </w:tcPr>
          <w:p>
            <w:pPr/>
          </w:p>
        </w:tc>
        <w:tc>
          <w:tcPr>
            <w:tcW w:w="722"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601" w:type="dxa"/>
            <w:vMerge w:val="restart"/>
            <w:tcBorders>
              <w:top w:val="nil" w:sz="6" w:space="0" w:color="auto"/>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c>
          <w:tcPr>
            <w:tcW w:w="722" w:type="dxa"/>
            <w:vMerge w:val="restart"/>
            <w:tcBorders>
              <w:top w:val="nil" w:sz="6" w:space="0" w:color="auto"/>
              <w:left w:val="single" w:sz="4" w:space="0" w:color="000000"/>
              <w:right w:val="single" w:sz="4" w:space="0" w:color="000000"/>
            </w:tcBorders>
            <w:shd w:val="clear" w:color="auto" w:fill="D2D2D2"/>
          </w:tcPr>
          <w:p>
            <w:pPr/>
          </w:p>
        </w:tc>
        <w:tc>
          <w:tcPr>
            <w:tcW w:w="722" w:type="dxa"/>
            <w:vMerge/>
            <w:tcBorders>
              <w:left w:val="single" w:sz="4" w:space="0" w:color="000000"/>
              <w:right w:val="single" w:sz="4" w:space="0" w:color="000000"/>
            </w:tcBorders>
            <w:shd w:val="clear" w:color="auto" w:fill="D2D2D2"/>
          </w:tcPr>
          <w:p>
            <w:pPr/>
          </w:p>
        </w:tc>
      </w:tr>
      <w:tr>
        <w:trPr>
          <w:trHeight w:val="161"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839" w:type="dxa"/>
            <w:vMerge/>
            <w:tcBorders>
              <w:left w:val="single" w:sz="4" w:space="0" w:color="000000"/>
              <w:bottom w:val="single" w:sz="4" w:space="0" w:color="000000"/>
              <w:right w:val="single" w:sz="4" w:space="0" w:color="000000"/>
            </w:tcBorders>
            <w:shd w:val="clear" w:color="auto" w:fill="D2D2D2"/>
          </w:tcPr>
          <w:p>
            <w:pPr/>
          </w:p>
        </w:tc>
        <w:tc>
          <w:tcPr>
            <w:tcW w:w="861" w:type="dxa"/>
            <w:vMerge/>
            <w:tcBorders>
              <w:left w:val="single" w:sz="4" w:space="0" w:color="000000"/>
              <w:bottom w:val="single" w:sz="4" w:space="0" w:color="000000"/>
              <w:right w:val="single" w:sz="4" w:space="0" w:color="000000"/>
            </w:tcBorders>
            <w:shd w:val="clear" w:color="auto" w:fill="D2D2D2"/>
          </w:tcPr>
          <w:p>
            <w:pPr/>
          </w:p>
        </w:tc>
        <w:tc>
          <w:tcPr>
            <w:tcW w:w="864" w:type="dxa"/>
            <w:vMerge/>
            <w:tcBorders>
              <w:left w:val="single" w:sz="4" w:space="0" w:color="000000"/>
              <w:bottom w:val="single" w:sz="4" w:space="0" w:color="000000"/>
              <w:right w:val="single" w:sz="4" w:space="0" w:color="000000"/>
            </w:tcBorders>
            <w:shd w:val="clear" w:color="auto" w:fill="D2D2D2"/>
          </w:tcPr>
          <w:p>
            <w:pPr/>
          </w:p>
        </w:tc>
        <w:tc>
          <w:tcPr>
            <w:tcW w:w="833" w:type="dxa"/>
            <w:vMerge/>
            <w:tcBorders>
              <w:left w:val="single" w:sz="4" w:space="0" w:color="000000"/>
              <w:bottom w:val="single" w:sz="4" w:space="0" w:color="000000"/>
              <w:right w:val="single" w:sz="4" w:space="0" w:color="000000"/>
            </w:tcBorders>
            <w:shd w:val="clear" w:color="auto" w:fill="D2D2D2"/>
          </w:tcPr>
          <w:p>
            <w:pPr/>
          </w:p>
        </w:tc>
        <w:tc>
          <w:tcPr>
            <w:tcW w:w="72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601"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c>
          <w:tcPr>
            <w:tcW w:w="722" w:type="dxa"/>
            <w:vMerge/>
            <w:tcBorders>
              <w:left w:val="single" w:sz="4" w:space="0" w:color="000000"/>
              <w:bottom w:val="single" w:sz="4" w:space="0" w:color="000000"/>
              <w:right w:val="single" w:sz="4" w:space="0" w:color="000000"/>
            </w:tcBorders>
            <w:shd w:val="clear" w:color="auto" w:fill="D2D2D2"/>
          </w:tcPr>
          <w:p>
            <w:pPr/>
          </w:p>
        </w:tc>
      </w:tr>
      <w:tr>
        <w:trPr>
          <w:trHeight w:val="142"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10"/>
              <w:ind w:left="22" w:right="201"/>
              <w:jc w:val="left"/>
              <w:rPr>
                <w:rFonts w:ascii="宋体" w:hAnsi="宋体" w:cs="宋体" w:eastAsia="宋体" w:hint="default"/>
                <w:sz w:val="18"/>
                <w:szCs w:val="18"/>
              </w:rPr>
            </w:pPr>
            <w:r>
              <w:rPr>
                <w:rFonts w:ascii="宋体" w:hAnsi="宋体" w:cs="宋体" w:eastAsia="宋体" w:hint="default"/>
                <w:sz w:val="18"/>
                <w:szCs w:val="18"/>
              </w:rPr>
              <w:t>地点变更情 况</w:t>
            </w: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729" w:type="dxa"/>
            <w:gridSpan w:val="10"/>
            <w:vMerge w:val="restart"/>
            <w:tcBorders>
              <w:top w:val="single" w:sz="4" w:space="0" w:color="000000"/>
              <w:left w:val="single" w:sz="13" w:space="0" w:color="D2D2D2"/>
              <w:right w:val="single" w:sz="4" w:space="0" w:color="000000"/>
            </w:tcBorders>
          </w:tcPr>
          <w:p>
            <w:pPr/>
          </w:p>
        </w:tc>
      </w:tr>
      <w:tr>
        <w:trPr>
          <w:trHeight w:val="391" w:hRule="exact"/>
        </w:trPr>
        <w:tc>
          <w:tcPr>
            <w:tcW w:w="1134"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729" w:type="dxa"/>
            <w:gridSpan w:val="10"/>
            <w:vMerge/>
            <w:tcBorders>
              <w:left w:val="single" w:sz="13" w:space="0" w:color="D2D2D2"/>
              <w:right w:val="single" w:sz="4" w:space="0" w:color="000000"/>
            </w:tcBorders>
          </w:tcPr>
          <w:p>
            <w:pPr/>
          </w:p>
        </w:tc>
      </w:tr>
      <w:tr>
        <w:trPr>
          <w:trHeight w:val="142"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29" w:type="dxa"/>
            <w:gridSpan w:val="10"/>
            <w:vMerge/>
            <w:tcBorders>
              <w:left w:val="single" w:sz="13" w:space="0" w:color="D2D2D2"/>
              <w:bottom w:val="single" w:sz="4" w:space="0" w:color="000000"/>
              <w:right w:val="single" w:sz="4" w:space="0" w:color="000000"/>
            </w:tcBorders>
          </w:tcPr>
          <w:p>
            <w:pPr/>
          </w:p>
        </w:tc>
      </w:tr>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募集资金投 资项目实施 方式调整情 况</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29"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37" w:hRule="exact"/>
        </w:trPr>
        <w:tc>
          <w:tcPr>
            <w:tcW w:w="1134"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729" w:type="dxa"/>
            <w:gridSpan w:val="10"/>
            <w:tcBorders>
              <w:top w:val="single" w:sz="4" w:space="0" w:color="000000"/>
              <w:left w:val="single" w:sz="13" w:space="0" w:color="D2D2D2"/>
              <w:bottom w:val="single" w:sz="4" w:space="0" w:color="FFFFFF"/>
              <w:right w:val="single" w:sz="4" w:space="0" w:color="000000"/>
            </w:tcBorders>
          </w:tcPr>
          <w:p>
            <w:pPr/>
          </w:p>
        </w:tc>
      </w:tr>
      <w:tr>
        <w:trPr>
          <w:trHeight w:val="499"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single" w:sz="4" w:space="0" w:color="FFFFFF"/>
              <w:left w:val="single" w:sz="4" w:space="0" w:color="000000"/>
              <w:bottom w:val="single" w:sz="4" w:space="0" w:color="000000"/>
              <w:right w:val="single" w:sz="4" w:space="0" w:color="000000"/>
            </w:tcBorders>
            <w:shd w:val="clear" w:color="auto" w:fill="D2D2D2"/>
          </w:tcPr>
          <w:p>
            <w:pPr/>
          </w:p>
        </w:tc>
        <w:tc>
          <w:tcPr>
            <w:tcW w:w="7729" w:type="dxa"/>
            <w:gridSpan w:val="10"/>
            <w:tcBorders>
              <w:top w:val="single" w:sz="4" w:space="0" w:color="FFFFFF"/>
              <w:left w:val="single" w:sz="13" w:space="0" w:color="D2D2D2"/>
              <w:bottom w:val="single" w:sz="4" w:space="0" w:color="000000"/>
              <w:right w:val="single" w:sz="4" w:space="0" w:color="000000"/>
            </w:tcBorders>
          </w:tcPr>
          <w:p>
            <w:pPr/>
          </w:p>
        </w:tc>
      </w:tr>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29"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15" w:hRule="exact"/>
        </w:trPr>
        <w:tc>
          <w:tcPr>
            <w:tcW w:w="1134"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
        </w:tc>
        <w:tc>
          <w:tcPr>
            <w:tcW w:w="772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51"/>
              <w:ind w:left="15" w:right="0"/>
              <w:jc w:val="both"/>
              <w:rPr>
                <w:rFonts w:ascii="宋体" w:hAnsi="宋体" w:cs="宋体" w:eastAsia="宋体" w:hint="default"/>
                <w:sz w:val="18"/>
                <w:szCs w:val="18"/>
              </w:rPr>
            </w:pPr>
            <w:r>
              <w:rPr>
                <w:rFonts w:ascii="宋体" w:hAnsi="宋体" w:cs="宋体" w:eastAsia="宋体" w:hint="default"/>
                <w:spacing w:val="-2"/>
                <w:sz w:val="18"/>
                <w:szCs w:val="18"/>
              </w:rPr>
              <w:t>根据《深圳证券交易所创业板上市公司规范运作指引》等法律法规的有关规定，宣亚国际品牌管理</w:t>
            </w:r>
          </w:p>
          <w:p>
            <w:pPr>
              <w:pStyle w:val="TableParagraph"/>
              <w:spacing w:line="309" w:lineRule="auto" w:before="75"/>
              <w:ind w:left="15" w:right="-24"/>
              <w:jc w:val="both"/>
              <w:rPr>
                <w:rFonts w:ascii="宋体" w:hAnsi="宋体" w:cs="宋体" w:eastAsia="宋体" w:hint="default"/>
                <w:sz w:val="18"/>
                <w:szCs w:val="18"/>
              </w:rPr>
            </w:pPr>
            <w:r>
              <w:rPr>
                <w:rFonts w:ascii="宋体" w:hAnsi="宋体" w:cs="宋体" w:eastAsia="宋体" w:hint="default"/>
                <w:sz w:val="18"/>
                <w:szCs w:val="18"/>
              </w:rPr>
              <w:t>（北京）股份有限公司（以下简称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日召开第二届董事会第十七次会议、 </w:t>
            </w:r>
            <w:r>
              <w:rPr>
                <w:rFonts w:ascii="宋体" w:hAnsi="宋体" w:cs="宋体" w:eastAsia="宋体" w:hint="default"/>
                <w:spacing w:val="-2"/>
                <w:sz w:val="18"/>
                <w:szCs w:val="18"/>
              </w:rPr>
              <w:t>第三届监事会第五次会议，会议审议通过了《关于使用募集资金置换预先投入募投项目的自筹资金</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的议案》，同意使用募集资金置换预先投入募投项目的自筹资金，置换资金总额</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2,131.07</w:t>
            </w:r>
            <w:r>
              <w:rPr>
                <w:rFonts w:ascii="Times New Roman" w:hAnsi="Times New Roman" w:cs="Times New Roman" w:eastAsia="Times New Roman" w:hint="default"/>
                <w:spacing w:val="-24"/>
                <w:sz w:val="18"/>
                <w:szCs w:val="18"/>
              </w:rPr>
              <w:t> </w:t>
            </w:r>
            <w:r>
              <w:rPr>
                <w:rFonts w:ascii="宋体" w:hAnsi="宋体" w:cs="宋体" w:eastAsia="宋体" w:hint="default"/>
                <w:sz w:val="18"/>
                <w:szCs w:val="18"/>
              </w:rPr>
              <w:t>万元，实</w:t>
            </w:r>
          </w:p>
          <w:p>
            <w:pPr>
              <w:pStyle w:val="TableParagraph"/>
              <w:spacing w:line="302" w:lineRule="auto" w:before="5"/>
              <w:ind w:left="15" w:right="23"/>
              <w:jc w:val="both"/>
              <w:rPr>
                <w:rFonts w:ascii="宋体" w:hAnsi="宋体" w:cs="宋体" w:eastAsia="宋体" w:hint="default"/>
                <w:sz w:val="18"/>
                <w:szCs w:val="18"/>
              </w:rPr>
            </w:pPr>
            <w:r>
              <w:rPr>
                <w:rFonts w:ascii="宋体" w:hAnsi="宋体" w:cs="宋体" w:eastAsia="宋体" w:hint="default"/>
                <w:sz w:val="18"/>
                <w:szCs w:val="18"/>
              </w:rPr>
              <w:t>际完成置换金额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2,131.07</w:t>
            </w:r>
            <w:r>
              <w:rPr>
                <w:rFonts w:ascii="Times New Roman" w:hAnsi="Times New Roman" w:cs="Times New Roman" w:eastAsia="Times New Roman" w:hint="default"/>
                <w:spacing w:val="1"/>
                <w:sz w:val="18"/>
                <w:szCs w:val="18"/>
              </w:rPr>
              <w:t> </w:t>
            </w:r>
            <w:r>
              <w:rPr>
                <w:rFonts w:ascii="宋体" w:hAnsi="宋体" w:cs="宋体" w:eastAsia="宋体" w:hint="default"/>
                <w:spacing w:val="-7"/>
                <w:sz w:val="18"/>
                <w:szCs w:val="18"/>
              </w:rPr>
              <w:t>万元。具体内容详见公司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2017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日刊登在中国证监会指定的创业 板信息披露网站</w:t>
            </w:r>
            <w:r>
              <w:rPr>
                <w:rFonts w:ascii="Times New Roman" w:hAnsi="Times New Roman" w:cs="Times New Roman" w:eastAsia="Times New Roman" w:hint="default"/>
                <w:sz w:val="18"/>
                <w:szCs w:val="18"/>
              </w:rPr>
              <w:t>——</w:t>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）上的相关公告。</w:t>
            </w:r>
          </w:p>
        </w:tc>
      </w:tr>
      <w:tr>
        <w:trPr>
          <w:trHeight w:val="670" w:hRule="exact"/>
        </w:trPr>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募集资金投 资项目先期 投入及置换 情况</w:t>
            </w:r>
          </w:p>
        </w:tc>
        <w:tc>
          <w:tcPr>
            <w:tcW w:w="709" w:type="dxa"/>
            <w:vMerge/>
            <w:tcBorders>
              <w:left w:val="single" w:sz="4" w:space="0" w:color="000000"/>
              <w:bottom w:val="nil" w:sz="6" w:space="0" w:color="auto"/>
              <w:right w:val="single" w:sz="4" w:space="0" w:color="000000"/>
            </w:tcBorders>
            <w:shd w:val="clear" w:color="auto" w:fill="D2D2D2"/>
          </w:tcPr>
          <w:p>
            <w:pPr/>
          </w:p>
        </w:tc>
        <w:tc>
          <w:tcPr>
            <w:tcW w:w="7729" w:type="dxa"/>
            <w:gridSpan w:val="10"/>
            <w:vMerge/>
            <w:tcBorders>
              <w:left w:val="single" w:sz="10" w:space="0" w:color="D2D2D2"/>
              <w:right w:val="single" w:sz="4" w:space="0" w:color="000000"/>
            </w:tcBorders>
          </w:tcPr>
          <w:p>
            <w:pPr/>
          </w:p>
        </w:tc>
      </w:tr>
      <w:tr>
        <w:trPr>
          <w:trHeight w:val="392" w:hRule="exact"/>
        </w:trPr>
        <w:tc>
          <w:tcPr>
            <w:tcW w:w="1134"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729" w:type="dxa"/>
            <w:gridSpan w:val="10"/>
            <w:vMerge/>
            <w:tcBorders>
              <w:left w:val="single" w:sz="10" w:space="0" w:color="D2D2D2"/>
              <w:right w:val="single" w:sz="4" w:space="0" w:color="000000"/>
            </w:tcBorders>
          </w:tcPr>
          <w:p>
            <w:pPr/>
          </w:p>
        </w:tc>
      </w:tr>
      <w:tr>
        <w:trPr>
          <w:trHeight w:val="266" w:hRule="exact"/>
        </w:trPr>
        <w:tc>
          <w:tcPr>
            <w:tcW w:w="1134" w:type="dxa"/>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
        </w:tc>
        <w:tc>
          <w:tcPr>
            <w:tcW w:w="7729" w:type="dxa"/>
            <w:gridSpan w:val="10"/>
            <w:vMerge/>
            <w:tcBorders>
              <w:left w:val="single" w:sz="10" w:space="0" w:color="D2D2D2"/>
              <w:right w:val="single" w:sz="4" w:space="0" w:color="000000"/>
            </w:tcBorders>
          </w:tcPr>
          <w:p>
            <w:pPr/>
          </w:p>
        </w:tc>
      </w:tr>
      <w:tr>
        <w:trPr>
          <w:trHeight w:val="518" w:hRule="exact"/>
        </w:trPr>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729" w:type="dxa"/>
            <w:gridSpan w:val="10"/>
            <w:vMerge/>
            <w:tcBorders>
              <w:left w:val="single" w:sz="10" w:space="0" w:color="D2D2D2"/>
              <w:bottom w:val="single" w:sz="4" w:space="0" w:color="000000"/>
              <w:right w:val="single" w:sz="4" w:space="0" w:color="000000"/>
            </w:tcBorders>
          </w:tcPr>
          <w:p>
            <w:pPr/>
          </w:p>
        </w:tc>
      </w:tr>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用闲置募集 资金暂时补 充流动资金 情况</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29"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71" w:hRule="exact"/>
        </w:trPr>
        <w:tc>
          <w:tcPr>
            <w:tcW w:w="1134"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729" w:type="dxa"/>
            <w:gridSpan w:val="10"/>
            <w:vMerge w:val="restart"/>
            <w:tcBorders>
              <w:top w:val="single" w:sz="4" w:space="0" w:color="000000"/>
              <w:left w:val="single" w:sz="10" w:space="0" w:color="D2D2D2"/>
              <w:right w:val="single" w:sz="4" w:space="0" w:color="000000"/>
            </w:tcBorders>
          </w:tcPr>
          <w:p>
            <w:pPr/>
          </w:p>
        </w:tc>
      </w:tr>
      <w:tr>
        <w:trPr>
          <w:trHeight w:val="393" w:hRule="exact"/>
        </w:trPr>
        <w:tc>
          <w:tcPr>
            <w:tcW w:w="1134"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729" w:type="dxa"/>
            <w:gridSpan w:val="10"/>
            <w:vMerge/>
            <w:tcBorders>
              <w:left w:val="single" w:sz="10" w:space="0" w:color="D2D2D2"/>
              <w:right w:val="single" w:sz="4" w:space="0" w:color="000000"/>
            </w:tcBorders>
          </w:tcPr>
          <w:p>
            <w:pPr/>
          </w:p>
        </w:tc>
      </w:tr>
      <w:tr>
        <w:trPr>
          <w:trHeight w:val="272"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29" w:type="dxa"/>
            <w:gridSpan w:val="10"/>
            <w:vMerge/>
            <w:tcBorders>
              <w:left w:val="single" w:sz="10" w:space="0" w:color="D2D2D2"/>
              <w:bottom w:val="single" w:sz="4" w:space="0" w:color="000000"/>
              <w:right w:val="single" w:sz="4" w:space="0" w:color="000000"/>
            </w:tcBorders>
          </w:tcPr>
          <w:p>
            <w:pPr/>
          </w:p>
        </w:tc>
      </w:tr>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项目实施出 现募集资金 结余的金额 及原因</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29" w:type="dxa"/>
            <w:gridSpan w:val="10"/>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10"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71" w:hRule="exact"/>
        </w:trPr>
        <w:tc>
          <w:tcPr>
            <w:tcW w:w="1134" w:type="dxa"/>
            <w:vMerge/>
            <w:tcBorders>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729" w:type="dxa"/>
            <w:gridSpan w:val="10"/>
            <w:vMerge w:val="restart"/>
            <w:tcBorders>
              <w:top w:val="single" w:sz="4" w:space="0" w:color="000000"/>
              <w:left w:val="single" w:sz="10" w:space="0" w:color="D2D2D2"/>
              <w:right w:val="single" w:sz="4" w:space="0" w:color="000000"/>
            </w:tcBorders>
          </w:tcPr>
          <w:p>
            <w:pPr/>
          </w:p>
        </w:tc>
      </w:tr>
      <w:tr>
        <w:trPr>
          <w:trHeight w:val="392" w:hRule="exact"/>
        </w:trPr>
        <w:tc>
          <w:tcPr>
            <w:tcW w:w="1134"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729" w:type="dxa"/>
            <w:gridSpan w:val="10"/>
            <w:vMerge/>
            <w:tcBorders>
              <w:left w:val="single" w:sz="10" w:space="0" w:color="D2D2D2"/>
              <w:right w:val="single" w:sz="4" w:space="0" w:color="000000"/>
            </w:tcBorders>
          </w:tcPr>
          <w:p>
            <w:pPr/>
          </w:p>
        </w:tc>
      </w:tr>
      <w:tr>
        <w:trPr>
          <w:trHeight w:val="272"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29" w:type="dxa"/>
            <w:gridSpan w:val="10"/>
            <w:vMerge/>
            <w:tcBorders>
              <w:left w:val="single" w:sz="10" w:space="0" w:color="D2D2D2"/>
              <w:bottom w:val="single" w:sz="4" w:space="0" w:color="000000"/>
              <w:right w:val="single" w:sz="4" w:space="0" w:color="000000"/>
            </w:tcBorders>
          </w:tcPr>
          <w:p>
            <w:pPr/>
          </w:p>
        </w:tc>
      </w:tr>
      <w:tr>
        <w:trPr>
          <w:trHeight w:val="317"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尚未使用的 募集资金用 途及去向</w:t>
            </w: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729" w:type="dxa"/>
            <w:gridSpan w:val="10"/>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5" w:right="0"/>
              <w:jc w:val="left"/>
              <w:rPr>
                <w:rFonts w:ascii="宋体" w:hAnsi="宋体" w:cs="宋体" w:eastAsia="宋体" w:hint="default"/>
                <w:sz w:val="18"/>
                <w:szCs w:val="18"/>
              </w:rPr>
            </w:pPr>
            <w:r>
              <w:rPr>
                <w:rFonts w:ascii="宋体" w:hAnsi="宋体" w:cs="宋体" w:eastAsia="宋体" w:hint="default"/>
                <w:sz w:val="18"/>
                <w:szCs w:val="18"/>
              </w:rPr>
              <w:t>存放于公司募集资金专户</w:t>
            </w:r>
          </w:p>
        </w:tc>
      </w:tr>
      <w:tr>
        <w:trPr>
          <w:trHeight w:val="392" w:hRule="exact"/>
        </w:trPr>
        <w:tc>
          <w:tcPr>
            <w:tcW w:w="1134"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729" w:type="dxa"/>
            <w:gridSpan w:val="10"/>
            <w:vMerge/>
            <w:tcBorders>
              <w:left w:val="single" w:sz="10" w:space="0" w:color="D2D2D2"/>
              <w:right w:val="single" w:sz="4" w:space="0" w:color="000000"/>
            </w:tcBorders>
          </w:tcPr>
          <w:p>
            <w:pPr/>
          </w:p>
        </w:tc>
      </w:tr>
      <w:tr>
        <w:trPr>
          <w:trHeight w:val="317"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29" w:type="dxa"/>
            <w:gridSpan w:val="10"/>
            <w:vMerge/>
            <w:tcBorders>
              <w:left w:val="single" w:sz="10" w:space="0" w:color="D2D2D2"/>
              <w:bottom w:val="single" w:sz="4" w:space="0" w:color="000000"/>
              <w:right w:val="single" w:sz="4" w:space="0" w:color="000000"/>
            </w:tcBorders>
          </w:tcPr>
          <w:p>
            <w:pPr/>
          </w:p>
        </w:tc>
      </w:tr>
      <w:tr>
        <w:trPr>
          <w:trHeight w:val="473"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201"/>
              <w:jc w:val="both"/>
              <w:rPr>
                <w:rFonts w:ascii="宋体" w:hAnsi="宋体" w:cs="宋体" w:eastAsia="宋体" w:hint="default"/>
                <w:sz w:val="18"/>
                <w:szCs w:val="18"/>
              </w:rPr>
            </w:pPr>
            <w:r>
              <w:rPr>
                <w:rFonts w:ascii="宋体" w:hAnsi="宋体" w:cs="宋体" w:eastAsia="宋体" w:hint="default"/>
                <w:sz w:val="18"/>
                <w:szCs w:val="18"/>
              </w:rPr>
              <w:t>募集资金使 用及披露中 存在的问题 或其他情况</w:t>
            </w: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7729" w:type="dxa"/>
            <w:gridSpan w:val="10"/>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92" w:hRule="exact"/>
        </w:trPr>
        <w:tc>
          <w:tcPr>
            <w:tcW w:w="1134" w:type="dxa"/>
            <w:vMerge/>
            <w:tcBorders>
              <w:left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nil" w:sz="6" w:space="0" w:color="auto"/>
              <w:right w:val="single" w:sz="4" w:space="0" w:color="000000"/>
            </w:tcBorders>
            <w:shd w:val="clear" w:color="auto" w:fill="D2D2D2"/>
          </w:tcPr>
          <w:p>
            <w:pPr/>
          </w:p>
        </w:tc>
        <w:tc>
          <w:tcPr>
            <w:tcW w:w="7729" w:type="dxa"/>
            <w:gridSpan w:val="10"/>
            <w:vMerge/>
            <w:tcBorders>
              <w:left w:val="single" w:sz="10" w:space="0" w:color="D2D2D2"/>
              <w:right w:val="single" w:sz="4" w:space="0" w:color="000000"/>
            </w:tcBorders>
          </w:tcPr>
          <w:p>
            <w:pPr/>
          </w:p>
        </w:tc>
      </w:tr>
      <w:tr>
        <w:trPr>
          <w:trHeight w:val="473"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7729" w:type="dxa"/>
            <w:gridSpan w:val="10"/>
            <w:vMerge/>
            <w:tcBorders>
              <w:left w:val="single" w:sz="10" w:space="0" w:color="D2D2D2"/>
              <w:bottom w:val="single" w:sz="4" w:space="0" w:color="000000"/>
              <w:right w:val="single" w:sz="4" w:space="0" w:color="000000"/>
            </w:tcBorders>
          </w:tcPr>
          <w:p>
            <w:pPr/>
          </w:p>
        </w:tc>
      </w:tr>
    </w:tbl>
    <w:p>
      <w:pPr>
        <w:spacing w:line="240" w:lineRule="auto" w:before="6"/>
        <w:rPr>
          <w:rFonts w:ascii="宋体" w:hAnsi="宋体" w:cs="宋体" w:eastAsia="宋体" w:hint="default"/>
          <w:sz w:val="20"/>
          <w:szCs w:val="20"/>
        </w:rPr>
      </w:pPr>
    </w:p>
    <w:p>
      <w:pPr>
        <w:pStyle w:val="BodyText"/>
        <w:spacing w:line="240" w:lineRule="auto" w:before="44"/>
        <w:ind w:right="0"/>
        <w:jc w:val="left"/>
      </w:pPr>
      <w:bookmarkStart w:name="注：补充流动资金项目本期投入金额5,659.61万元中包含利息收入与手续费的差额" w:id="52"/>
      <w:bookmarkEnd w:id="52"/>
      <w:r>
        <w:rPr/>
      </w:r>
      <w:r>
        <w:rPr/>
        <w:t>注：补充流动资金项目本期投入金额</w:t>
      </w:r>
      <w:r>
        <w:rPr>
          <w:spacing w:val="-47"/>
        </w:rPr>
        <w:t> </w:t>
      </w:r>
      <w:r>
        <w:rPr>
          <w:rFonts w:ascii="Times New Roman" w:hAnsi="Times New Roman" w:cs="Times New Roman" w:eastAsia="Times New Roman" w:hint="default"/>
        </w:rPr>
        <w:t>5,659.61</w:t>
      </w:r>
      <w:r>
        <w:rPr>
          <w:rFonts w:ascii="Times New Roman" w:hAnsi="Times New Roman" w:cs="Times New Roman" w:eastAsia="Times New Roman" w:hint="default"/>
          <w:spacing w:val="-2"/>
        </w:rPr>
        <w:t> </w:t>
      </w:r>
      <w:r>
        <w:rPr/>
        <w:t>万元中包含利息收入与手续费的差额</w:t>
      </w:r>
      <w:r>
        <w:rPr>
          <w:spacing w:val="-47"/>
        </w:rPr>
        <w:t> </w:t>
      </w:r>
      <w:r>
        <w:rPr>
          <w:rFonts w:ascii="Times New Roman" w:hAnsi="Times New Roman" w:cs="Times New Roman" w:eastAsia="Times New Roman" w:hint="default"/>
        </w:rPr>
        <w:t>43.08</w:t>
      </w:r>
      <w:r>
        <w:rPr>
          <w:rFonts w:ascii="Times New Roman" w:hAnsi="Times New Roman" w:cs="Times New Roman" w:eastAsia="Times New Roman" w:hint="default"/>
          <w:spacing w:val="-2"/>
        </w:rPr>
        <w:t> </w:t>
      </w:r>
      <w:r>
        <w:rPr/>
        <w:t>万元。</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3）募集资金变更项目情况" w:id="53"/>
      <w:bookmarkEnd w:id="53"/>
      <w:r>
        <w:rPr>
          <w:b w:val="0"/>
          <w:bCs w:val="0"/>
        </w:rPr>
      </w: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7"/>
          <w:szCs w:val="17"/>
        </w:rPr>
      </w:pPr>
    </w:p>
    <w:p>
      <w:pPr>
        <w:pStyle w:val="BodyText"/>
        <w:spacing w:line="240" w:lineRule="auto"/>
        <w:ind w:left="0" w:right="1137"/>
        <w:jc w:val="right"/>
      </w:pPr>
      <w:r>
        <w:rPr/>
        <w:pict>
          <v:shape style="position:absolute;margin-left:56.459999pt;margin-top:-346.138275pt;width:479.3pt;height:559.950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8"/>
                    <w:gridCol w:w="958"/>
                    <w:gridCol w:w="956"/>
                    <w:gridCol w:w="959"/>
                    <w:gridCol w:w="956"/>
                    <w:gridCol w:w="956"/>
                    <w:gridCol w:w="956"/>
                    <w:gridCol w:w="957"/>
                    <w:gridCol w:w="958"/>
                    <w:gridCol w:w="956"/>
                  </w:tblGrid>
                  <w:tr>
                    <w:trPr>
                      <w:trHeight w:val="1338"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82" w:right="23" w:hanging="360"/>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变更后项目 拟投入募集 资金总额</w:t>
                        </w:r>
                      </w:p>
                      <w:p>
                        <w:pPr>
                          <w:pStyle w:val="TableParagraph"/>
                          <w:spacing w:line="240" w:lineRule="auto" w:before="60"/>
                          <w:ind w:right="0"/>
                          <w:jc w:val="center"/>
                          <w:rPr>
                            <w:rFonts w:ascii="Times New Roman" w:hAnsi="Times New Roman" w:cs="Times New Roman" w:eastAsia="Times New Roman" w:hint="default"/>
                            <w:sz w:val="18"/>
                            <w:szCs w:val="18"/>
                          </w:rPr>
                        </w:pPr>
                        <w:r>
                          <w:rPr>
                            <w:rFonts w:ascii="Times New Roman"/>
                            <w:sz w:val="18"/>
                          </w:rPr>
                          <w:t>(1)</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 w:right="22"/>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38" w:lineRule="auto"/>
                          <w:ind w:left="22"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9" w:lineRule="auto"/>
                          <w:ind w:left="22"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113" w:right="21" w:hanging="90"/>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02"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22"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650"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永久补充流 动资金</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3"/>
                          <w:jc w:val="left"/>
                          <w:rPr>
                            <w:rFonts w:ascii="宋体" w:hAnsi="宋体" w:cs="宋体" w:eastAsia="宋体" w:hint="default"/>
                            <w:sz w:val="18"/>
                            <w:szCs w:val="18"/>
                          </w:rPr>
                        </w:pPr>
                        <w:r>
                          <w:rPr>
                            <w:rFonts w:ascii="宋体" w:hAnsi="宋体" w:cs="宋体" w:eastAsia="宋体" w:hint="default"/>
                            <w:sz w:val="18"/>
                            <w:szCs w:val="18"/>
                          </w:rPr>
                          <w:t>境内业务网 络扩建项 目、境外业 务网络建设 项目</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5,616.53</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5,659.61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5,659.61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100.77%</w:t>
                        </w:r>
                      </w:p>
                    </w:tc>
                    <w:tc>
                      <w:tcPr>
                        <w:tcW w:w="956" w:type="dxa"/>
                        <w:tcBorders>
                          <w:top w:val="single" w:sz="4" w:space="0" w:color="000000"/>
                          <w:left w:val="single" w:sz="4" w:space="0" w:color="000000"/>
                          <w:bottom w:val="single" w:sz="4" w:space="0" w:color="000000"/>
                          <w:right w:val="single" w:sz="4" w:space="0" w:color="000000"/>
                        </w:tcBorders>
                      </w:tcPr>
                      <w:p>
                        <w:pPr/>
                      </w:p>
                    </w:tc>
                    <w:tc>
                      <w:tcPr>
                        <w:tcW w:w="957"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83"/>
                          <w:jc w:val="right"/>
                          <w:rPr>
                            <w:rFonts w:ascii="宋体" w:hAnsi="宋体" w:cs="宋体" w:eastAsia="宋体" w:hint="default"/>
                            <w:sz w:val="18"/>
                            <w:szCs w:val="18"/>
                          </w:rPr>
                        </w:pPr>
                        <w:r>
                          <w:rPr>
                            <w:rFonts w:ascii="宋体" w:hAnsi="宋体" w:cs="宋体" w:eastAsia="宋体" w:hint="default"/>
                            <w:sz w:val="18"/>
                            <w:szCs w:val="18"/>
                          </w:rPr>
                          <w:t>不适用</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5,616.53</w:t>
                        </w:r>
                      </w:p>
                    </w:tc>
                    <w:tc>
                      <w:tcPr>
                        <w:tcW w:w="9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5,659.61</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5,659.61</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9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413"/>
                          <w:jc w:val="right"/>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r>
                  <w:tr>
                    <w:trPr>
                      <w:trHeight w:val="6371"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2"/>
                            <w:szCs w:val="22"/>
                          </w:rPr>
                        </w:pPr>
                      </w:p>
                      <w:p>
                        <w:pPr>
                          <w:pStyle w:val="TableParagraph"/>
                          <w:spacing w:line="319" w:lineRule="auto"/>
                          <w:ind w:left="22" w:right="21"/>
                          <w:jc w:val="left"/>
                          <w:rPr>
                            <w:rFonts w:ascii="Times New Roman" w:hAnsi="Times New Roman" w:cs="Times New Roman" w:eastAsia="Times New Roman" w:hint="default"/>
                            <w:sz w:val="18"/>
                            <w:szCs w:val="18"/>
                          </w:rPr>
                        </w:pPr>
                        <w:r>
                          <w:rPr>
                            <w:rFonts w:ascii="宋体" w:hAnsi="宋体" w:cs="宋体" w:eastAsia="宋体" w:hint="default"/>
                            <w:spacing w:val="-4"/>
                            <w:sz w:val="18"/>
                            <w:szCs w:val="18"/>
                          </w:rPr>
                          <w:t>变更原因、决策程序及信息披露情况</w:t>
                        </w:r>
                        <w:r>
                          <w:rPr>
                            <w:rFonts w:ascii="宋体" w:hAnsi="宋体" w:cs="宋体" w:eastAsia="宋体" w:hint="default"/>
                            <w:sz w:val="18"/>
                            <w:szCs w:val="18"/>
                          </w:rPr>
                          <w:t> 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04" w:lineRule="auto" w:before="52"/>
                          <w:ind w:left="23"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、原募投项目</w:t>
                        </w:r>
                        <w:r>
                          <w:rPr>
                            <w:rFonts w:ascii="Times New Roman" w:hAnsi="Times New Roman" w:cs="Times New Roman" w:eastAsia="Times New Roman" w:hint="default"/>
                            <w:sz w:val="18"/>
                            <w:szCs w:val="18"/>
                          </w:rPr>
                          <w:t>“</w:t>
                        </w:r>
                        <w:r>
                          <w:rPr>
                            <w:rFonts w:ascii="宋体" w:hAnsi="宋体" w:cs="宋体" w:eastAsia="宋体" w:hint="default"/>
                            <w:sz w:val="18"/>
                            <w:szCs w:val="18"/>
                          </w:rPr>
                          <w:t>境内业务网络扩建项目</w:t>
                        </w:r>
                        <w:r>
                          <w:rPr>
                            <w:rFonts w:ascii="Times New Roman" w:hAnsi="Times New Roman" w:cs="Times New Roman" w:eastAsia="Times New Roman" w:hint="default"/>
                            <w:sz w:val="18"/>
                            <w:szCs w:val="18"/>
                          </w:rPr>
                          <w:t>”</w:t>
                        </w:r>
                        <w:r>
                          <w:rPr>
                            <w:rFonts w:ascii="宋体" w:hAnsi="宋体" w:cs="宋体" w:eastAsia="宋体" w:hint="default"/>
                            <w:sz w:val="18"/>
                            <w:szCs w:val="18"/>
                          </w:rPr>
                          <w:t>原计划拟在中国大陆十六个城市开设分支机 构，各城市分支机构选址在所在城市商务中心区，租赁办公地点，配备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人不等 </w:t>
                        </w:r>
                        <w:r>
                          <w:rPr>
                            <w:rFonts w:ascii="宋体" w:hAnsi="宋体" w:cs="宋体" w:eastAsia="宋体" w:hint="default"/>
                            <w:spacing w:val="-1"/>
                            <w:sz w:val="18"/>
                            <w:szCs w:val="18"/>
                          </w:rPr>
                          <w:t>的业务团队。由于近年来，公司业务逐渐向数字营销方向转型，数字营销业务稳步提</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升。此外，公司在数字技术研发、数字技术升级等领域大力投入，</w:t>
                        </w:r>
                        <w:r>
                          <w:rPr>
                            <w:rFonts w:ascii="Times New Roman" w:hAnsi="Times New Roman" w:cs="Times New Roman" w:eastAsia="Times New Roman" w:hint="default"/>
                            <w:sz w:val="18"/>
                            <w:szCs w:val="18"/>
                          </w:rPr>
                          <w:t>“</w:t>
                        </w:r>
                        <w:r>
                          <w:rPr>
                            <w:rFonts w:ascii="宋体" w:hAnsi="宋体" w:cs="宋体" w:eastAsia="宋体" w:hint="default"/>
                            <w:sz w:val="18"/>
                            <w:szCs w:val="18"/>
                          </w:rPr>
                          <w:t>全球鹰大数据舆 情系统</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数字口碑内容体系</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品牌互动社区及跨屏支持系统</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品牌营销指数系 统</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移动派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品推宝</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APP”</w:t>
                        </w:r>
                        <w:r>
                          <w:rPr>
                            <w:rFonts w:ascii="宋体" w:hAnsi="宋体" w:cs="宋体" w:eastAsia="宋体" w:hint="default"/>
                            <w:sz w:val="18"/>
                            <w:szCs w:val="18"/>
                          </w:rPr>
                          <w:t>等数字营销工具的应用已经趋于成熟，公司现有数字 </w:t>
                        </w:r>
                        <w:r>
                          <w:rPr>
                            <w:rFonts w:ascii="宋体" w:hAnsi="宋体" w:cs="宋体" w:eastAsia="宋体" w:hint="default"/>
                            <w:spacing w:val="-1"/>
                            <w:sz w:val="18"/>
                            <w:szCs w:val="18"/>
                          </w:rPr>
                          <w:t>营销平台可满足本项目的建设要求。因此终止对境内业务网络扩建项目的投资，变更</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用于永久性</w:t>
                        </w:r>
                        <w:r>
                          <w:rPr>
                            <w:rFonts w:ascii="Times New Roman" w:hAnsi="Times New Roman" w:cs="Times New Roman" w:eastAsia="Times New Roman" w:hint="default"/>
                            <w:sz w:val="18"/>
                            <w:szCs w:val="18"/>
                          </w:rPr>
                          <w:t>“</w:t>
                        </w:r>
                        <w:r>
                          <w:rPr>
                            <w:rFonts w:ascii="宋体" w:hAnsi="宋体" w:cs="宋体" w:eastAsia="宋体" w:hint="default"/>
                            <w:sz w:val="18"/>
                            <w:szCs w:val="18"/>
                          </w:rPr>
                          <w:t>补充流动资金项目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。上述事项已经公司于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日召开的第三</w:t>
                        </w:r>
                      </w:p>
                      <w:p>
                        <w:pPr>
                          <w:pStyle w:val="TableParagraph"/>
                          <w:spacing w:line="240" w:lineRule="auto" w:before="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届董事会第六次会议、第四届监事会第五次会议，于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年第二次临时股东大会审议通过。</w:t>
                        </w:r>
                      </w:p>
                      <w:p>
                        <w:pPr>
                          <w:pStyle w:val="TableParagraph"/>
                          <w:spacing w:line="312" w:lineRule="auto" w:before="115"/>
                          <w:ind w:left="23" w:right="3"/>
                          <w:jc w:val="left"/>
                          <w:rPr>
                            <w:rFonts w:ascii="宋体" w:hAnsi="宋体" w:cs="宋体" w:eastAsia="宋体" w:hint="default"/>
                            <w:sz w:val="18"/>
                            <w:szCs w:val="18"/>
                          </w:rPr>
                        </w:pPr>
                        <w:r>
                          <w:rPr>
                            <w:rFonts w:ascii="Times New Roman" w:hAnsi="Times New Roman" w:cs="Times New Roman" w:eastAsia="Times New Roman" w:hint="default"/>
                            <w:spacing w:val="-3"/>
                            <w:w w:val="100"/>
                            <w:sz w:val="18"/>
                            <w:szCs w:val="18"/>
                          </w:rPr>
                          <w:t>2</w:t>
                        </w:r>
                        <w:r>
                          <w:rPr>
                            <w:rFonts w:ascii="宋体" w:hAnsi="宋体" w:cs="宋体" w:eastAsia="宋体" w:hint="default"/>
                            <w:spacing w:val="-3"/>
                            <w:w w:val="100"/>
                            <w:sz w:val="18"/>
                            <w:szCs w:val="18"/>
                          </w:rPr>
                          <w:t>、原募投项目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境外业务网络建设项目</w:t>
                        </w:r>
                        <w:r>
                          <w:rPr>
                            <w:rFonts w:ascii="Times New Roman" w:hAnsi="Times New Roman" w:cs="Times New Roman" w:eastAsia="Times New Roman" w:hint="default"/>
                            <w:spacing w:val="-3"/>
                            <w:w w:val="100"/>
                            <w:sz w:val="18"/>
                            <w:szCs w:val="18"/>
                          </w:rPr>
                          <w:t>”</w:t>
                        </w:r>
                        <w:r>
                          <w:rPr>
                            <w:rFonts w:ascii="宋体" w:hAnsi="宋体" w:cs="宋体" w:eastAsia="宋体" w:hint="default"/>
                            <w:spacing w:val="-3"/>
                            <w:w w:val="100"/>
                            <w:sz w:val="18"/>
                            <w:szCs w:val="18"/>
                          </w:rPr>
                          <w:t>原计划拟分三年建设覆盖全球主要市场的境外</w:t>
                        </w:r>
                        <w:r>
                          <w:rPr>
                            <w:rFonts w:ascii="宋体" w:hAnsi="宋体" w:cs="宋体" w:eastAsia="宋体" w:hint="default"/>
                            <w:spacing w:val="-63"/>
                            <w:w w:val="100"/>
                            <w:sz w:val="18"/>
                            <w:szCs w:val="18"/>
                          </w:rPr>
                          <w:t> </w:t>
                        </w:r>
                        <w:r>
                          <w:rPr>
                            <w:rFonts w:ascii="宋体" w:hAnsi="宋体" w:cs="宋体" w:eastAsia="宋体" w:hint="default"/>
                            <w:spacing w:val="-3"/>
                            <w:sz w:val="18"/>
                            <w:szCs w:val="18"/>
                          </w:rPr>
                          <w:t>业务网络，该项目建成后，公司境外业务网络可覆盖北美、欧洲、亚太（除中国大陆</w:t>
                        </w:r>
                        <w:r>
                          <w:rPr>
                            <w:rFonts w:ascii="宋体" w:hAnsi="宋体" w:cs="宋体" w:eastAsia="宋体" w:hint="default"/>
                            <w:sz w:val="18"/>
                            <w:szCs w:val="18"/>
                          </w:rPr>
                          <w:t> </w:t>
                        </w:r>
                        <w:r>
                          <w:rPr>
                            <w:rFonts w:ascii="宋体" w:hAnsi="宋体" w:cs="宋体" w:eastAsia="宋体" w:hint="default"/>
                            <w:spacing w:val="-3"/>
                            <w:sz w:val="18"/>
                            <w:szCs w:val="18"/>
                          </w:rPr>
                          <w:t>三大地区。鉴于整合营销传播服务渠道快速变革，公司所处行业的经营环境发生变化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以及移动办公便捷性与高效性的提升，在境外主要城市开设分支机构对于促进公司市</w:t>
                        </w:r>
                        <w:r>
                          <w:rPr>
                            <w:rFonts w:ascii="宋体" w:hAnsi="宋体" w:cs="宋体" w:eastAsia="宋体" w:hint="default"/>
                            <w:sz w:val="18"/>
                            <w:szCs w:val="18"/>
                          </w:rPr>
                          <w:t> 场份额的提高作用有限，已不再是公司业务网络建设的优先选择。本着审慎性原则， 为合理利用募集资金，提高资金使用效率，提升公司营运能力，寻求最佳的境内外业 务拓展方式，公司终止对境外业务网络建设项目的投资，变更用于永久性</w:t>
                        </w:r>
                        <w:r>
                          <w:rPr>
                            <w:rFonts w:ascii="Times New Roman" w:hAnsi="Times New Roman" w:cs="Times New Roman" w:eastAsia="Times New Roman" w:hint="default"/>
                            <w:sz w:val="18"/>
                            <w:szCs w:val="18"/>
                          </w:rPr>
                          <w:t>“</w:t>
                        </w:r>
                        <w:r>
                          <w:rPr>
                            <w:rFonts w:ascii="宋体" w:hAnsi="宋体" w:cs="宋体" w:eastAsia="宋体" w:hint="default"/>
                            <w:sz w:val="18"/>
                            <w:szCs w:val="18"/>
                          </w:rPr>
                          <w:t>补充流动 资金项目</w:t>
                        </w:r>
                        <w:r>
                          <w:rPr>
                            <w:rFonts w:ascii="Times New Roman" w:hAnsi="Times New Roman" w:cs="Times New Roman" w:eastAsia="Times New Roman" w:hint="default"/>
                            <w:sz w:val="18"/>
                            <w:szCs w:val="18"/>
                          </w:rPr>
                          <w:t>”</w:t>
                        </w:r>
                        <w:r>
                          <w:rPr>
                            <w:rFonts w:ascii="宋体" w:hAnsi="宋体" w:cs="宋体" w:eastAsia="宋体" w:hint="default"/>
                            <w:sz w:val="18"/>
                            <w:szCs w:val="18"/>
                          </w:rPr>
                          <w:t>。上述事项已经公司于</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日召开的第三届董事会第六次会议</w:t>
                        </w:r>
                      </w:p>
                      <w:p>
                        <w:pPr>
                          <w:pStyle w:val="TableParagraph"/>
                          <w:spacing w:line="302" w:lineRule="auto" w:before="3"/>
                          <w:ind w:left="23" w:right="95"/>
                          <w:jc w:val="left"/>
                          <w:rPr>
                            <w:rFonts w:ascii="宋体" w:hAnsi="宋体" w:cs="宋体" w:eastAsia="宋体" w:hint="default"/>
                            <w:sz w:val="18"/>
                            <w:szCs w:val="18"/>
                          </w:rPr>
                        </w:pPr>
                        <w:r>
                          <w:rPr>
                            <w:rFonts w:ascii="宋体" w:hAnsi="宋体" w:cs="宋体" w:eastAsia="宋体" w:hint="default"/>
                            <w:sz w:val="18"/>
                            <w:szCs w:val="18"/>
                          </w:rPr>
                          <w:t>第四届监事会第五次会议，于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日召开的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 审议通过。</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4" w:hRule="exact"/>
                    </w:trPr>
                    <w:tc>
                      <w:tcPr>
                        <w:tcW w:w="287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37"/>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
              </w:txbxContent>
            </v:textbox>
            <w10:wrap type="none"/>
          </v:shape>
        </w:pict>
      </w:r>
      <w:r>
        <w:rPr/>
        <w:t>）</w:t>
      </w:r>
    </w:p>
    <w:p>
      <w:pPr>
        <w:pStyle w:val="BodyText"/>
        <w:spacing w:line="240" w:lineRule="auto" w:before="76"/>
        <w:ind w:left="0" w:right="1137"/>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pStyle w:val="BodyText"/>
        <w:spacing w:line="240" w:lineRule="auto" w:before="44"/>
        <w:ind w:left="0" w:right="1137"/>
        <w:jc w:val="right"/>
      </w:pPr>
      <w:r>
        <w:rPr/>
        <w:t>、</w:t>
      </w:r>
    </w:p>
    <w:p>
      <w:pPr>
        <w:spacing w:after="0" w:line="240" w:lineRule="auto"/>
        <w:jc w:val="righ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bookmarkStart w:name="注：变更后的补充流动资金项目本期投入金额5,659.61万元中包含利息收入与手续" w:id="54"/>
      <w:bookmarkEnd w:id="54"/>
      <w:r>
        <w:rPr/>
      </w:r>
      <w:r>
        <w:rPr/>
        <w:t>注：变更后的补充流动资金项目本期投入金额</w:t>
      </w:r>
      <w:r>
        <w:rPr>
          <w:spacing w:val="-46"/>
        </w:rPr>
        <w:t> </w:t>
      </w:r>
      <w:r>
        <w:rPr>
          <w:rFonts w:ascii="Times New Roman" w:hAnsi="Times New Roman" w:cs="Times New Roman" w:eastAsia="Times New Roman" w:hint="default"/>
        </w:rPr>
        <w:t>5,659.61 </w:t>
      </w:r>
      <w:r>
        <w:rPr/>
        <w:t>万元中包含利息收入与手续费的差额</w:t>
      </w:r>
      <w:r>
        <w:rPr>
          <w:spacing w:val="-46"/>
        </w:rPr>
        <w:t> </w:t>
      </w:r>
      <w:r>
        <w:rPr>
          <w:rFonts w:ascii="Times New Roman" w:hAnsi="Times New Roman" w:cs="Times New Roman" w:eastAsia="Times New Roman" w:hint="default"/>
        </w:rPr>
        <w:t>43.08</w:t>
      </w:r>
      <w:r>
        <w:rPr>
          <w:rFonts w:ascii="Times New Roman" w:hAnsi="Times New Roman" w:cs="Times New Roman" w:eastAsia="Times New Roman" w:hint="default"/>
          <w:spacing w:val="-1"/>
        </w:rPr>
        <w:t> </w:t>
      </w:r>
      <w:r>
        <w:rPr/>
        <w:t>万元。</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六、重大资产和股权出售" w:id="55"/>
      <w:bookmarkEnd w:id="55"/>
      <w:r>
        <w:rPr>
          <w:b w:val="0"/>
          <w:bCs w:val="0"/>
        </w:rPr>
      </w: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出售重大资产情况" w:id="56"/>
      <w:bookmarkEnd w:id="56"/>
      <w:r>
        <w:rPr>
          <w:b w:val="0"/>
          <w:bCs w:val="0"/>
        </w:rPr>
      </w:r>
      <w:r>
        <w:rPr>
          <w:rFonts w:ascii="Times New Roman" w:hAnsi="Times New Roman" w:cs="Times New Roman" w:eastAsia="Times New Roman" w:hint="default"/>
        </w:rPr>
        <w:t>1</w:t>
      </w:r>
      <w:r>
        <w:rPr/>
        <w:t>、出售重大资产情况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公司报告期未出售重大资产。</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出售重大股权情况" w:id="57"/>
      <w:bookmarkEnd w:id="57"/>
      <w:r>
        <w:rPr>
          <w:b w:val="0"/>
          <w:bCs w:val="0"/>
        </w:rPr>
      </w:r>
      <w:r>
        <w:rPr>
          <w:rFonts w:ascii="Times New Roman" w:hAnsi="Times New Roman" w:cs="Times New Roman" w:eastAsia="Times New Roman"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682"/>
        <w:gridCol w:w="683"/>
        <w:gridCol w:w="684"/>
        <w:gridCol w:w="684"/>
        <w:gridCol w:w="683"/>
        <w:gridCol w:w="683"/>
        <w:gridCol w:w="683"/>
        <w:gridCol w:w="686"/>
        <w:gridCol w:w="684"/>
        <w:gridCol w:w="684"/>
        <w:gridCol w:w="684"/>
        <w:gridCol w:w="684"/>
        <w:gridCol w:w="684"/>
        <w:gridCol w:w="677"/>
      </w:tblGrid>
      <w:tr>
        <w:trPr>
          <w:trHeight w:val="3834" w:hRule="exact"/>
        </w:trPr>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5" w:right="64" w:hanging="180"/>
              <w:jc w:val="left"/>
              <w:rPr>
                <w:rFonts w:ascii="宋体" w:hAnsi="宋体" w:cs="宋体" w:eastAsia="宋体" w:hint="default"/>
                <w:sz w:val="18"/>
                <w:szCs w:val="18"/>
              </w:rPr>
            </w:pPr>
            <w:r>
              <w:rPr>
                <w:rFonts w:ascii="宋体" w:hAnsi="宋体" w:cs="宋体" w:eastAsia="宋体" w:hint="default"/>
                <w:sz w:val="18"/>
                <w:szCs w:val="18"/>
              </w:rPr>
              <w:t>交易对 方</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157" w:right="65" w:hanging="90"/>
              <w:jc w:val="left"/>
              <w:rPr>
                <w:rFonts w:ascii="宋体" w:hAnsi="宋体" w:cs="宋体" w:eastAsia="宋体" w:hint="default"/>
                <w:sz w:val="18"/>
                <w:szCs w:val="18"/>
              </w:rPr>
            </w:pPr>
            <w:r>
              <w:rPr>
                <w:rFonts w:ascii="宋体" w:hAnsi="宋体" w:cs="宋体" w:eastAsia="宋体" w:hint="default"/>
                <w:sz w:val="18"/>
                <w:szCs w:val="18"/>
              </w:rPr>
              <w:t>被出售 股权</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8"/>
              <w:ind w:left="65"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6" w:right="66"/>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本期初 起至出 售日该 股权为 上市公 司贡献 的净利 润（万 元）</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出售对 公司的 影响</w:t>
            </w:r>
          </w:p>
        </w:tc>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319" w:lineRule="auto"/>
              <w:ind w:left="65" w:right="65"/>
              <w:jc w:val="both"/>
              <w:rPr>
                <w:rFonts w:ascii="宋体" w:hAnsi="宋体" w:cs="宋体" w:eastAsia="宋体" w:hint="default"/>
                <w:sz w:val="18"/>
                <w:szCs w:val="18"/>
              </w:rPr>
            </w:pPr>
            <w:r>
              <w:rPr>
                <w:rFonts w:ascii="宋体" w:hAnsi="宋体" w:cs="宋体" w:eastAsia="宋体" w:hint="default"/>
                <w:sz w:val="18"/>
                <w:szCs w:val="18"/>
              </w:rPr>
              <w:t>股权出 售为上 市公司 贡献的 净利润 占净利 润总额 的比例</w:t>
            </w:r>
          </w:p>
        </w:tc>
        <w:tc>
          <w:tcPr>
            <w:tcW w:w="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7" w:right="67"/>
              <w:jc w:val="both"/>
              <w:rPr>
                <w:rFonts w:ascii="宋体" w:hAnsi="宋体" w:cs="宋体" w:eastAsia="宋体" w:hint="default"/>
                <w:sz w:val="18"/>
                <w:szCs w:val="18"/>
              </w:rPr>
            </w:pPr>
            <w:r>
              <w:rPr>
                <w:rFonts w:ascii="宋体" w:hAnsi="宋体" w:cs="宋体" w:eastAsia="宋体" w:hint="default"/>
                <w:sz w:val="18"/>
                <w:szCs w:val="18"/>
              </w:rPr>
              <w:t>股权出 售定价 原则</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319" w:lineRule="auto"/>
              <w:ind w:left="65" w:right="66"/>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1"/>
              <w:ind w:left="66" w:right="66"/>
              <w:jc w:val="center"/>
              <w:rPr>
                <w:rFonts w:ascii="宋体" w:hAnsi="宋体" w:cs="宋体" w:eastAsia="宋体" w:hint="default"/>
                <w:sz w:val="18"/>
                <w:szCs w:val="18"/>
              </w:rPr>
            </w:pPr>
            <w:r>
              <w:rPr>
                <w:rFonts w:ascii="宋体" w:hAnsi="宋体" w:cs="宋体" w:eastAsia="宋体" w:hint="default"/>
                <w:sz w:val="18"/>
                <w:szCs w:val="18"/>
              </w:rPr>
              <w:t>与交易 对方的 关联关 系</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65" w:right="66"/>
              <w:jc w:val="center"/>
              <w:rPr>
                <w:rFonts w:ascii="宋体" w:hAnsi="宋体" w:cs="宋体" w:eastAsia="宋体" w:hint="default"/>
                <w:sz w:val="18"/>
                <w:szCs w:val="18"/>
              </w:rPr>
            </w:pPr>
            <w:r>
              <w:rPr>
                <w:rFonts w:ascii="宋体" w:hAnsi="宋体" w:cs="宋体" w:eastAsia="宋体" w:hint="default"/>
                <w:sz w:val="18"/>
                <w:szCs w:val="18"/>
              </w:rPr>
              <w:t>所涉及 的股权 是否已 全部过 户</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65" w:right="66"/>
              <w:jc w:val="center"/>
              <w:rPr>
                <w:rFonts w:ascii="宋体" w:hAnsi="宋体" w:cs="宋体" w:eastAsia="宋体" w:hint="default"/>
                <w:sz w:val="18"/>
                <w:szCs w:val="18"/>
              </w:rPr>
            </w:pPr>
            <w:r>
              <w:rPr>
                <w:rFonts w:ascii="宋体" w:hAnsi="宋体" w:cs="宋体" w:eastAsia="宋体" w:hint="default"/>
                <w:sz w:val="18"/>
                <w:szCs w:val="18"/>
              </w:rPr>
              <w:t>是否按 计划如 期实 施，如 未按计 划实 施，应 当说明 原因及 公司已 采取的 措施</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5" w:right="66"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319" w:lineRule="auto"/>
              <w:ind w:left="243" w:right="61" w:hanging="180"/>
              <w:jc w:val="left"/>
              <w:rPr>
                <w:rFonts w:ascii="宋体" w:hAnsi="宋体" w:cs="宋体" w:eastAsia="宋体" w:hint="default"/>
                <w:sz w:val="18"/>
                <w:szCs w:val="18"/>
              </w:rPr>
            </w:pPr>
            <w:r>
              <w:rPr>
                <w:rFonts w:ascii="宋体" w:hAnsi="宋体" w:cs="宋体" w:eastAsia="宋体" w:hint="default"/>
                <w:sz w:val="18"/>
                <w:szCs w:val="18"/>
              </w:rPr>
              <w:t>披露索 引</w:t>
            </w:r>
          </w:p>
        </w:tc>
      </w:tr>
      <w:tr>
        <w:trPr>
          <w:trHeight w:val="3522" w:hRule="exact"/>
        </w:trPr>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9" w:lineRule="auto"/>
              <w:ind w:left="22" w:right="107"/>
              <w:jc w:val="both"/>
              <w:rPr>
                <w:rFonts w:ascii="宋体" w:hAnsi="宋体" w:cs="宋体" w:eastAsia="宋体" w:hint="default"/>
                <w:sz w:val="18"/>
                <w:szCs w:val="18"/>
              </w:rPr>
            </w:pPr>
            <w:r>
              <w:rPr>
                <w:rFonts w:ascii="宋体" w:hAnsi="宋体" w:cs="宋体" w:eastAsia="宋体" w:hint="default"/>
                <w:sz w:val="18"/>
                <w:szCs w:val="18"/>
              </w:rPr>
              <w:t>北京周 同科技 有限公 司</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7"/>
              <w:jc w:val="both"/>
              <w:rPr>
                <w:rFonts w:ascii="宋体" w:hAnsi="宋体" w:cs="宋体" w:eastAsia="宋体" w:hint="default"/>
                <w:sz w:val="18"/>
                <w:szCs w:val="18"/>
              </w:rPr>
            </w:pPr>
            <w:r>
              <w:rPr>
                <w:rFonts w:ascii="宋体" w:hAnsi="宋体" w:cs="宋体" w:eastAsia="宋体" w:hint="default"/>
                <w:sz w:val="18"/>
                <w:szCs w:val="18"/>
              </w:rPr>
              <w:t>北京宣 亚国际 数字技 术有限 公司</w:t>
            </w:r>
          </w:p>
          <w:p>
            <w:pPr>
              <w:pStyle w:val="TableParagraph"/>
              <w:spacing w:line="314" w:lineRule="auto" w:before="19"/>
              <w:ind w:left="23" w:right="29"/>
              <w:jc w:val="left"/>
              <w:rPr>
                <w:rFonts w:ascii="宋体" w:hAnsi="宋体" w:cs="宋体" w:eastAsia="宋体" w:hint="default"/>
                <w:sz w:val="18"/>
                <w:szCs w:val="18"/>
              </w:rPr>
            </w:pPr>
            <w:r>
              <w:rPr>
                <w:rFonts w:ascii="宋体" w:hAnsi="宋体" w:cs="宋体" w:eastAsia="宋体" w:hint="default"/>
                <w:sz w:val="18"/>
                <w:szCs w:val="18"/>
              </w:rPr>
              <w:t>（原</w:t>
            </w:r>
            <w:r>
              <w:rPr>
                <w:rFonts w:ascii="Times New Roman" w:hAnsi="Times New Roman" w:cs="Times New Roman" w:eastAsia="Times New Roman" w:hint="default"/>
                <w:sz w:val="18"/>
                <w:szCs w:val="18"/>
              </w:rPr>
              <w:t>“</w:t>
            </w:r>
            <w:r>
              <w:rPr>
                <w:rFonts w:ascii="宋体" w:hAnsi="宋体" w:cs="宋体" w:eastAsia="宋体" w:hint="default"/>
                <w:sz w:val="18"/>
                <w:szCs w:val="18"/>
              </w:rPr>
              <w:t>北 京英帕 沃数字 技术有 限公 司</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-35.47</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left="185" w:right="0"/>
              <w:jc w:val="left"/>
              <w:rPr>
                <w:rFonts w:ascii="Times New Roman" w:hAnsi="Times New Roman" w:cs="Times New Roman" w:eastAsia="Times New Roman" w:hint="default"/>
                <w:sz w:val="18"/>
                <w:szCs w:val="18"/>
              </w:rPr>
            </w:pPr>
            <w:r>
              <w:rPr>
                <w:rFonts w:ascii="Times New Roman"/>
                <w:sz w:val="18"/>
              </w:rPr>
              <w:t>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9" w:lineRule="auto"/>
              <w:ind w:left="22" w:right="113"/>
              <w:jc w:val="both"/>
              <w:rPr>
                <w:rFonts w:ascii="宋体" w:hAnsi="宋体" w:cs="宋体" w:eastAsia="宋体" w:hint="default"/>
                <w:sz w:val="18"/>
                <w:szCs w:val="18"/>
              </w:rPr>
            </w:pPr>
            <w:r>
              <w:rPr>
                <w:rFonts w:ascii="宋体" w:hAnsi="宋体" w:cs="宋体" w:eastAsia="宋体" w:hint="default"/>
                <w:sz w:val="18"/>
                <w:szCs w:val="18"/>
              </w:rPr>
              <w:t>转让尚 未实缴 的注册 资本认 缴权</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102"/>
              <w:jc w:val="both"/>
              <w:rPr>
                <w:rFonts w:ascii="宋体" w:hAnsi="宋体" w:cs="宋体" w:eastAsia="宋体" w:hint="default"/>
                <w:sz w:val="18"/>
                <w:szCs w:val="18"/>
              </w:rPr>
            </w:pPr>
            <w:r>
              <w:rPr>
                <w:rFonts w:ascii="宋体" w:hAnsi="宋体" w:cs="宋体" w:eastAsia="宋体" w:hint="default"/>
                <w:sz w:val="18"/>
                <w:szCs w:val="18"/>
              </w:rPr>
              <w:t>巨潮资 讯网</w:t>
            </w:r>
          </w:p>
          <w:p>
            <w:pPr>
              <w:pStyle w:val="TableParagraph"/>
              <w:spacing w:line="350" w:lineRule="auto" w:before="19"/>
              <w:ind w:left="22" w:right="40"/>
              <w:jc w:val="both"/>
              <w:rPr>
                <w:rFonts w:ascii="Times New Roman" w:hAnsi="Times New Roman" w:cs="Times New Roman" w:eastAsia="Times New Roman" w:hint="default"/>
                <w:sz w:val="18"/>
                <w:szCs w:val="18"/>
              </w:rPr>
            </w:pPr>
            <w:r>
              <w:rPr>
                <w:rFonts w:ascii="宋体" w:hAnsi="宋体" w:cs="宋体" w:eastAsia="宋体" w:hint="default"/>
                <w:spacing w:val="-3"/>
                <w:sz w:val="18"/>
                <w:szCs w:val="18"/>
              </w:rPr>
              <w:t>（</w:t>
            </w:r>
            <w:hyperlink r:id="rId16">
              <w:r>
                <w:rPr>
                  <w:rFonts w:ascii="Times New Roman" w:hAnsi="Times New Roman" w:cs="Times New Roman" w:eastAsia="Times New Roman" w:hint="default"/>
                  <w:spacing w:val="-3"/>
                  <w:sz w:val="18"/>
                  <w:szCs w:val="18"/>
                </w:rPr>
                <w:t>www.</w:t>
              </w:r>
            </w:hyperlink>
            <w:r>
              <w:rPr>
                <w:rFonts w:ascii="Times New Roman" w:hAnsi="Times New Roman" w:cs="Times New Roman" w:eastAsia="Times New Roman" w:hint="default"/>
                <w:sz w:val="18"/>
                <w:szCs w:val="18"/>
              </w:rPr>
              <w:t> cninfo.c om.cn)</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七、主要控股参股公司分析" w:id="58"/>
      <w:bookmarkEnd w:id="58"/>
      <w:r>
        <w:rPr>
          <w:b w:val="0"/>
          <w:bCs w:val="0"/>
        </w:rPr>
      </w:r>
      <w:r>
        <w:rPr/>
        <w:t>七、主要控股参股公司分析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4"/>
        <w:ind w:right="0"/>
        <w:jc w:val="left"/>
      </w:pPr>
      <w:r>
        <w:rPr/>
        <w:t>主要子公司及对公司净利润影响达</w:t>
      </w:r>
      <w:r>
        <w:rPr>
          <w:spacing w:val="-46"/>
        </w:rPr>
        <w:t> </w:t>
      </w:r>
      <w:r>
        <w:rPr>
          <w:rFonts w:ascii="Times New Roman" w:hAnsi="Times New Roman" w:cs="Times New Roman" w:eastAsia="Times New Roman" w:hint="default"/>
        </w:rPr>
        <w:t>10%</w:t>
      </w:r>
      <w:r>
        <w:rPr/>
        <w:t>以上的参股公司情况</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931"/>
        <w:gridCol w:w="992"/>
        <w:gridCol w:w="993"/>
        <w:gridCol w:w="1134"/>
        <w:gridCol w:w="1134"/>
        <w:gridCol w:w="1276"/>
        <w:gridCol w:w="1008"/>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62"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主要业务</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总资产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净资产</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净利润</w:t>
            </w:r>
          </w:p>
        </w:tc>
      </w:tr>
      <w:tr>
        <w:trPr>
          <w:trHeight w:val="1028" w:hRule="exact"/>
        </w:trPr>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21"/>
              <w:jc w:val="both"/>
              <w:rPr>
                <w:rFonts w:ascii="宋体" w:hAnsi="宋体" w:cs="宋体" w:eastAsia="宋体" w:hint="default"/>
                <w:sz w:val="18"/>
                <w:szCs w:val="18"/>
              </w:rPr>
            </w:pPr>
            <w:r>
              <w:rPr>
                <w:rFonts w:ascii="宋体" w:hAnsi="宋体" w:cs="宋体" w:eastAsia="宋体" w:hint="default"/>
                <w:sz w:val="18"/>
                <w:szCs w:val="18"/>
              </w:rPr>
              <w:t>宣亚国际品 牌管理（湖 </w:t>
            </w:r>
            <w:r>
              <w:rPr>
                <w:rFonts w:ascii="宋体" w:hAnsi="宋体" w:cs="宋体" w:eastAsia="宋体" w:hint="default"/>
                <w:spacing w:val="-14"/>
                <w:sz w:val="18"/>
                <w:szCs w:val="18"/>
              </w:rPr>
              <w:t>南）有限公司</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15,161,540.70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132" w:right="0"/>
              <w:jc w:val="center"/>
              <w:rPr>
                <w:rFonts w:ascii="Times New Roman" w:hAnsi="Times New Roman" w:cs="Times New Roman" w:eastAsia="Times New Roman" w:hint="default"/>
                <w:sz w:val="18"/>
                <w:szCs w:val="18"/>
              </w:rPr>
            </w:pPr>
            <w:r>
              <w:rPr>
                <w:rFonts w:ascii="Times New Roman"/>
                <w:sz w:val="18"/>
              </w:rPr>
              <w:t>6,324,308.03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23,790,449.15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6,521,252.71</w:t>
            </w:r>
          </w:p>
        </w:tc>
        <w:tc>
          <w:tcPr>
            <w:tcW w:w="1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4" w:right="0"/>
              <w:jc w:val="center"/>
              <w:rPr>
                <w:rFonts w:ascii="Times New Roman" w:hAnsi="Times New Roman" w:cs="Times New Roman" w:eastAsia="Times New Roman" w:hint="default"/>
                <w:sz w:val="18"/>
                <w:szCs w:val="18"/>
              </w:rPr>
            </w:pPr>
            <w:r>
              <w:rPr>
                <w:rFonts w:ascii="Times New Roman"/>
                <w:sz w:val="18"/>
              </w:rPr>
              <w:t>4,824,308.03</w:t>
            </w:r>
          </w:p>
        </w:tc>
      </w:tr>
    </w:tbl>
    <w:p>
      <w:pPr>
        <w:pStyle w:val="BodyText"/>
        <w:spacing w:line="240" w:lineRule="auto" w:before="51"/>
        <w:ind w:right="0"/>
        <w:jc w:val="left"/>
      </w:pPr>
      <w:r>
        <w:rPr/>
        <w:t>报告期内取得和处置子公司的情况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9"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北京金色区块网络科技有限公司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2" w:right="0"/>
              <w:jc w:val="left"/>
              <w:rPr>
                <w:rFonts w:ascii="Times New Roman" w:hAnsi="Times New Roman" w:cs="Times New Roman" w:eastAsia="Times New Roman" w:hint="default"/>
                <w:sz w:val="18"/>
                <w:szCs w:val="18"/>
              </w:rPr>
            </w:pPr>
            <w:r>
              <w:rPr>
                <w:rFonts w:ascii="Times New Roman"/>
                <w:sz w:val="18"/>
              </w:rPr>
              <w:t>-981,837.30</w:t>
            </w:r>
          </w:p>
        </w:tc>
      </w:tr>
    </w:tbl>
    <w:p>
      <w:pPr>
        <w:pStyle w:val="BodyText"/>
        <w:spacing w:line="240" w:lineRule="auto" w:before="51"/>
        <w:ind w:right="0"/>
        <w:jc w:val="both"/>
      </w:pPr>
      <w:r>
        <w:rPr/>
        <w:t>主要控股参股公司情况说明</w:t>
      </w:r>
    </w:p>
    <w:p>
      <w:pPr>
        <w:pStyle w:val="BodyText"/>
        <w:spacing w:line="240" w:lineRule="auto" w:before="116"/>
        <w:ind w:left="227" w:right="0"/>
        <w:jc w:val="both"/>
      </w:pPr>
      <w:r>
        <w:rPr>
          <w:rFonts w:ascii="Times New Roman" w:hAnsi="Times New Roman" w:cs="Times New Roman" w:eastAsia="Times New Roman" w:hint="default"/>
        </w:rPr>
        <w:t>1</w:t>
      </w:r>
      <w:r>
        <w:rPr/>
        <w:t>、宣亚湖南：报告期项目收入减少，导致营业利润、净利润变化。</w:t>
      </w:r>
    </w:p>
    <w:p>
      <w:pPr>
        <w:spacing w:line="240" w:lineRule="auto" w:before="1"/>
        <w:rPr>
          <w:rFonts w:ascii="宋体" w:hAnsi="宋体" w:cs="宋体" w:eastAsia="宋体" w:hint="default"/>
          <w:sz w:val="24"/>
          <w:szCs w:val="24"/>
        </w:rPr>
      </w:pPr>
    </w:p>
    <w:p>
      <w:pPr>
        <w:pStyle w:val="Heading2"/>
        <w:spacing w:line="240" w:lineRule="auto"/>
        <w:ind w:right="0"/>
        <w:jc w:val="both"/>
        <w:rPr>
          <w:b w:val="0"/>
          <w:bCs w:val="0"/>
        </w:rPr>
      </w:pPr>
      <w:bookmarkStart w:name="八、公司控制的结构化主体情况" w:id="59"/>
      <w:bookmarkEnd w:id="59"/>
      <w:r>
        <w:rPr>
          <w:b w:val="0"/>
          <w:bCs w:val="0"/>
        </w:rPr>
      </w:r>
      <w:r>
        <w:rPr/>
        <w:t>八、公司控制的结构化主体情况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both"/>
        <w:rPr>
          <w:b w:val="0"/>
          <w:bCs w:val="0"/>
        </w:rPr>
      </w:pPr>
      <w:bookmarkStart w:name="九、公司未来发展的展望" w:id="60"/>
      <w:bookmarkEnd w:id="60"/>
      <w:r>
        <w:rPr>
          <w:b w:val="0"/>
          <w:bCs w:val="0"/>
        </w:rPr>
      </w: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4" w:right="1126"/>
        <w:jc w:val="left"/>
      </w:pPr>
      <w:r>
        <w:rPr/>
        <w:t>（一）公司发展战略 </w:t>
      </w:r>
      <w:r>
        <w:rPr>
          <w:spacing w:val="-1"/>
        </w:rPr>
        <w:t>公司始终秉持</w:t>
      </w:r>
      <w:r>
        <w:rPr>
          <w:rFonts w:ascii="Times New Roman" w:hAnsi="Times New Roman" w:cs="Times New Roman" w:eastAsia="Times New Roman" w:hint="default"/>
          <w:spacing w:val="-1"/>
        </w:rPr>
        <w:t>“</w:t>
      </w:r>
      <w:r>
        <w:rPr>
          <w:spacing w:val="-1"/>
        </w:rPr>
        <w:t>合适就是竞争力</w:t>
      </w:r>
      <w:r>
        <w:rPr>
          <w:rFonts w:ascii="Times New Roman" w:hAnsi="Times New Roman" w:cs="Times New Roman" w:eastAsia="Times New Roman" w:hint="default"/>
          <w:spacing w:val="-1"/>
        </w:rPr>
        <w:t>”</w:t>
      </w:r>
      <w:r>
        <w:rPr>
          <w:spacing w:val="-1"/>
        </w:rPr>
        <w:t>的传播哲学，顺应技术变革的趋势，致力于成为国际领先的</w:t>
      </w:r>
      <w:r>
        <w:rPr>
          <w:rFonts w:ascii="Times New Roman" w:hAnsi="Times New Roman" w:cs="Times New Roman" w:eastAsia="Times New Roman" w:hint="default"/>
          <w:spacing w:val="-1"/>
        </w:rPr>
        <w:t>“</w:t>
      </w:r>
      <w:r>
        <w:rPr>
          <w:spacing w:val="-1"/>
        </w:rPr>
        <w:t>营销技术</w:t>
      </w:r>
      <w:r>
        <w:rPr>
          <w:rFonts w:ascii="Times New Roman" w:hAnsi="Times New Roman" w:cs="Times New Roman" w:eastAsia="Times New Roman" w:hint="default"/>
          <w:spacing w:val="-1"/>
        </w:rPr>
        <w:t>”</w:t>
      </w:r>
      <w:r>
        <w:rPr>
          <w:spacing w:val="-1"/>
        </w:rPr>
        <w:t>方案运营商。公</w:t>
      </w:r>
    </w:p>
    <w:p>
      <w:pPr>
        <w:pStyle w:val="BodyText"/>
        <w:spacing w:line="307" w:lineRule="auto"/>
        <w:ind w:right="1133"/>
        <w:jc w:val="both"/>
      </w:pPr>
      <w:r>
        <w:rPr/>
        <w:t>司的新定位是成为</w:t>
      </w:r>
      <w:r>
        <w:rPr>
          <w:rFonts w:ascii="Times New Roman" w:hAnsi="Times New Roman" w:cs="Times New Roman" w:eastAsia="Times New Roman" w:hint="default"/>
        </w:rPr>
        <w:t>“</w:t>
      </w:r>
      <w:r>
        <w:rPr/>
        <w:t>营销技术方案运营商，全面赋能产业互联网</w:t>
      </w:r>
      <w:r>
        <w:rPr>
          <w:rFonts w:ascii="Times New Roman" w:hAnsi="Times New Roman" w:cs="Times New Roman" w:eastAsia="Times New Roman" w:hint="default"/>
        </w:rPr>
        <w:t>”</w:t>
      </w:r>
      <w:r>
        <w:rPr/>
        <w:t>，公司的新使命是</w:t>
      </w:r>
      <w:r>
        <w:rPr>
          <w:rFonts w:ascii="Times New Roman" w:hAnsi="Times New Roman" w:cs="Times New Roman" w:eastAsia="Times New Roman" w:hint="default"/>
        </w:rPr>
        <w:t>“</w:t>
      </w:r>
      <w:r>
        <w:rPr/>
        <w:t>聚焦客户关注的营销挑战和压力，提供 富有竞争力的营销技术解决方案和运营服务，持续为客户创造最大价值</w:t>
      </w:r>
      <w:r>
        <w:rPr>
          <w:rFonts w:ascii="Times New Roman" w:hAnsi="Times New Roman" w:cs="Times New Roman" w:eastAsia="Times New Roman" w:hint="default"/>
        </w:rPr>
        <w:t>”</w:t>
      </w:r>
      <w:r>
        <w:rPr/>
        <w:t>。公司通过借鉴和学习国际先进理念和经验，积极 </w:t>
      </w:r>
      <w:r>
        <w:rPr>
          <w:spacing w:val="-2"/>
        </w:rPr>
        <w:t>投资布局人工智能、大数据和区块链技术，同时结合中国市场的营销特征和独特需求，为客户量身定制从品牌认知到产品体</w:t>
      </w:r>
      <w:r>
        <w:rPr>
          <w:spacing w:val="-66"/>
        </w:rPr>
        <w:t> </w:t>
      </w:r>
      <w:r>
        <w:rPr>
          <w:spacing w:val="-66"/>
        </w:rPr>
      </w:r>
      <w:r>
        <w:rPr/>
        <w:t>验的全方位</w:t>
      </w:r>
      <w:r>
        <w:rPr>
          <w:rFonts w:ascii="Times New Roman" w:hAnsi="Times New Roman" w:cs="Times New Roman" w:eastAsia="Times New Roman" w:hint="default"/>
        </w:rPr>
        <w:t>“</w:t>
      </w:r>
      <w:r>
        <w:rPr/>
        <w:t>营销技术</w:t>
      </w:r>
      <w:r>
        <w:rPr>
          <w:rFonts w:ascii="Times New Roman" w:hAnsi="Times New Roman" w:cs="Times New Roman" w:eastAsia="Times New Roman" w:hint="default"/>
        </w:rPr>
        <w:t>”</w:t>
      </w:r>
      <w:r>
        <w:rPr/>
        <w:t>运营服务。</w:t>
      </w:r>
    </w:p>
    <w:p>
      <w:pPr>
        <w:pStyle w:val="BodyText"/>
        <w:spacing w:line="309" w:lineRule="auto" w:before="7"/>
        <w:ind w:right="0" w:firstLine="360"/>
        <w:jc w:val="left"/>
      </w:pPr>
      <w:r>
        <w:rPr>
          <w:spacing w:val="-2"/>
        </w:rPr>
        <w:t>公司的新定位、新使命、新战略、新架构、新产品均立足于客户的需求和挑战，随着产业互联网的不断发展和深化，公</w:t>
      </w:r>
      <w:r>
        <w:rPr/>
        <w:t> </w:t>
      </w:r>
      <w:r>
        <w:rPr>
          <w:spacing w:val="-4"/>
        </w:rPr>
        <w:t>司将结合自身发展需要，通过产业资源整合、前沿技术引入、激励体系完善、并购投资整合等战略手段的实施，逐步在数据、</w:t>
      </w:r>
      <w:r>
        <w:rPr>
          <w:spacing w:val="-44"/>
        </w:rPr>
        <w:t> </w:t>
      </w:r>
      <w:r>
        <w:rPr>
          <w:spacing w:val="-44"/>
        </w:rPr>
      </w:r>
      <w:r>
        <w:rPr/>
        <w:t>分析和运营三个维度建立起强大的护城河和壁垒，研发一系列</w:t>
      </w:r>
      <w:r>
        <w:rPr>
          <w:rFonts w:ascii="Times New Roman" w:hAnsi="Times New Roman" w:cs="Times New Roman" w:eastAsia="Times New Roman" w:hint="default"/>
        </w:rPr>
        <w:t>“</w:t>
      </w:r>
      <w:r>
        <w:rPr/>
        <w:t>营销技术</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传播技术</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服务技术</w:t>
      </w:r>
      <w:r>
        <w:rPr>
          <w:rFonts w:ascii="Times New Roman" w:hAnsi="Times New Roman" w:cs="Times New Roman" w:eastAsia="Times New Roman" w:hint="default"/>
        </w:rPr>
        <w:t>”</w:t>
      </w:r>
      <w:r>
        <w:rPr/>
        <w:t>的综合解决方案，从而 形成极具差异化的体系竞争力，力争实现</w:t>
      </w:r>
      <w:r>
        <w:rPr>
          <w:rFonts w:ascii="Times New Roman" w:hAnsi="Times New Roman" w:cs="Times New Roman" w:eastAsia="Times New Roman" w:hint="default"/>
        </w:rPr>
        <w:t>“</w:t>
      </w:r>
      <w:r>
        <w:rPr/>
        <w:t>数字化、全球化</w:t>
      </w:r>
      <w:r>
        <w:rPr>
          <w:rFonts w:ascii="Times New Roman" w:hAnsi="Times New Roman" w:cs="Times New Roman" w:eastAsia="Times New Roman" w:hint="default"/>
        </w:rPr>
        <w:t>”</w:t>
      </w:r>
      <w:r>
        <w:rPr/>
        <w:t>的战略目标，将公司打造为来自中国的、具有全球影响力的、行 业领先的</w:t>
      </w:r>
      <w:r>
        <w:rPr>
          <w:rFonts w:ascii="Times New Roman" w:hAnsi="Times New Roman" w:cs="Times New Roman" w:eastAsia="Times New Roman" w:hint="default"/>
        </w:rPr>
        <w:t>“</w:t>
      </w:r>
      <w:r>
        <w:rPr/>
        <w:t>营销技术</w:t>
      </w:r>
      <w:r>
        <w:rPr>
          <w:rFonts w:ascii="Times New Roman" w:hAnsi="Times New Roman" w:cs="Times New Roman" w:eastAsia="Times New Roman" w:hint="default"/>
        </w:rPr>
        <w:t>”</w:t>
      </w:r>
      <w:r>
        <w:rPr/>
        <w:t>方案运营商。</w:t>
      </w:r>
    </w:p>
    <w:p>
      <w:pPr>
        <w:pStyle w:val="BodyText"/>
        <w:spacing w:line="300" w:lineRule="auto" w:before="5"/>
        <w:ind w:left="514" w:right="0"/>
        <w:jc w:val="left"/>
      </w:pPr>
      <w:r>
        <w:rPr>
          <w:rFonts w:ascii="Times New Roman" w:hAnsi="Times New Roman" w:cs="Times New Roman" w:eastAsia="Times New Roman" w:hint="default"/>
        </w:rPr>
        <w:t>1</w:t>
      </w:r>
      <w:r>
        <w:rPr/>
        <w:t>、精细化管理体系升级和优化 </w:t>
      </w:r>
      <w:r>
        <w:rPr>
          <w:spacing w:val="-2"/>
        </w:rPr>
        <w:t>随着公司业务规模和业务形式的不断发展，包括人力、财务、采购、信息安全、内部社区及知识系统等在内的内部管理</w:t>
      </w:r>
    </w:p>
    <w:p>
      <w:pPr>
        <w:pStyle w:val="BodyText"/>
        <w:spacing w:line="316" w:lineRule="auto" w:before="31"/>
        <w:ind w:right="1132"/>
        <w:jc w:val="both"/>
      </w:pPr>
      <w:r>
        <w:rPr>
          <w:spacing w:val="-2"/>
        </w:rPr>
        <w:t>系统的升级和优化已经成为日渐突出的需求。报告期内，公司对内部管理体系进行了持续升级和优化，一方面适应业务规模</w:t>
      </w:r>
      <w:r>
        <w:rPr>
          <w:spacing w:val="-65"/>
        </w:rPr>
        <w:t> </w:t>
      </w:r>
      <w:r>
        <w:rPr>
          <w:spacing w:val="-65"/>
        </w:rPr>
      </w:r>
      <w:r>
        <w:rPr>
          <w:spacing w:val="-2"/>
        </w:rPr>
        <w:t>和服务网络发展带来的管理需求，另一方面通过内部管理系统的升级和优化提升公司管控业务技术平台的能力，从而进一步</w:t>
      </w:r>
      <w:r>
        <w:rPr>
          <w:spacing w:val="-64"/>
        </w:rPr>
        <w:t> </w:t>
      </w:r>
      <w:r>
        <w:rPr>
          <w:spacing w:val="-64"/>
        </w:rPr>
      </w:r>
      <w:r>
        <w:rPr/>
        <w:t>提高公司的业务竞争力。</w:t>
      </w:r>
    </w:p>
    <w:p>
      <w:pPr>
        <w:pStyle w:val="BodyText"/>
        <w:spacing w:line="300" w:lineRule="auto" w:before="19"/>
        <w:ind w:left="514" w:right="0"/>
        <w:jc w:val="left"/>
      </w:pPr>
      <w:r>
        <w:rPr>
          <w:rFonts w:ascii="Times New Roman" w:hAnsi="Times New Roman" w:cs="Times New Roman" w:eastAsia="Times New Roman" w:hint="default"/>
        </w:rPr>
        <w:t>2</w:t>
      </w:r>
      <w:r>
        <w:rPr/>
        <w:t>、人力资源储备及激励体系完善 </w:t>
      </w:r>
      <w:r>
        <w:rPr>
          <w:spacing w:val="-2"/>
        </w:rPr>
        <w:t>高素质、具有职业品格的人才是公司业务发展的基石和保障，因此，公司将逐步建设和完善在业内具有领先竞争力的人</w:t>
      </w:r>
    </w:p>
    <w:p>
      <w:pPr>
        <w:pStyle w:val="BodyText"/>
        <w:spacing w:line="319" w:lineRule="auto" w:before="31"/>
        <w:ind w:right="1032"/>
        <w:jc w:val="left"/>
      </w:pPr>
      <w:r>
        <w:rPr>
          <w:spacing w:val="-2"/>
        </w:rPr>
        <w:t>才薪酬、福利、培训及职业规划体系。公司将具体做好以下工作：完善人力资源管理体系；制定科学合理的招聘选拔体系和</w:t>
      </w:r>
      <w:r>
        <w:rPr>
          <w:spacing w:val="-66"/>
        </w:rPr>
        <w:t> </w:t>
      </w:r>
      <w:r>
        <w:rPr>
          <w:spacing w:val="-66"/>
        </w:rPr>
      </w:r>
      <w:r>
        <w:rPr/>
        <w:t>完善的培训体系；建立切实有效的绩效考核制度和激励机制；加强核心人才队伍的建设；完善人才梯队和文化体系的建设； </w:t>
      </w:r>
      <w:r>
        <w:rPr>
          <w:spacing w:val="-2"/>
        </w:rPr>
        <w:t>积极建设和培养后备团队；大力引进高端创意、营销、策划等专业人才。总之，公司把人力资源的开发和管理上升到企业战</w:t>
      </w:r>
      <w:r>
        <w:rPr>
          <w:spacing w:val="-65"/>
        </w:rPr>
        <w:t> </w:t>
      </w:r>
      <w:r>
        <w:rPr>
          <w:spacing w:val="-65"/>
        </w:rPr>
      </w:r>
      <w:r>
        <w:rPr/>
        <w:t>略层面予以考虑，以较大的投入来开发、获得、保持与激励企业战略实施所需的人才，为公司的未来发展奠定扎实的基础， 实现企业价值共享。</w:t>
      </w:r>
    </w:p>
    <w:p>
      <w:pPr>
        <w:pStyle w:val="BodyText"/>
        <w:spacing w:line="300" w:lineRule="auto" w:before="17"/>
        <w:ind w:left="514" w:right="0"/>
        <w:jc w:val="left"/>
      </w:pPr>
      <w:r>
        <w:rPr>
          <w:rFonts w:ascii="Times New Roman" w:hAnsi="Times New Roman" w:cs="Times New Roman" w:eastAsia="Times New Roman" w:hint="default"/>
        </w:rPr>
        <w:t>3</w:t>
      </w:r>
      <w:r>
        <w:rPr/>
        <w:t>、积极开展并购整合，拓展投资合作 </w:t>
      </w:r>
      <w:r>
        <w:rPr>
          <w:spacing w:val="-2"/>
        </w:rPr>
        <w:t>结合</w:t>
      </w:r>
      <w:r>
        <w:rPr>
          <w:rFonts w:ascii="Times New Roman" w:hAnsi="Times New Roman" w:cs="Times New Roman" w:eastAsia="Times New Roman" w:hint="default"/>
          <w:spacing w:val="-2"/>
        </w:rPr>
        <w:t>“</w:t>
      </w:r>
      <w:r>
        <w:rPr>
          <w:spacing w:val="-2"/>
        </w:rPr>
        <w:t>营销技术</w:t>
      </w:r>
      <w:r>
        <w:rPr>
          <w:rFonts w:ascii="Times New Roman" w:hAnsi="Times New Roman" w:cs="Times New Roman" w:eastAsia="Times New Roman" w:hint="default"/>
          <w:spacing w:val="-2"/>
        </w:rPr>
        <w:t>”</w:t>
      </w:r>
      <w:r>
        <w:rPr>
          <w:spacing w:val="-2"/>
        </w:rPr>
        <w:t>领域飞速发展的态势，围绕公司主营业务发展需要，公司将适时选取在不同板块上具有独特竞争优势且</w:t>
      </w:r>
    </w:p>
    <w:p>
      <w:pPr>
        <w:spacing w:after="0" w:line="30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1131"/>
        <w:jc w:val="both"/>
      </w:pPr>
      <w:r>
        <w:rPr>
          <w:spacing w:val="-2"/>
        </w:rPr>
        <w:t>具备一定业务基础的行业潜力企业，进行多种形式的并购和整合，实现在行业资源、经营效率和服务能力上的持续优化。公</w:t>
      </w:r>
      <w:r>
        <w:rPr>
          <w:spacing w:val="-66"/>
        </w:rPr>
        <w:t> </w:t>
      </w:r>
      <w:r>
        <w:rPr>
          <w:spacing w:val="-66"/>
        </w:rPr>
      </w:r>
      <w:r>
        <w:rPr/>
        <w:t>司也会积极拓展在创新领域的投资，并加强合作，强化公司在全面服务和整合营销各个环节上的独特优势和竞争力。</w:t>
      </w:r>
    </w:p>
    <w:p>
      <w:pPr>
        <w:pStyle w:val="BodyText"/>
        <w:spacing w:line="340" w:lineRule="auto" w:before="19"/>
        <w:ind w:left="514" w:right="0"/>
        <w:jc w:val="left"/>
      </w:pPr>
      <w:r>
        <w:rPr>
          <w:rFonts w:ascii="Times New Roman" w:hAnsi="Times New Roman" w:cs="Times New Roman" w:eastAsia="Times New Roman" w:hint="default"/>
        </w:rPr>
        <w:t>4</w:t>
      </w:r>
      <w:r>
        <w:rPr/>
        <w:t>、境外业务网络建设 </w:t>
      </w:r>
      <w:r>
        <w:rPr>
          <w:spacing w:val="-2"/>
        </w:rPr>
        <w:t>在经济和产业全球化的趋势之下，领先的中国企业和中国品牌已经开始了全球化的战略布局与业务实施；与此同时，随</w:t>
      </w:r>
    </w:p>
    <w:p>
      <w:pPr>
        <w:pStyle w:val="BodyText"/>
        <w:spacing w:line="319" w:lineRule="auto"/>
        <w:ind w:right="1032"/>
        <w:jc w:val="left"/>
      </w:pPr>
      <w:r>
        <w:rPr>
          <w:spacing w:val="-2"/>
        </w:rPr>
        <w:t>着中国消费市场的不断扩大，全球品牌越来越重视利用本土化思维以及在地化团队深耕在中国的品牌营销。为了顺应这一全</w:t>
      </w:r>
      <w:r>
        <w:rPr>
          <w:spacing w:val="-64"/>
        </w:rPr>
        <w:t> </w:t>
      </w:r>
      <w:r>
        <w:rPr>
          <w:spacing w:val="-64"/>
        </w:rPr>
      </w:r>
      <w:r>
        <w:rPr>
          <w:spacing w:val="-4"/>
        </w:rPr>
        <w:t>球化的大趋势，公司已经构建了遍布中国、美国、欧洲的服务网络，通过派驻骨干员工和在地招聘的方式逐步强化服务能力，</w:t>
      </w:r>
      <w:r>
        <w:rPr>
          <w:spacing w:val="-46"/>
        </w:rPr>
        <w:t> </w:t>
      </w:r>
      <w:r>
        <w:rPr>
          <w:spacing w:val="-46"/>
        </w:rPr>
      </w:r>
      <w:r>
        <w:rPr>
          <w:spacing w:val="-2"/>
        </w:rPr>
        <w:t>并积极整合在地营销及媒介和创意资源，能够为中国品牌走向世界，为中国企业数字化转型，为中国经济新旧动能转换助一</w:t>
      </w:r>
      <w:r>
        <w:rPr>
          <w:spacing w:val="-66"/>
        </w:rPr>
        <w:t> </w:t>
      </w:r>
      <w:r>
        <w:rPr>
          <w:spacing w:val="-66"/>
        </w:rPr>
      </w:r>
      <w:r>
        <w:rPr/>
        <w:t>臂之力。</w:t>
      </w:r>
    </w:p>
    <w:p>
      <w:pPr>
        <w:pStyle w:val="BodyText"/>
        <w:spacing w:line="240" w:lineRule="auto" w:before="56"/>
        <w:ind w:left="514" w:right="0"/>
        <w:jc w:val="left"/>
      </w:pPr>
      <w:r>
        <w:rPr/>
        <w:t>（二）可能面对的风险</w:t>
      </w:r>
    </w:p>
    <w:p>
      <w:pPr>
        <w:pStyle w:val="BodyText"/>
        <w:spacing w:line="300" w:lineRule="auto" w:before="76"/>
        <w:ind w:left="514" w:right="0"/>
        <w:jc w:val="left"/>
      </w:pPr>
      <w:r>
        <w:rPr>
          <w:rFonts w:ascii="Times New Roman" w:hAnsi="Times New Roman" w:cs="Times New Roman" w:eastAsia="Times New Roman" w:hint="default"/>
        </w:rPr>
        <w:t>1</w:t>
      </w:r>
      <w:r>
        <w:rPr/>
        <w:t>、客户行业集中的风险 </w:t>
      </w:r>
      <w:r>
        <w:rPr>
          <w:spacing w:val="-2"/>
        </w:rPr>
        <w:t>公司的客户主要集中于汽车行业，</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2017</w:t>
      </w:r>
      <w:r>
        <w:rPr>
          <w:spacing w:val="-2"/>
        </w:rPr>
        <w:t>年和</w:t>
      </w:r>
      <w:r>
        <w:rPr>
          <w:rFonts w:ascii="Times New Roman" w:hAnsi="Times New Roman" w:cs="Times New Roman" w:eastAsia="Times New Roman" w:hint="default"/>
          <w:spacing w:val="-2"/>
        </w:rPr>
        <w:t>2018</w:t>
      </w:r>
      <w:r>
        <w:rPr>
          <w:spacing w:val="-2"/>
        </w:rPr>
        <w:t>年，公司来源于汽车行业的收入占公司当年营业收入的比重分</w:t>
      </w:r>
    </w:p>
    <w:p>
      <w:pPr>
        <w:pStyle w:val="BodyText"/>
        <w:spacing w:line="300" w:lineRule="auto" w:before="13"/>
        <w:ind w:left="514" w:right="0" w:hanging="360"/>
        <w:jc w:val="left"/>
      </w:pPr>
      <w:r>
        <w:rPr/>
        <w:t>别为</w:t>
      </w:r>
      <w:r>
        <w:rPr>
          <w:rFonts w:ascii="Times New Roman" w:hAnsi="Times New Roman" w:cs="Times New Roman" w:eastAsia="Times New Roman" w:hint="default"/>
        </w:rPr>
        <w:t>63.63%</w:t>
      </w:r>
      <w:r>
        <w:rPr/>
        <w:t>、</w:t>
      </w:r>
      <w:r>
        <w:rPr>
          <w:rFonts w:ascii="Times New Roman" w:hAnsi="Times New Roman" w:cs="Times New Roman" w:eastAsia="Times New Roman" w:hint="default"/>
        </w:rPr>
        <w:t>47.60%</w:t>
      </w:r>
      <w:r>
        <w:rPr/>
        <w:t>和</w:t>
      </w:r>
      <w:r>
        <w:rPr>
          <w:rFonts w:ascii="Times New Roman" w:hAnsi="Times New Roman" w:cs="Times New Roman" w:eastAsia="Times New Roman" w:hint="default"/>
        </w:rPr>
        <w:t>47.07%</w:t>
      </w:r>
      <w:r>
        <w:rPr/>
        <w:t>。如果未来汽车行业的发展环境发生重大不利变化，将可能对公司的业务产生不利影响。 </w:t>
      </w:r>
      <w:r>
        <w:rPr>
          <w:rFonts w:ascii="Times New Roman" w:hAnsi="Times New Roman" w:cs="Times New Roman" w:eastAsia="Times New Roman" w:hint="default"/>
        </w:rPr>
        <w:t>2</w:t>
      </w:r>
      <w:r>
        <w:rPr/>
        <w:t>、宏观经济波动的风险 </w:t>
      </w:r>
      <w:r>
        <w:rPr>
          <w:spacing w:val="-2"/>
        </w:rPr>
        <w:t>作为商务服务业的一个分支，整合营销传播服务行业的下游涉及汽车、互联网及信息技术、快速消费品等多个行业，整</w:t>
      </w:r>
    </w:p>
    <w:p>
      <w:pPr>
        <w:pStyle w:val="BodyText"/>
        <w:spacing w:line="316" w:lineRule="auto" w:before="31"/>
        <w:ind w:right="1130"/>
        <w:jc w:val="both"/>
      </w:pPr>
      <w:r>
        <w:rPr>
          <w:spacing w:val="-2"/>
        </w:rPr>
        <w:t>合营销传播服务行业与下游行业的营销需求密切相关。品牌主所处行业的发展状况直接影响其营销预算，从而间接影响整合</w:t>
      </w:r>
      <w:r>
        <w:rPr>
          <w:spacing w:val="-63"/>
        </w:rPr>
        <w:t> </w:t>
      </w:r>
      <w:r>
        <w:rPr>
          <w:spacing w:val="-63"/>
        </w:rPr>
      </w:r>
      <w:r>
        <w:rPr>
          <w:spacing w:val="-2"/>
        </w:rPr>
        <w:t>营销传播服务业的发展和公司的经营状况。如果未来宏观经济运行出现较大幅度的波动，会对公司下游行业的景气程度和生</w:t>
      </w:r>
      <w:r>
        <w:rPr>
          <w:spacing w:val="-64"/>
        </w:rPr>
        <w:t> </w:t>
      </w:r>
      <w:r>
        <w:rPr>
          <w:spacing w:val="-64"/>
        </w:rPr>
      </w:r>
      <w:r>
        <w:rPr/>
        <w:t>产经营状况产生影响，并间接影响公司的经营业绩。</w:t>
      </w:r>
    </w:p>
    <w:p>
      <w:pPr>
        <w:pStyle w:val="BodyText"/>
        <w:spacing w:line="300" w:lineRule="auto" w:before="19"/>
        <w:ind w:left="514" w:right="0"/>
        <w:jc w:val="left"/>
      </w:pPr>
      <w:r>
        <w:rPr>
          <w:rFonts w:ascii="Times New Roman" w:hAnsi="Times New Roman" w:cs="Times New Roman" w:eastAsia="Times New Roman" w:hint="default"/>
        </w:rPr>
        <w:t>3</w:t>
      </w:r>
      <w:r>
        <w:rPr/>
        <w:t>、行业竞争风险 </w:t>
      </w:r>
      <w:r>
        <w:rPr>
          <w:spacing w:val="-4"/>
        </w:rPr>
        <w:t>整合营销传播服务行业是充分竞争的行业，行业内企业众多，行业集中度相对较低，而随着近年来行业并购潮流的兴起，</w:t>
      </w:r>
    </w:p>
    <w:p>
      <w:pPr>
        <w:pStyle w:val="BodyText"/>
        <w:spacing w:line="316" w:lineRule="auto" w:before="31"/>
        <w:ind w:right="1132"/>
        <w:jc w:val="both"/>
      </w:pPr>
      <w:r>
        <w:rPr>
          <w:spacing w:val="-2"/>
        </w:rPr>
        <w:t>国内整合营销传播服务行业的竞争进一步加剧。另外，整合营销传播服务行业在国内市场的发展历史较短，主要实行行业自</w:t>
      </w:r>
      <w:r>
        <w:rPr>
          <w:spacing w:val="-66"/>
        </w:rPr>
        <w:t> </w:t>
      </w:r>
      <w:r>
        <w:rPr>
          <w:spacing w:val="-66"/>
        </w:rPr>
      </w:r>
      <w:r>
        <w:rPr>
          <w:spacing w:val="-2"/>
        </w:rPr>
        <w:t>律的管理体制，行业无明确的主管部门监督管理，相关法律法规也较为缺乏，整合营销传播服务市场的无序竞争可能会加大</w:t>
      </w:r>
      <w:r>
        <w:rPr>
          <w:spacing w:val="-65"/>
        </w:rPr>
        <w:t> </w:t>
      </w:r>
      <w:r>
        <w:rPr>
          <w:spacing w:val="-65"/>
        </w:rPr>
      </w:r>
      <w:r>
        <w:rPr/>
        <w:t>公司的经营风险。</w:t>
      </w:r>
    </w:p>
    <w:p>
      <w:pPr>
        <w:pStyle w:val="BodyText"/>
        <w:spacing w:line="300" w:lineRule="auto" w:before="19"/>
        <w:ind w:left="514" w:right="1167"/>
        <w:jc w:val="left"/>
      </w:pPr>
      <w:r>
        <w:rPr>
          <w:rFonts w:ascii="Times New Roman" w:hAnsi="Times New Roman" w:cs="Times New Roman" w:eastAsia="Times New Roman" w:hint="default"/>
        </w:rPr>
        <w:t>4</w:t>
      </w:r>
      <w:r>
        <w:rPr/>
        <w:t>、客户集中度相对较高的风险 公司</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2017</w:t>
      </w:r>
      <w:r>
        <w:rPr/>
        <w:t>年和</w:t>
      </w:r>
      <w:r>
        <w:rPr>
          <w:rFonts w:ascii="Times New Roman" w:hAnsi="Times New Roman" w:cs="Times New Roman" w:eastAsia="Times New Roman" w:hint="default"/>
        </w:rPr>
        <w:t>2018</w:t>
      </w:r>
      <w:r>
        <w:rPr/>
        <w:t>前五大客户的收入占公司当年营业收入的比重分别为</w:t>
      </w:r>
      <w:r>
        <w:rPr>
          <w:rFonts w:ascii="Times New Roman" w:hAnsi="Times New Roman" w:cs="Times New Roman" w:eastAsia="Times New Roman" w:hint="default"/>
        </w:rPr>
        <w:t>53.39%</w:t>
      </w:r>
      <w:r>
        <w:rPr/>
        <w:t>、</w:t>
      </w:r>
      <w:r>
        <w:rPr>
          <w:rFonts w:ascii="Times New Roman" w:hAnsi="Times New Roman" w:cs="Times New Roman" w:eastAsia="Times New Roman" w:hint="default"/>
        </w:rPr>
        <w:t>45.96%</w:t>
      </w:r>
      <w:r>
        <w:rPr/>
        <w:t>和</w:t>
      </w:r>
      <w:r>
        <w:rPr>
          <w:rFonts w:ascii="Times New Roman" w:hAnsi="Times New Roman" w:cs="Times New Roman" w:eastAsia="Times New Roman" w:hint="default"/>
        </w:rPr>
        <w:t>35.21%</w:t>
      </w:r>
      <w:r>
        <w:rPr/>
        <w:t>，客户集中</w:t>
      </w:r>
    </w:p>
    <w:p>
      <w:pPr>
        <w:pStyle w:val="BodyText"/>
        <w:spacing w:line="316" w:lineRule="auto" w:before="13"/>
        <w:ind w:right="1131"/>
        <w:jc w:val="both"/>
      </w:pPr>
      <w:r>
        <w:rPr>
          <w:spacing w:val="-2"/>
        </w:rPr>
        <w:t>度相对较高。未来如果公司不能巩固和提高综合竞争优势、持续拓展客户数量、扩大业务规模，或者公司主要客户由于所处</w:t>
      </w:r>
      <w:r>
        <w:rPr>
          <w:spacing w:val="-66"/>
        </w:rPr>
        <w:t> </w:t>
      </w:r>
      <w:r>
        <w:rPr>
          <w:spacing w:val="-66"/>
        </w:rPr>
      </w:r>
      <w:r>
        <w:rPr>
          <w:spacing w:val="-2"/>
        </w:rPr>
        <w:t>行业周期波动、自身经营不善等原因而大幅降低进行营销传播的相关预算，或者公司主要客户由于自身原因减少甚至停止与</w:t>
      </w:r>
      <w:r>
        <w:rPr>
          <w:spacing w:val="-64"/>
        </w:rPr>
        <w:t> </w:t>
      </w:r>
      <w:r>
        <w:rPr>
          <w:spacing w:val="-64"/>
        </w:rPr>
      </w:r>
      <w:r>
        <w:rPr/>
        <w:t>公司的业务合作，公司经营业绩都将受到重大不利影响。</w:t>
      </w:r>
    </w:p>
    <w:p>
      <w:pPr>
        <w:pStyle w:val="BodyText"/>
        <w:spacing w:line="300" w:lineRule="auto" w:before="19"/>
        <w:ind w:left="514" w:right="0"/>
        <w:jc w:val="left"/>
      </w:pPr>
      <w:r>
        <w:rPr>
          <w:rFonts w:ascii="Times New Roman" w:hAnsi="Times New Roman" w:cs="Times New Roman" w:eastAsia="Times New Roman" w:hint="default"/>
        </w:rPr>
        <w:t>5</w:t>
      </w:r>
      <w:r>
        <w:rPr/>
        <w:t>、人才流失的风险 </w:t>
      </w:r>
      <w:r>
        <w:rPr>
          <w:spacing w:val="-2"/>
        </w:rPr>
        <w:t>整合营销传播服务业是高度依赖专业人才的行业，人才是该行业最重要的生产要素。由于该行业为新兴行业，专业人才</w:t>
      </w:r>
    </w:p>
    <w:p>
      <w:pPr>
        <w:pStyle w:val="BodyText"/>
        <w:spacing w:line="316" w:lineRule="auto" w:before="31"/>
        <w:ind w:right="0"/>
        <w:jc w:val="left"/>
      </w:pPr>
      <w:r>
        <w:rPr>
          <w:spacing w:val="-2"/>
        </w:rPr>
        <w:t>较为紧缺，特别是中高级管理人员非常紧俏。随着公司发展规模的不断扩大，对人才的需求将进一步加大，公司管理团队及</w:t>
      </w:r>
      <w:r>
        <w:rPr>
          <w:spacing w:val="-66"/>
        </w:rPr>
        <w:t> </w:t>
      </w:r>
      <w:r>
        <w:rPr>
          <w:spacing w:val="-66"/>
        </w:rPr>
      </w:r>
      <w:r>
        <w:rPr>
          <w:spacing w:val="-4"/>
        </w:rPr>
        <w:t>员工队伍能否保持稳定是决定公司长期发展的重要因素。虽然公司拥有良好的企业文化、经营机制，但随着市场竞争的加剧，</w:t>
      </w:r>
      <w:r>
        <w:rPr>
          <w:spacing w:val="-44"/>
        </w:rPr>
        <w:t> </w:t>
      </w:r>
      <w:r>
        <w:rPr>
          <w:spacing w:val="-44"/>
        </w:rPr>
      </w:r>
      <w:r>
        <w:rPr/>
        <w:t>公司仍然可能面临人才流失、人才短缺和人才梯队不健全等风险，进而对公司持续经营带来一定影响。</w:t>
      </w:r>
    </w:p>
    <w:p>
      <w:pPr>
        <w:pStyle w:val="BodyText"/>
        <w:spacing w:line="240" w:lineRule="auto" w:before="19"/>
        <w:ind w:left="514" w:right="0"/>
        <w:jc w:val="left"/>
      </w:pPr>
      <w:r>
        <w:rPr>
          <w:rFonts w:ascii="Times New Roman" w:hAnsi="Times New Roman" w:cs="Times New Roman" w:eastAsia="Times New Roman" w:hint="default"/>
        </w:rPr>
        <w:t>6</w:t>
      </w:r>
      <w:r>
        <w:rPr/>
        <w:t>、应收账款较大的风险</w:t>
      </w:r>
    </w:p>
    <w:p>
      <w:pPr>
        <w:pStyle w:val="BodyText"/>
        <w:spacing w:line="304" w:lineRule="auto" w:before="63"/>
        <w:ind w:right="0" w:firstLine="360"/>
        <w:jc w:val="left"/>
      </w:pPr>
      <w:r>
        <w:rPr>
          <w:rFonts w:ascii="Times New Roman" w:hAnsi="Times New Roman" w:cs="Times New Roman" w:eastAsia="Times New Roman" w:hint="default"/>
          <w:spacing w:val="-2"/>
        </w:rPr>
        <w:t>2016</w:t>
      </w:r>
      <w:r>
        <w:rPr>
          <w:spacing w:val="-2"/>
        </w:rPr>
        <w:t>年末、</w:t>
      </w:r>
      <w:r>
        <w:rPr>
          <w:rFonts w:ascii="Times New Roman" w:hAnsi="Times New Roman" w:cs="Times New Roman" w:eastAsia="Times New Roman" w:hint="default"/>
          <w:spacing w:val="-2"/>
        </w:rPr>
        <w:t>2017</w:t>
      </w:r>
      <w:r>
        <w:rPr>
          <w:spacing w:val="-2"/>
        </w:rPr>
        <w:t>年末和</w:t>
      </w:r>
      <w:r>
        <w:rPr>
          <w:rFonts w:ascii="Times New Roman" w:hAnsi="Times New Roman" w:cs="Times New Roman" w:eastAsia="Times New Roman" w:hint="default"/>
          <w:spacing w:val="-2"/>
        </w:rPr>
        <w:t>2018</w:t>
      </w:r>
      <w:r>
        <w:rPr>
          <w:spacing w:val="-2"/>
        </w:rPr>
        <w:t>年末，公司应收账款账面价值分别为</w:t>
      </w:r>
      <w:r>
        <w:rPr>
          <w:rFonts w:ascii="Times New Roman" w:hAnsi="Times New Roman" w:cs="Times New Roman" w:eastAsia="Times New Roman" w:hint="default"/>
          <w:spacing w:val="-2"/>
        </w:rPr>
        <w:t>15,422.82</w:t>
      </w:r>
      <w:r>
        <w:rPr>
          <w:spacing w:val="-2"/>
        </w:rPr>
        <w:t>万元、</w:t>
      </w:r>
      <w:r>
        <w:rPr>
          <w:rFonts w:ascii="Times New Roman" w:hAnsi="Times New Roman" w:cs="Times New Roman" w:eastAsia="Times New Roman" w:hint="default"/>
          <w:spacing w:val="-2"/>
        </w:rPr>
        <w:t>25,369.47</w:t>
      </w:r>
      <w:r>
        <w:rPr>
          <w:spacing w:val="-2"/>
        </w:rPr>
        <w:t>万元和</w:t>
      </w:r>
      <w:r>
        <w:rPr>
          <w:rFonts w:ascii="Times New Roman" w:hAnsi="Times New Roman" w:cs="Times New Roman" w:eastAsia="Times New Roman" w:hint="default"/>
          <w:spacing w:val="-2"/>
        </w:rPr>
        <w:t>14,054.02</w:t>
      </w:r>
      <w:r>
        <w:rPr>
          <w:spacing w:val="-2"/>
        </w:rPr>
        <w:t>万元，占各年</w:t>
      </w:r>
      <w:r>
        <w:rPr/>
        <w:t> 末总资产的比例分别为</w:t>
      </w:r>
      <w:r>
        <w:rPr>
          <w:rFonts w:ascii="Times New Roman" w:hAnsi="Times New Roman" w:cs="Times New Roman" w:eastAsia="Times New Roman" w:hint="default"/>
        </w:rPr>
        <w:t>48.57%</w:t>
      </w:r>
      <w:r>
        <w:rPr/>
        <w:t>、</w:t>
      </w:r>
      <w:r>
        <w:rPr>
          <w:rFonts w:ascii="Times New Roman" w:hAnsi="Times New Roman" w:cs="Times New Roman" w:eastAsia="Times New Roman" w:hint="default"/>
        </w:rPr>
        <w:t>41.00%</w:t>
      </w:r>
      <w:r>
        <w:rPr/>
        <w:t>和</w:t>
      </w:r>
      <w:r>
        <w:rPr>
          <w:rFonts w:ascii="Times New Roman" w:hAnsi="Times New Roman" w:cs="Times New Roman" w:eastAsia="Times New Roman" w:hint="default"/>
        </w:rPr>
        <w:t>28.08%</w:t>
      </w:r>
      <w:r>
        <w:rPr/>
        <w:t>，占比相对较高。公司应收账款账龄较短，近三年期末，账龄在</w:t>
      </w:r>
      <w:r>
        <w:rPr>
          <w:rFonts w:ascii="Times New Roman" w:hAnsi="Times New Roman" w:cs="Times New Roman" w:eastAsia="Times New Roman" w:hint="default"/>
        </w:rPr>
        <w:t>1</w:t>
      </w:r>
      <w:r>
        <w:rPr/>
        <w:t>年以内的 应收账款占应收账款余额的比重均在</w:t>
      </w:r>
      <w:r>
        <w:rPr>
          <w:rFonts w:ascii="Times New Roman" w:hAnsi="Times New Roman" w:cs="Times New Roman" w:eastAsia="Times New Roman" w:hint="default"/>
        </w:rPr>
        <w:t>90%</w:t>
      </w:r>
      <w:r>
        <w:rPr/>
        <w:t>以上，且主要客户回款状况良好。未来，随着公司业务规模的进一步扩大，应收账 </w:t>
      </w:r>
      <w:r>
        <w:rPr>
          <w:spacing w:val="-4"/>
        </w:rPr>
        <w:t>款数额将进一步增加，如果应收账款延期收到或者发生坏账的情况，公司将面临应收账款无法按期收回甚至无法收回的风险，</w:t>
      </w:r>
      <w:r>
        <w:rPr>
          <w:spacing w:val="-44"/>
        </w:rPr>
        <w:t> </w:t>
      </w:r>
      <w:r>
        <w:rPr>
          <w:spacing w:val="-44"/>
        </w:rPr>
      </w:r>
      <w:r>
        <w:rPr/>
        <w:t>并可能进而影响公司的正常运营。</w:t>
      </w:r>
    </w:p>
    <w:p>
      <w:pPr>
        <w:pStyle w:val="BodyText"/>
        <w:spacing w:line="300" w:lineRule="auto" w:before="28"/>
        <w:ind w:left="514" w:right="0"/>
        <w:jc w:val="left"/>
      </w:pPr>
      <w:r>
        <w:rPr>
          <w:rFonts w:ascii="Times New Roman" w:hAnsi="Times New Roman" w:cs="Times New Roman" w:eastAsia="Times New Roman" w:hint="default"/>
        </w:rPr>
        <w:t>7</w:t>
      </w:r>
      <w:r>
        <w:rPr/>
        <w:t>、规模扩大带来的管理风险 </w:t>
      </w:r>
      <w:r>
        <w:rPr>
          <w:spacing w:val="-2"/>
        </w:rPr>
        <w:t>随着募集资金投资项目的实施，公司资产规模、营业收入、员工数量将会有较快的增长，规模的扩张将对公司的经营管</w:t>
      </w:r>
    </w:p>
    <w:p>
      <w:pPr>
        <w:pStyle w:val="BodyText"/>
        <w:spacing w:line="316" w:lineRule="auto" w:before="32"/>
        <w:ind w:right="1131"/>
        <w:jc w:val="both"/>
      </w:pPr>
      <w:r>
        <w:rPr>
          <w:spacing w:val="-2"/>
        </w:rPr>
        <w:t>理、项目组织、人力资源建设、资金筹措及运作能力等方面提出更高的要求。假如公司管理体制和配套措施无法给予相应的</w:t>
      </w:r>
      <w:r>
        <w:rPr>
          <w:spacing w:val="-66"/>
        </w:rPr>
        <w:t> </w:t>
      </w:r>
      <w:r>
        <w:rPr>
          <w:spacing w:val="-66"/>
        </w:rPr>
      </w:r>
      <w:r>
        <w:rPr/>
        <w:t>支持，可能会对公司的经营业绩产生不利影响。</w:t>
      </w:r>
    </w:p>
    <w:p>
      <w:pPr>
        <w:spacing w:after="0" w:line="316"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2"/>
          <w:szCs w:val="22"/>
        </w:rPr>
      </w:pPr>
    </w:p>
    <w:p>
      <w:pPr>
        <w:pStyle w:val="Heading2"/>
        <w:spacing w:line="240" w:lineRule="auto" w:before="26"/>
        <w:ind w:right="0"/>
        <w:jc w:val="left"/>
        <w:rPr>
          <w:b w:val="0"/>
          <w:bCs w:val="0"/>
        </w:rPr>
      </w:pPr>
      <w:bookmarkStart w:name="十、接待调研、沟通、采访等活动登记表" w:id="61"/>
      <w:bookmarkEnd w:id="61"/>
      <w:r>
        <w:rPr>
          <w:b w:val="0"/>
          <w:bCs w:val="0"/>
        </w:rPr>
      </w:r>
      <w:r>
        <w:rPr/>
        <w:t>十、接待调研、沟通、采访等活动登记表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接待调研、沟通、采访等活动登记表" w:id="62"/>
      <w:bookmarkEnd w:id="62"/>
      <w:r>
        <w:rPr>
          <w:b w:val="0"/>
          <w:bCs w:val="0"/>
        </w:rPr>
      </w:r>
      <w:r>
        <w:rPr>
          <w:rFonts w:ascii="Times New Roman" w:hAnsi="Times New Roman" w:cs="Times New Roman" w:eastAsia="Times New Roman" w:hint="default"/>
        </w:rPr>
        <w:t>1</w:t>
      </w:r>
      <w:r>
        <w:rPr/>
        <w:t>、报告期内接待调研、沟通、采访等活动登记表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8"/>
      </w:tblGrid>
      <w:tr>
        <w:trPr>
          <w:trHeight w:val="401" w:hRule="exact"/>
        </w:trPr>
        <w:tc>
          <w:tcPr>
            <w:tcW w:w="2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28" w:lineRule="auto" w:before="75"/>
              <w:ind w:left="23" w:right="39"/>
              <w:jc w:val="both"/>
              <w:rPr>
                <w:rFonts w:ascii="宋体" w:hAnsi="宋体" w:cs="宋体" w:eastAsia="宋体" w:hint="default"/>
                <w:sz w:val="18"/>
                <w:szCs w:val="18"/>
              </w:rPr>
            </w:pPr>
            <w:r>
              <w:rPr>
                <w:rFonts w:ascii="宋体" w:hAnsi="宋体" w:cs="宋体" w:eastAsia="宋体" w:hint="default"/>
                <w:spacing w:val="-1"/>
                <w:sz w:val="18"/>
                <w:szCs w:val="18"/>
              </w:rPr>
              <w:t>（</w:t>
            </w:r>
            <w:hyperlink r:id="rId17">
              <w:r>
                <w:rPr>
                  <w:rFonts w:ascii="Times New Roman" w:hAnsi="Times New Roman" w:cs="Times New Roman" w:eastAsia="Times New Roman" w:hint="default"/>
                  <w:spacing w:val="-1"/>
                  <w:sz w:val="18"/>
                  <w:szCs w:val="18"/>
                </w:rPr>
                <w:t>http://www.cninfo.com.cn/new/disclos</w:t>
              </w:r>
            </w:hyperlink>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Times New Roman" w:hAnsi="Times New Roman" w:cs="Times New Roman" w:eastAsia="Times New Roman" w:hint="default"/>
                <w:sz w:val="18"/>
                <w:szCs w:val="18"/>
              </w:rPr>
              <w:t>ure/stock?plate=szse&amp;orgId=990003079</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2&amp;stockCode=300612#</w:t>
            </w:r>
            <w:r>
              <w:rPr>
                <w:rFonts w:ascii="宋体" w:hAnsi="宋体" w:cs="宋体" w:eastAsia="宋体" w:hint="default"/>
                <w:sz w:val="18"/>
                <w:szCs w:val="18"/>
              </w:rPr>
              <w:t>）</w:t>
            </w:r>
          </w:p>
        </w:tc>
      </w:tr>
      <w:tr>
        <w:trPr>
          <w:trHeight w:val="1339"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both"/>
              <w:rPr>
                <w:rFonts w:ascii="宋体" w:hAnsi="宋体" w:cs="宋体" w:eastAsia="宋体" w:hint="default"/>
                <w:sz w:val="18"/>
                <w:szCs w:val="18"/>
              </w:rPr>
            </w:pPr>
            <w:r>
              <w:rPr>
                <w:rFonts w:ascii="宋体" w:hAnsi="宋体" w:cs="宋体" w:eastAsia="宋体" w:hint="default"/>
                <w:sz w:val="18"/>
                <w:szCs w:val="18"/>
              </w:rPr>
              <w:t>巨潮资讯网</w:t>
            </w:r>
          </w:p>
          <w:p>
            <w:pPr>
              <w:pStyle w:val="TableParagraph"/>
              <w:spacing w:line="328" w:lineRule="auto" w:before="75"/>
              <w:ind w:left="23" w:right="39"/>
              <w:jc w:val="both"/>
              <w:rPr>
                <w:rFonts w:ascii="宋体" w:hAnsi="宋体" w:cs="宋体" w:eastAsia="宋体" w:hint="default"/>
                <w:sz w:val="18"/>
                <w:szCs w:val="18"/>
              </w:rPr>
            </w:pPr>
            <w:r>
              <w:rPr>
                <w:rFonts w:ascii="宋体" w:hAnsi="宋体" w:cs="宋体" w:eastAsia="宋体" w:hint="default"/>
                <w:spacing w:val="-1"/>
                <w:sz w:val="18"/>
                <w:szCs w:val="18"/>
              </w:rPr>
              <w:t>（</w:t>
            </w:r>
            <w:hyperlink r:id="rId17">
              <w:r>
                <w:rPr>
                  <w:rFonts w:ascii="Times New Roman" w:hAnsi="Times New Roman" w:cs="Times New Roman" w:eastAsia="Times New Roman" w:hint="default"/>
                  <w:spacing w:val="-1"/>
                  <w:sz w:val="18"/>
                  <w:szCs w:val="18"/>
                </w:rPr>
                <w:t>http://www.cninfo.com.cn/new/disclos</w:t>
              </w:r>
            </w:hyperlink>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pacing w:val="-26"/>
                <w:sz w:val="18"/>
                <w:szCs w:val="18"/>
              </w:rPr>
            </w:r>
            <w:r>
              <w:rPr>
                <w:rFonts w:ascii="Times New Roman" w:hAnsi="Times New Roman" w:cs="Times New Roman" w:eastAsia="Times New Roman" w:hint="default"/>
                <w:sz w:val="18"/>
                <w:szCs w:val="18"/>
              </w:rPr>
              <w:t>ure/stock?plate=szse&amp;orgId=990003079</w:t>
            </w:r>
            <w:r>
              <w:rPr>
                <w:rFonts w:ascii="Times New Roman" w:hAnsi="Times New Roman" w:cs="Times New Roman" w:eastAsia="Times New Roman" w:hint="default"/>
                <w:w w:val="99"/>
                <w:sz w:val="18"/>
                <w:szCs w:val="18"/>
              </w:rPr>
              <w:t> </w:t>
            </w:r>
            <w:r>
              <w:rPr>
                <w:rFonts w:ascii="Times New Roman" w:hAnsi="Times New Roman" w:cs="Times New Roman" w:eastAsia="Times New Roman" w:hint="default"/>
                <w:sz w:val="18"/>
                <w:szCs w:val="18"/>
              </w:rPr>
              <w:t>2&amp;stockCode=300612#</w:t>
            </w:r>
            <w:r>
              <w:rPr>
                <w:rFonts w:ascii="宋体" w:hAnsi="宋体" w:cs="宋体" w:eastAsia="宋体" w:hint="default"/>
                <w:sz w:val="18"/>
                <w:szCs w:val="18"/>
              </w:rPr>
              <w:t>）</w:t>
            </w:r>
          </w:p>
        </w:tc>
      </w:tr>
    </w:tbl>
    <w:p>
      <w:pPr>
        <w:spacing w:after="0" w:line="328"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257"/>
        <w:jc w:val="center"/>
        <w:rPr>
          <w:b w:val="0"/>
          <w:bCs w:val="0"/>
        </w:rPr>
      </w:pPr>
      <w:bookmarkStart w:name="第五节 重要事项" w:id="63"/>
      <w:bookmarkEnd w:id="63"/>
      <w:r>
        <w:rPr>
          <w:b w:val="0"/>
          <w:bCs w:val="0"/>
        </w:rPr>
      </w:r>
      <w:bookmarkStart w:name="_bookmark4" w:id="64"/>
      <w:bookmarkEnd w:id="64"/>
      <w:r>
        <w:rPr>
          <w:b w:val="0"/>
          <w:bCs w:val="0"/>
        </w:rPr>
      </w:r>
      <w:r>
        <w:rPr/>
        <w:t>第五节</w:t>
      </w:r>
      <w:r>
        <w:rPr>
          <w:spacing w:val="-4"/>
        </w:rPr>
        <w:t> </w:t>
      </w:r>
      <w:r>
        <w:rPr/>
        <w:t>重要事项</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right="0"/>
        <w:jc w:val="left"/>
        <w:rPr>
          <w:b w:val="0"/>
          <w:bCs w:val="0"/>
        </w:rPr>
      </w:pPr>
      <w:bookmarkStart w:name="一、公司普通股利润分配及资本公积金转增股本情况" w:id="65"/>
      <w:bookmarkEnd w:id="65"/>
      <w:r>
        <w:rPr>
          <w:b w:val="0"/>
          <w:bCs w:val="0"/>
        </w:rPr>
      </w: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报告期内普通股利润分配政策，特别是现金分红政策的制定、执行或调整情况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13"/>
          <w:szCs w:val="13"/>
        </w:rPr>
      </w:pPr>
    </w:p>
    <w:p>
      <w:pPr>
        <w:pStyle w:val="Heading5"/>
        <w:spacing w:line="240" w:lineRule="auto"/>
        <w:ind w:right="0"/>
        <w:jc w:val="left"/>
        <w:rPr>
          <w:b w:val="0"/>
          <w:bCs w:val="0"/>
        </w:rPr>
      </w:pPr>
      <w:r>
        <w:rPr/>
        <w:t>（一）利润分配的原则</w:t>
      </w:r>
      <w:r>
        <w:rPr>
          <w:b w:val="0"/>
          <w:bCs w:val="0"/>
        </w:rPr>
      </w:r>
    </w:p>
    <w:p>
      <w:pPr>
        <w:spacing w:line="240" w:lineRule="auto" w:before="0"/>
        <w:rPr>
          <w:rFonts w:ascii="宋体" w:hAnsi="宋体" w:cs="宋体" w:eastAsia="宋体" w:hint="default"/>
          <w:b/>
          <w:bCs/>
          <w:sz w:val="15"/>
          <w:szCs w:val="15"/>
        </w:rPr>
      </w:pPr>
    </w:p>
    <w:p>
      <w:pPr>
        <w:pStyle w:val="BodyText"/>
        <w:spacing w:line="240" w:lineRule="auto"/>
        <w:ind w:left="514" w:right="0"/>
        <w:jc w:val="left"/>
      </w:pPr>
      <w:r>
        <w:rPr>
          <w:rFonts w:ascii="Times New Roman" w:hAnsi="Times New Roman" w:cs="Times New Roman" w:eastAsia="Times New Roman" w:hint="default"/>
        </w:rPr>
        <w:t>1</w:t>
      </w:r>
      <w:r>
        <w:rPr/>
        <w:t>、公司实施积极的利润分配政策，重视对投资者的合理投资回报，并保持连续性和稳定性。</w:t>
      </w:r>
    </w:p>
    <w:p>
      <w:pPr>
        <w:spacing w:line="240" w:lineRule="auto" w:before="13"/>
        <w:rPr>
          <w:rFonts w:ascii="宋体" w:hAnsi="宋体" w:cs="宋体" w:eastAsia="宋体" w:hint="default"/>
          <w:sz w:val="13"/>
          <w:szCs w:val="13"/>
        </w:rPr>
      </w:pPr>
    </w:p>
    <w:p>
      <w:pPr>
        <w:pStyle w:val="BodyText"/>
        <w:spacing w:line="240" w:lineRule="auto"/>
        <w:ind w:left="514" w:right="0"/>
        <w:jc w:val="left"/>
      </w:pPr>
      <w:r>
        <w:rPr>
          <w:rFonts w:ascii="Times New Roman" w:hAnsi="Times New Roman" w:cs="Times New Roman" w:eastAsia="Times New Roman" w:hint="default"/>
        </w:rPr>
        <w:t>2</w:t>
      </w:r>
      <w:r>
        <w:rPr/>
        <w:t>、公司可以采取现金或股票等方式分配利润，利润分配不得超过累计可分配利润的范围，不得损害公司持续经营能力。</w:t>
      </w:r>
    </w:p>
    <w:p>
      <w:pPr>
        <w:spacing w:line="240" w:lineRule="auto" w:before="13"/>
        <w:rPr>
          <w:rFonts w:ascii="宋体" w:hAnsi="宋体" w:cs="宋体" w:eastAsia="宋体" w:hint="default"/>
          <w:sz w:val="13"/>
          <w:szCs w:val="13"/>
        </w:rPr>
      </w:pPr>
    </w:p>
    <w:p>
      <w:pPr>
        <w:pStyle w:val="BodyText"/>
        <w:spacing w:line="240" w:lineRule="auto"/>
        <w:ind w:left="514" w:right="0"/>
        <w:jc w:val="left"/>
      </w:pPr>
      <w:r>
        <w:rPr>
          <w:rFonts w:ascii="Times New Roman" w:hAnsi="Times New Roman" w:cs="Times New Roman" w:eastAsia="Times New Roman" w:hint="default"/>
        </w:rPr>
        <w:t>3</w:t>
      </w:r>
      <w:r>
        <w:rPr/>
        <w:t>、公司优先采用现金分红的利润分配方式。公司具备现金分红条件的，应当采用现金分红进行利润分配。</w:t>
      </w:r>
    </w:p>
    <w:p>
      <w:pPr>
        <w:spacing w:line="240" w:lineRule="auto" w:before="13"/>
        <w:rPr>
          <w:rFonts w:ascii="宋体" w:hAnsi="宋体" w:cs="宋体" w:eastAsia="宋体" w:hint="default"/>
          <w:sz w:val="13"/>
          <w:szCs w:val="13"/>
        </w:rPr>
      </w:pPr>
    </w:p>
    <w:p>
      <w:pPr>
        <w:pStyle w:val="BodyText"/>
        <w:spacing w:line="240" w:lineRule="auto"/>
        <w:ind w:left="514" w:right="0"/>
        <w:jc w:val="left"/>
      </w:pPr>
      <w:r>
        <w:rPr>
          <w:rFonts w:ascii="Times New Roman" w:hAnsi="Times New Roman" w:cs="Times New Roman" w:eastAsia="Times New Roman" w:hint="default"/>
        </w:rPr>
        <w:t>4</w:t>
      </w:r>
      <w:r>
        <w:rPr/>
        <w:t>、公司董事会、监事会和股东大会对利润分配政策的决策和论证过程中应当充分考虑独立董事和公众投资者的意见。</w:t>
      </w:r>
    </w:p>
    <w:p>
      <w:pPr>
        <w:spacing w:line="240" w:lineRule="auto" w:before="13"/>
        <w:rPr>
          <w:rFonts w:ascii="宋体" w:hAnsi="宋体" w:cs="宋体" w:eastAsia="宋体" w:hint="default"/>
          <w:sz w:val="13"/>
          <w:szCs w:val="13"/>
        </w:rPr>
      </w:pPr>
    </w:p>
    <w:p>
      <w:pPr>
        <w:pStyle w:val="Heading5"/>
        <w:spacing w:line="240" w:lineRule="auto"/>
        <w:ind w:right="0"/>
        <w:jc w:val="left"/>
        <w:rPr>
          <w:b w:val="0"/>
          <w:bCs w:val="0"/>
        </w:rPr>
      </w:pPr>
      <w:r>
        <w:rPr/>
        <w:t>（二）利润分配具体政策</w:t>
      </w:r>
      <w:r>
        <w:rPr>
          <w:b w:val="0"/>
          <w:bCs w:val="0"/>
        </w:rPr>
      </w:r>
    </w:p>
    <w:p>
      <w:pPr>
        <w:spacing w:line="240" w:lineRule="auto" w:before="0"/>
        <w:rPr>
          <w:rFonts w:ascii="宋体" w:hAnsi="宋体" w:cs="宋体" w:eastAsia="宋体" w:hint="default"/>
          <w:b/>
          <w:bCs/>
          <w:sz w:val="15"/>
          <w:szCs w:val="15"/>
        </w:rPr>
      </w:pPr>
    </w:p>
    <w:p>
      <w:pPr>
        <w:pStyle w:val="BodyText"/>
        <w:spacing w:line="300" w:lineRule="auto"/>
        <w:ind w:right="1121" w:firstLine="361"/>
        <w:jc w:val="left"/>
      </w:pPr>
      <w:r>
        <w:rPr>
          <w:rFonts w:ascii="Times New Roman" w:hAnsi="Times New Roman" w:cs="Times New Roman" w:eastAsia="Times New Roman" w:hint="default"/>
        </w:rPr>
        <w:t>1</w:t>
      </w:r>
      <w:r>
        <w:rPr/>
        <w:t>、利润分配的形式：公司采取现金、股票或者现金与股票相结合等法律规范允许的其他形式分配利润；公司董事会可 以根据当期的盈利规模、现金流状况、发展阶段及资金需求状况，提议公司进行中期分红。</w:t>
      </w:r>
    </w:p>
    <w:p>
      <w:pPr>
        <w:pStyle w:val="BodyText"/>
        <w:spacing w:line="300" w:lineRule="auto" w:before="151"/>
        <w:ind w:right="1131" w:firstLine="361"/>
        <w:jc w:val="both"/>
      </w:pPr>
      <w:r>
        <w:rPr>
          <w:rFonts w:ascii="Times New Roman" w:hAnsi="Times New Roman" w:cs="Times New Roman" w:eastAsia="Times New Roman" w:hint="default"/>
          <w:spacing w:val="-2"/>
        </w:rPr>
        <w:t>2</w:t>
      </w:r>
      <w:r>
        <w:rPr>
          <w:spacing w:val="-2"/>
        </w:rPr>
        <w:t>、现金分红的具体条件：（</w:t>
      </w:r>
      <w:r>
        <w:rPr>
          <w:rFonts w:ascii="Times New Roman" w:hAnsi="Times New Roman" w:cs="Times New Roman" w:eastAsia="Times New Roman" w:hint="default"/>
          <w:spacing w:val="-2"/>
        </w:rPr>
        <w:t>1</w:t>
      </w:r>
      <w:r>
        <w:rPr>
          <w:spacing w:val="-2"/>
        </w:rPr>
        <w:t>）公司该年度的可供分配利润（即公司弥补亏损、提取盈余公积金后剩余的税后利润）为</w:t>
      </w:r>
      <w:r>
        <w:rPr/>
        <w:t> 正值；（</w:t>
      </w:r>
      <w:r>
        <w:rPr>
          <w:rFonts w:ascii="Times New Roman" w:hAnsi="Times New Roman" w:cs="Times New Roman" w:eastAsia="Times New Roman" w:hint="default"/>
        </w:rPr>
        <w:t>2</w:t>
      </w:r>
      <w:r>
        <w:rPr/>
        <w:t>）未来十二个月内无重大投资计划或重大现金支出等事项发生，或在考虑实施前述重大投资计划或重大现金支出</w:t>
      </w:r>
      <w:r>
        <w:rPr>
          <w:spacing w:val="-83"/>
        </w:rPr>
        <w:t> </w:t>
      </w:r>
      <w:r>
        <w:rPr>
          <w:spacing w:val="-83"/>
        </w:rPr>
      </w:r>
      <w:r>
        <w:rPr/>
        <w:t>以及该年度现金分红的前提下公司正常生产经营的资金需求仍能够得到满足。</w:t>
      </w:r>
    </w:p>
    <w:p>
      <w:pPr>
        <w:pStyle w:val="BodyText"/>
        <w:spacing w:line="240" w:lineRule="auto" w:before="152"/>
        <w:ind w:left="515" w:right="0"/>
        <w:jc w:val="left"/>
      </w:pPr>
      <w:r>
        <w:rPr/>
        <w:t>上述重大投资计划或重大现金支出指以下情形之一：</w:t>
      </w:r>
    </w:p>
    <w:p>
      <w:pPr>
        <w:spacing w:line="240" w:lineRule="auto" w:before="0"/>
        <w:rPr>
          <w:rFonts w:ascii="宋体" w:hAnsi="宋体" w:cs="宋体" w:eastAsia="宋体" w:hint="default"/>
          <w:sz w:val="15"/>
          <w:szCs w:val="15"/>
        </w:rPr>
      </w:pPr>
    </w:p>
    <w:p>
      <w:pPr>
        <w:pStyle w:val="BodyText"/>
        <w:spacing w:line="300" w:lineRule="auto"/>
        <w:ind w:right="0" w:firstLine="361"/>
        <w:jc w:val="left"/>
      </w:pPr>
      <w:r>
        <w:rPr/>
        <w:t>（</w:t>
      </w:r>
      <w:r>
        <w:rPr>
          <w:rFonts w:ascii="Times New Roman" w:hAnsi="Times New Roman" w:cs="Times New Roman" w:eastAsia="Times New Roman" w:hint="default"/>
        </w:rPr>
        <w:t>1</w:t>
      </w:r>
      <w:r>
        <w:rPr/>
        <w:t>）公司未来十二个月内拟对外投资、收购资产或购买设备累计支出达到或超过公司最近一期经审计净资产的</w:t>
      </w:r>
      <w:r>
        <w:rPr>
          <w:rFonts w:ascii="Times New Roman" w:hAnsi="Times New Roman" w:cs="Times New Roman" w:eastAsia="Times New Roman" w:hint="default"/>
        </w:rPr>
        <w:t>50%</w:t>
      </w:r>
      <w:r>
        <w:rPr/>
        <w:t>， 且绝对金额超过</w:t>
      </w:r>
      <w:r>
        <w:rPr>
          <w:rFonts w:ascii="Times New Roman" w:hAnsi="Times New Roman" w:cs="Times New Roman" w:eastAsia="Times New Roman" w:hint="default"/>
        </w:rPr>
        <w:t>3,000</w:t>
      </w:r>
      <w:r>
        <w:rPr/>
        <w:t>万元；</w:t>
      </w:r>
    </w:p>
    <w:p>
      <w:pPr>
        <w:pStyle w:val="BodyText"/>
        <w:spacing w:line="240" w:lineRule="auto" w:before="133"/>
        <w:ind w:left="515" w:right="0"/>
        <w:jc w:val="left"/>
      </w:pPr>
      <w:r>
        <w:rPr/>
        <w:t>（</w:t>
      </w:r>
      <w:r>
        <w:rPr>
          <w:rFonts w:ascii="Times New Roman" w:hAnsi="Times New Roman" w:cs="Times New Roman" w:eastAsia="Times New Roman" w:hint="default"/>
        </w:rPr>
        <w:t>2</w:t>
      </w:r>
      <w:r>
        <w:rPr/>
        <w:t>）公司未来十二个月内拟对外投资、收购资产或购买设备累计支出达到或超过公司最近一期经审计总资产的</w:t>
      </w:r>
      <w:r>
        <w:rPr>
          <w:rFonts w:ascii="Times New Roman" w:hAnsi="Times New Roman" w:cs="Times New Roman" w:eastAsia="Times New Roman" w:hint="default"/>
        </w:rPr>
        <w:t>30%</w:t>
      </w:r>
      <w:r>
        <w:rPr/>
        <w:t>。</w:t>
      </w:r>
    </w:p>
    <w:p>
      <w:pPr>
        <w:spacing w:line="240" w:lineRule="auto" w:before="13"/>
        <w:rPr>
          <w:rFonts w:ascii="宋体" w:hAnsi="宋体" w:cs="宋体" w:eastAsia="宋体" w:hint="default"/>
          <w:sz w:val="13"/>
          <w:szCs w:val="13"/>
        </w:rPr>
      </w:pPr>
    </w:p>
    <w:p>
      <w:pPr>
        <w:pStyle w:val="BodyText"/>
        <w:spacing w:line="316" w:lineRule="auto"/>
        <w:ind w:right="0" w:firstLine="361"/>
        <w:jc w:val="left"/>
      </w:pPr>
      <w:r>
        <w:rPr>
          <w:spacing w:val="-2"/>
        </w:rPr>
        <w:t>根据公司章程关于董事会和股东大会职权的相关规定，上述重大投资计划或重大现金支出须经董事会批准，报股东大会</w:t>
      </w:r>
      <w:r>
        <w:rPr/>
        <w:t> 审议通过后方可实施。</w:t>
      </w:r>
    </w:p>
    <w:p>
      <w:pPr>
        <w:pStyle w:val="BodyText"/>
        <w:spacing w:line="432" w:lineRule="exact" w:before="3"/>
        <w:ind w:left="515" w:right="1118"/>
        <w:jc w:val="left"/>
      </w:pPr>
      <w:r>
        <w:rPr>
          <w:rFonts w:ascii="宋体" w:hAnsi="宋体" w:cs="宋体" w:eastAsia="宋体" w:hint="default"/>
          <w:b/>
          <w:bCs/>
        </w:rPr>
        <w:t>（三）现金分红的比例</w:t>
      </w:r>
      <w:r>
        <w:rPr>
          <w:rFonts w:ascii="宋体" w:hAnsi="宋体" w:cs="宋体" w:eastAsia="宋体" w:hint="default"/>
          <w:b/>
          <w:bCs/>
          <w:w w:val="99"/>
        </w:rPr>
        <w:t> </w:t>
      </w:r>
      <w:r>
        <w:rPr/>
        <w:t>在满足现金分红具体条件的前提下，公司以现金方式分配的利润不少于当年实现的可分配利润的</w:t>
      </w:r>
      <w:r>
        <w:rPr>
          <w:rFonts w:ascii="Times New Roman" w:hAnsi="Times New Roman" w:cs="Times New Roman" w:eastAsia="Times New Roman" w:hint="default"/>
        </w:rPr>
        <w:t>15%</w:t>
      </w:r>
      <w:r>
        <w:rPr/>
        <w:t>。 </w:t>
      </w:r>
      <w:r>
        <w:rPr>
          <w:spacing w:val="-2"/>
        </w:rPr>
        <w:t>公司董事会应综合考虑公司所处行业特点、发展阶段、自身经营模式、盈利水平及是否有重大资金支出安排等因素，区</w:t>
      </w:r>
    </w:p>
    <w:p>
      <w:pPr>
        <w:pStyle w:val="BodyText"/>
        <w:spacing w:line="240" w:lineRule="auto" w:before="15"/>
        <w:ind w:right="0"/>
        <w:jc w:val="left"/>
      </w:pPr>
      <w:r>
        <w:rPr/>
        <w:t>分下列情形，并按照《公司章程》规定的程序，提出差异化的现金分红政策：</w:t>
      </w:r>
    </w:p>
    <w:p>
      <w:pPr>
        <w:spacing w:line="240" w:lineRule="auto" w:before="0"/>
        <w:rPr>
          <w:rFonts w:ascii="宋体" w:hAnsi="宋体" w:cs="宋体" w:eastAsia="宋体" w:hint="default"/>
          <w:sz w:val="15"/>
          <w:szCs w:val="15"/>
        </w:rPr>
      </w:pPr>
    </w:p>
    <w:p>
      <w:pPr>
        <w:pStyle w:val="BodyText"/>
        <w:spacing w:line="300" w:lineRule="auto"/>
        <w:ind w:right="1121" w:firstLine="361"/>
        <w:jc w:val="left"/>
      </w:pPr>
      <w:r>
        <w:rPr>
          <w:rFonts w:ascii="Times New Roman" w:hAnsi="Times New Roman" w:cs="Times New Roman" w:eastAsia="Times New Roman" w:hint="default"/>
        </w:rPr>
        <w:t>1</w:t>
      </w:r>
      <w:r>
        <w:rPr/>
        <w:t>、公司发展阶段属成熟期且无重大资金支出安排的，进行利润分配时，现金分红在本次利润分配中所占比例最低应达 到</w:t>
      </w:r>
      <w:r>
        <w:rPr>
          <w:rFonts w:ascii="Times New Roman" w:hAnsi="Times New Roman" w:cs="Times New Roman" w:eastAsia="Times New Roman" w:hint="default"/>
        </w:rPr>
        <w:t>80%</w:t>
      </w:r>
      <w:r>
        <w:rPr/>
        <w:t>；</w:t>
      </w:r>
    </w:p>
    <w:p>
      <w:pPr>
        <w:pStyle w:val="BodyText"/>
        <w:spacing w:line="300" w:lineRule="auto" w:before="133"/>
        <w:ind w:right="1121" w:firstLine="361"/>
        <w:jc w:val="left"/>
      </w:pPr>
      <w:r>
        <w:rPr>
          <w:rFonts w:ascii="Times New Roman" w:hAnsi="Times New Roman" w:cs="Times New Roman" w:eastAsia="Times New Roman" w:hint="default"/>
        </w:rPr>
        <w:t>2</w:t>
      </w:r>
      <w:r>
        <w:rPr/>
        <w:t>、公司发展阶段属成熟期且有重大资金支出安排的，进行利润分配时，现金分红在本次利润分配中所占比例最低应达 到</w:t>
      </w:r>
      <w:r>
        <w:rPr>
          <w:rFonts w:ascii="Times New Roman" w:hAnsi="Times New Roman" w:cs="Times New Roman" w:eastAsia="Times New Roman" w:hint="default"/>
        </w:rPr>
        <w:t>40%</w:t>
      </w:r>
      <w:r>
        <w:rPr/>
        <w:t>；</w:t>
      </w:r>
    </w:p>
    <w:p>
      <w:pPr>
        <w:pStyle w:val="BodyText"/>
        <w:spacing w:line="300" w:lineRule="auto" w:before="133"/>
        <w:ind w:right="1121" w:firstLine="361"/>
        <w:jc w:val="left"/>
      </w:pPr>
      <w:r>
        <w:rPr>
          <w:rFonts w:ascii="Times New Roman" w:hAnsi="Times New Roman" w:cs="Times New Roman" w:eastAsia="Times New Roman" w:hint="default"/>
        </w:rPr>
        <w:t>3</w:t>
      </w:r>
      <w:r>
        <w:rPr/>
        <w:t>、公司发展阶段属成长期且有重大资金支出安排的，进行利润分配时，现金分红在本次利润分配中所占比例最低应达 到</w:t>
      </w:r>
      <w:r>
        <w:rPr>
          <w:rFonts w:ascii="Times New Roman" w:hAnsi="Times New Roman" w:cs="Times New Roman" w:eastAsia="Times New Roman" w:hint="default"/>
        </w:rPr>
        <w:t>20%</w:t>
      </w:r>
      <w:r>
        <w:rPr/>
        <w:t>；</w:t>
      </w:r>
    </w:p>
    <w:p>
      <w:pPr>
        <w:pStyle w:val="BodyText"/>
        <w:spacing w:line="240" w:lineRule="auto" w:before="133"/>
        <w:ind w:left="515" w:right="0"/>
        <w:jc w:val="left"/>
      </w:pPr>
      <w:r>
        <w:rPr/>
        <w:t>公司发展阶段不易区分但有重大资金支出安排的，可以按照前项规定处理。</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Heading5"/>
        <w:spacing w:line="240" w:lineRule="auto" w:before="44"/>
        <w:ind w:right="0"/>
        <w:jc w:val="left"/>
        <w:rPr>
          <w:b w:val="0"/>
          <w:bCs w:val="0"/>
        </w:rPr>
      </w:pPr>
      <w:r>
        <w:rPr/>
        <w:t>（四）股票股利分配条件</w:t>
      </w:r>
      <w:r>
        <w:rPr>
          <w:b w:val="0"/>
          <w:bCs w:val="0"/>
        </w:rPr>
      </w:r>
    </w:p>
    <w:p>
      <w:pPr>
        <w:spacing w:line="240" w:lineRule="auto" w:before="0"/>
        <w:rPr>
          <w:rFonts w:ascii="宋体" w:hAnsi="宋体" w:cs="宋体" w:eastAsia="宋体" w:hint="default"/>
          <w:b/>
          <w:bCs/>
          <w:sz w:val="15"/>
          <w:szCs w:val="15"/>
        </w:rPr>
      </w:pPr>
    </w:p>
    <w:p>
      <w:pPr>
        <w:pStyle w:val="BodyText"/>
        <w:spacing w:line="316" w:lineRule="auto"/>
        <w:ind w:right="0" w:firstLine="361"/>
        <w:jc w:val="left"/>
      </w:pPr>
      <w:r>
        <w:rPr>
          <w:spacing w:val="-2"/>
        </w:rPr>
        <w:t>在公司经营情况良好，并且董事会认为公司股票价格与公司股本规模不匹配、发放股票股利有利于公司全体股东整体利</w:t>
      </w:r>
      <w:r>
        <w:rPr/>
        <w:t> 益时，可以在满足上述现金股利分配之余，提出股票股利分配预案。</w:t>
      </w:r>
    </w:p>
    <w:p>
      <w:pPr>
        <w:pStyle w:val="Heading5"/>
        <w:spacing w:line="240" w:lineRule="auto" w:before="139"/>
        <w:ind w:right="0"/>
        <w:jc w:val="left"/>
        <w:rPr>
          <w:b w:val="0"/>
          <w:bCs w:val="0"/>
        </w:rPr>
      </w:pPr>
      <w:r>
        <w:rPr/>
        <w:t>（五）利润分配方案的决策程序</w:t>
      </w:r>
      <w:r>
        <w:rPr>
          <w:b w:val="0"/>
          <w:bCs w:val="0"/>
        </w:rPr>
      </w:r>
    </w:p>
    <w:p>
      <w:pPr>
        <w:spacing w:line="240" w:lineRule="auto" w:before="0"/>
        <w:rPr>
          <w:rFonts w:ascii="宋体" w:hAnsi="宋体" w:cs="宋体" w:eastAsia="宋体" w:hint="default"/>
          <w:b/>
          <w:bCs/>
          <w:sz w:val="15"/>
          <w:szCs w:val="15"/>
        </w:rPr>
      </w:pPr>
    </w:p>
    <w:p>
      <w:pPr>
        <w:pStyle w:val="BodyText"/>
        <w:spacing w:line="300" w:lineRule="auto"/>
        <w:ind w:right="1121" w:firstLine="361"/>
        <w:jc w:val="left"/>
      </w:pPr>
      <w:r>
        <w:rPr>
          <w:rFonts w:ascii="Times New Roman" w:hAnsi="Times New Roman" w:cs="Times New Roman" w:eastAsia="Times New Roman" w:hint="default"/>
        </w:rPr>
        <w:t>1</w:t>
      </w:r>
      <w:r>
        <w:rPr/>
        <w:t>、公司制定利润分配政策时，应当履行公司章程规定的决策程序。董事会应当就股东回报事宜进行专项研究论证，制 定明确、清晰的股东回报规划，并详细说明规划安排的理由等情况。</w:t>
      </w:r>
    </w:p>
    <w:p>
      <w:pPr>
        <w:pStyle w:val="BodyText"/>
        <w:spacing w:line="240" w:lineRule="auto" w:before="151"/>
        <w:ind w:left="515" w:right="0"/>
        <w:jc w:val="left"/>
      </w:pPr>
      <w:r>
        <w:rPr>
          <w:rFonts w:ascii="Times New Roman" w:hAnsi="Times New Roman" w:cs="Times New Roman" w:eastAsia="Times New Roman" w:hint="default"/>
        </w:rPr>
        <w:t>2</w:t>
      </w:r>
      <w:r>
        <w:rPr/>
        <w:t>、公司的利润分配预案由公司董事会结合《公司章程》、盈利情况、资金需求和股东回报规划等提出并拟定。</w:t>
      </w:r>
    </w:p>
    <w:p>
      <w:pPr>
        <w:spacing w:line="240" w:lineRule="auto" w:before="13"/>
        <w:rPr>
          <w:rFonts w:ascii="宋体" w:hAnsi="宋体" w:cs="宋体" w:eastAsia="宋体" w:hint="default"/>
          <w:sz w:val="13"/>
          <w:szCs w:val="13"/>
        </w:rPr>
      </w:pPr>
    </w:p>
    <w:p>
      <w:pPr>
        <w:pStyle w:val="BodyText"/>
        <w:spacing w:line="300" w:lineRule="auto"/>
        <w:ind w:right="1121" w:firstLine="361"/>
        <w:jc w:val="left"/>
      </w:pPr>
      <w:r>
        <w:rPr>
          <w:rFonts w:ascii="Times New Roman" w:hAnsi="Times New Roman" w:cs="Times New Roman" w:eastAsia="Times New Roman" w:hint="default"/>
        </w:rPr>
        <w:t>3</w:t>
      </w:r>
      <w:r>
        <w:rPr/>
        <w:t>、公司应通过多种渠道主动与股东特别是中小股东进行沟通和交流，充分听取中小股东的意见和诉求，及时答复中小 股东关心的问题。</w:t>
      </w:r>
    </w:p>
    <w:p>
      <w:pPr>
        <w:pStyle w:val="BodyText"/>
        <w:spacing w:line="309" w:lineRule="auto" w:before="151"/>
        <w:ind w:right="1131" w:firstLine="361"/>
        <w:jc w:val="both"/>
      </w:pPr>
      <w:r>
        <w:rPr>
          <w:rFonts w:ascii="Times New Roman" w:hAnsi="Times New Roman" w:cs="Times New Roman" w:eastAsia="Times New Roman" w:hint="default"/>
        </w:rPr>
        <w:t>4</w:t>
      </w:r>
      <w:r>
        <w:rPr/>
        <w:t>、公司在制定现金分红具体方案时，董事会应认真研究和论证公司现金分红的时机、条件和最低比例、调整的条件及 </w:t>
      </w:r>
      <w:r>
        <w:rPr>
          <w:spacing w:val="-2"/>
        </w:rPr>
        <w:t>其决策程序要求等事宜，且需事先书面征询全部独立董事的意见，独立董事应当发表明确意见。独立董事可以征集中小股东</w:t>
      </w:r>
      <w:r>
        <w:rPr>
          <w:spacing w:val="-66"/>
        </w:rPr>
        <w:t> </w:t>
      </w:r>
      <w:r>
        <w:rPr>
          <w:spacing w:val="-66"/>
        </w:rPr>
      </w:r>
      <w:r>
        <w:rPr/>
        <w:t>的意见，提出分红提案，并直接提交董事会审议。</w:t>
      </w:r>
    </w:p>
    <w:p>
      <w:pPr>
        <w:pStyle w:val="BodyText"/>
        <w:spacing w:line="300" w:lineRule="auto" w:before="144"/>
        <w:ind w:right="1121" w:firstLine="361"/>
        <w:jc w:val="left"/>
      </w:pPr>
      <w:r>
        <w:rPr>
          <w:rFonts w:ascii="Times New Roman" w:hAnsi="Times New Roman" w:cs="Times New Roman" w:eastAsia="Times New Roman" w:hint="default"/>
        </w:rPr>
        <w:t>5</w:t>
      </w:r>
      <w:r>
        <w:rPr/>
        <w:t>、董事会就利润分配方案形成决议后提交股东大会审议。股东大会在审议利润分配方案时，应充分听取中小股东的意 见和诉求，为股东提供网络投票的方式。</w:t>
      </w:r>
    </w:p>
    <w:p>
      <w:pPr>
        <w:pStyle w:val="BodyText"/>
        <w:spacing w:line="240" w:lineRule="auto" w:before="151"/>
        <w:ind w:left="515" w:right="0"/>
        <w:jc w:val="left"/>
      </w:pPr>
      <w:r>
        <w:rPr>
          <w:rFonts w:ascii="Times New Roman" w:hAnsi="Times New Roman" w:cs="Times New Roman" w:eastAsia="Times New Roman" w:hint="default"/>
        </w:rPr>
        <w:t>6</w:t>
      </w:r>
      <w:r>
        <w:rPr/>
        <w:t>、监事会应对董事会执行公司利润分配政策和股东回报规划的情况及决策程序进行监督。</w:t>
      </w:r>
    </w:p>
    <w:p>
      <w:pPr>
        <w:spacing w:line="240" w:lineRule="auto" w:before="13"/>
        <w:rPr>
          <w:rFonts w:ascii="宋体" w:hAnsi="宋体" w:cs="宋体" w:eastAsia="宋体" w:hint="default"/>
          <w:sz w:val="13"/>
          <w:szCs w:val="13"/>
        </w:rPr>
      </w:pPr>
    </w:p>
    <w:p>
      <w:pPr>
        <w:pStyle w:val="BodyText"/>
        <w:spacing w:line="300" w:lineRule="auto"/>
        <w:ind w:right="1121" w:firstLine="361"/>
        <w:jc w:val="left"/>
      </w:pPr>
      <w:r>
        <w:rPr>
          <w:rFonts w:ascii="Times New Roman" w:hAnsi="Times New Roman" w:cs="Times New Roman" w:eastAsia="Times New Roman" w:hint="default"/>
        </w:rPr>
        <w:t>7</w:t>
      </w:r>
      <w:r>
        <w:rPr/>
        <w:t>、公司当年盈利但未提出现金利润分配预案的，董事会应在当年的定期报告中说明未进行现金分红的原因以及未用于 现金分红的资金留存公司的用途，独立董事应对此发表独立意见。</w:t>
      </w:r>
    </w:p>
    <w:p>
      <w:pPr>
        <w:spacing w:line="240" w:lineRule="auto" w:before="2"/>
        <w:rPr>
          <w:rFonts w:ascii="宋体" w:hAnsi="宋体" w:cs="宋体" w:eastAsia="宋体" w:hint="default"/>
          <w:sz w:val="8"/>
          <w:szCs w:val="8"/>
        </w:rPr>
      </w:pPr>
    </w:p>
    <w:p>
      <w:pPr>
        <w:pStyle w:val="BodyText"/>
        <w:spacing w:line="240" w:lineRule="auto" w:before="44"/>
        <w:ind w:left="515" w:right="0"/>
        <w:jc w:val="left"/>
      </w:pPr>
      <w:r>
        <w:rPr>
          <w:rFonts w:ascii="Times New Roman" w:hAnsi="Times New Roman" w:cs="Times New Roman" w:eastAsia="Times New Roman" w:hint="default"/>
        </w:rPr>
        <w:t>8</w:t>
      </w:r>
      <w:r>
        <w:rPr/>
        <w:t>、公司股东大会对利润分配方案作出决议后，公司董事会须在股东大会召开后两个月内完成股利（或股份）的派发事</w:t>
      </w:r>
    </w:p>
    <w:p>
      <w:pPr>
        <w:pStyle w:val="BodyText"/>
        <w:spacing w:line="240" w:lineRule="auto" w:before="63"/>
        <w:ind w:right="0"/>
        <w:jc w:val="left"/>
      </w:pPr>
      <w:r>
        <w:rPr/>
        <w:t>项。</w:t>
      </w: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8"/>
          <w:szCs w:val="18"/>
        </w:rPr>
      </w:pPr>
    </w:p>
    <w:tbl>
      <w:tblPr>
        <w:tblW w:w="0" w:type="auto"/>
        <w:jc w:val="left"/>
        <w:tblInd w:w="160" w:type="dxa"/>
        <w:tblLayout w:type="fixed"/>
        <w:tblCellMar>
          <w:top w:w="0" w:type="dxa"/>
          <w:left w:w="0" w:type="dxa"/>
          <w:bottom w:w="0" w:type="dxa"/>
          <w:right w:w="0" w:type="dxa"/>
        </w:tblCellMar>
        <w:tblLook w:val="01E0"/>
      </w:tblPr>
      <w:tblGrid>
        <w:gridCol w:w="4762"/>
        <w:gridCol w:w="4796"/>
      </w:tblGrid>
      <w:tr>
        <w:trPr>
          <w:trHeight w:val="397"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现金分红政策的专项说明</w:t>
            </w:r>
          </w:p>
        </w:tc>
      </w:tr>
      <w:tr>
        <w:trPr>
          <w:trHeight w:val="407"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1" w:right="0"/>
              <w:jc w:val="left"/>
              <w:rPr>
                <w:rFonts w:ascii="宋体" w:hAnsi="宋体" w:cs="宋体" w:eastAsia="宋体" w:hint="default"/>
                <w:sz w:val="18"/>
                <w:szCs w:val="18"/>
              </w:rPr>
            </w:pPr>
            <w:r>
              <w:rPr>
                <w:rFonts w:ascii="宋体" w:hAnsi="宋体" w:cs="宋体" w:eastAsia="宋体" w:hint="default"/>
                <w:sz w:val="18"/>
                <w:szCs w:val="18"/>
              </w:rPr>
              <w:t>是否符合公司章程的规定或股东大会决议的要求：</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分红标准和比例是否明确和清晰：</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相关的决策程序和机制是否完备：</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独立董事是否履职尽责并发挥了应有的作用：</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中小股东是否有充分表达意见和诉求的机会，其合法权益是 否得到了充分保护：</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47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58"/>
              <w:jc w:val="left"/>
              <w:rPr>
                <w:rFonts w:ascii="宋体" w:hAnsi="宋体" w:cs="宋体" w:eastAsia="宋体" w:hint="default"/>
                <w:sz w:val="18"/>
                <w:szCs w:val="18"/>
              </w:rPr>
            </w:pPr>
            <w:r>
              <w:rPr>
                <w:rFonts w:ascii="宋体" w:hAnsi="宋体" w:cs="宋体" w:eastAsia="宋体" w:hint="default"/>
                <w:sz w:val="18"/>
                <w:szCs w:val="18"/>
              </w:rPr>
              <w:t>现金分红政策进行调整或变更的，条件及程序是否合规、透 明：</w:t>
            </w:r>
          </w:p>
        </w:tc>
        <w:tc>
          <w:tcPr>
            <w:tcW w:w="47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51"/>
        <w:ind w:right="0"/>
        <w:jc w:val="left"/>
      </w:pPr>
      <w:r>
        <w:rPr/>
        <w:t>公司报告期利润分配预案及资本公积金转增股本预案与公司章程和分红管理办法等的相关规定一致</w:t>
      </w:r>
    </w:p>
    <w:p>
      <w:pPr>
        <w:pStyle w:val="BodyText"/>
        <w:spacing w:line="348" w:lineRule="auto" w:before="117"/>
        <w:ind w:right="42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t>否 </w:t>
      </w:r>
      <w:r>
        <w:rPr>
          <w:rFonts w:ascii="Times New Roman" w:hAnsi="Times New Roman" w:cs="Times New Roman" w:eastAsia="Times New Roman" w:hint="default"/>
        </w:rPr>
        <w:t>□</w:t>
      </w:r>
      <w:r>
        <w:rPr>
          <w:rFonts w:ascii="Times New Roman" w:hAnsi="Times New Roman" w:cs="Times New Roman" w:eastAsia="Times New Roman" w:hint="default"/>
          <w:spacing w:val="43"/>
        </w:rPr>
        <w:t> </w:t>
      </w:r>
      <w:r>
        <w:rPr/>
        <w:t>不适用 公司报告期利润分配预案及资本公积金转增股本预案符合公司章程等的相关规定。 本年度利润分配及资本公积金转增股本情况</w:t>
      </w:r>
    </w:p>
    <w:tbl>
      <w:tblPr>
        <w:tblW w:w="0" w:type="auto"/>
        <w:jc w:val="left"/>
        <w:tblInd w:w="149" w:type="dxa"/>
        <w:tblLayout w:type="fixed"/>
        <w:tblCellMar>
          <w:top w:w="0" w:type="dxa"/>
          <w:left w:w="0" w:type="dxa"/>
          <w:bottom w:w="0" w:type="dxa"/>
          <w:right w:w="0" w:type="dxa"/>
        </w:tblCellMar>
        <w:tblLook w:val="01E0"/>
      </w:tblPr>
      <w:tblGrid>
        <w:gridCol w:w="3717"/>
        <w:gridCol w:w="5851"/>
      </w:tblGrid>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w:t>
            </w:r>
            <w:r>
              <w:rPr>
                <w:rFonts w:ascii="宋体" w:hAnsi="宋体" w:cs="宋体" w:eastAsia="宋体" w:hint="default"/>
                <w:spacing w:val="1"/>
                <w:sz w:val="18"/>
                <w:szCs w:val="18"/>
              </w:rPr>
              <w:t>数</w:t>
            </w: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7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r>
        <w:rPr/>
        <w:pict>
          <v:group style="position:absolute;margin-left:242.839996pt;margin-top:112.099983pt;width:290.95pt;height:20.8pt;mso-position-horizontal-relative:page;mso-position-vertical-relative:page;z-index:-971464" coordorigin="4857,2242" coordsize="5819,416">
            <v:group style="position:absolute;left:4868;top:2254;width:2;height:393" coordorigin="4868,2254" coordsize="2,393">
              <v:shape style="position:absolute;left:4868;top:2254;width:2;height:393" coordorigin="4868,2254" coordsize="0,393" path="m4868,2254l4868,2646e" filled="false" stroked="true" strokeweight="1.160pt" strokecolor="#ffffff">
                <v:path arrowok="t"/>
              </v:shape>
            </v:group>
            <v:group style="position:absolute;left:4880;top:2254;width:5796;height:393" coordorigin="4880,2254" coordsize="5796,393">
              <v:shape style="position:absolute;left:4880;top:2254;width:5796;height:393" coordorigin="4880,2254" coordsize="5796,393" path="m4880,2646l10675,2646,10675,2254,4880,2254,4880,2646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695"/>
        <w:gridCol w:w="5863"/>
      </w:tblGrid>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现金分红金额（元</w:t>
            </w:r>
            <w:r>
              <w:rPr>
                <w:rFonts w:ascii="宋体" w:hAnsi="宋体" w:cs="宋体" w:eastAsia="宋体" w:hint="default"/>
                <w:spacing w:val="-90"/>
                <w:sz w:val="18"/>
                <w:szCs w:val="18"/>
              </w:rPr>
              <w:t>）</w:t>
            </w:r>
            <w:r>
              <w:rPr>
                <w:rFonts w:ascii="宋体" w:hAnsi="宋体" w:cs="宋体" w:eastAsia="宋体" w:hint="default"/>
                <w:sz w:val="18"/>
                <w:szCs w:val="18"/>
              </w:rPr>
              <w:t>（含税）</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以其他方式（如回购股份）现金分红金额（元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tabs>
                <w:tab w:pos="4789" w:val="left" w:leader="none"/>
              </w:tabs>
              <w:spacing w:line="240" w:lineRule="auto" w:before="51"/>
              <w:ind w:left="-124"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39,999,113.66</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现金分红总额（含其他方式</w:t>
            </w:r>
            <w:r>
              <w:rPr>
                <w:rFonts w:ascii="宋体" w:hAnsi="宋体" w:cs="宋体" w:eastAsia="宋体" w:hint="default"/>
                <w:spacing w:val="-90"/>
                <w:sz w:val="18"/>
                <w:szCs w:val="18"/>
              </w:rPr>
              <w:t>）</w:t>
            </w:r>
            <w:r>
              <w:rPr>
                <w:rFonts w:ascii="宋体" w:hAnsi="宋体" w:cs="宋体" w:eastAsia="宋体" w:hint="default"/>
                <w:sz w:val="18"/>
                <w:szCs w:val="18"/>
              </w:rPr>
              <w:t>（元）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39,999,113.66</w:t>
            </w:r>
          </w:p>
        </w:tc>
      </w:tr>
      <w:tr>
        <w:trPr>
          <w:trHeight w:val="402"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49,286,928.21</w:t>
            </w:r>
          </w:p>
        </w:tc>
      </w:tr>
      <w:tr>
        <w:trPr>
          <w:trHeight w:val="714" w:hRule="exact"/>
        </w:trPr>
        <w:tc>
          <w:tcPr>
            <w:tcW w:w="36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71"/>
              <w:jc w:val="left"/>
              <w:rPr>
                <w:rFonts w:ascii="宋体" w:hAnsi="宋体" w:cs="宋体" w:eastAsia="宋体" w:hint="default"/>
                <w:sz w:val="18"/>
                <w:szCs w:val="18"/>
              </w:rPr>
            </w:pPr>
            <w:r>
              <w:rPr>
                <w:rFonts w:ascii="宋体" w:hAnsi="宋体" w:cs="宋体" w:eastAsia="宋体" w:hint="default"/>
                <w:sz w:val="18"/>
                <w:szCs w:val="18"/>
              </w:rPr>
              <w:t>现金分红总额（含其他方式）占利润分配总额 的比例</w:t>
            </w:r>
          </w:p>
        </w:tc>
        <w:tc>
          <w:tcPr>
            <w:tcW w:w="586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81.16%</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0"/>
              <w:jc w:val="center"/>
              <w:rPr>
                <w:rFonts w:ascii="宋体" w:hAnsi="宋体" w:cs="宋体" w:eastAsia="宋体" w:hint="default"/>
                <w:sz w:val="18"/>
                <w:szCs w:val="18"/>
              </w:rPr>
            </w:pPr>
            <w:r>
              <w:rPr>
                <w:rFonts w:ascii="宋体" w:hAnsi="宋体" w:cs="宋体" w:eastAsia="宋体" w:hint="default"/>
                <w:sz w:val="18"/>
                <w:szCs w:val="18"/>
              </w:rPr>
              <w:t>本次现金分红情况</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r>
      <w:tr>
        <w:trPr>
          <w:trHeight w:val="402" w:hRule="exact"/>
        </w:trPr>
        <w:tc>
          <w:tcPr>
            <w:tcW w:w="95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877"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利润分配或资本公积金转增预案的详细情况说明</w:t>
            </w:r>
          </w:p>
        </w:tc>
      </w:tr>
      <w:tr>
        <w:trPr>
          <w:trHeight w:val="714" w:hRule="exact"/>
        </w:trPr>
        <w:tc>
          <w:tcPr>
            <w:tcW w:w="9557"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11" w:right="83"/>
              <w:jc w:val="left"/>
              <w:rPr>
                <w:rFonts w:ascii="宋体" w:hAnsi="宋体" w:cs="宋体" w:eastAsia="宋体" w:hint="default"/>
                <w:sz w:val="18"/>
                <w:szCs w:val="18"/>
              </w:rPr>
            </w:pPr>
            <w:r>
              <w:rPr>
                <w:rFonts w:ascii="宋体" w:hAnsi="宋体" w:cs="宋体" w:eastAsia="宋体" w:hint="default"/>
                <w:sz w:val="18"/>
                <w:szCs w:val="18"/>
              </w:rPr>
              <w:t>鉴于公司未来经营发展需要，为保障公司健康可持续发展，公司</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年度拟不派发现金红利，不送红股，也不进行资本 公积金转增股本，公司的未分配利润结转以后年度分配。</w:t>
            </w:r>
          </w:p>
        </w:tc>
      </w:tr>
    </w:tbl>
    <w:p>
      <w:pPr>
        <w:pStyle w:val="BodyText"/>
        <w:spacing w:line="240" w:lineRule="auto" w:before="51"/>
        <w:ind w:right="0"/>
        <w:jc w:val="left"/>
      </w:pPr>
      <w:r>
        <w:rPr/>
        <w:t>公司近</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00" w:lineRule="auto" w:before="102"/>
        <w:ind w:right="1129" w:firstLine="360"/>
        <w:jc w:val="both"/>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2016</w:t>
      </w:r>
      <w:r>
        <w:rPr>
          <w:spacing w:val="-2"/>
        </w:rPr>
        <w:t>年度利润分配方案：</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日，公司第二届董事会第十三次会议审议通过了《关于公司</w:t>
      </w:r>
      <w:r>
        <w:rPr>
          <w:rFonts w:ascii="Times New Roman" w:hAnsi="Times New Roman" w:cs="Times New Roman" w:eastAsia="Times New Roman" w:hint="default"/>
          <w:spacing w:val="-2"/>
        </w:rPr>
        <w:t>2016</w:t>
      </w:r>
      <w:r>
        <w:rPr>
          <w:spacing w:val="-2"/>
        </w:rPr>
        <w:t>年度利润分配</w:t>
      </w:r>
      <w:r>
        <w:rPr/>
        <w:t> </w:t>
      </w:r>
      <w:r>
        <w:rPr>
          <w:spacing w:val="-3"/>
        </w:rPr>
        <w:t>预案的议案》。公司根据《公司法》和《公司章程》的相关规定，拟定</w:t>
      </w:r>
      <w:r>
        <w:rPr>
          <w:rFonts w:ascii="Times New Roman" w:hAnsi="Times New Roman" w:cs="Times New Roman" w:eastAsia="Times New Roman" w:hint="default"/>
          <w:spacing w:val="-3"/>
        </w:rPr>
        <w:t>2016</w:t>
      </w:r>
      <w:r>
        <w:rPr>
          <w:spacing w:val="-3"/>
        </w:rPr>
        <w:t>年度利润分配方案如下：以现有总股本</w:t>
      </w:r>
      <w:r>
        <w:rPr>
          <w:rFonts w:ascii="Times New Roman" w:hAnsi="Times New Roman" w:cs="Times New Roman" w:eastAsia="Times New Roman" w:hint="default"/>
          <w:spacing w:val="-3"/>
        </w:rPr>
        <w:t>72,000,000</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6"/>
        </w:rPr>
      </w:r>
      <w:r>
        <w:rPr>
          <w:spacing w:val="-1"/>
        </w:rPr>
        <w:t>股为基数，向全体股东每</w:t>
      </w:r>
      <w:r>
        <w:rPr>
          <w:rFonts w:ascii="Times New Roman" w:hAnsi="Times New Roman" w:cs="Times New Roman" w:eastAsia="Times New Roman" w:hint="default"/>
          <w:spacing w:val="-1"/>
        </w:rPr>
        <w:t>10</w:t>
      </w:r>
      <w:r>
        <w:rPr>
          <w:spacing w:val="-1"/>
        </w:rPr>
        <w:t>股派发现金股利人民币</w:t>
      </w:r>
      <w:r>
        <w:rPr>
          <w:rFonts w:ascii="Times New Roman" w:hAnsi="Times New Roman" w:cs="Times New Roman" w:eastAsia="Times New Roman" w:hint="default"/>
          <w:spacing w:val="-1"/>
        </w:rPr>
        <w:t>5.00</w:t>
      </w:r>
      <w:r>
        <w:rPr>
          <w:spacing w:val="-1"/>
        </w:rPr>
        <w:t>元</w:t>
      </w:r>
      <w:r>
        <w:rPr>
          <w:rFonts w:ascii="Times New Roman" w:hAnsi="Times New Roman" w:cs="Times New Roman" w:eastAsia="Times New Roman" w:hint="default"/>
          <w:spacing w:val="-1"/>
        </w:rPr>
        <w:t>(</w:t>
      </w:r>
      <w:r>
        <w:rPr>
          <w:spacing w:val="-1"/>
        </w:rPr>
        <w:t>含税</w:t>
      </w:r>
      <w:r>
        <w:rPr>
          <w:rFonts w:ascii="Times New Roman" w:hAnsi="Times New Roman" w:cs="Times New Roman" w:eastAsia="Times New Roman" w:hint="default"/>
          <w:spacing w:val="-1"/>
        </w:rPr>
        <w:t>)</w:t>
      </w:r>
      <w:r>
        <w:rPr>
          <w:spacing w:val="-1"/>
        </w:rPr>
        <w:t>，合计派发现金股利人民币</w:t>
      </w:r>
      <w:r>
        <w:rPr>
          <w:rFonts w:ascii="Times New Roman" w:hAnsi="Times New Roman" w:cs="Times New Roman" w:eastAsia="Times New Roman" w:hint="default"/>
          <w:spacing w:val="-1"/>
        </w:rPr>
        <w:t>36,000,000</w:t>
      </w:r>
      <w:r>
        <w:rPr>
          <w:spacing w:val="-1"/>
        </w:rPr>
        <w:t>元</w:t>
      </w:r>
      <w:r>
        <w:rPr>
          <w:rFonts w:ascii="Times New Roman" w:hAnsi="Times New Roman" w:cs="Times New Roman" w:eastAsia="Times New Roman" w:hint="default"/>
          <w:spacing w:val="-1"/>
        </w:rPr>
        <w:t>(</w:t>
      </w:r>
      <w:r>
        <w:rPr>
          <w:spacing w:val="-1"/>
        </w:rPr>
        <w:t>含税</w:t>
      </w:r>
      <w:r>
        <w:rPr>
          <w:rFonts w:ascii="Times New Roman" w:hAnsi="Times New Roman" w:cs="Times New Roman" w:eastAsia="Times New Roman" w:hint="default"/>
          <w:spacing w:val="-1"/>
        </w:rPr>
        <w:t>)</w:t>
      </w:r>
      <w:r>
        <w:rPr>
          <w:spacing w:val="-1"/>
        </w:rPr>
        <w:t>，同时向全体</w:t>
      </w:r>
      <w:r>
        <w:rPr>
          <w:spacing w:val="-37"/>
        </w:rPr>
        <w:t> </w:t>
      </w:r>
      <w:r>
        <w:rPr>
          <w:spacing w:val="-37"/>
        </w:rPr>
      </w:r>
      <w:r>
        <w:rPr/>
        <w:t>股东每</w:t>
      </w:r>
      <w:r>
        <w:rPr>
          <w:rFonts w:ascii="Times New Roman" w:hAnsi="Times New Roman" w:cs="Times New Roman" w:eastAsia="Times New Roman" w:hint="default"/>
        </w:rPr>
        <w:t>10</w:t>
      </w:r>
      <w:r>
        <w:rPr/>
        <w:t>股送红股</w:t>
      </w:r>
      <w:r>
        <w:rPr>
          <w:rFonts w:ascii="Times New Roman" w:hAnsi="Times New Roman" w:cs="Times New Roman" w:eastAsia="Times New Roman" w:hint="default"/>
        </w:rPr>
        <w:t>5</w:t>
      </w:r>
      <w:r>
        <w:rPr/>
        <w:t>股，不以资本公积转增股本。分配完成后公司股本总额增至</w:t>
      </w:r>
      <w:r>
        <w:rPr>
          <w:rFonts w:ascii="Times New Roman" w:hAnsi="Times New Roman" w:cs="Times New Roman" w:eastAsia="Times New Roman" w:hint="default"/>
        </w:rPr>
        <w:t>108,000,000</w:t>
      </w:r>
      <w:r>
        <w:rPr/>
        <w:t>股。</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11</w:t>
      </w:r>
      <w:r>
        <w:rPr/>
        <w:t>日，公司</w:t>
      </w:r>
      <w:r>
        <w:rPr>
          <w:rFonts w:ascii="Times New Roman" w:hAnsi="Times New Roman" w:cs="Times New Roman" w:eastAsia="Times New Roman" w:hint="default"/>
        </w:rPr>
        <w:t>2016</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37"/>
        </w:rPr>
      </w:r>
      <w:r>
        <w:rPr/>
        <w:t>年年度股东大会审议通过了《关于公司</w:t>
      </w:r>
      <w:r>
        <w:rPr>
          <w:rFonts w:ascii="Times New Roman" w:hAnsi="Times New Roman" w:cs="Times New Roman" w:eastAsia="Times New Roman" w:hint="default"/>
        </w:rPr>
        <w:t>2016</w:t>
      </w:r>
      <w:r>
        <w:rPr/>
        <w:t>年度利润分配预案的议案》。本次权益分派股权登记日为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22</w:t>
      </w:r>
      <w:r>
        <w:rPr/>
        <w:t>日，除权</w:t>
      </w:r>
      <w:r>
        <w:rPr>
          <w:spacing w:val="-82"/>
        </w:rPr>
        <w:t> </w:t>
      </w:r>
      <w:r>
        <w:rPr/>
        <w:t>除息日为</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23</w:t>
      </w:r>
      <w:r>
        <w:rPr/>
        <w:t>日。</w:t>
      </w:r>
    </w:p>
    <w:p>
      <w:pPr>
        <w:pStyle w:val="BodyText"/>
        <w:spacing w:line="300" w:lineRule="auto" w:before="13"/>
        <w:ind w:right="1128" w:firstLine="360"/>
        <w:jc w:val="both"/>
      </w:pP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2017</w:t>
      </w:r>
      <w:r>
        <w:rPr>
          <w:spacing w:val="-2"/>
        </w:rPr>
        <w:t>年度利润分配方案：</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19</w:t>
      </w:r>
      <w:r>
        <w:rPr>
          <w:spacing w:val="-2"/>
        </w:rPr>
        <w:t>日，公司第三届董事会第二次会议审议通过了《关于</w:t>
      </w:r>
      <w:r>
        <w:rPr>
          <w:rFonts w:ascii="Times New Roman" w:hAnsi="Times New Roman" w:cs="Times New Roman" w:eastAsia="Times New Roman" w:hint="default"/>
          <w:spacing w:val="-2"/>
        </w:rPr>
        <w:t>2017</w:t>
      </w:r>
      <w:r>
        <w:rPr>
          <w:spacing w:val="-2"/>
        </w:rPr>
        <w:t>年度利润分配及资本</w:t>
      </w:r>
      <w:r>
        <w:rPr/>
        <w:t> </w:t>
      </w:r>
      <w:r>
        <w:rPr>
          <w:spacing w:val="-2"/>
        </w:rPr>
        <w:t>公积金转增股本预案的议案》。公司根据《公司法》和《公司章程》的相关规定，拟定</w:t>
      </w:r>
      <w:r>
        <w:rPr>
          <w:rFonts w:ascii="Times New Roman" w:hAnsi="Times New Roman" w:cs="Times New Roman" w:eastAsia="Times New Roman" w:hint="default"/>
          <w:spacing w:val="-2"/>
        </w:rPr>
        <w:t>2017</w:t>
      </w:r>
      <w:r>
        <w:rPr>
          <w:spacing w:val="-2"/>
        </w:rPr>
        <w:t>年度利润分配方案如下：以公司</w:t>
      </w:r>
      <w:r>
        <w:rPr>
          <w:spacing w:val="-63"/>
        </w:rPr>
        <w:t> </w:t>
      </w:r>
      <w:r>
        <w:rPr>
          <w:spacing w:val="-63"/>
        </w:rPr>
      </w:r>
      <w:r>
        <w:rPr/>
        <w:t>总股本</w:t>
      </w:r>
      <w:r>
        <w:rPr>
          <w:rFonts w:ascii="Times New Roman" w:hAnsi="Times New Roman" w:cs="Times New Roman" w:eastAsia="Times New Roman" w:hint="default"/>
        </w:rPr>
        <w:t>108,000,000</w:t>
      </w:r>
      <w:r>
        <w:rPr/>
        <w:t>股为基数，向全体股东每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5</w:t>
      </w:r>
      <w:r>
        <w:rPr/>
        <w:t>元（含税），送红股</w:t>
      </w:r>
      <w:r>
        <w:rPr>
          <w:spacing w:val="-42"/>
        </w:rPr>
        <w:t> </w:t>
      </w:r>
      <w:r>
        <w:rPr>
          <w:rFonts w:ascii="Times New Roman" w:hAnsi="Times New Roman" w:cs="Times New Roman" w:eastAsia="Times New Roman" w:hint="default"/>
        </w:rPr>
        <w:t>0</w:t>
      </w:r>
      <w:r>
        <w:rPr>
          <w:rFonts w:ascii="Times New Roman" w:hAnsi="Times New Roman" w:cs="Times New Roman" w:eastAsia="Times New Roman" w:hint="default"/>
          <w:spacing w:val="3"/>
        </w:rPr>
        <w:t> </w:t>
      </w:r>
      <w:r>
        <w:rPr/>
        <w:t>股（含税），以资本公积金向全体股 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股，合计转增股份</w:t>
      </w:r>
      <w:r>
        <w:rPr>
          <w:rFonts w:ascii="Times New Roman" w:hAnsi="Times New Roman" w:cs="Times New Roman" w:eastAsia="Times New Roman" w:hint="default"/>
        </w:rPr>
        <w:t>54,000,000</w:t>
      </w:r>
      <w:r>
        <w:rPr/>
        <w:t>股，转增完成后公司总股本增至</w:t>
      </w:r>
      <w:r>
        <w:rPr>
          <w:rFonts w:ascii="Times New Roman" w:hAnsi="Times New Roman" w:cs="Times New Roman" w:eastAsia="Times New Roman" w:hint="default"/>
        </w:rPr>
        <w:t>162,000,000</w:t>
      </w:r>
      <w:r>
        <w:rPr/>
        <w:t>股。</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w:t>
      </w:r>
      <w:r>
        <w:rPr>
          <w:rFonts w:ascii="Times New Roman" w:hAnsi="Times New Roman" w:cs="Times New Roman" w:eastAsia="Times New Roman" w:hint="default"/>
        </w:rPr>
        <w:t>2017</w:t>
      </w:r>
      <w:r>
        <w:rPr/>
        <w:t>年年</w:t>
      </w:r>
      <w:r>
        <w:rPr>
          <w:spacing w:val="-87"/>
        </w:rPr>
        <w:t> </w:t>
      </w:r>
      <w:r>
        <w:rPr/>
        <w:t>度股东大会审议通过了《关于</w:t>
      </w:r>
      <w:r>
        <w:rPr>
          <w:rFonts w:ascii="Times New Roman" w:hAnsi="Times New Roman" w:cs="Times New Roman" w:eastAsia="Times New Roman" w:hint="default"/>
        </w:rPr>
        <w:t>2017</w:t>
      </w:r>
      <w:r>
        <w:rPr/>
        <w:t>年度利润分配及资本公积金转增股本预案的议案》。本次权益分派股权登记日为：</w:t>
      </w:r>
      <w:r>
        <w:rPr>
          <w:rFonts w:ascii="Times New Roman" w:hAnsi="Times New Roman" w:cs="Times New Roman" w:eastAsia="Times New Roman" w:hint="default"/>
        </w:rPr>
        <w:t>2018</w:t>
      </w:r>
      <w:r>
        <w:rPr>
          <w:rFonts w:ascii="Times New Roman" w:hAnsi="Times New Roman" w:cs="Times New Roman" w:eastAsia="Times New Roman" w:hint="default"/>
          <w:spacing w:val="3"/>
        </w:rPr>
        <w:t> </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30</w:t>
      </w:r>
      <w:r>
        <w:rPr/>
        <w:t>日，除权除息日为：</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w:t>
      </w:r>
    </w:p>
    <w:p>
      <w:pPr>
        <w:pStyle w:val="BodyText"/>
        <w:spacing w:line="340" w:lineRule="auto" w:before="13"/>
        <w:ind w:right="3462" w:firstLine="360"/>
        <w:jc w:val="left"/>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2018</w:t>
      </w:r>
      <w:r>
        <w:rPr/>
        <w:t>年利润分配预案：公司计划不派发现金红利，不送红股，不以公积金转增股本。 公司近三年（包括本报告期）普通股现金分红情况表</w:t>
      </w:r>
    </w:p>
    <w:p>
      <w:pPr>
        <w:pStyle w:val="BodyText"/>
        <w:spacing w:line="240" w:lineRule="auto" w:before="41"/>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7"/>
        <w:gridCol w:w="1194"/>
        <w:gridCol w:w="1196"/>
        <w:gridCol w:w="1185"/>
        <w:gridCol w:w="1208"/>
        <w:gridCol w:w="1185"/>
        <w:gridCol w:w="1207"/>
        <w:gridCol w:w="1184"/>
      </w:tblGrid>
      <w:tr>
        <w:trPr>
          <w:trHeight w:val="161" w:hRule="exact"/>
        </w:trPr>
        <w:tc>
          <w:tcPr>
            <w:tcW w:w="1187" w:type="dxa"/>
            <w:vMerge w:val="restart"/>
            <w:tcBorders>
              <w:top w:val="single" w:sz="4" w:space="0" w:color="000000"/>
              <w:left w:val="single" w:sz="4" w:space="0" w:color="000000"/>
              <w:right w:val="single" w:sz="4" w:space="0" w:color="000000"/>
            </w:tcBorders>
            <w:shd w:val="clear" w:color="auto" w:fill="D2D2D2"/>
          </w:tcPr>
          <w:p>
            <w:pPr/>
          </w:p>
        </w:tc>
        <w:tc>
          <w:tcPr>
            <w:tcW w:w="1194" w:type="dxa"/>
            <w:vMerge w:val="restart"/>
            <w:tcBorders>
              <w:top w:val="single" w:sz="4" w:space="0" w:color="000000"/>
              <w:left w:val="single" w:sz="4" w:space="0" w:color="000000"/>
              <w:right w:val="single" w:sz="4" w:space="0" w:color="000000"/>
            </w:tcBorders>
            <w:shd w:val="clear" w:color="auto" w:fill="D2D2D2"/>
          </w:tcPr>
          <w:p>
            <w:pPr/>
          </w:p>
        </w:tc>
        <w:tc>
          <w:tcPr>
            <w:tcW w:w="1196"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vMerge w:val="restart"/>
            <w:tcBorders>
              <w:top w:val="single" w:sz="4" w:space="0" w:color="000000"/>
              <w:left w:val="single" w:sz="4" w:space="0" w:color="000000"/>
              <w:right w:val="single" w:sz="4" w:space="0" w:color="000000"/>
            </w:tcBorders>
            <w:shd w:val="clear" w:color="auto" w:fill="D2D2D2"/>
          </w:tcPr>
          <w:p>
            <w:pPr/>
          </w:p>
        </w:tc>
        <w:tc>
          <w:tcPr>
            <w:tcW w:w="118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7" w:type="dxa"/>
            <w:vMerge w:val="restart"/>
            <w:tcBorders>
              <w:top w:val="single" w:sz="4" w:space="0" w:color="000000"/>
              <w:left w:val="single" w:sz="4" w:space="0" w:color="000000"/>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53"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2" w:right="40"/>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1208" w:type="dxa"/>
            <w:vMerge/>
            <w:tcBorders>
              <w:left w:val="single" w:sz="4" w:space="0" w:color="000000"/>
              <w:right w:val="single" w:sz="4" w:space="0" w:color="000000"/>
            </w:tcBorders>
            <w:shd w:val="clear" w:color="auto" w:fill="D2D2D2"/>
          </w:tcPr>
          <w:p>
            <w:pPr/>
          </w:p>
        </w:tc>
        <w:tc>
          <w:tcPr>
            <w:tcW w:w="1185"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51"/>
              <w:ind w:left="53" w:right="50"/>
              <w:jc w:val="center"/>
              <w:rPr>
                <w:rFonts w:ascii="宋体" w:hAnsi="宋体" w:cs="宋体" w:eastAsia="宋体" w:hint="default"/>
                <w:sz w:val="18"/>
                <w:szCs w:val="18"/>
              </w:rPr>
            </w:pPr>
            <w:r>
              <w:rPr>
                <w:rFonts w:ascii="宋体" w:hAnsi="宋体" w:cs="宋体" w:eastAsia="宋体" w:hint="default"/>
                <w:sz w:val="18"/>
                <w:szCs w:val="18"/>
              </w:rPr>
              <w:t>分红年度合并 报表中归属于 上市公司普通 股股东的净利 润</w:t>
            </w: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以其他方式</w:t>
            </w:r>
          </w:p>
          <w:p>
            <w:pPr>
              <w:pStyle w:val="TableParagraph"/>
              <w:spacing w:line="319" w:lineRule="auto" w:before="76"/>
              <w:ind w:left="64" w:right="51"/>
              <w:jc w:val="center"/>
              <w:rPr>
                <w:rFonts w:ascii="宋体" w:hAnsi="宋体" w:cs="宋体" w:eastAsia="宋体" w:hint="default"/>
                <w:sz w:val="18"/>
                <w:szCs w:val="18"/>
              </w:rPr>
            </w:pPr>
            <w:r>
              <w:rPr>
                <w:rFonts w:ascii="宋体" w:hAnsi="宋体" w:cs="宋体" w:eastAsia="宋体" w:hint="default"/>
                <w:sz w:val="18"/>
                <w:szCs w:val="18"/>
              </w:rPr>
              <w:t>（如回购股 份）现金分红 的金额</w:t>
            </w: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4" w:right="141"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bottom w:val="nil" w:sz="6" w:space="0" w:color="auto"/>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392" w:hRule="exact"/>
        </w:trPr>
        <w:tc>
          <w:tcPr>
            <w:tcW w:w="11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val="restart"/>
            <w:tcBorders>
              <w:top w:val="nil" w:sz="6" w:space="0" w:color="auto"/>
              <w:left w:val="single" w:sz="4" w:space="0" w:color="000000"/>
              <w:right w:val="single" w:sz="4" w:space="0" w:color="000000"/>
            </w:tcBorders>
            <w:shd w:val="clear" w:color="auto" w:fill="D2D2D2"/>
          </w:tcPr>
          <w:p>
            <w:pPr/>
          </w:p>
        </w:tc>
        <w:tc>
          <w:tcPr>
            <w:tcW w:w="1194" w:type="dxa"/>
            <w:vMerge/>
            <w:tcBorders>
              <w:left w:val="single" w:sz="4" w:space="0" w:color="000000"/>
              <w:bottom w:val="nil" w:sz="6" w:space="0" w:color="auto"/>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val="restart"/>
            <w:tcBorders>
              <w:top w:val="nil" w:sz="6" w:space="0" w:color="auto"/>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bottom w:val="nil" w:sz="6" w:space="0" w:color="auto"/>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tcBorders>
              <w:left w:val="single" w:sz="4" w:space="0" w:color="000000"/>
              <w:bottom w:val="nil" w:sz="6" w:space="0" w:color="auto"/>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56" w:hRule="exact"/>
        </w:trPr>
        <w:tc>
          <w:tcPr>
            <w:tcW w:w="1187" w:type="dxa"/>
            <w:vMerge/>
            <w:tcBorders>
              <w:left w:val="single" w:sz="4" w:space="0" w:color="000000"/>
              <w:right w:val="single" w:sz="4" w:space="0" w:color="000000"/>
            </w:tcBorders>
            <w:shd w:val="clear" w:color="auto" w:fill="D2D2D2"/>
          </w:tcPr>
          <w:p>
            <w:pPr/>
          </w:p>
        </w:tc>
        <w:tc>
          <w:tcPr>
            <w:tcW w:w="1194" w:type="dxa"/>
            <w:vMerge/>
            <w:tcBorders>
              <w:left w:val="single" w:sz="4" w:space="0" w:color="000000"/>
              <w:right w:val="single" w:sz="4" w:space="0" w:color="000000"/>
            </w:tcBorders>
            <w:shd w:val="clear" w:color="auto" w:fill="D2D2D2"/>
          </w:tcPr>
          <w:p>
            <w:pPr/>
          </w:p>
        </w:tc>
        <w:tc>
          <w:tcPr>
            <w:tcW w:w="1196" w:type="dxa"/>
            <w:vMerge w:val="restart"/>
            <w:tcBorders>
              <w:top w:val="nil" w:sz="6" w:space="0" w:color="auto"/>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right w:val="single" w:sz="4" w:space="0" w:color="000000"/>
            </w:tcBorders>
            <w:shd w:val="clear" w:color="auto" w:fill="D2D2D2"/>
          </w:tcPr>
          <w:p>
            <w:pPr/>
          </w:p>
        </w:tc>
        <w:tc>
          <w:tcPr>
            <w:tcW w:w="1185" w:type="dxa"/>
            <w:vMerge/>
            <w:tcBorders>
              <w:left w:val="single" w:sz="4" w:space="0" w:color="000000"/>
              <w:bottom w:val="nil" w:sz="6" w:space="0" w:color="auto"/>
              <w:right w:val="single" w:sz="4" w:space="0" w:color="000000"/>
            </w:tcBorders>
            <w:shd w:val="clear" w:color="auto" w:fill="D2D2D2"/>
          </w:tcPr>
          <w:p>
            <w:pPr/>
          </w:p>
        </w:tc>
        <w:tc>
          <w:tcPr>
            <w:tcW w:w="1207" w:type="dxa"/>
            <w:vMerge/>
            <w:tcBorders>
              <w:left w:val="single" w:sz="4" w:space="0" w:color="000000"/>
              <w:right w:val="single" w:sz="4" w:space="0" w:color="000000"/>
            </w:tcBorders>
            <w:shd w:val="clear" w:color="auto" w:fill="D2D2D2"/>
          </w:tcPr>
          <w:p>
            <w:pPr/>
          </w:p>
        </w:tc>
        <w:tc>
          <w:tcPr>
            <w:tcW w:w="1184" w:type="dxa"/>
            <w:vMerge/>
            <w:tcBorders>
              <w:left w:val="single" w:sz="4" w:space="0" w:color="000000"/>
              <w:right w:val="single" w:sz="4" w:space="0" w:color="000000"/>
            </w:tcBorders>
            <w:shd w:val="clear" w:color="auto" w:fill="D2D2D2"/>
          </w:tcPr>
          <w:p>
            <w:pPr/>
          </w:p>
        </w:tc>
      </w:tr>
      <w:tr>
        <w:trPr>
          <w:trHeight w:val="161" w:hRule="exact"/>
        </w:trPr>
        <w:tc>
          <w:tcPr>
            <w:tcW w:w="1187" w:type="dxa"/>
            <w:vMerge/>
            <w:tcBorders>
              <w:left w:val="single" w:sz="4" w:space="0" w:color="000000"/>
              <w:bottom w:val="single" w:sz="4" w:space="0" w:color="000000"/>
              <w:right w:val="single" w:sz="4" w:space="0" w:color="000000"/>
            </w:tcBorders>
            <w:shd w:val="clear" w:color="auto" w:fill="D2D2D2"/>
          </w:tcPr>
          <w:p>
            <w:pPr/>
          </w:p>
        </w:tc>
        <w:tc>
          <w:tcPr>
            <w:tcW w:w="1194"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vMerge/>
            <w:tcBorders>
              <w:left w:val="single" w:sz="4" w:space="0" w:color="000000"/>
              <w:bottom w:val="single" w:sz="4" w:space="0" w:color="000000"/>
              <w:right w:val="single" w:sz="4" w:space="0" w:color="000000"/>
            </w:tcBorders>
            <w:shd w:val="clear" w:color="auto" w:fill="D2D2D2"/>
          </w:tcPr>
          <w:p>
            <w:pPr/>
          </w:p>
        </w:tc>
        <w:tc>
          <w:tcPr>
            <w:tcW w:w="118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21,062,083.21</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0.00%</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39,999,113.66</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189.91%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39,999,113.66</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189.91%</w:t>
            </w: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74,956,482.53</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72.04%</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72.04%</w:t>
            </w:r>
          </w:p>
        </w:tc>
      </w:tr>
      <w:tr>
        <w:trPr>
          <w:trHeight w:val="402" w:hRule="exact"/>
        </w:trPr>
        <w:tc>
          <w:tcPr>
            <w:tcW w:w="1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58,710,099.47</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61.32%</w:t>
            </w: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61.32%</w:t>
            </w:r>
          </w:p>
        </w:tc>
      </w:tr>
    </w:tbl>
    <w:p>
      <w:pPr>
        <w:pStyle w:val="BodyText"/>
        <w:spacing w:line="240" w:lineRule="auto" w:before="51"/>
        <w:ind w:right="0"/>
        <w:jc w:val="left"/>
      </w:pPr>
      <w:r>
        <w:rPr/>
        <w:t>公司报告期内盈利且母公司可供普通股股东分配利润为正但未提出普通股现金红利分配预案</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r>
        <w:rPr/>
        <w:pict>
          <v:group style="position:absolute;margin-left:297.339996pt;margin-top:205.819977pt;width:236.45pt;height:64.4pt;mso-position-horizontal-relative:page;mso-position-vertical-relative:page;z-index:-971440" coordorigin="5947,4116" coordsize="4729,1288">
            <v:group style="position:absolute;left:5947;top:4116;width:4729;height:312" coordorigin="5947,4116" coordsize="4729,312">
              <v:shape style="position:absolute;left:5947;top:4116;width:4729;height:312" coordorigin="5947,4116" coordsize="4729,312" path="m5947,4428l10675,4428,10675,4116,5947,4116,5947,4428xe" filled="true" fillcolor="#ffffff" stroked="false">
                <v:path arrowok="t"/>
                <v:fill type="solid"/>
              </v:shape>
            </v:group>
            <v:group style="position:absolute;left:5947;top:4428;width:4729;height:352" coordorigin="5947,4428" coordsize="4729,352">
              <v:shape style="position:absolute;left:5947;top:4428;width:4729;height:352" coordorigin="5947,4428" coordsize="4729,352" path="m5947,4780l10675,4780,10675,4428,5947,4428,5947,4780xe" filled="true" fillcolor="#ffffff" stroked="false">
                <v:path arrowok="t"/>
                <v:fill type="solid"/>
              </v:shape>
            </v:group>
            <v:group style="position:absolute;left:5947;top:4780;width:4729;height:312" coordorigin="5947,4780" coordsize="4729,312">
              <v:shape style="position:absolute;left:5947;top:4780;width:4729;height:312" coordorigin="5947,4780" coordsize="4729,312" path="m5947,5092l10675,5092,10675,4780,5947,4780,5947,5092xe" filled="true" fillcolor="#ffffff" stroked="false">
                <v:path arrowok="t"/>
                <v:fill type="solid"/>
              </v:shape>
            </v:group>
            <v:group style="position:absolute;left:5947;top:5092;width:4729;height:312" coordorigin="5947,5092" coordsize="4729,312">
              <v:shape style="position:absolute;left:5947;top:5092;width:4729;height:312" coordorigin="5947,5092" coordsize="4729,312" path="m5947,5404l10675,5404,10675,5092,5947,5092,5947,5404xe" filled="true" fillcolor="#ffffff" stroked="false">
                <v:path arrowok="t"/>
                <v:fill type="solid"/>
              </v:shape>
            </v:group>
            <w10:wrap type="none"/>
          </v:group>
        </w:pict>
      </w: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97"/>
        <w:gridCol w:w="4772"/>
      </w:tblGrid>
      <w:tr>
        <w:trPr>
          <w:trHeight w:val="713" w:hRule="exact"/>
        </w:trPr>
        <w:tc>
          <w:tcPr>
            <w:tcW w:w="4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037" w:right="58" w:hanging="991"/>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25"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3875" w:hRule="exact"/>
        </w:trPr>
        <w:tc>
          <w:tcPr>
            <w:tcW w:w="4797"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13"/>
              <w:ind w:right="0"/>
              <w:jc w:val="left"/>
              <w:rPr>
                <w:rFonts w:ascii="宋体" w:hAnsi="宋体" w:cs="宋体" w:eastAsia="宋体" w:hint="default"/>
                <w:sz w:val="15"/>
                <w:szCs w:val="15"/>
              </w:rPr>
            </w:pPr>
          </w:p>
          <w:p>
            <w:pPr>
              <w:pStyle w:val="TableParagraph"/>
              <w:spacing w:line="240" w:lineRule="auto"/>
              <w:ind w:left="38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年实施了股票回购计划，截至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日，公司通过股票回购专用证券账户以集中竞价交易方</w:t>
            </w:r>
          </w:p>
          <w:p>
            <w:pPr>
              <w:pStyle w:val="TableParagraph"/>
              <w:spacing w:line="300" w:lineRule="auto" w:before="63"/>
              <w:ind w:left="22" w:right="23"/>
              <w:jc w:val="left"/>
              <w:rPr>
                <w:rFonts w:ascii="宋体" w:hAnsi="宋体" w:cs="宋体" w:eastAsia="宋体" w:hint="default"/>
                <w:sz w:val="18"/>
                <w:szCs w:val="18"/>
              </w:rPr>
            </w:pPr>
            <w:r>
              <w:rPr>
                <w:rFonts w:ascii="宋体" w:hAnsi="宋体" w:cs="宋体" w:eastAsia="宋体" w:hint="default"/>
                <w:sz w:val="18"/>
                <w:szCs w:val="18"/>
              </w:rPr>
              <w:t>式累计回购公司股份数量为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2,385,925</w:t>
            </w:r>
            <w:r>
              <w:rPr>
                <w:rFonts w:ascii="Times New Roman" w:hAnsi="Times New Roman" w:cs="Times New Roman" w:eastAsia="Times New Roman" w:hint="default"/>
                <w:spacing w:val="1"/>
                <w:sz w:val="18"/>
                <w:szCs w:val="18"/>
              </w:rPr>
              <w:t> </w:t>
            </w:r>
            <w:r>
              <w:rPr>
                <w:rFonts w:ascii="宋体" w:hAnsi="宋体" w:cs="宋体" w:eastAsia="宋体" w:hint="default"/>
                <w:spacing w:val="-5"/>
                <w:sz w:val="18"/>
                <w:szCs w:val="18"/>
              </w:rPr>
              <w:t>股，占公司目前总股本</w:t>
            </w:r>
            <w:r>
              <w:rPr>
                <w:rFonts w:ascii="宋体" w:hAnsi="宋体" w:cs="宋体" w:eastAsia="宋体" w:hint="default"/>
                <w:sz w:val="18"/>
                <w:szCs w:val="18"/>
              </w:rPr>
              <w:t> 的比例为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1.47%</w:t>
            </w:r>
            <w:r>
              <w:rPr>
                <w:rFonts w:ascii="宋体" w:hAnsi="宋体" w:cs="宋体" w:eastAsia="宋体" w:hint="default"/>
                <w:sz w:val="18"/>
                <w:szCs w:val="18"/>
              </w:rPr>
              <w:t>，最高成交价为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股，最低成交价为 </w:t>
            </w:r>
            <w:r>
              <w:rPr>
                <w:rFonts w:ascii="Times New Roman" w:hAnsi="Times New Roman" w:cs="Times New Roman" w:eastAsia="Times New Roman" w:hint="default"/>
                <w:sz w:val="18"/>
                <w:szCs w:val="18"/>
              </w:rPr>
              <w:t>15.66</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元</w:t>
            </w:r>
            <w:r>
              <w:rPr>
                <w:rFonts w:ascii="Times New Roman" w:hAnsi="Times New Roman" w:cs="Times New Roman" w:eastAsia="Times New Roman" w:hint="default"/>
                <w:spacing w:val="-8"/>
                <w:sz w:val="18"/>
                <w:szCs w:val="18"/>
              </w:rPr>
              <w:t>/</w:t>
            </w:r>
            <w:r>
              <w:rPr>
                <w:rFonts w:ascii="宋体" w:hAnsi="宋体" w:cs="宋体" w:eastAsia="宋体" w:hint="default"/>
                <w:spacing w:val="-8"/>
                <w:sz w:val="18"/>
                <w:szCs w:val="18"/>
              </w:rPr>
              <w:t>股，成交总金额为</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39,999,113.66</w:t>
            </w:r>
            <w:r>
              <w:rPr>
                <w:rFonts w:ascii="Times New Roman" w:hAnsi="Times New Roman" w:cs="Times New Roman" w:eastAsia="Times New Roman" w:hint="default"/>
                <w:spacing w:val="3"/>
                <w:sz w:val="18"/>
                <w:szCs w:val="18"/>
              </w:rPr>
              <w:t> </w:t>
            </w:r>
            <w:r>
              <w:rPr>
                <w:rFonts w:ascii="宋体" w:hAnsi="宋体" w:cs="宋体" w:eastAsia="宋体" w:hint="default"/>
                <w:spacing w:val="-20"/>
                <w:sz w:val="18"/>
                <w:szCs w:val="18"/>
              </w:rPr>
              <w:t>元（含手续费）。</w:t>
            </w:r>
            <w:r>
              <w:rPr>
                <w:rFonts w:ascii="Times New Roman" w:hAnsi="Times New Roman" w:cs="Times New Roman" w:eastAsia="Times New Roman" w:hint="default"/>
                <w:spacing w:val="-20"/>
                <w:sz w:val="18"/>
                <w:szCs w:val="18"/>
              </w:rPr>
              <w:t>2018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年度回购支付的金额已经满足《公司章程》的现金分红要求</w:t>
            </w:r>
          </w:p>
          <w:p>
            <w:pPr>
              <w:pStyle w:val="TableParagraph"/>
              <w:spacing w:line="312" w:lineRule="auto" w:before="70"/>
              <w:ind w:left="22" w:right="22" w:firstLine="36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、公司目前处于战略转型发展阶段。</w:t>
            </w:r>
            <w:r>
              <w:rPr>
                <w:rFonts w:ascii="Times New Roman" w:hAnsi="Times New Roman" w:cs="Times New Roman" w:eastAsia="Times New Roman" w:hint="default"/>
                <w:spacing w:val="-3"/>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年，公司将加</w:t>
            </w:r>
            <w:r>
              <w:rPr>
                <w:rFonts w:ascii="宋体" w:hAnsi="宋体" w:cs="宋体" w:eastAsia="宋体" w:hint="default"/>
                <w:sz w:val="18"/>
                <w:szCs w:val="18"/>
              </w:rPr>
              <w:t> 大对营销新技术的投入及或存在对外投资，对资金需求较多 为保证公司稳定的现金流及可持续发展，并谋求公司及股东 </w:t>
            </w:r>
            <w:r>
              <w:rPr>
                <w:rFonts w:ascii="宋体" w:hAnsi="宋体" w:cs="宋体" w:eastAsia="宋体" w:hint="default"/>
                <w:spacing w:val="-3"/>
                <w:sz w:val="18"/>
                <w:szCs w:val="18"/>
              </w:rPr>
              <w:t>利益最大化，除上述</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年度已实施的回购方案外，公司拟</w:t>
            </w:r>
          </w:p>
          <w:p>
            <w:pPr>
              <w:pStyle w:val="TableParagraph"/>
              <w:spacing w:line="240" w:lineRule="auto" w:before="4"/>
              <w:ind w:left="22" w:right="0"/>
              <w:jc w:val="left"/>
              <w:rPr>
                <w:rFonts w:ascii="宋体" w:hAnsi="宋体" w:cs="宋体" w:eastAsia="宋体" w:hint="default"/>
                <w:sz w:val="18"/>
                <w:szCs w:val="18"/>
              </w:rPr>
            </w:pPr>
            <w:r>
              <w:rPr>
                <w:rFonts w:ascii="宋体" w:hAnsi="宋体" w:cs="宋体" w:eastAsia="宋体" w:hint="default"/>
                <w:sz w:val="18"/>
                <w:szCs w:val="18"/>
              </w:rPr>
              <w:t>决定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年度不进行利润分配。</w:t>
            </w:r>
          </w:p>
        </w:tc>
        <w:tc>
          <w:tcPr>
            <w:tcW w:w="4772" w:type="dxa"/>
            <w:tcBorders>
              <w:top w:val="single" w:sz="4" w:space="0" w:color="000000"/>
              <w:left w:val="single" w:sz="13" w:space="0" w:color="FFFFFF"/>
              <w:bottom w:val="single" w:sz="4" w:space="0" w:color="000000"/>
              <w:right w:val="single" w:sz="4" w:space="0" w:color="000000"/>
            </w:tcBorders>
          </w:tcPr>
          <w:p>
            <w:pPr>
              <w:pStyle w:val="TableParagraph"/>
              <w:spacing w:line="309" w:lineRule="auto" w:before="52"/>
              <w:ind w:right="21" w:firstLine="360"/>
              <w:jc w:val="both"/>
              <w:rPr>
                <w:rFonts w:ascii="宋体" w:hAnsi="宋体" w:cs="宋体" w:eastAsia="宋体" w:hint="default"/>
                <w:sz w:val="18"/>
                <w:szCs w:val="18"/>
              </w:rPr>
            </w:pPr>
            <w:r>
              <w:rPr>
                <w:rFonts w:ascii="宋体" w:hAnsi="宋体" w:cs="宋体" w:eastAsia="宋体" w:hint="default"/>
                <w:sz w:val="18"/>
                <w:szCs w:val="18"/>
              </w:rPr>
              <w:t>结合公司</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pacing w:val="-3"/>
                <w:sz w:val="18"/>
                <w:szCs w:val="18"/>
              </w:rPr>
              <w:t>年的经营情况和未来经营发展需要，为满</w:t>
            </w:r>
            <w:r>
              <w:rPr>
                <w:rFonts w:ascii="宋体" w:hAnsi="宋体" w:cs="宋体" w:eastAsia="宋体" w:hint="default"/>
                <w:sz w:val="18"/>
                <w:szCs w:val="18"/>
              </w:rPr>
              <w:t> 足公司日常经营资金需求、营销新技术投入及或存在的投资 需求；从公司长远发展、以股东利益出发等方面综合考虑， 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年需做好相应的资金储备，公司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年度未分配 利润累积滚存至下一年度，为公司中长期发展战略的顺利实</w:t>
            </w:r>
          </w:p>
          <w:p>
            <w:pPr>
              <w:pStyle w:val="TableParagraph"/>
              <w:spacing w:line="196" w:lineRule="exact" w:before="24"/>
              <w:ind w:right="0"/>
              <w:jc w:val="both"/>
              <w:rPr>
                <w:rFonts w:ascii="宋体" w:hAnsi="宋体" w:cs="宋体" w:eastAsia="宋体" w:hint="default"/>
                <w:sz w:val="18"/>
                <w:szCs w:val="18"/>
              </w:rPr>
            </w:pPr>
            <w:r>
              <w:rPr>
                <w:rFonts w:ascii="宋体" w:hAnsi="宋体" w:cs="宋体" w:eastAsia="宋体" w:hint="default"/>
                <w:sz w:val="18"/>
                <w:szCs w:val="18"/>
              </w:rPr>
              <w:t>施以及健康、可持续发展提供可靠保障，谋求公司及股东利</w:t>
            </w:r>
          </w:p>
          <w:p>
            <w:pPr>
              <w:pStyle w:val="TableParagraph"/>
              <w:spacing w:line="157" w:lineRule="exact"/>
              <w:ind w:left="-14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0"/>
              <w:jc w:val="both"/>
              <w:rPr>
                <w:rFonts w:ascii="宋体" w:hAnsi="宋体" w:cs="宋体" w:eastAsia="宋体" w:hint="default"/>
                <w:sz w:val="18"/>
                <w:szCs w:val="18"/>
              </w:rPr>
            </w:pPr>
            <w:r>
              <w:rPr>
                <w:rFonts w:ascii="宋体" w:hAnsi="宋体" w:cs="宋体" w:eastAsia="宋体" w:hint="default"/>
                <w:sz w:val="18"/>
                <w:szCs w:val="18"/>
              </w:rPr>
              <w:t>益最大化。</w:t>
            </w:r>
          </w:p>
          <w:p>
            <w:pPr>
              <w:pStyle w:val="TableParagraph"/>
              <w:spacing w:line="196" w:lineRule="exact" w:before="115"/>
              <w:ind w:left="360" w:right="0"/>
              <w:jc w:val="left"/>
              <w:rPr>
                <w:rFonts w:ascii="宋体" w:hAnsi="宋体" w:cs="宋体" w:eastAsia="宋体" w:hint="default"/>
                <w:sz w:val="18"/>
                <w:szCs w:val="18"/>
              </w:rPr>
            </w:pPr>
            <w:r>
              <w:rPr>
                <w:rFonts w:ascii="宋体" w:hAnsi="宋体" w:cs="宋体" w:eastAsia="宋体" w:hint="default"/>
                <w:sz w:val="18"/>
                <w:szCs w:val="18"/>
              </w:rPr>
              <w:t>今后，公司将一如既往地重视以现金分红形式对投资者</w:t>
            </w:r>
          </w:p>
          <w:p>
            <w:pPr>
              <w:pStyle w:val="TableParagraph"/>
              <w:spacing w:line="156" w:lineRule="exact"/>
              <w:ind w:left="-148"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right="0"/>
              <w:jc w:val="both"/>
              <w:rPr>
                <w:rFonts w:ascii="宋体" w:hAnsi="宋体" w:cs="宋体" w:eastAsia="宋体" w:hint="default"/>
                <w:sz w:val="18"/>
                <w:szCs w:val="18"/>
              </w:rPr>
            </w:pPr>
            <w:r>
              <w:rPr>
                <w:rFonts w:ascii="宋体" w:hAnsi="宋体" w:cs="宋体" w:eastAsia="宋体" w:hint="default"/>
                <w:sz w:val="18"/>
                <w:szCs w:val="18"/>
              </w:rPr>
              <w:t>进行回报，严格按照相关法律法规和《公司章程》等规定，</w:t>
            </w:r>
          </w:p>
          <w:p>
            <w:pPr>
              <w:pStyle w:val="TableParagraph"/>
              <w:spacing w:line="319" w:lineRule="auto" w:before="76"/>
              <w:ind w:right="69"/>
              <w:jc w:val="both"/>
              <w:rPr>
                <w:rFonts w:ascii="宋体" w:hAnsi="宋体" w:cs="宋体" w:eastAsia="宋体" w:hint="default"/>
                <w:sz w:val="18"/>
                <w:szCs w:val="18"/>
              </w:rPr>
            </w:pPr>
            <w:r>
              <w:rPr>
                <w:rFonts w:ascii="宋体" w:hAnsi="宋体" w:cs="宋体" w:eastAsia="宋体" w:hint="default"/>
                <w:sz w:val="18"/>
                <w:szCs w:val="18"/>
              </w:rPr>
              <w:t>综合考虑与利润分配相关的各种因素，从有利于公司发展和 投资者回报的角度出发，积极履行公司的利润分配制度，与 投资者共享公司发展的成果。</w:t>
            </w:r>
          </w:p>
        </w:tc>
      </w:tr>
    </w:tbl>
    <w:p>
      <w:pPr>
        <w:spacing w:after="0" w:line="319" w:lineRule="auto"/>
        <w:jc w:val="both"/>
        <w:rPr>
          <w:rFonts w:ascii="宋体" w:hAnsi="宋体" w:cs="宋体" w:eastAsia="宋体" w:hint="default"/>
          <w:sz w:val="18"/>
          <w:szCs w:val="18"/>
        </w:rPr>
        <w:sectPr>
          <w:pgSz w:w="11910" w:h="16840"/>
          <w:pgMar w:header="877" w:footer="979" w:top="1100" w:bottom="1160" w:left="980" w:right="0"/>
        </w:sectPr>
      </w:pPr>
    </w:p>
    <w:p>
      <w:pPr>
        <w:pStyle w:val="Heading2"/>
        <w:spacing w:line="240" w:lineRule="auto" w:before="30"/>
        <w:ind w:left="140" w:right="0"/>
        <w:jc w:val="left"/>
        <w:rPr>
          <w:b w:val="0"/>
          <w:bCs w:val="0"/>
        </w:rPr>
      </w:pPr>
      <w:r>
        <w:rPr/>
        <w:pict>
          <v:group style="position:absolute;margin-left:70.5pt;margin-top:2.255627pt;width:701pt;height:.1pt;mso-position-horizontal-relative:page;mso-position-vertical-relative:paragraph;z-index:-971416" coordorigin="1410,45" coordsize="14020,2">
            <v:shape style="position:absolute;left:1410;top:45;width:14020;height:2" coordorigin="1410,45" coordsize="14020,0" path="m1410,45l15430,45e" filled="false" stroked="true" strokeweight=".72pt" strokecolor="#000000">
              <v:path arrowok="t"/>
            </v:shape>
            <w10:wrap type="none"/>
          </v:group>
        </w:pict>
      </w:r>
      <w:r>
        <w:rPr/>
        <w:pict>
          <v:group style="position:absolute;margin-left:596.799988pt;margin-top:301.839996pt;width:56.2pt;height:54.6pt;mso-position-horizontal-relative:page;mso-position-vertical-relative:page;z-index:-971392" coordorigin="11936,6037" coordsize="1124,1092">
            <v:shape style="position:absolute;left:11936;top:6037;width:1124;height:1092" coordorigin="11936,6037" coordsize="1124,1092" path="m11936,7129l13059,7129,13059,6037,11936,6037,11936,7129xe" filled="true" fillcolor="#ffffff" stroked="false">
              <v:path arrowok="t"/>
              <v:fill type="solid"/>
            </v:shape>
            <w10:wrap type="none"/>
          </v:group>
        </w:pict>
      </w:r>
      <w:bookmarkStart w:name="二、承诺事项履行情况" w:id="66"/>
      <w:bookmarkEnd w:id="66"/>
      <w:r>
        <w:rPr>
          <w:b w:val="0"/>
          <w:bCs w:val="0"/>
        </w:rPr>
      </w:r>
      <w:r>
        <w:rPr/>
        <w:t>二、承诺事项履行情况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40" w:right="0"/>
        <w:jc w:val="left"/>
        <w:rPr>
          <w:b w:val="0"/>
          <w:bCs w:val="0"/>
        </w:rPr>
      </w:pPr>
      <w:bookmarkStart w:name="1、公司实际控制人、股东、关联方、收购人以及公司等承诺相关方在报告期内履行完毕及" w:id="67"/>
      <w:bookmarkEnd w:id="67"/>
      <w:r>
        <w:rPr>
          <w:b w:val="0"/>
          <w:bCs w:val="0"/>
        </w:rPr>
      </w:r>
      <w:r>
        <w:rPr>
          <w:rFonts w:ascii="Times New Roman" w:hAnsi="Times New Roman" w:cs="Times New Roman" w:eastAsia="Times New Roman" w:hint="default"/>
        </w:rPr>
        <w:t>1</w:t>
      </w:r>
      <w:r>
        <w:rPr/>
        <w:t>、公司实际控制人、股东、关联方、收购人以及公司等承诺相关方在报告期内履行完毕及截至报告期末尚未履行完毕的承诺事项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140"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35" w:type="dxa"/>
        <w:tblLayout w:type="fixed"/>
        <w:tblCellMar>
          <w:top w:w="0" w:type="dxa"/>
          <w:left w:w="0" w:type="dxa"/>
          <w:bottom w:w="0" w:type="dxa"/>
          <w:right w:w="0" w:type="dxa"/>
        </w:tblCellMar>
        <w:tblLook w:val="01E0"/>
      </w:tblPr>
      <w:tblGrid>
        <w:gridCol w:w="1702"/>
        <w:gridCol w:w="1134"/>
        <w:gridCol w:w="992"/>
        <w:gridCol w:w="6663"/>
        <w:gridCol w:w="1134"/>
        <w:gridCol w:w="1134"/>
        <w:gridCol w:w="1134"/>
      </w:tblGrid>
      <w:tr>
        <w:trPr>
          <w:trHeight w:val="401"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承诺来源</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91"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6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00"/>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47"/>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134"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24"/>
              <w:jc w:val="center"/>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134"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2898" w:hRule="exact"/>
        </w:trPr>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16"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30"/>
              <w:jc w:val="both"/>
              <w:rPr>
                <w:rFonts w:ascii="宋体" w:hAnsi="宋体" w:cs="宋体" w:eastAsia="宋体" w:hint="default"/>
                <w:sz w:val="18"/>
                <w:szCs w:val="18"/>
              </w:rPr>
            </w:pPr>
            <w:r>
              <w:rPr>
                <w:rFonts w:ascii="宋体" w:hAnsi="宋体" w:cs="宋体" w:eastAsia="宋体" w:hint="default"/>
                <w:spacing w:val="-2"/>
                <w:sz w:val="18"/>
                <w:szCs w:val="18"/>
              </w:rPr>
              <w:t>自公司股票上市之日起三十六个月内，不转让或者委托他人管理其直接或者间接持有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的公司公开发行股票前已发行的股份，也不由公司回购其直接或者间接持有的公司公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开发行股票前已发行的股份。在前述承诺期限届满后，在张秀兵、万丽莉担任公司董</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事、监事、高级管理人员其中一职或数职期间内，每年转让的股份不超过其所持有公</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司股份总数的百分之二十五；张秀兵、万丽莉在前述承诺期限届满之日起六个月内申</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报离职的，自申报离职之日起十八个月内不转让其持有的公司股份；张秀兵、万丽莉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在前述承诺期限届满之日起第七个月至第十二个月之内申报离职的，自申报离职之日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起十二个月内不转让其持有的公司股份；张秀兵、万丽莉在前述承诺期限届满之日起</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第十二个月之后申报离职的，自申报离职之日起六个月内不转让其持有的公司股份。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199"/>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679" w:hRule="exact"/>
        </w:trPr>
        <w:tc>
          <w:tcPr>
            <w:tcW w:w="170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ind w:left="22" w:right="47"/>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134" w:type="dxa"/>
            <w:tcBorders>
              <w:top w:val="single" w:sz="4" w:space="0" w:color="000000"/>
              <w:left w:val="single" w:sz="13" w:space="0" w:color="D2D2D2"/>
              <w:bottom w:val="single" w:sz="4" w:space="0" w:color="000000"/>
              <w:right w:val="single" w:sz="4" w:space="0" w:color="000000"/>
            </w:tcBorders>
          </w:tcPr>
          <w:p>
            <w:pPr>
              <w:pStyle w:val="TableParagraph"/>
              <w:spacing w:line="316" w:lineRule="auto" w:before="52"/>
              <w:ind w:left="10" w:right="21"/>
              <w:jc w:val="left"/>
              <w:rPr>
                <w:rFonts w:ascii="宋体" w:hAnsi="宋体" w:cs="宋体" w:eastAsia="宋体" w:hint="default"/>
                <w:sz w:val="18"/>
                <w:szCs w:val="18"/>
              </w:rPr>
            </w:pPr>
            <w:r>
              <w:rPr>
                <w:rFonts w:ascii="宋体" w:hAnsi="宋体" w:cs="宋体" w:eastAsia="宋体" w:hint="default"/>
                <w:sz w:val="18"/>
                <w:szCs w:val="18"/>
              </w:rPr>
              <w:t>张秀兵、万丽 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2"/>
                <w:sz w:val="18"/>
                <w:szCs w:val="18"/>
              </w:rPr>
              <w:t>自公司股票上市之日起三十六个月内，不转让或者委托他人管理其直接或者间接持有</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的宣亚投资的股权，也不由宣亚投资回购其直接或者间接持有的宣亚投资的股权。</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62" w:hRule="exact"/>
        </w:trPr>
        <w:tc>
          <w:tcPr>
            <w:tcW w:w="1702" w:type="dxa"/>
            <w:vMerge w:val="restart"/>
            <w:tcBorders>
              <w:top w:val="nil" w:sz="6" w:space="0" w:color="auto"/>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8"/>
              <w:ind w:left="22" w:right="21"/>
              <w:jc w:val="both"/>
              <w:rPr>
                <w:rFonts w:ascii="宋体" w:hAnsi="宋体" w:cs="宋体" w:eastAsia="宋体" w:hint="default"/>
                <w:sz w:val="18"/>
                <w:szCs w:val="18"/>
              </w:rPr>
            </w:pPr>
            <w:r>
              <w:rPr>
                <w:rFonts w:ascii="宋体" w:hAnsi="宋体" w:cs="宋体" w:eastAsia="宋体" w:hint="default"/>
                <w:sz w:val="18"/>
                <w:szCs w:val="18"/>
              </w:rPr>
              <w:t>橙色动力、伟 岸仲合、金凤 银凰</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8"/>
              <w:ind w:left="22" w:right="22"/>
              <w:jc w:val="both"/>
              <w:rPr>
                <w:rFonts w:ascii="宋体" w:hAnsi="宋体" w:cs="宋体" w:eastAsia="宋体" w:hint="default"/>
                <w:sz w:val="18"/>
                <w:szCs w:val="18"/>
              </w:rPr>
            </w:pPr>
            <w:r>
              <w:rPr>
                <w:rFonts w:ascii="宋体" w:hAnsi="宋体" w:cs="宋体" w:eastAsia="宋体" w:hint="default"/>
                <w:spacing w:val="-2"/>
                <w:sz w:val="18"/>
                <w:szCs w:val="18"/>
              </w:rPr>
              <w:t>自公司股票在深圳证券交易所上市之日起三十六个月内，不转让或者委托他人管理其</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直接或间接持有的公司首次公开发行股票前已发行的股份，也不由公司回购其持有的</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上述股份。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26" w:hRule="exact"/>
        </w:trPr>
        <w:tc>
          <w:tcPr>
            <w:tcW w:w="1702" w:type="dxa"/>
            <w:vMerge/>
            <w:tcBorders>
              <w:left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BBDO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亚太</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股份限售承 诺</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both"/>
              <w:rPr>
                <w:rFonts w:ascii="宋体" w:hAnsi="宋体" w:cs="宋体" w:eastAsia="宋体" w:hint="default"/>
                <w:sz w:val="18"/>
                <w:szCs w:val="18"/>
              </w:rPr>
            </w:pPr>
            <w:r>
              <w:rPr>
                <w:rFonts w:ascii="宋体" w:hAnsi="宋体" w:cs="宋体" w:eastAsia="宋体" w:hint="default"/>
                <w:spacing w:val="-2"/>
                <w:sz w:val="18"/>
                <w:szCs w:val="18"/>
              </w:rPr>
              <w:t>自公司股票在深圳证券交易所上市之日起十二个月内，不转让或者委托他人管理其直</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接或间接持有的公司首次公开发行股票前已发行的股份，也不由公司回购其持有的上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述股份。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right="199"/>
              <w:jc w:val="right"/>
              <w:rPr>
                <w:rFonts w:ascii="宋体" w:hAnsi="宋体" w:cs="宋体" w:eastAsia="宋体" w:hint="default"/>
                <w:sz w:val="18"/>
                <w:szCs w:val="18"/>
              </w:rPr>
            </w:pPr>
            <w:r>
              <w:rPr>
                <w:rFonts w:ascii="宋体" w:hAnsi="宋体" w:cs="宋体" w:eastAsia="宋体" w:hint="default"/>
                <w:sz w:val="18"/>
                <w:szCs w:val="18"/>
              </w:rPr>
              <w:t>履行已完成</w:t>
            </w:r>
          </w:p>
        </w:tc>
      </w:tr>
      <w:tr>
        <w:trPr>
          <w:trHeight w:val="715"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5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、本方拟长期持有公司股份，并严格遵守关于股份锁定期的承诺；</w:t>
            </w:r>
          </w:p>
          <w:p>
            <w:pPr>
              <w:pStyle w:val="TableParagraph"/>
              <w:spacing w:line="240" w:lineRule="auto" w:before="10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、如果在锁定期满后，本方拟减持公司股份的，将认真遵守中国证监会、证券交易</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right"/>
        <w:rPr>
          <w:rFonts w:ascii="宋体" w:hAnsi="宋体" w:cs="宋体" w:eastAsia="宋体" w:hint="default"/>
          <w:sz w:val="18"/>
          <w:szCs w:val="18"/>
        </w:rPr>
        <w:sectPr>
          <w:headerReference w:type="default" r:id="rId18"/>
          <w:footerReference w:type="default" r:id="rId19"/>
          <w:pgSz w:w="16840" w:h="11910" w:orient="landscape"/>
          <w:pgMar w:header="867" w:footer="979" w:top="1060" w:bottom="1160" w:left="1300" w:right="1300"/>
          <w:pgNumType w:start="34"/>
        </w:sectPr>
      </w:pPr>
    </w:p>
    <w:p>
      <w:pPr>
        <w:spacing w:line="240" w:lineRule="auto" w:before="4"/>
        <w:rPr>
          <w:rFonts w:ascii="Times New Roman" w:hAnsi="Times New Roman" w:cs="Times New Roman" w:eastAsia="Times New Roman" w:hint="default"/>
          <w:sz w:val="3"/>
          <w:szCs w:val="3"/>
        </w:rPr>
      </w:pPr>
      <w:r>
        <w:rPr/>
        <w:pict>
          <v:shape style="position:absolute;margin-left:563.674988pt;margin-top:375.160004pt;width:89.3pt;height:54.65pt;mso-position-horizontal-relative:page;mso-position-vertical-relative:page;z-index:-97132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55"/>
                    <w:ind w:left="0" w:right="0"/>
                    <w:jc w:val="left"/>
                  </w:pPr>
                  <w:r>
                    <w:rPr/>
                    <w:t>《预案》</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1701"/>
        <w:gridCol w:w="1135"/>
        <w:gridCol w:w="992"/>
        <w:gridCol w:w="6663"/>
        <w:gridCol w:w="1134"/>
        <w:gridCol w:w="1134"/>
        <w:gridCol w:w="1134"/>
      </w:tblGrid>
      <w:tr>
        <w:trPr>
          <w:trHeight w:val="416" w:hRule="exact"/>
        </w:trPr>
        <w:tc>
          <w:tcPr>
            <w:tcW w:w="170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13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666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3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0"/>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227"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11"/>
              <w:ind w:left="22" w:right="20"/>
              <w:jc w:val="left"/>
              <w:rPr>
                <w:rFonts w:ascii="宋体" w:hAnsi="宋体" w:cs="宋体" w:eastAsia="宋体" w:hint="default"/>
                <w:sz w:val="18"/>
                <w:szCs w:val="18"/>
              </w:rPr>
            </w:pPr>
            <w:r>
              <w:rPr>
                <w:rFonts w:ascii="宋体" w:hAnsi="宋体" w:cs="宋体" w:eastAsia="宋体" w:hint="default"/>
                <w:spacing w:val="-2"/>
                <w:sz w:val="18"/>
                <w:szCs w:val="18"/>
              </w:rPr>
              <w:t>所关于股东减持的相关规定，结合公司稳定股价、开展经营、资本运作的需要，审慎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制定股份减持计划，在该部分股份锁定期满后逐步减持； </w:t>
            </w:r>
            <w:r>
              <w:rPr>
                <w:rFonts w:ascii="Times New Roman" w:hAnsi="Times New Roman" w:cs="Times New Roman" w:eastAsia="Times New Roman" w:hint="default"/>
                <w:sz w:val="18"/>
                <w:szCs w:val="18"/>
              </w:rPr>
              <w:t>3</w:t>
            </w:r>
            <w:r>
              <w:rPr>
                <w:rFonts w:ascii="宋体" w:hAnsi="宋体" w:cs="宋体" w:eastAsia="宋体" w:hint="default"/>
                <w:sz w:val="18"/>
                <w:szCs w:val="18"/>
              </w:rPr>
              <w:t>、本方减持行为将通过竞价交易、大宗交易等中国证监会、证券交易所认可的方式</w:t>
            </w:r>
          </w:p>
          <w:p>
            <w:pPr>
              <w:pStyle w:val="TableParagraph"/>
              <w:spacing w:line="218" w:lineRule="exact"/>
              <w:ind w:left="22" w:right="0"/>
              <w:jc w:val="both"/>
              <w:rPr>
                <w:rFonts w:ascii="宋体" w:hAnsi="宋体" w:cs="宋体" w:eastAsia="宋体" w:hint="default"/>
                <w:sz w:val="18"/>
                <w:szCs w:val="18"/>
              </w:rPr>
            </w:pPr>
            <w:r>
              <w:rPr>
                <w:rFonts w:ascii="宋体" w:hAnsi="宋体" w:cs="宋体" w:eastAsia="宋体" w:hint="default"/>
                <w:sz w:val="18"/>
                <w:szCs w:val="18"/>
              </w:rPr>
              <w:t>进行；</w:t>
            </w:r>
          </w:p>
          <w:p>
            <w:pPr>
              <w:pStyle w:val="TableParagraph"/>
              <w:spacing w:line="240" w:lineRule="auto" w:before="115"/>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、如在锁定期满后两年内减持的，减持价格不低于公司首次公开发行股票的发行价</w:t>
            </w:r>
          </w:p>
          <w:p>
            <w:pPr>
              <w:pStyle w:val="TableParagraph"/>
              <w:spacing w:line="309" w:lineRule="auto" w:before="63"/>
              <w:ind w:left="22" w:right="23"/>
              <w:jc w:val="both"/>
              <w:rPr>
                <w:rFonts w:ascii="宋体" w:hAnsi="宋体" w:cs="宋体" w:eastAsia="宋体" w:hint="default"/>
                <w:sz w:val="18"/>
                <w:szCs w:val="18"/>
              </w:rPr>
            </w:pPr>
            <w:r>
              <w:rPr>
                <w:rFonts w:ascii="宋体" w:hAnsi="宋体" w:cs="宋体" w:eastAsia="宋体" w:hint="default"/>
                <w:spacing w:val="-2"/>
                <w:sz w:val="18"/>
                <w:szCs w:val="18"/>
              </w:rPr>
              <w:t>（本次发行后发生权益分派、公积金转增股本、配股等情况的，发行价进行相应的除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4"/>
                <w:sz w:val="18"/>
                <w:szCs w:val="18"/>
              </w:rPr>
              <w:t>权除息处理）；如在锁定期满两年后减持的，按照市场价格减持；</w:t>
            </w: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、公司首次公开发</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行股票上市后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个月内，若公司股票连续</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个交易日的收盘价均低于发行价，或者</w:t>
            </w:r>
          </w:p>
          <w:p>
            <w:pPr>
              <w:pStyle w:val="TableParagraph"/>
              <w:spacing w:line="309" w:lineRule="auto" w:before="5"/>
              <w:ind w:left="22" w:right="22"/>
              <w:jc w:val="both"/>
              <w:rPr>
                <w:rFonts w:ascii="宋体" w:hAnsi="宋体" w:cs="宋体" w:eastAsia="宋体" w:hint="default"/>
                <w:sz w:val="18"/>
                <w:szCs w:val="18"/>
              </w:rPr>
            </w:pPr>
            <w:r>
              <w:rPr>
                <w:rFonts w:ascii="宋体" w:hAnsi="宋体" w:cs="宋体" w:eastAsia="宋体" w:hint="default"/>
                <w:sz w:val="18"/>
                <w:szCs w:val="18"/>
              </w:rPr>
              <w:t>上市后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pacing w:val="-4"/>
                <w:sz w:val="18"/>
                <w:szCs w:val="18"/>
              </w:rPr>
              <w:t>个月期末收盘价低于发行价，所持有公司股票的锁定期限自动延长</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8"/>
                <w:sz w:val="18"/>
                <w:szCs w:val="18"/>
              </w:rPr>
              <w:t> </w:t>
            </w:r>
            <w:r>
              <w:rPr>
                <w:rFonts w:ascii="宋体" w:hAnsi="宋体" w:cs="宋体" w:eastAsia="宋体" w:hint="default"/>
                <w:spacing w:val="-23"/>
                <w:sz w:val="18"/>
                <w:szCs w:val="18"/>
              </w:rPr>
              <w:t>个月（本</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次发行后发生权益分派、公积金转增股本、配股等情况的，发行价进行相应的除权除</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18"/>
                <w:sz w:val="18"/>
                <w:szCs w:val="18"/>
              </w:rPr>
              <w:t>息处理）；</w:t>
            </w:r>
          </w:p>
          <w:p>
            <w:pPr>
              <w:pStyle w:val="TableParagraph"/>
              <w:spacing w:line="302" w:lineRule="auto" w:before="62"/>
              <w:ind w:left="22" w:right="58"/>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、本方在减持时，会提前将减持意向和拟减持数量等信息以书面方式通知公司，并 由公司及时予以公告，自公司公告之日起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个交易日后，方可减持公司股份。</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1729" w:hRule="exact"/>
        </w:trPr>
        <w:tc>
          <w:tcPr>
            <w:tcW w:w="1701"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2" w:lineRule="auto"/>
              <w:ind w:left="23" w:right="21"/>
              <w:jc w:val="both"/>
              <w:rPr>
                <w:rFonts w:ascii="宋体" w:hAnsi="宋体" w:cs="宋体" w:eastAsia="宋体" w:hint="default"/>
                <w:sz w:val="18"/>
                <w:szCs w:val="18"/>
              </w:rPr>
            </w:pPr>
            <w:r>
              <w:rPr>
                <w:rFonts w:ascii="宋体" w:hAnsi="宋体" w:cs="宋体" w:eastAsia="宋体" w:hint="default"/>
                <w:sz w:val="18"/>
                <w:szCs w:val="18"/>
              </w:rPr>
              <w:t>橙色动力、伟 岸仲合、金凤 银凰、</w:t>
            </w:r>
            <w:r>
              <w:rPr>
                <w:rFonts w:ascii="Times New Roman" w:hAnsi="Times New Roman" w:cs="Times New Roman" w:eastAsia="Times New Roman" w:hint="default"/>
                <w:sz w:val="18"/>
                <w:szCs w:val="18"/>
              </w:rPr>
              <w:t>BBDO</w:t>
            </w:r>
            <w:r>
              <w:rPr>
                <w:rFonts w:ascii="Times New Roman" w:hAnsi="Times New Roman" w:cs="Times New Roman" w:eastAsia="Times New Roman" w:hint="default"/>
                <w:w w:val="99"/>
                <w:sz w:val="18"/>
                <w:szCs w:val="18"/>
              </w:rPr>
              <w:t> </w:t>
            </w:r>
            <w:r>
              <w:rPr>
                <w:rFonts w:ascii="宋体" w:hAnsi="宋体" w:cs="宋体" w:eastAsia="宋体" w:hint="default"/>
                <w:sz w:val="18"/>
                <w:szCs w:val="18"/>
              </w:rPr>
              <w:t>亚太</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45"/>
              <w:ind w:left="22" w:right="59"/>
              <w:jc w:val="left"/>
              <w:rPr>
                <w:rFonts w:ascii="宋体" w:hAnsi="宋体" w:cs="宋体" w:eastAsia="宋体" w:hint="default"/>
                <w:sz w:val="18"/>
                <w:szCs w:val="18"/>
              </w:rPr>
            </w:pPr>
            <w:r>
              <w:rPr>
                <w:rFonts w:ascii="宋体" w:hAnsi="宋体" w:cs="宋体" w:eastAsia="宋体" w:hint="default"/>
                <w:sz w:val="18"/>
                <w:szCs w:val="18"/>
              </w:rPr>
              <w:t>股份减持承 诺</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、本方将严格遵守关于股份锁定期的承诺；</w:t>
            </w:r>
          </w:p>
          <w:p>
            <w:pPr>
              <w:pStyle w:val="TableParagraph"/>
              <w:spacing w:line="302" w:lineRule="auto" w:before="102"/>
              <w:ind w:left="22"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、在锁定期满后，可以根据公司经营、资本市场、自身资金需求等情况进行综合分 析，自主选择集中竞价或大宗交易的方式予以减持；</w:t>
            </w:r>
          </w:p>
          <w:p>
            <w:pPr>
              <w:pStyle w:val="TableParagraph"/>
              <w:spacing w:line="302" w:lineRule="auto" w:before="68"/>
              <w:ind w:left="22"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、本方在减持时，会提前将减持意向和拟减持数量等信息以书面方式通知公司，并 由公司及时予以公告，自公司公告之日起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个交易日后，方可减持公司股份。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900"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宣亚国际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0"/>
              <w:ind w:left="22" w:right="59"/>
              <w:jc w:val="left"/>
              <w:rPr>
                <w:rFonts w:ascii="宋体" w:hAnsi="宋体" w:cs="宋体" w:eastAsia="宋体" w:hint="default"/>
                <w:sz w:val="18"/>
                <w:szCs w:val="18"/>
              </w:rPr>
            </w:pPr>
            <w:r>
              <w:rPr>
                <w:rFonts w:ascii="宋体" w:hAnsi="宋体" w:cs="宋体" w:eastAsia="宋体" w:hint="default"/>
                <w:sz w:val="18"/>
                <w:szCs w:val="18"/>
              </w:rPr>
              <w:t>稳定股价承 诺</w:t>
            </w:r>
          </w:p>
        </w:tc>
        <w:tc>
          <w:tcPr>
            <w:tcW w:w="6663" w:type="dxa"/>
            <w:tcBorders>
              <w:top w:val="single" w:sz="4" w:space="0" w:color="000000"/>
              <w:left w:val="single" w:sz="4" w:space="0" w:color="000000"/>
              <w:bottom w:val="single" w:sz="4" w:space="0" w:color="000000"/>
              <w:right w:val="single" w:sz="9" w:space="0" w:color="FFFFFF"/>
            </w:tcBorders>
          </w:tcPr>
          <w:p>
            <w:pPr>
              <w:pStyle w:val="TableParagraph"/>
              <w:spacing w:line="309" w:lineRule="auto" w:before="52"/>
              <w:ind w:left="22" w:right="-37"/>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、公司将根据《宣亚国际品牌管理（北京）股份有限公司关于股份发行上市后稳定 </w:t>
            </w:r>
            <w:r>
              <w:rPr>
                <w:rFonts w:ascii="宋体" w:hAnsi="宋体" w:cs="宋体" w:eastAsia="宋体" w:hint="default"/>
                <w:spacing w:val="-4"/>
                <w:w w:val="99"/>
                <w:sz w:val="18"/>
                <w:szCs w:val="18"/>
              </w:rPr>
              <w:t>股价的预案》（以下简称</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《预案》</w:t>
            </w:r>
            <w:r>
              <w:rPr>
                <w:rFonts w:ascii="Times New Roman" w:hAnsi="Times New Roman" w:cs="Times New Roman" w:eastAsia="Times New Roman" w:hint="default"/>
                <w:spacing w:val="-4"/>
                <w:w w:val="99"/>
                <w:sz w:val="18"/>
                <w:szCs w:val="18"/>
              </w:rPr>
              <w:t>"</w:t>
            </w:r>
            <w:r>
              <w:rPr>
                <w:rFonts w:ascii="宋体" w:hAnsi="宋体" w:cs="宋体" w:eastAsia="宋体" w:hint="default"/>
                <w:spacing w:val="-4"/>
                <w:w w:val="99"/>
                <w:sz w:val="18"/>
                <w:szCs w:val="18"/>
              </w:rPr>
              <w:t>）以及法律、法规、公司章程的规定，在</w:t>
            </w:r>
            <w:r>
              <w:rPr>
                <w:rFonts w:ascii="宋体" w:hAnsi="宋体" w:cs="宋体" w:eastAsia="宋体" w:hint="default"/>
                <w:spacing w:val="-63"/>
                <w:w w:val="99"/>
                <w:sz w:val="18"/>
                <w:szCs w:val="18"/>
              </w:rPr>
              <w:t> </w:t>
            </w:r>
            <w:r>
              <w:rPr>
                <w:rFonts w:ascii="宋体" w:hAnsi="宋体" w:cs="宋体" w:eastAsia="宋体" w:hint="default"/>
                <w:spacing w:val="-63"/>
                <w:w w:val="99"/>
                <w:sz w:val="18"/>
                <w:szCs w:val="18"/>
              </w:rPr>
            </w:r>
            <w:r>
              <w:rPr>
                <w:rFonts w:ascii="宋体" w:hAnsi="宋体" w:cs="宋体" w:eastAsia="宋体" w:hint="default"/>
                <w:sz w:val="18"/>
                <w:szCs w:val="18"/>
              </w:rPr>
              <w:t>规定的稳定股价措施的启动条件成就之日起</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个交易日内，召开董事会讨论稳定股价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的具体方案；如董事会审议确定的稳定股价的具体方案拟要求公司回购公司股票的， </w:t>
            </w:r>
            <w:r>
              <w:rPr>
                <w:rFonts w:ascii="宋体" w:hAnsi="宋体" w:cs="宋体" w:eastAsia="宋体" w:hint="default"/>
                <w:spacing w:val="-2"/>
                <w:sz w:val="18"/>
                <w:szCs w:val="18"/>
              </w:rPr>
              <w:t>董事会应当将公司回购公司股票的议案提交股东大会审议通过后实施。公司回购公司</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股票的价格不低于公司最近一期经审计的每股净资产（最近一期审计基准日后，因除</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3"/>
                <w:sz w:val="18"/>
                <w:szCs w:val="18"/>
              </w:rPr>
              <w:t>权除息事项导致公司净资产、股份总数出现变化的，每股净资产相应进行调整）；用</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于回购股票的资金应为公司自有资金，不得以本次发行上市所募集的资金回购股票。</w:t>
            </w:r>
          </w:p>
          <w:p>
            <w:pPr>
              <w:pStyle w:val="TableParagraph"/>
              <w:spacing w:line="240" w:lineRule="auto" w:before="6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、如股东大会审议通过的稳定股价措施包括回购公司股票，则公司承诺在股东大会</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1092" w:lineRule="exact"/>
              <w:ind w:left="-7"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56.2pt;height:54.65pt;mso-position-horizontal-relative:char;mso-position-vertical-relative:line" coordorigin="0,0" coordsize="1124,1093">
                  <v:group style="position:absolute;left:0;top:0;width:1124;height:1093" coordorigin="0,0" coordsize="1124,1093">
                    <v:shape style="position:absolute;left:0;top:0;width:1124;height:1093" coordorigin="0,0" coordsize="1124,1093" path="m0,1092l1123,1092,1123,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p>
            <w:pPr>
              <w:pStyle w:val="TableParagraph"/>
              <w:spacing w:line="240" w:lineRule="auto" w:before="51"/>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1092" w:lineRule="exact"/>
              <w:ind w:left="-7"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21"/>
                <w:sz w:val="20"/>
                <w:szCs w:val="20"/>
              </w:rPr>
              <w:pict>
                <v:group style="width:56.2pt;height:54.6pt;mso-position-horizontal-relative:char;mso-position-vertical-relative:line" coordorigin="0,0" coordsize="1124,1092">
                  <v:group style="position:absolute;left:0;top:0;width:1124;height:1092" coordorigin="0,0" coordsize="1124,1092">
                    <v:shape style="position:absolute;left:0;top:0;width:1124;height:1092" coordorigin="0,0" coordsize="1124,1092" path="m0,1092l1123,1092,1123,0,0,0,0,1092xe" filled="true" fillcolor="#ffffff" stroked="false">
                      <v:path arrowok="t"/>
                      <v:fill type="solid"/>
                    </v:shape>
                  </v:group>
                </v:group>
              </w:pict>
            </w:r>
            <w:r>
              <w:rPr>
                <w:rFonts w:ascii="Times New Roman" w:hAnsi="Times New Roman" w:cs="Times New Roman" w:eastAsia="Times New Roman" w:hint="default"/>
                <w:position w:val="-21"/>
                <w:sz w:val="20"/>
                <w:szCs w:val="20"/>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3"/>
                <w:szCs w:val="23"/>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right"/>
        <w:rPr>
          <w:rFonts w:ascii="宋体" w:hAnsi="宋体" w:cs="宋体" w:eastAsia="宋体" w:hint="default"/>
          <w:sz w:val="18"/>
          <w:szCs w:val="18"/>
        </w:rPr>
        <w:sectPr>
          <w:pgSz w:w="16840" w:h="11910" w:orient="landscape"/>
          <w:pgMar w:header="867" w:footer="979" w:top="1060" w:bottom="1160" w:left="1320" w:right="1320"/>
        </w:sectPr>
      </w:pPr>
    </w:p>
    <w:p>
      <w:pPr>
        <w:spacing w:line="240" w:lineRule="auto" w:before="4"/>
        <w:rPr>
          <w:rFonts w:ascii="Times New Roman" w:hAnsi="Times New Roman" w:cs="Times New Roman" w:eastAsia="Times New Roman" w:hint="default"/>
          <w:sz w:val="3"/>
          <w:szCs w:val="3"/>
        </w:rPr>
      </w:pPr>
      <w:r>
        <w:rPr/>
        <w:pict>
          <v:shape style="position:absolute;margin-left:527.600037pt;margin-top:208.640015pt;width:125.4pt;height:103.4pt;mso-position-horizontal-relative:page;mso-position-vertical-relative:page;z-index:-971272"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pStyle w:val="BodyText"/>
                    <w:spacing w:line="240" w:lineRule="auto" w:before="161"/>
                    <w:ind w:left="0" w:right="0"/>
                    <w:jc w:val="left"/>
                  </w:pPr>
                  <w:r>
                    <w:rPr/>
                    <w:t>及其他相关法律、</w:t>
                  </w:r>
                </w:p>
              </w:txbxContent>
            </v:textbox>
            <w10:wrap type="none"/>
          </v:shape>
        </w:pict>
      </w:r>
    </w:p>
    <w:tbl>
      <w:tblPr>
        <w:tblW w:w="0" w:type="auto"/>
        <w:jc w:val="left"/>
        <w:tblInd w:w="115" w:type="dxa"/>
        <w:tblLayout w:type="fixed"/>
        <w:tblCellMar>
          <w:top w:w="0" w:type="dxa"/>
          <w:left w:w="0" w:type="dxa"/>
          <w:bottom w:w="0" w:type="dxa"/>
          <w:right w:w="0" w:type="dxa"/>
        </w:tblCellMar>
        <w:tblLook w:val="01E0"/>
      </w:tblPr>
      <w:tblGrid>
        <w:gridCol w:w="1701"/>
        <w:gridCol w:w="1135"/>
        <w:gridCol w:w="992"/>
        <w:gridCol w:w="6663"/>
        <w:gridCol w:w="1134"/>
        <w:gridCol w:w="1134"/>
        <w:gridCol w:w="1134"/>
      </w:tblGrid>
      <w:tr>
        <w:trPr>
          <w:trHeight w:val="416" w:hRule="exact"/>
        </w:trPr>
        <w:tc>
          <w:tcPr>
            <w:tcW w:w="170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13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666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3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0"/>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626"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1"/>
              <w:ind w:left="22" w:right="21"/>
              <w:jc w:val="both"/>
              <w:rPr>
                <w:rFonts w:ascii="宋体" w:hAnsi="宋体" w:cs="宋体" w:eastAsia="宋体" w:hint="default"/>
                <w:sz w:val="18"/>
                <w:szCs w:val="18"/>
              </w:rPr>
            </w:pPr>
            <w:r>
              <w:rPr>
                <w:rFonts w:ascii="宋体" w:hAnsi="宋体" w:cs="宋体" w:eastAsia="宋体" w:hint="default"/>
                <w:spacing w:val="-2"/>
                <w:sz w:val="18"/>
                <w:szCs w:val="18"/>
              </w:rPr>
              <w:t>通过股份回购方案后，将依法通知债权人，并向证券监督管理部门、证券交易所等主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管部门报送相关材料，办理审批或备案手续。</w:t>
            </w:r>
          </w:p>
          <w:p>
            <w:pPr>
              <w:pStyle w:val="TableParagraph"/>
              <w:spacing w:line="309" w:lineRule="auto" w:before="56"/>
              <w:ind w:left="22" w:right="21"/>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、自公司股票挂牌上市之日起三年内，公司新聘任董事（独立董事除外）、高级管理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3"/>
                <w:sz w:val="18"/>
                <w:szCs w:val="18"/>
              </w:rPr>
              <w:t>人员的，公司将要求该等新聘任的董事（独立董事除外）、高级管理人员履行公司上</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市时董事、高级管理人员已作出的相应承诺。</w:t>
            </w:r>
          </w:p>
          <w:p>
            <w:pPr>
              <w:pStyle w:val="TableParagraph"/>
              <w:spacing w:line="309" w:lineRule="auto" w:before="62"/>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、在《预案》规定的启动股价稳定措施的条件满足时，如公司未采取上述稳定股价 </w:t>
            </w:r>
            <w:r>
              <w:rPr>
                <w:rFonts w:ascii="宋体" w:hAnsi="宋体" w:cs="宋体" w:eastAsia="宋体" w:hint="default"/>
                <w:spacing w:val="-2"/>
                <w:sz w:val="18"/>
                <w:szCs w:val="18"/>
              </w:rPr>
              <w:t>的具体措施，公司将在股东大会及信息披露指定媒体上公开说明未采取上述稳定股价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措施的具体原因</w:t>
            </w:r>
            <w:r>
              <w:rPr>
                <w:rFonts w:ascii="Times New Roman" w:hAnsi="Times New Roman" w:cs="Times New Roman" w:eastAsia="Times New Roman" w:hint="default"/>
                <w:sz w:val="18"/>
                <w:szCs w:val="18"/>
              </w:rPr>
              <w:t>,</w:t>
            </w:r>
            <w:r>
              <w:rPr>
                <w:rFonts w:ascii="宋体" w:hAnsi="宋体" w:cs="宋体" w:eastAsia="宋体" w:hint="default"/>
                <w:sz w:val="18"/>
                <w:szCs w:val="18"/>
              </w:rPr>
              <w:t>并向股东和社会公众投资者道歉。</w:t>
            </w: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851"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稳定股价承 诺</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2"/>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、若公司股东大会审议通过的稳定股价措施包括公司控股股东增持公司股票，本方 将在具体股价稳定方案通过之日起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个月内通过证券交易所以大宗交易方式、集中 竞价方式及</w:t>
            </w:r>
            <w:r>
              <w:rPr>
                <w:rFonts w:ascii="Times New Roman" w:hAnsi="Times New Roman" w:cs="Times New Roman" w:eastAsia="Times New Roman" w:hint="default"/>
                <w:sz w:val="18"/>
                <w:szCs w:val="18"/>
              </w:rPr>
              <w:t>/</w:t>
            </w:r>
            <w:r>
              <w:rPr>
                <w:rFonts w:ascii="宋体" w:hAnsi="宋体" w:cs="宋体" w:eastAsia="宋体" w:hint="default"/>
                <w:sz w:val="18"/>
                <w:szCs w:val="18"/>
              </w:rPr>
              <w:t>或其他合法方式增持公司社会公众股份；用于股份增持的资金不少于上 一会计年度从公司处领取的税后现金分红总额的</w:t>
            </w:r>
            <w:r>
              <w:rPr>
                <w:rFonts w:ascii="宋体" w:hAnsi="宋体" w:cs="宋体" w:eastAsia="宋体" w:hint="default"/>
                <w:spacing w:val="-34"/>
                <w:sz w:val="18"/>
                <w:szCs w:val="18"/>
              </w:rPr>
              <w:t> </w:t>
            </w:r>
            <w:r>
              <w:rPr>
                <w:rFonts w:ascii="Times New Roman" w:hAnsi="Times New Roman" w:cs="Times New Roman" w:eastAsia="Times New Roman" w:hint="default"/>
                <w:spacing w:val="-5"/>
                <w:sz w:val="18"/>
                <w:szCs w:val="18"/>
              </w:rPr>
              <w:t>20%</w:t>
            </w:r>
            <w:r>
              <w:rPr>
                <w:rFonts w:ascii="宋体" w:hAnsi="宋体" w:cs="宋体" w:eastAsia="宋体" w:hint="default"/>
                <w:spacing w:val="-5"/>
                <w:sz w:val="18"/>
                <w:szCs w:val="18"/>
              </w:rPr>
              <w:t>（由于稳定股价措施中止导致稳</w:t>
            </w:r>
            <w:r>
              <w:rPr>
                <w:rFonts w:ascii="宋体" w:hAnsi="宋体" w:cs="宋体" w:eastAsia="宋体" w:hint="default"/>
                <w:spacing w:val="-87"/>
                <w:sz w:val="18"/>
                <w:szCs w:val="18"/>
              </w:rPr>
              <w:t> </w:t>
            </w:r>
            <w:r>
              <w:rPr>
                <w:rFonts w:ascii="宋体" w:hAnsi="宋体" w:cs="宋体" w:eastAsia="宋体" w:hint="default"/>
                <w:spacing w:val="-3"/>
                <w:sz w:val="18"/>
                <w:szCs w:val="18"/>
              </w:rPr>
              <w:t>定股价方案终止时实际增持金额低于上述标准的除外）；增持后公司股权分布应当符</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10"/>
                <w:sz w:val="18"/>
                <w:szCs w:val="18"/>
              </w:rPr>
              <w:t>合上市条件；增持股份行为及信息披露应符合《公司法》、《证券法》</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行政法规的规定。</w:t>
            </w:r>
          </w:p>
          <w:p>
            <w:pPr>
              <w:pStyle w:val="TableParagraph"/>
              <w:spacing w:line="302" w:lineRule="auto" w:before="64"/>
              <w:ind w:left="22"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、在公司就稳定股价的具体方案召开的董事会、股东大会上，将对公司稳定股价方 案的相关决议投赞成票。</w:t>
            </w:r>
          </w:p>
          <w:p>
            <w:pPr>
              <w:pStyle w:val="TableParagraph"/>
              <w:spacing w:line="312" w:lineRule="auto" w:before="69"/>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、在公司《预案》规定的启动股价稳定措施的前提条件满足时，如本方未能按照上 </w:t>
            </w:r>
            <w:r>
              <w:rPr>
                <w:rFonts w:ascii="宋体" w:hAnsi="宋体" w:cs="宋体" w:eastAsia="宋体" w:hint="default"/>
                <w:spacing w:val="-2"/>
                <w:sz w:val="18"/>
                <w:szCs w:val="18"/>
              </w:rPr>
              <w:t>述预案采取稳定股价的具体措施，将在公司股东大会及信息披露指定媒体上公开说明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未采取上述稳定股价措施的具体原因并向股东和社会公众投资者道歉；如本方未能履</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行上述稳定股价的承诺，则公司有权自股东大会审议通过股价稳定方案的决议公告之</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日起</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个月届满后将对本方的现金分红（如有）予以扣留，同时本方持有的公司股 份不得转让，直至履行增持义务。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068"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0"/>
                <w:sz w:val="20"/>
                <w:szCs w:val="20"/>
              </w:rPr>
              <w:pict>
                <v:group style="width:56.2pt;height:103.4pt;mso-position-horizontal-relative:char;mso-position-vertical-relative:line" coordorigin="0,0" coordsize="1124,2068">
                  <v:group style="position:absolute;left:0;top:0;width:1124;height:2068" coordorigin="0,0" coordsize="1124,2068">
                    <v:shape style="position:absolute;left:0;top:0;width:1124;height:2068" coordorigin="0,0" coordsize="1124,2068" path="m0,2068l1123,2068,1123,0,0,0,0,2068xe" filled="true" fillcolor="#ffffff" stroked="false">
                      <v:path arrowok="t"/>
                      <v:fill type="solid"/>
                    </v:shape>
                  </v:group>
                </v:group>
              </w:pict>
            </w:r>
            <w:r>
              <w:rPr>
                <w:rFonts w:ascii="Times New Roman" w:hAnsi="Times New Roman" w:cs="Times New Roman" w:eastAsia="Times New Roman" w:hint="default"/>
                <w:position w:val="-40"/>
                <w:sz w:val="20"/>
                <w:szCs w:val="20"/>
              </w:rPr>
            </w:r>
          </w:p>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
              <w:ind w:right="0"/>
              <w:jc w:val="left"/>
              <w:rPr>
                <w:rFonts w:ascii="Times New Roman" w:hAnsi="Times New Roman" w:cs="Times New Roman" w:eastAsia="Times New Roman" w:hint="default"/>
                <w:sz w:val="21"/>
                <w:szCs w:val="21"/>
              </w:rPr>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right"/>
        <w:rPr>
          <w:rFonts w:ascii="宋体" w:hAnsi="宋体" w:cs="宋体" w:eastAsia="宋体" w:hint="default"/>
          <w:sz w:val="18"/>
          <w:szCs w:val="18"/>
        </w:rPr>
        <w:sectPr>
          <w:pgSz w:w="16840" w:h="11910" w:orient="landscape"/>
          <w:pgMar w:header="867" w:footer="979" w:top="1060" w:bottom="1160" w:left="1320" w:right="132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701"/>
        <w:gridCol w:w="1135"/>
        <w:gridCol w:w="992"/>
        <w:gridCol w:w="6663"/>
        <w:gridCol w:w="1134"/>
        <w:gridCol w:w="1134"/>
        <w:gridCol w:w="1134"/>
      </w:tblGrid>
      <w:tr>
        <w:trPr>
          <w:trHeight w:val="416" w:hRule="exact"/>
        </w:trPr>
        <w:tc>
          <w:tcPr>
            <w:tcW w:w="170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13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666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3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0"/>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712"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0"/>
                <w:szCs w:val="20"/>
              </w:rPr>
            </w:pPr>
          </w:p>
          <w:p>
            <w:pPr>
              <w:pStyle w:val="TableParagraph"/>
              <w:spacing w:line="316" w:lineRule="auto"/>
              <w:ind w:left="23" w:right="19"/>
              <w:jc w:val="left"/>
              <w:rPr>
                <w:rFonts w:ascii="宋体" w:hAnsi="宋体" w:cs="宋体" w:eastAsia="宋体" w:hint="default"/>
                <w:sz w:val="18"/>
                <w:szCs w:val="18"/>
              </w:rPr>
            </w:pPr>
            <w:r>
              <w:rPr>
                <w:rFonts w:ascii="宋体" w:hAnsi="宋体" w:cs="宋体" w:eastAsia="宋体" w:hint="default"/>
                <w:sz w:val="18"/>
                <w:szCs w:val="18"/>
              </w:rPr>
              <w:t>张秀兵、万丽 莉、宾卫、张 二东、何骁 军、李弘扬、 邬涛、刘妍、 吴卫华、宣正 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316" w:lineRule="auto"/>
              <w:ind w:left="22" w:right="59"/>
              <w:jc w:val="left"/>
              <w:rPr>
                <w:rFonts w:ascii="宋体" w:hAnsi="宋体" w:cs="宋体" w:eastAsia="宋体" w:hint="default"/>
                <w:sz w:val="18"/>
                <w:szCs w:val="18"/>
              </w:rPr>
            </w:pPr>
            <w:r>
              <w:rPr>
                <w:rFonts w:ascii="宋体" w:hAnsi="宋体" w:cs="宋体" w:eastAsia="宋体" w:hint="default"/>
                <w:sz w:val="18"/>
                <w:szCs w:val="18"/>
              </w:rPr>
              <w:t>稳定股价承 诺</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00" w:lineRule="auto"/>
              <w:ind w:left="22" w:right="5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、当公司《宣亚国际品牌管理（北京）股份有限公司关于股份发行上市后稳定股价 </w:t>
            </w:r>
            <w:r>
              <w:rPr>
                <w:rFonts w:ascii="宋体" w:hAnsi="宋体" w:cs="宋体" w:eastAsia="宋体" w:hint="default"/>
                <w:spacing w:val="-3"/>
                <w:w w:val="99"/>
                <w:sz w:val="18"/>
                <w:szCs w:val="18"/>
              </w:rPr>
              <w:t>的预案》（以下简称</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《预案》</w:t>
            </w:r>
            <w:r>
              <w:rPr>
                <w:rFonts w:ascii="Times New Roman" w:hAnsi="Times New Roman" w:cs="Times New Roman" w:eastAsia="Times New Roman" w:hint="default"/>
                <w:spacing w:val="-3"/>
                <w:w w:val="99"/>
                <w:sz w:val="18"/>
                <w:szCs w:val="18"/>
              </w:rPr>
              <w:t>"</w:t>
            </w:r>
            <w:r>
              <w:rPr>
                <w:rFonts w:ascii="宋体" w:hAnsi="宋体" w:cs="宋体" w:eastAsia="宋体" w:hint="default"/>
                <w:spacing w:val="-3"/>
                <w:w w:val="99"/>
                <w:sz w:val="18"/>
                <w:szCs w:val="18"/>
              </w:rPr>
              <w:t>）规定的股价稳定措施启动条件满足时，本人将按照</w:t>
            </w:r>
          </w:p>
          <w:p>
            <w:pPr>
              <w:pStyle w:val="TableParagraph"/>
              <w:spacing w:line="338" w:lineRule="auto" w:before="13"/>
              <w:ind w:left="22" w:right="23"/>
              <w:jc w:val="left"/>
              <w:rPr>
                <w:rFonts w:ascii="宋体" w:hAnsi="宋体" w:cs="宋体" w:eastAsia="宋体" w:hint="default"/>
                <w:sz w:val="18"/>
                <w:szCs w:val="18"/>
              </w:rPr>
            </w:pPr>
            <w:r>
              <w:rPr>
                <w:rFonts w:ascii="宋体" w:hAnsi="宋体" w:cs="宋体" w:eastAsia="宋体" w:hint="default"/>
                <w:spacing w:val="-2"/>
                <w:sz w:val="18"/>
                <w:szCs w:val="18"/>
              </w:rPr>
              <w:t>《预案》及股东大会具体的稳定股价方案履行相应义务。且此义务不因本人离任而免</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除。 </w:t>
            </w:r>
            <w:r>
              <w:rPr>
                <w:rFonts w:ascii="Times New Roman" w:hAnsi="Times New Roman" w:cs="Times New Roman" w:eastAsia="Times New Roman" w:hint="default"/>
                <w:sz w:val="18"/>
                <w:szCs w:val="18"/>
              </w:rPr>
              <w:t>2</w:t>
            </w:r>
            <w:r>
              <w:rPr>
                <w:rFonts w:ascii="宋体" w:hAnsi="宋体" w:cs="宋体" w:eastAsia="宋体" w:hint="default"/>
                <w:sz w:val="18"/>
                <w:szCs w:val="18"/>
              </w:rPr>
              <w:t>、在公司就稳定股价的具体方案召开的董事会、股东大会上，将对公司稳定股价方</w:t>
            </w:r>
          </w:p>
          <w:p>
            <w:pPr>
              <w:pStyle w:val="TableParagraph"/>
              <w:spacing w:line="218" w:lineRule="exact"/>
              <w:ind w:left="22" w:right="0"/>
              <w:jc w:val="left"/>
              <w:rPr>
                <w:rFonts w:ascii="宋体" w:hAnsi="宋体" w:cs="宋体" w:eastAsia="宋体" w:hint="default"/>
                <w:sz w:val="18"/>
                <w:szCs w:val="18"/>
              </w:rPr>
            </w:pPr>
            <w:r>
              <w:rPr>
                <w:rFonts w:ascii="宋体" w:hAnsi="宋体" w:cs="宋体" w:eastAsia="宋体" w:hint="default"/>
                <w:sz w:val="18"/>
                <w:szCs w:val="18"/>
              </w:rPr>
              <w:t>案的相关决议投赞成票。</w:t>
            </w:r>
          </w:p>
          <w:p>
            <w:pPr>
              <w:pStyle w:val="TableParagraph"/>
              <w:spacing w:line="314" w:lineRule="auto" w:before="115"/>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、在公司《预案》规定的启动股价稳定措施的前提条件满足时，如本人未能按照上 </w:t>
            </w:r>
            <w:r>
              <w:rPr>
                <w:rFonts w:ascii="宋体" w:hAnsi="宋体" w:cs="宋体" w:eastAsia="宋体" w:hint="default"/>
                <w:spacing w:val="-2"/>
                <w:sz w:val="18"/>
                <w:szCs w:val="18"/>
              </w:rPr>
              <w:t>述预案采取稳定股价的具体措施，将在股东大会及信息披露指定媒体上公开说明未采</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取上述稳定股价措施的具体原因并向股东和社会公众投资者道歉；如本人未能履行上</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述稳定股价的承诺，则公司有权自股东大会审议通过股价稳定方案的决议公告之日起</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pacing w:val="-3"/>
                <w:sz w:val="18"/>
                <w:szCs w:val="18"/>
              </w:rPr>
              <w:t>个月届满后对本人的现金分红（如有）、薪酬予以扣留，同时本人持有的公司股份</w:t>
            </w:r>
          </w:p>
          <w:p>
            <w:pPr>
              <w:pStyle w:val="TableParagraph"/>
              <w:spacing w:line="240" w:lineRule="auto" w:before="2"/>
              <w:ind w:left="22" w:right="0"/>
              <w:jc w:val="left"/>
              <w:rPr>
                <w:rFonts w:ascii="宋体" w:hAnsi="宋体" w:cs="宋体" w:eastAsia="宋体" w:hint="default"/>
                <w:sz w:val="18"/>
                <w:szCs w:val="18"/>
              </w:rPr>
            </w:pPr>
            <w:r>
              <w:rPr>
                <w:rFonts w:ascii="宋体" w:hAnsi="宋体" w:cs="宋体" w:eastAsia="宋体" w:hint="default"/>
                <w:sz w:val="18"/>
                <w:szCs w:val="18"/>
              </w:rPr>
              <w:t>（如有）不得转让，直至履行增持义务。</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right="199"/>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127" w:hRule="exact"/>
        </w:trPr>
        <w:tc>
          <w:tcPr>
            <w:tcW w:w="1701"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宣亚国际</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7"/>
              <w:ind w:left="22" w:right="59"/>
              <w:jc w:val="left"/>
              <w:rPr>
                <w:rFonts w:ascii="宋体" w:hAnsi="宋体" w:cs="宋体" w:eastAsia="宋体" w:hint="default"/>
                <w:sz w:val="18"/>
                <w:szCs w:val="18"/>
              </w:rPr>
            </w:pPr>
            <w:r>
              <w:rPr>
                <w:rFonts w:ascii="宋体" w:hAnsi="宋体" w:cs="宋体" w:eastAsia="宋体" w:hint="default"/>
                <w:sz w:val="18"/>
                <w:szCs w:val="18"/>
              </w:rPr>
              <w:t>保护投资者 利益的承诺</w:t>
            </w:r>
          </w:p>
        </w:tc>
        <w:tc>
          <w:tcPr>
            <w:tcW w:w="6663"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316" w:lineRule="auto"/>
              <w:ind w:left="22" w:right="-42"/>
              <w:jc w:val="both"/>
              <w:rPr>
                <w:rFonts w:ascii="宋体" w:hAnsi="宋体" w:cs="宋体" w:eastAsia="宋体" w:hint="default"/>
                <w:sz w:val="18"/>
                <w:szCs w:val="18"/>
              </w:rPr>
            </w:pPr>
            <w:r>
              <w:rPr>
                <w:rFonts w:ascii="宋体" w:hAnsi="宋体" w:cs="宋体" w:eastAsia="宋体" w:hint="default"/>
                <w:spacing w:val="-2"/>
                <w:sz w:val="18"/>
                <w:szCs w:val="18"/>
              </w:rPr>
              <w:t>如公司招股说明书有虚假记载、误导性陈述或者重大遗漏，对判断公司是否符合法律</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规定的发行条件构成重大、实质影响的，公司将依法回购首次公开发行的全部新股； </w:t>
            </w:r>
            <w:r>
              <w:rPr>
                <w:rFonts w:ascii="宋体" w:hAnsi="宋体" w:cs="宋体" w:eastAsia="宋体" w:hint="default"/>
                <w:spacing w:val="-2"/>
                <w:sz w:val="18"/>
                <w:szCs w:val="18"/>
              </w:rPr>
              <w:t>如公司招股说明书有虚假记载、误导性陈述或者重大遗漏，致使投资者在证券交易中</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遭受损失的，将依法赔偿投资者损失。</w:t>
            </w:r>
          </w:p>
        </w:tc>
        <w:tc>
          <w:tcPr>
            <w:tcW w:w="1134"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5"/>
                <w:szCs w:val="25"/>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998"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保护投资者 利益的承诺</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319" w:lineRule="auto"/>
              <w:ind w:left="22" w:right="22"/>
              <w:jc w:val="both"/>
              <w:rPr>
                <w:rFonts w:ascii="宋体" w:hAnsi="宋体" w:cs="宋体" w:eastAsia="宋体" w:hint="default"/>
                <w:sz w:val="18"/>
                <w:szCs w:val="18"/>
              </w:rPr>
            </w:pPr>
            <w:r>
              <w:rPr>
                <w:rFonts w:ascii="宋体" w:hAnsi="宋体" w:cs="宋体" w:eastAsia="宋体" w:hint="default"/>
                <w:spacing w:val="-2"/>
                <w:sz w:val="18"/>
                <w:szCs w:val="18"/>
              </w:rPr>
              <w:t>如公司招股说明书有虚假记载、误导性陈述或者重大遗漏，对判断公司是否符合法律</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规定的发行条件构成重大、实质影响的，将督促公司依法回购首次公开发行的全部新</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股，宣亚投资将购回已转让的原限售股份；如公司招股说明书有虚假记载、误导性陈</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述或者重大遗漏，致使投资者在证券交易中遭受损失的，将依法赔偿投资者损失。</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9"/>
                <w:szCs w:val="19"/>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right"/>
        <w:rPr>
          <w:rFonts w:ascii="宋体" w:hAnsi="宋体" w:cs="宋体" w:eastAsia="宋体" w:hint="default"/>
          <w:sz w:val="18"/>
          <w:szCs w:val="18"/>
        </w:rPr>
        <w:sectPr>
          <w:pgSz w:w="16840" w:h="11910" w:orient="landscape"/>
          <w:pgMar w:header="867" w:footer="979" w:top="1060" w:bottom="1160" w:left="1320" w:right="132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701"/>
        <w:gridCol w:w="1135"/>
        <w:gridCol w:w="992"/>
        <w:gridCol w:w="6663"/>
        <w:gridCol w:w="1134"/>
        <w:gridCol w:w="1134"/>
        <w:gridCol w:w="1134"/>
      </w:tblGrid>
      <w:tr>
        <w:trPr>
          <w:trHeight w:val="416" w:hRule="exact"/>
        </w:trPr>
        <w:tc>
          <w:tcPr>
            <w:tcW w:w="170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13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666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3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0"/>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2274"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9"/>
              <w:jc w:val="left"/>
              <w:rPr>
                <w:rFonts w:ascii="宋体" w:hAnsi="宋体" w:cs="宋体" w:eastAsia="宋体" w:hint="default"/>
                <w:sz w:val="18"/>
                <w:szCs w:val="18"/>
              </w:rPr>
            </w:pPr>
            <w:r>
              <w:rPr>
                <w:rFonts w:ascii="宋体" w:hAnsi="宋体" w:cs="宋体" w:eastAsia="宋体" w:hint="default"/>
                <w:sz w:val="18"/>
                <w:szCs w:val="18"/>
              </w:rPr>
              <w:t>张秀兵、万丽 莉、宾卫、张 二东、何骁 军、李弘扬、 邬涛、刘妍、 吴卫华、宣正 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保护投资者 利益的承诺</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2"/>
                <w:sz w:val="18"/>
                <w:szCs w:val="18"/>
              </w:rPr>
              <w:t>招股说明书如有虚假记载、误导性陈述或者重大遗漏，致使投资者在证券交易中遭受</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损失的，将依法赔偿投资者损失。</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0"/>
              <w:ind w:right="199"/>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26" w:hRule="exact"/>
        </w:trPr>
        <w:tc>
          <w:tcPr>
            <w:tcW w:w="1701"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z w:val="18"/>
                <w:szCs w:val="18"/>
              </w:rPr>
              <w:t>张秀兵、万丽 莉、宣亚投资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关于填补被 摊薄即期回 报的承诺</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不越权干预公司经营管理活动，不侵占公司利益。</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9"/>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075" w:hRule="exact"/>
        </w:trPr>
        <w:tc>
          <w:tcPr>
            <w:tcW w:w="1701"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319" w:lineRule="auto"/>
              <w:ind w:left="23" w:right="19"/>
              <w:jc w:val="left"/>
              <w:rPr>
                <w:rFonts w:ascii="宋体" w:hAnsi="宋体" w:cs="宋体" w:eastAsia="宋体" w:hint="default"/>
                <w:sz w:val="18"/>
                <w:szCs w:val="18"/>
              </w:rPr>
            </w:pPr>
            <w:r>
              <w:rPr>
                <w:rFonts w:ascii="宋体" w:hAnsi="宋体" w:cs="宋体" w:eastAsia="宋体" w:hint="default"/>
                <w:sz w:val="18"/>
                <w:szCs w:val="18"/>
              </w:rPr>
              <w:t>张秀兵、万丽 莉、宾卫、张 二东、何骁 军、张顺和、 王正鹏、徐轶 尊、李弘扬、 邬涛、刘妍、 吴卫华、宣正 元</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27"/>
              <w:ind w:left="22" w:right="59"/>
              <w:jc w:val="both"/>
              <w:rPr>
                <w:rFonts w:ascii="宋体" w:hAnsi="宋体" w:cs="宋体" w:eastAsia="宋体" w:hint="default"/>
                <w:sz w:val="18"/>
                <w:szCs w:val="18"/>
              </w:rPr>
            </w:pPr>
            <w:r>
              <w:rPr>
                <w:rFonts w:ascii="宋体" w:hAnsi="宋体" w:cs="宋体" w:eastAsia="宋体" w:hint="default"/>
                <w:sz w:val="18"/>
                <w:szCs w:val="18"/>
              </w:rPr>
              <w:t>关于填补被 摊薄即期回 报的承诺</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58"/>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、不得无偿或以不公平条件向其他单位或者个人输送利益，也不采用其他方式损害 公司利益；</w:t>
            </w:r>
          </w:p>
          <w:p>
            <w:pPr>
              <w:pStyle w:val="TableParagraph"/>
              <w:spacing w:line="240" w:lineRule="auto" w:before="69"/>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、对董事和高级管理人员的职务消费行为进行约束；</w:t>
            </w:r>
          </w:p>
          <w:p>
            <w:pPr>
              <w:pStyle w:val="TableParagraph"/>
              <w:spacing w:line="240" w:lineRule="auto" w:before="10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、不动用公司资产从事与履行职责无关的投资、消费活动；</w:t>
            </w:r>
          </w:p>
          <w:p>
            <w:pPr>
              <w:pStyle w:val="TableParagraph"/>
              <w:spacing w:line="240" w:lineRule="auto" w:before="103"/>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、由董事会或薪酬委员会制订的薪酬制度与公司填补回报措施的执行情况相挂钩；</w:t>
            </w:r>
          </w:p>
          <w:p>
            <w:pPr>
              <w:pStyle w:val="TableParagraph"/>
              <w:spacing w:line="240" w:lineRule="auto" w:before="102"/>
              <w:ind w:left="22"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、未来将公布的公司股权激励的行权条件与公司填补回报措施的执行情况相挂钩；</w:t>
            </w:r>
          </w:p>
          <w:p>
            <w:pPr>
              <w:pStyle w:val="TableParagraph"/>
              <w:spacing w:line="309" w:lineRule="auto" w:before="10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、自本承诺出具日至公司首次公开发行股票并上市实施完毕前，若中国证监会作出 </w:t>
            </w:r>
            <w:r>
              <w:rPr>
                <w:rFonts w:ascii="宋体" w:hAnsi="宋体" w:cs="宋体" w:eastAsia="宋体" w:hint="default"/>
                <w:spacing w:val="-2"/>
                <w:sz w:val="18"/>
                <w:szCs w:val="18"/>
              </w:rPr>
              <w:t>关于填补回报措施及其承诺的其他新的监管规定的，且上述承诺不能满足中国证监会</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该等规定时，本人承诺届时将按照中国证监会的最新规定出具补充承诺；</w:t>
            </w:r>
          </w:p>
          <w:p>
            <w:pPr>
              <w:pStyle w:val="TableParagraph"/>
              <w:spacing w:line="309" w:lineRule="auto" w:before="64"/>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、本人承诺切实履行公司制定的有关填补回报措施以及对此作出的任何有关填补回 </w:t>
            </w:r>
            <w:r>
              <w:rPr>
                <w:rFonts w:ascii="宋体" w:hAnsi="宋体" w:cs="宋体" w:eastAsia="宋体" w:hint="default"/>
                <w:spacing w:val="-2"/>
                <w:sz w:val="18"/>
                <w:szCs w:val="18"/>
              </w:rPr>
              <w:t>报措施的承诺，若违反该等承诺并给公司或者投资者造成损失的，本人愿意依法承担</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对公司或者投资者的补偿责任。</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4"/>
                <w:szCs w:val="2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714" w:hRule="exact"/>
        </w:trPr>
        <w:tc>
          <w:tcPr>
            <w:tcW w:w="1701"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详见招股说明书</w:t>
            </w:r>
            <w:r>
              <w:rPr>
                <w:rFonts w:ascii="Times New Roman" w:hAnsi="Times New Roman" w:cs="Times New Roman" w:eastAsia="Times New Roman" w:hint="default"/>
                <w:sz w:val="18"/>
                <w:szCs w:val="18"/>
              </w:rPr>
              <w:t>"</w:t>
            </w:r>
            <w:r>
              <w:rPr>
                <w:rFonts w:ascii="宋体" w:hAnsi="宋体" w:cs="宋体" w:eastAsia="宋体" w:hint="default"/>
                <w:sz w:val="18"/>
                <w:szCs w:val="18"/>
              </w:rPr>
              <w:t>重大事项提示</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十三、税务风险</w:t>
            </w:r>
            <w:r>
              <w:rPr>
                <w:rFonts w:ascii="Times New Roman" w:hAnsi="Times New Roman" w:cs="Times New Roman" w:eastAsia="Times New Roman" w:hint="default"/>
                <w:sz w:val="18"/>
                <w:szCs w:val="18"/>
              </w:rPr>
              <w:t>"</w:t>
            </w:r>
            <w:r>
              <w:rPr>
                <w:rFonts w:ascii="宋体" w:hAnsi="宋体" w:cs="宋体" w:eastAsia="宋体" w:hint="default"/>
                <w:sz w:val="18"/>
                <w:szCs w:val="18"/>
              </w:rPr>
              <w:t>之</w:t>
            </w:r>
            <w:r>
              <w:rPr>
                <w:rFonts w:ascii="Times New Roman" w:hAnsi="Times New Roman" w:cs="Times New Roman" w:eastAsia="Times New Roman" w:hint="default"/>
                <w:sz w:val="18"/>
                <w:szCs w:val="18"/>
              </w:rPr>
              <w:t>"</w:t>
            </w:r>
            <w:r>
              <w:rPr>
                <w:rFonts w:ascii="宋体" w:hAnsi="宋体" w:cs="宋体" w:eastAsia="宋体" w:hint="default"/>
                <w:sz w:val="18"/>
                <w:szCs w:val="18"/>
              </w:rPr>
              <w:t>控股股东宣亚投资承诺</w:t>
            </w:r>
            <w:r>
              <w:rPr>
                <w:rFonts w:ascii="Times New Roman" w:hAnsi="Times New Roman" w:cs="Times New Roman" w:eastAsia="Times New Roman" w:hint="default"/>
                <w:sz w:val="18"/>
                <w:szCs w:val="18"/>
              </w:rPr>
              <w:t>"</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1026"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z w:val="18"/>
                <w:szCs w:val="18"/>
              </w:rPr>
              <w:t>宣亚投资、张 秀兵、万丽莉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关于上市后 利润分配的 承诺</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9" w:lineRule="auto"/>
              <w:ind w:left="22" w:right="22"/>
              <w:jc w:val="left"/>
              <w:rPr>
                <w:rFonts w:ascii="宋体" w:hAnsi="宋体" w:cs="宋体" w:eastAsia="宋体" w:hint="default"/>
                <w:sz w:val="18"/>
                <w:szCs w:val="18"/>
              </w:rPr>
            </w:pPr>
            <w:r>
              <w:rPr>
                <w:rFonts w:ascii="宋体" w:hAnsi="宋体" w:cs="宋体" w:eastAsia="宋体" w:hint="default"/>
                <w:spacing w:val="-2"/>
                <w:sz w:val="18"/>
                <w:szCs w:val="18"/>
              </w:rPr>
              <w:t>未来公司股东大会根据公司章程的规定通过利润分配具体方案时，本方表示同意并将</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投赞成票</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199"/>
              <w:jc w:val="righ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right"/>
        <w:rPr>
          <w:rFonts w:ascii="宋体" w:hAnsi="宋体" w:cs="宋体" w:eastAsia="宋体" w:hint="default"/>
          <w:sz w:val="18"/>
          <w:szCs w:val="18"/>
        </w:rPr>
        <w:sectPr>
          <w:pgSz w:w="16840" w:h="11910" w:orient="landscape"/>
          <w:pgMar w:header="867" w:footer="979" w:top="1060" w:bottom="1240" w:left="1320" w:right="1320"/>
        </w:sectPr>
      </w:pPr>
    </w:p>
    <w:p>
      <w:pPr>
        <w:spacing w:line="240" w:lineRule="auto" w:before="4"/>
        <w:rPr>
          <w:rFonts w:ascii="Times New Roman" w:hAnsi="Times New Roman" w:cs="Times New Roman" w:eastAsia="Times New Roman" w:hint="default"/>
          <w:sz w:val="3"/>
          <w:szCs w:val="3"/>
        </w:rPr>
      </w:pPr>
    </w:p>
    <w:tbl>
      <w:tblPr>
        <w:tblW w:w="0" w:type="auto"/>
        <w:jc w:val="left"/>
        <w:tblInd w:w="115" w:type="dxa"/>
        <w:tblLayout w:type="fixed"/>
        <w:tblCellMar>
          <w:top w:w="0" w:type="dxa"/>
          <w:left w:w="0" w:type="dxa"/>
          <w:bottom w:w="0" w:type="dxa"/>
          <w:right w:w="0" w:type="dxa"/>
        </w:tblCellMar>
        <w:tblLook w:val="01E0"/>
      </w:tblPr>
      <w:tblGrid>
        <w:gridCol w:w="1701"/>
        <w:gridCol w:w="1135"/>
        <w:gridCol w:w="992"/>
        <w:gridCol w:w="6663"/>
        <w:gridCol w:w="1134"/>
        <w:gridCol w:w="1134"/>
        <w:gridCol w:w="1134"/>
      </w:tblGrid>
      <w:tr>
        <w:trPr>
          <w:trHeight w:val="416" w:hRule="exact"/>
        </w:trPr>
        <w:tc>
          <w:tcPr>
            <w:tcW w:w="1701"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135"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666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3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0"/>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1962" w:hRule="exact"/>
        </w:trPr>
        <w:tc>
          <w:tcPr>
            <w:tcW w:w="1701" w:type="dxa"/>
            <w:vMerge w:val="restart"/>
            <w:tcBorders>
              <w:top w:val="single" w:sz="4" w:space="0" w:color="000000"/>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59"/>
              <w:jc w:val="both"/>
              <w:rPr>
                <w:rFonts w:ascii="宋体" w:hAnsi="宋体" w:cs="宋体" w:eastAsia="宋体" w:hint="default"/>
                <w:sz w:val="18"/>
                <w:szCs w:val="18"/>
              </w:rPr>
            </w:pPr>
            <w:r>
              <w:rPr>
                <w:rFonts w:ascii="宋体" w:hAnsi="宋体" w:cs="宋体" w:eastAsia="宋体" w:hint="default"/>
                <w:sz w:val="18"/>
                <w:szCs w:val="18"/>
              </w:rPr>
              <w:t>关于公司因 收入确认政 策调整导致 大额应交税 费长期挂账 的承诺</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2" w:lineRule="auto" w:before="156"/>
              <w:ind w:left="22" w:right="22"/>
              <w:jc w:val="both"/>
              <w:rPr>
                <w:rFonts w:ascii="宋体" w:hAnsi="宋体" w:cs="宋体" w:eastAsia="宋体" w:hint="default"/>
                <w:sz w:val="18"/>
                <w:szCs w:val="18"/>
              </w:rPr>
            </w:pPr>
            <w:r>
              <w:rPr>
                <w:rFonts w:ascii="宋体" w:hAnsi="宋体" w:cs="宋体" w:eastAsia="宋体" w:hint="default"/>
                <w:spacing w:val="-3"/>
                <w:sz w:val="18"/>
                <w:szCs w:val="18"/>
              </w:rPr>
              <w:t>若公司主管税务部门要求公司缴纳上述税费，宣亚投资将在</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个工作日内为公司提供</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相应金额的流动性支持，以确保公司在不影响正常生产经营的情况下及时缴纳有关税</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2"/>
                <w:sz w:val="18"/>
                <w:szCs w:val="18"/>
              </w:rPr>
              <w:t>费；同时，宣亚投资将承担公司因上述事项遭受的其他所有可能发生的支出如滞纳金</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等，且在承担相关支出后不向公司追偿，保证公司不会因此遭受任何损失。</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4891" w:hRule="exact"/>
        </w:trPr>
        <w:tc>
          <w:tcPr>
            <w:tcW w:w="1701" w:type="dxa"/>
            <w:vMerge/>
            <w:tcBorders>
              <w:left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9" w:lineRule="auto"/>
              <w:ind w:left="23" w:right="21"/>
              <w:jc w:val="left"/>
              <w:rPr>
                <w:rFonts w:ascii="宋体" w:hAnsi="宋体" w:cs="宋体" w:eastAsia="宋体" w:hint="default"/>
                <w:sz w:val="18"/>
                <w:szCs w:val="18"/>
              </w:rPr>
            </w:pPr>
            <w:r>
              <w:rPr>
                <w:rFonts w:ascii="宋体" w:hAnsi="宋体" w:cs="宋体" w:eastAsia="宋体" w:hint="default"/>
                <w:sz w:val="18"/>
                <w:szCs w:val="18"/>
              </w:rPr>
              <w:t>宣亚投资、张 秀兵、万丽莉</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319" w:lineRule="auto"/>
              <w:ind w:left="22" w:right="59"/>
              <w:jc w:val="left"/>
              <w:rPr>
                <w:rFonts w:ascii="宋体" w:hAnsi="宋体" w:cs="宋体" w:eastAsia="宋体" w:hint="default"/>
                <w:sz w:val="18"/>
                <w:szCs w:val="18"/>
              </w:rPr>
            </w:pPr>
            <w:r>
              <w:rPr>
                <w:rFonts w:ascii="宋体" w:hAnsi="宋体" w:cs="宋体" w:eastAsia="宋体" w:hint="default"/>
                <w:sz w:val="18"/>
                <w:szCs w:val="18"/>
              </w:rPr>
              <w:t>避免同业竞 争的承诺</w:t>
            </w:r>
          </w:p>
        </w:tc>
        <w:tc>
          <w:tcPr>
            <w:tcW w:w="6663" w:type="dxa"/>
            <w:tcBorders>
              <w:top w:val="single" w:sz="4" w:space="0" w:color="000000"/>
              <w:left w:val="single" w:sz="4" w:space="0" w:color="000000"/>
              <w:bottom w:val="single" w:sz="4" w:space="0" w:color="000000"/>
              <w:right w:val="single" w:sz="9" w:space="0" w:color="FFFFFF"/>
            </w:tcBorders>
          </w:tcPr>
          <w:p>
            <w:pPr>
              <w:pStyle w:val="TableParagraph"/>
              <w:spacing w:line="302" w:lineRule="auto" w:before="51"/>
              <w:ind w:left="22" w:right="15"/>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本人目前不存在自营、与他人共同经营或为他人经营与公司相同、相似业</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务的情形；</w:t>
            </w:r>
          </w:p>
          <w:p>
            <w:pPr>
              <w:pStyle w:val="TableParagraph"/>
              <w:spacing w:line="319" w:lineRule="auto" w:before="68"/>
              <w:ind w:left="22" w:right="14"/>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、在本公司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本人直接或间接持有公司股权的相关期间内，本公司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本人将不会采取参</w:t>
            </w:r>
            <w:r>
              <w:rPr>
                <w:rFonts w:ascii="宋体" w:hAnsi="宋体" w:cs="宋体" w:eastAsia="宋体" w:hint="default"/>
                <w:spacing w:val="-78"/>
                <w:sz w:val="18"/>
                <w:szCs w:val="18"/>
              </w:rPr>
              <w:t> </w:t>
            </w:r>
            <w:r>
              <w:rPr>
                <w:rFonts w:ascii="宋体" w:hAnsi="宋体" w:cs="宋体" w:eastAsia="宋体" w:hint="default"/>
                <w:spacing w:val="-2"/>
                <w:sz w:val="18"/>
                <w:szCs w:val="18"/>
              </w:rPr>
              <w:t>股、控股、联营、合营、合作或者其他任何方式直接或间接从事与公司现在和将来业</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pacing w:val="-2"/>
                <w:sz w:val="18"/>
                <w:szCs w:val="18"/>
              </w:rPr>
              <w:t>务范围相同、相似或构成实质竞争的业务，也不会协助、促使或代表任何第三方以任</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何方式直接或间接从事与公司现在和将来业务范围相同、相似或构成实质竞争的业 务；并将促使本公司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本人控制的其他企业（如有）比照前述规定履行不竞争的义务 </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、如因国家政策调整等不可抗力原因导致本公司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本人或本公司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本人控制的其他企业</w:t>
            </w:r>
          </w:p>
          <w:p>
            <w:pPr>
              <w:pStyle w:val="TableParagraph"/>
              <w:spacing w:line="307" w:lineRule="auto"/>
              <w:ind w:left="22" w:right="15"/>
              <w:jc w:val="left"/>
              <w:rPr>
                <w:rFonts w:ascii="宋体" w:hAnsi="宋体" w:cs="宋体" w:eastAsia="宋体" w:hint="default"/>
                <w:sz w:val="18"/>
                <w:szCs w:val="18"/>
              </w:rPr>
            </w:pPr>
            <w:r>
              <w:rPr>
                <w:rFonts w:ascii="宋体" w:hAnsi="宋体" w:cs="宋体" w:eastAsia="宋体" w:hint="default"/>
                <w:sz w:val="18"/>
                <w:szCs w:val="18"/>
              </w:rPr>
              <w:t>（如有）将来从事的业务与公司之间的同业竞争可能构成或不可避免时，则本公司</w:t>
            </w:r>
            <w:r>
              <w:rPr>
                <w:rFonts w:ascii="Times New Roman" w:hAnsi="Times New Roman" w:cs="Times New Roman" w:eastAsia="Times New Roman" w:hint="default"/>
                <w:sz w:val="18"/>
                <w:szCs w:val="18"/>
              </w:rPr>
              <w:t>/ </w:t>
            </w:r>
            <w:r>
              <w:rPr>
                <w:rFonts w:ascii="宋体" w:hAnsi="宋体" w:cs="宋体" w:eastAsia="宋体" w:hint="default"/>
                <w:sz w:val="18"/>
                <w:szCs w:val="18"/>
              </w:rPr>
              <w:t>本人将在公司提出异议后及时转让或终止上述业务或促使本公司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本人控制的其他企 </w:t>
            </w:r>
            <w:r>
              <w:rPr>
                <w:rFonts w:ascii="宋体" w:hAnsi="宋体" w:cs="宋体" w:eastAsia="宋体" w:hint="default"/>
                <w:spacing w:val="-2"/>
                <w:sz w:val="18"/>
                <w:szCs w:val="18"/>
              </w:rPr>
              <w:t>业及时转让或终止上述业务；如公司进一步要求，公司可享有上述业务在同等条件下</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的优先受让权；</w:t>
            </w:r>
          </w:p>
          <w:p>
            <w:pPr>
              <w:pStyle w:val="TableParagraph"/>
              <w:spacing w:line="309" w:lineRule="auto" w:before="65"/>
              <w:ind w:left="22" w:right="15"/>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、如本公司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本人违反上述承诺，公司及公司其他股东有权根据本承诺书依法申请强</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制本公司履行上述承诺，并赔偿公司及公司其他股东因此遭受的全部损失；同时本公</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本人因违反上述承诺所取得的利益归公司所有。</w:t>
            </w:r>
          </w:p>
        </w:tc>
        <w:tc>
          <w:tcPr>
            <w:tcW w:w="113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205" w:lineRule="exact"/>
              <w:ind w:left="-13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19" w:lineRule="exact"/>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4"/>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p>
            <w:pPr>
              <w:pStyle w:val="TableParagraph"/>
              <w:spacing w:line="2441" w:lineRule="exact"/>
              <w:ind w:left="-7"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48"/>
                <w:sz w:val="20"/>
                <w:szCs w:val="20"/>
              </w:rPr>
              <w:pict>
                <v:group style="width:56.2pt;height:122.1pt;mso-position-horizontal-relative:char;mso-position-vertical-relative:line" coordorigin="0,0" coordsize="1124,2442">
                  <v:group style="position:absolute;left:0;top:0;width:1124;height:2089" coordorigin="0,0" coordsize="1124,2089">
                    <v:shape style="position:absolute;left:0;top:0;width:1124;height:2089" coordorigin="0,0" coordsize="1124,2089" path="m0,2088l1123,2088,1123,0,0,0,0,2088xe" filled="true" fillcolor="#ffffff" stroked="false">
                      <v:path arrowok="t"/>
                      <v:fill type="solid"/>
                    </v:shape>
                  </v:group>
                  <v:group style="position:absolute;left:23;top:2088;width:1078;height:353" coordorigin="23,2088" coordsize="1078,353">
                    <v:shape style="position:absolute;left:23;top:2088;width:1078;height:353" coordorigin="23,2088" coordsize="1078,353" path="m23,2441l1100,2441,1100,2088,23,2088,23,2441xe" filled="true" fillcolor="#ffffff" stroked="false">
                      <v:path arrowok="t"/>
                      <v:fill type="solid"/>
                    </v:shape>
                  </v:group>
                </v:group>
              </w:pict>
            </w:r>
            <w:r>
              <w:rPr>
                <w:rFonts w:ascii="Times New Roman" w:hAnsi="Times New Roman" w:cs="Times New Roman" w:eastAsia="Times New Roman" w:hint="default"/>
                <w:position w:val="-48"/>
                <w:sz w:val="20"/>
                <w:szCs w:val="20"/>
              </w:rPr>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9"/>
                <w:szCs w:val="19"/>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2234" w:hRule="exact"/>
        </w:trPr>
        <w:tc>
          <w:tcPr>
            <w:tcW w:w="1701" w:type="dxa"/>
            <w:vMerge/>
            <w:tcBorders>
              <w:left w:val="single" w:sz="4" w:space="0" w:color="000000"/>
              <w:bottom w:val="single" w:sz="4" w:space="0" w:color="000000"/>
              <w:right w:val="single" w:sz="4" w:space="0" w:color="000000"/>
            </w:tcBorders>
            <w:shd w:val="clear" w:color="auto" w:fill="D2D2D2"/>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1"/>
              <w:jc w:val="left"/>
              <w:rPr>
                <w:rFonts w:ascii="宋体" w:hAnsi="宋体" w:cs="宋体" w:eastAsia="宋体" w:hint="default"/>
                <w:sz w:val="18"/>
                <w:szCs w:val="18"/>
              </w:rPr>
            </w:pPr>
            <w:r>
              <w:rPr>
                <w:rFonts w:ascii="宋体" w:hAnsi="宋体" w:cs="宋体" w:eastAsia="宋体" w:hint="default"/>
                <w:sz w:val="18"/>
                <w:szCs w:val="18"/>
              </w:rPr>
              <w:t>宣亚投资、张 秀兵、万丽 莉、橙色动 力、伟岸仲 合、金凤银 凰、</w:t>
            </w:r>
            <w:r>
              <w:rPr>
                <w:rFonts w:ascii="Times New Roman" w:hAnsi="Times New Roman" w:cs="Times New Roman" w:eastAsia="Times New Roman" w:hint="default"/>
                <w:sz w:val="18"/>
                <w:szCs w:val="18"/>
              </w:rPr>
              <w:t>BBDO</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亚 太、宾卫、张</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1"/>
                <w:szCs w:val="21"/>
              </w:rPr>
            </w:pPr>
          </w:p>
          <w:p>
            <w:pPr>
              <w:pStyle w:val="TableParagraph"/>
              <w:spacing w:line="316" w:lineRule="auto"/>
              <w:ind w:left="22" w:right="59"/>
              <w:jc w:val="both"/>
              <w:rPr>
                <w:rFonts w:ascii="宋体" w:hAnsi="宋体" w:cs="宋体" w:eastAsia="宋体" w:hint="default"/>
                <w:sz w:val="18"/>
                <w:szCs w:val="18"/>
              </w:rPr>
            </w:pPr>
            <w:r>
              <w:rPr>
                <w:rFonts w:ascii="宋体" w:hAnsi="宋体" w:cs="宋体" w:eastAsia="宋体" w:hint="default"/>
                <w:sz w:val="18"/>
                <w:szCs w:val="18"/>
              </w:rPr>
              <w:t>关于规范和 减少关联交 易的承诺</w:t>
            </w:r>
          </w:p>
        </w:tc>
        <w:tc>
          <w:tcPr>
            <w:tcW w:w="6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00" w:lineRule="auto"/>
              <w:ind w:left="22" w:right="22"/>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本人与宣亚国际之间现时不存在其他任何依照法律法规和中国证监会的有</w:t>
            </w:r>
            <w:r>
              <w:rPr>
                <w:rFonts w:ascii="宋体" w:hAnsi="宋体" w:cs="宋体" w:eastAsia="宋体" w:hint="default"/>
                <w:spacing w:val="-67"/>
                <w:sz w:val="18"/>
                <w:szCs w:val="18"/>
              </w:rPr>
              <w:t> </w:t>
            </w:r>
            <w:r>
              <w:rPr>
                <w:rFonts w:ascii="宋体" w:hAnsi="宋体" w:cs="宋体" w:eastAsia="宋体" w:hint="default"/>
                <w:sz w:val="18"/>
                <w:szCs w:val="18"/>
              </w:rPr>
              <w:t>关规定应披露而未披露的关联交易；</w:t>
            </w:r>
          </w:p>
          <w:p>
            <w:pPr>
              <w:pStyle w:val="TableParagraph"/>
              <w:spacing w:line="240" w:lineRule="auto" w:before="7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本人不以任何方式违法违规占用宣亚国际资金或要求其违法违规为本公司</w:t>
            </w:r>
          </w:p>
          <w:p>
            <w:pPr>
              <w:pStyle w:val="TableParagraph"/>
              <w:spacing w:line="319" w:lineRule="auto" w:before="64"/>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本人提供担保； </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、本公司</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本人不通过非公允关联交易、利润分配、资产重组、对外投资等任何方式</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z w:val="18"/>
                <w:szCs w:val="18"/>
              </w:rPr>
              <w:t>损害宣亚国际及其他股东的合法权益；如在今后的经营活动中本公司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本人与宣亚国</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0"/>
              <w:ind w:right="199"/>
              <w:jc w:val="right"/>
              <w:rPr>
                <w:rFonts w:ascii="宋体" w:hAnsi="宋体" w:cs="宋体" w:eastAsia="宋体" w:hint="default"/>
                <w:sz w:val="18"/>
                <w:szCs w:val="18"/>
              </w:rPr>
            </w:pPr>
            <w:r>
              <w:rPr>
                <w:rFonts w:ascii="宋体" w:hAnsi="宋体" w:cs="宋体" w:eastAsia="宋体" w:hint="default"/>
                <w:sz w:val="18"/>
                <w:szCs w:val="18"/>
              </w:rPr>
              <w:t>正常履行中</w:t>
            </w:r>
          </w:p>
        </w:tc>
      </w:tr>
    </w:tbl>
    <w:p>
      <w:pPr>
        <w:spacing w:after="0" w:line="240" w:lineRule="auto"/>
        <w:jc w:val="right"/>
        <w:rPr>
          <w:rFonts w:ascii="宋体" w:hAnsi="宋体" w:cs="宋体" w:eastAsia="宋体" w:hint="default"/>
          <w:sz w:val="18"/>
          <w:szCs w:val="18"/>
        </w:rPr>
        <w:sectPr>
          <w:pgSz w:w="16840" w:h="11910" w:orient="landscape"/>
          <w:pgMar w:header="867" w:footer="979" w:top="1060" w:bottom="1260" w:left="1320" w:right="1320"/>
        </w:sectPr>
      </w:pPr>
    </w:p>
    <w:p>
      <w:pPr>
        <w:spacing w:line="240" w:lineRule="auto" w:before="4"/>
        <w:rPr>
          <w:rFonts w:ascii="Times New Roman" w:hAnsi="Times New Roman" w:cs="Times New Roman" w:eastAsia="Times New Roman" w:hint="default"/>
          <w:sz w:val="3"/>
          <w:szCs w:val="3"/>
        </w:rPr>
      </w:pPr>
      <w:r>
        <w:rPr/>
        <w:pict>
          <v:shape style="position:absolute;margin-left:365.591003pt;margin-top:77.280006pt;width:287.4pt;height:158.1pt;mso-position-horizontal-relative:page;mso-position-vertical-relative:page;z-index:-97120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pStyle w:val="BodyText"/>
                    <w:spacing w:line="240" w:lineRule="auto" w:before="117"/>
                    <w:ind w:left="0" w:right="0"/>
                    <w:jc w:val="left"/>
                  </w:pPr>
                  <w:r>
                    <w:rPr/>
                    <w:t>规范性文件以及宣亚国际内部管理制度严格履行审批程序；</w:t>
                  </w:r>
                </w:p>
              </w:txbxContent>
            </v:textbox>
            <w10:wrap type="none"/>
          </v:shape>
        </w:pict>
      </w:r>
    </w:p>
    <w:tbl>
      <w:tblPr>
        <w:tblW w:w="0" w:type="auto"/>
        <w:jc w:val="left"/>
        <w:tblInd w:w="106" w:type="dxa"/>
        <w:tblLayout w:type="fixed"/>
        <w:tblCellMar>
          <w:top w:w="0" w:type="dxa"/>
          <w:left w:w="0" w:type="dxa"/>
          <w:bottom w:w="0" w:type="dxa"/>
          <w:right w:w="0" w:type="dxa"/>
        </w:tblCellMar>
        <w:tblLook w:val="01E0"/>
      </w:tblPr>
      <w:tblGrid>
        <w:gridCol w:w="1679"/>
        <w:gridCol w:w="1146"/>
        <w:gridCol w:w="992"/>
        <w:gridCol w:w="6663"/>
        <w:gridCol w:w="1134"/>
        <w:gridCol w:w="1134"/>
        <w:gridCol w:w="1134"/>
      </w:tblGrid>
      <w:tr>
        <w:trPr>
          <w:trHeight w:val="416" w:hRule="exact"/>
        </w:trPr>
        <w:tc>
          <w:tcPr>
            <w:tcW w:w="1679"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承诺来源</w:t>
            </w:r>
          </w:p>
        </w:tc>
        <w:tc>
          <w:tcPr>
            <w:tcW w:w="1146"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992"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6663"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113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13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134" w:type="dxa"/>
            <w:tcBorders>
              <w:top w:val="single" w:sz="15"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00"/>
              <w:jc w:val="right"/>
              <w:rPr>
                <w:rFonts w:ascii="宋体" w:hAnsi="宋体" w:cs="宋体" w:eastAsia="宋体" w:hint="default"/>
                <w:sz w:val="18"/>
                <w:szCs w:val="18"/>
              </w:rPr>
            </w:pPr>
            <w:r>
              <w:rPr>
                <w:rFonts w:ascii="宋体" w:hAnsi="宋体" w:cs="宋体" w:eastAsia="宋体" w:hint="default"/>
                <w:sz w:val="18"/>
                <w:szCs w:val="18"/>
              </w:rPr>
              <w:t>履行情况</w:t>
            </w:r>
          </w:p>
        </w:tc>
      </w:tr>
      <w:tr>
        <w:trPr>
          <w:trHeight w:val="317" w:hRule="exact"/>
        </w:trPr>
        <w:tc>
          <w:tcPr>
            <w:tcW w:w="1679" w:type="dxa"/>
            <w:vMerge w:val="restart"/>
            <w:tcBorders>
              <w:top w:val="single" w:sz="4" w:space="0" w:color="000000"/>
              <w:left w:val="single" w:sz="4" w:space="0" w:color="000000"/>
              <w:right w:val="single" w:sz="4" w:space="0" w:color="000000"/>
            </w:tcBorders>
            <w:shd w:val="clear" w:color="auto" w:fill="D2D2D2"/>
          </w:tcPr>
          <w:p>
            <w:pPr/>
          </w:p>
        </w:tc>
        <w:tc>
          <w:tcPr>
            <w:tcW w:w="114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34" w:right="0"/>
              <w:jc w:val="left"/>
              <w:rPr>
                <w:rFonts w:ascii="宋体" w:hAnsi="宋体" w:cs="宋体" w:eastAsia="宋体" w:hint="default"/>
                <w:sz w:val="18"/>
                <w:szCs w:val="18"/>
              </w:rPr>
            </w:pPr>
            <w:r>
              <w:rPr>
                <w:rFonts w:ascii="宋体" w:hAnsi="宋体" w:cs="宋体" w:eastAsia="宋体" w:hint="default"/>
                <w:sz w:val="18"/>
                <w:szCs w:val="18"/>
              </w:rPr>
              <w:t>二东、何骁</w:t>
            </w:r>
          </w:p>
        </w:tc>
        <w:tc>
          <w:tcPr>
            <w:tcW w:w="992" w:type="dxa"/>
            <w:vMerge w:val="restart"/>
            <w:tcBorders>
              <w:top w:val="single" w:sz="4" w:space="0" w:color="000000"/>
              <w:left w:val="single" w:sz="4" w:space="0" w:color="000000"/>
              <w:right w:val="single" w:sz="4" w:space="0" w:color="000000"/>
            </w:tcBorders>
          </w:tcPr>
          <w:p>
            <w:pPr/>
          </w:p>
        </w:tc>
        <w:tc>
          <w:tcPr>
            <w:tcW w:w="666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际之间发生无法避免的关联交易，则此种关联交易的条件必须按正常的商业条件进</w:t>
            </w:r>
          </w:p>
        </w:tc>
        <w:tc>
          <w:tcPr>
            <w:tcW w:w="1134" w:type="dxa"/>
            <w:vMerge w:val="restart"/>
            <w:tcBorders>
              <w:top w:val="single" w:sz="4" w:space="0" w:color="000000"/>
              <w:left w:val="single" w:sz="4" w:space="0" w:color="000000"/>
              <w:right w:val="single" w:sz="4" w:space="0" w:color="000000"/>
            </w:tcBorders>
          </w:tcPr>
          <w:p>
            <w:pPr>
              <w:pStyle w:val="TableParagraph"/>
              <w:spacing w:line="3161" w:lineRule="exact"/>
              <w:ind w:right="-5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2"/>
                <w:sz w:val="20"/>
                <w:szCs w:val="20"/>
              </w:rPr>
              <w:pict>
                <v:group style="width:56.2pt;height:158.1pt;mso-position-horizontal-relative:char;mso-position-vertical-relative:line" coordorigin="0,0" coordsize="1124,3162">
                  <v:group style="position:absolute;left:0;top:0;width:1124;height:3162" coordorigin="0,0" coordsize="1124,3162">
                    <v:shape style="position:absolute;left:0;top:0;width:1124;height:3162" coordorigin="0,0" coordsize="1124,3162" path="m0,3161l1123,3161,1123,0,0,0,0,3161xe" filled="true" fillcolor="#ffffff" stroked="false">
                      <v:path arrowok="t"/>
                      <v:fill type="solid"/>
                    </v:shape>
                  </v:group>
                </v:group>
              </w:pict>
            </w:r>
            <w:r>
              <w:rPr>
                <w:rFonts w:ascii="Times New Roman" w:hAnsi="Times New Roman" w:cs="Times New Roman" w:eastAsia="Times New Roman" w:hint="default"/>
                <w:position w:val="-62"/>
                <w:sz w:val="20"/>
                <w:szCs w:val="20"/>
              </w:rPr>
            </w:r>
          </w:p>
        </w:tc>
        <w:tc>
          <w:tcPr>
            <w:tcW w:w="1134" w:type="dxa"/>
            <w:vMerge w:val="restart"/>
            <w:tcBorders>
              <w:top w:val="single" w:sz="4" w:space="0" w:color="000000"/>
              <w:left w:val="single" w:sz="4" w:space="0" w:color="000000"/>
              <w:right w:val="single" w:sz="4" w:space="0" w:color="000000"/>
            </w:tcBorders>
          </w:tcPr>
          <w:p>
            <w:pPr/>
          </w:p>
        </w:tc>
        <w:tc>
          <w:tcPr>
            <w:tcW w:w="1134" w:type="dxa"/>
            <w:vMerge w:val="restart"/>
            <w:tcBorders>
              <w:top w:val="single" w:sz="4" w:space="0" w:color="000000"/>
              <w:left w:val="single" w:sz="4" w:space="0" w:color="000000"/>
              <w:right w:val="single" w:sz="4" w:space="0" w:color="000000"/>
            </w:tcBorders>
          </w:tcPr>
          <w:p>
            <w:pPr/>
          </w:p>
        </w:tc>
      </w:tr>
      <w:tr>
        <w:trPr>
          <w:trHeight w:val="313" w:hRule="exact"/>
        </w:trPr>
        <w:tc>
          <w:tcPr>
            <w:tcW w:w="1679" w:type="dxa"/>
            <w:vMerge/>
            <w:tcBorders>
              <w:left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军、张顺和、</w:t>
            </w:r>
          </w:p>
        </w:tc>
        <w:tc>
          <w:tcPr>
            <w:tcW w:w="992" w:type="dxa"/>
            <w:vMerge/>
            <w:tcBorders>
              <w:left w:val="single" w:sz="4" w:space="0" w:color="000000"/>
              <w:right w:val="single" w:sz="4" w:space="0" w:color="000000"/>
            </w:tcBorders>
          </w:tcPr>
          <w:p>
            <w:pPr/>
          </w:p>
        </w:tc>
        <w:tc>
          <w:tcPr>
            <w:tcW w:w="6663"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pacing w:val="-9"/>
                <w:sz w:val="18"/>
                <w:szCs w:val="18"/>
              </w:rPr>
              <w:t>行，并按国家法律、法规、</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37" w:hRule="exact"/>
        </w:trPr>
        <w:tc>
          <w:tcPr>
            <w:tcW w:w="1679" w:type="dxa"/>
            <w:vMerge/>
            <w:tcBorders>
              <w:left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王正鹏、徐轶</w:t>
            </w:r>
          </w:p>
        </w:tc>
        <w:tc>
          <w:tcPr>
            <w:tcW w:w="992" w:type="dxa"/>
            <w:vMerge/>
            <w:tcBorders>
              <w:left w:val="single" w:sz="4" w:space="0" w:color="000000"/>
              <w:right w:val="single" w:sz="4" w:space="0" w:color="000000"/>
            </w:tcBorders>
          </w:tcPr>
          <w:p>
            <w:pPr/>
          </w:p>
        </w:tc>
        <w:tc>
          <w:tcPr>
            <w:tcW w:w="6663" w:type="dxa"/>
            <w:tcBorders>
              <w:top w:val="nil" w:sz="6" w:space="0" w:color="auto"/>
              <w:left w:val="single" w:sz="4" w:space="0" w:color="000000"/>
              <w:bottom w:val="nil" w:sz="6" w:space="0" w:color="auto"/>
              <w:right w:val="single" w:sz="4" w:space="0" w:color="000000"/>
            </w:tcBorders>
          </w:tcPr>
          <w:p>
            <w:pPr>
              <w:pStyle w:val="TableParagraph"/>
              <w:spacing w:line="240" w:lineRule="auto" w:before="50"/>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、本公司</w:t>
            </w:r>
            <w:r>
              <w:rPr>
                <w:rFonts w:ascii="Times New Roman" w:hAnsi="Times New Roman" w:cs="Times New Roman" w:eastAsia="Times New Roman" w:hint="default"/>
                <w:sz w:val="18"/>
                <w:szCs w:val="18"/>
              </w:rPr>
              <w:t>/</w:t>
            </w:r>
            <w:r>
              <w:rPr>
                <w:rFonts w:ascii="宋体" w:hAnsi="宋体" w:cs="宋体" w:eastAsia="宋体" w:hint="default"/>
                <w:sz w:val="18"/>
                <w:szCs w:val="18"/>
              </w:rPr>
              <w:t>本人不以任何方式影响宣亚国际的独立性，保证其资产完整、人员独立、</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08" w:hRule="exact"/>
        </w:trPr>
        <w:tc>
          <w:tcPr>
            <w:tcW w:w="1679" w:type="dxa"/>
            <w:vMerge/>
            <w:tcBorders>
              <w:left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nil" w:sz="6" w:space="0" w:color="auto"/>
              <w:right w:val="single" w:sz="4" w:space="0" w:color="000000"/>
            </w:tcBorders>
          </w:tcPr>
          <w:p>
            <w:pPr>
              <w:pStyle w:val="TableParagraph"/>
              <w:spacing w:line="221" w:lineRule="exact"/>
              <w:ind w:left="34" w:right="0"/>
              <w:jc w:val="left"/>
              <w:rPr>
                <w:rFonts w:ascii="宋体" w:hAnsi="宋体" w:cs="宋体" w:eastAsia="宋体" w:hint="default"/>
                <w:sz w:val="18"/>
                <w:szCs w:val="18"/>
              </w:rPr>
            </w:pPr>
            <w:r>
              <w:rPr>
                <w:rFonts w:ascii="宋体" w:hAnsi="宋体" w:cs="宋体" w:eastAsia="宋体" w:hint="default"/>
                <w:sz w:val="18"/>
                <w:szCs w:val="18"/>
              </w:rPr>
              <w:t>尊、李弘扬、</w:t>
            </w:r>
          </w:p>
        </w:tc>
        <w:tc>
          <w:tcPr>
            <w:tcW w:w="992" w:type="dxa"/>
            <w:vMerge/>
            <w:tcBorders>
              <w:left w:val="single" w:sz="4" w:space="0" w:color="000000"/>
              <w:right w:val="single" w:sz="4" w:space="0" w:color="000000"/>
            </w:tcBorders>
          </w:tcPr>
          <w:p>
            <w:pPr/>
          </w:p>
        </w:tc>
        <w:tc>
          <w:tcPr>
            <w:tcW w:w="6663" w:type="dxa"/>
            <w:tcBorders>
              <w:top w:val="nil" w:sz="6" w:space="0" w:color="auto"/>
              <w:left w:val="single" w:sz="4" w:space="0" w:color="000000"/>
              <w:bottom w:val="nil" w:sz="6" w:space="0" w:color="auto"/>
              <w:right w:val="single" w:sz="4" w:space="0" w:color="000000"/>
            </w:tcBorders>
          </w:tcPr>
          <w:p>
            <w:pPr>
              <w:pStyle w:val="TableParagraph"/>
              <w:spacing w:line="240" w:lineRule="auto" w:before="27"/>
              <w:ind w:left="22" w:right="0"/>
              <w:jc w:val="left"/>
              <w:rPr>
                <w:rFonts w:ascii="宋体" w:hAnsi="宋体" w:cs="宋体" w:eastAsia="宋体" w:hint="default"/>
                <w:sz w:val="18"/>
                <w:szCs w:val="18"/>
              </w:rPr>
            </w:pPr>
            <w:r>
              <w:rPr>
                <w:rFonts w:ascii="宋体" w:hAnsi="宋体" w:cs="宋体" w:eastAsia="宋体" w:hint="default"/>
                <w:sz w:val="18"/>
                <w:szCs w:val="18"/>
              </w:rPr>
              <w:t>财务独立、机构独立和业务独立。</w:t>
            </w: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291" w:hRule="exact"/>
        </w:trPr>
        <w:tc>
          <w:tcPr>
            <w:tcW w:w="1679" w:type="dxa"/>
            <w:vMerge/>
            <w:tcBorders>
              <w:left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nil" w:sz="6" w:space="0" w:color="auto"/>
              <w:right w:val="single" w:sz="4" w:space="0" w:color="000000"/>
            </w:tcBorders>
          </w:tcPr>
          <w:p>
            <w:pPr>
              <w:pStyle w:val="TableParagraph"/>
              <w:spacing w:line="225" w:lineRule="exact"/>
              <w:ind w:left="34" w:right="0"/>
              <w:jc w:val="left"/>
              <w:rPr>
                <w:rFonts w:ascii="宋体" w:hAnsi="宋体" w:cs="宋体" w:eastAsia="宋体" w:hint="default"/>
                <w:sz w:val="18"/>
                <w:szCs w:val="18"/>
              </w:rPr>
            </w:pPr>
            <w:r>
              <w:rPr>
                <w:rFonts w:ascii="宋体" w:hAnsi="宋体" w:cs="宋体" w:eastAsia="宋体" w:hint="default"/>
                <w:sz w:val="18"/>
                <w:szCs w:val="18"/>
              </w:rPr>
              <w:t>邬涛、刘妍、</w:t>
            </w:r>
          </w:p>
        </w:tc>
        <w:tc>
          <w:tcPr>
            <w:tcW w:w="992" w:type="dxa"/>
            <w:vMerge/>
            <w:tcBorders>
              <w:left w:val="single" w:sz="4" w:space="0" w:color="000000"/>
              <w:right w:val="single" w:sz="4" w:space="0" w:color="000000"/>
            </w:tcBorders>
          </w:tcPr>
          <w:p>
            <w:pPr/>
          </w:p>
        </w:tc>
        <w:tc>
          <w:tcPr>
            <w:tcW w:w="666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1679" w:type="dxa"/>
            <w:vMerge/>
            <w:tcBorders>
              <w:left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吴卫华、宣正</w:t>
            </w:r>
          </w:p>
        </w:tc>
        <w:tc>
          <w:tcPr>
            <w:tcW w:w="992" w:type="dxa"/>
            <w:vMerge/>
            <w:tcBorders>
              <w:left w:val="single" w:sz="4" w:space="0" w:color="000000"/>
              <w:right w:val="single" w:sz="4" w:space="0" w:color="000000"/>
            </w:tcBorders>
          </w:tcPr>
          <w:p>
            <w:pPr/>
          </w:p>
        </w:tc>
        <w:tc>
          <w:tcPr>
            <w:tcW w:w="666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1679" w:type="dxa"/>
            <w:vMerge/>
            <w:tcBorders>
              <w:left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元、闫贵忠、</w:t>
            </w:r>
          </w:p>
        </w:tc>
        <w:tc>
          <w:tcPr>
            <w:tcW w:w="992" w:type="dxa"/>
            <w:vMerge/>
            <w:tcBorders>
              <w:left w:val="single" w:sz="4" w:space="0" w:color="000000"/>
              <w:right w:val="single" w:sz="4" w:space="0" w:color="000000"/>
            </w:tcBorders>
          </w:tcPr>
          <w:p>
            <w:pPr/>
          </w:p>
        </w:tc>
        <w:tc>
          <w:tcPr>
            <w:tcW w:w="666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2" w:hRule="exact"/>
        </w:trPr>
        <w:tc>
          <w:tcPr>
            <w:tcW w:w="1679" w:type="dxa"/>
            <w:vMerge/>
            <w:tcBorders>
              <w:left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黄硕、丛日</w:t>
            </w:r>
          </w:p>
        </w:tc>
        <w:tc>
          <w:tcPr>
            <w:tcW w:w="992" w:type="dxa"/>
            <w:vMerge/>
            <w:tcBorders>
              <w:left w:val="single" w:sz="4" w:space="0" w:color="000000"/>
              <w:right w:val="single" w:sz="4" w:space="0" w:color="000000"/>
            </w:tcBorders>
          </w:tcPr>
          <w:p>
            <w:pPr/>
          </w:p>
        </w:tc>
        <w:tc>
          <w:tcPr>
            <w:tcW w:w="666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13" w:hRule="exact"/>
        </w:trPr>
        <w:tc>
          <w:tcPr>
            <w:tcW w:w="1679" w:type="dxa"/>
            <w:vMerge/>
            <w:tcBorders>
              <w:left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z w:val="18"/>
                <w:szCs w:val="18"/>
              </w:rPr>
              <w:t>华、张伟、方</w:t>
            </w:r>
          </w:p>
        </w:tc>
        <w:tc>
          <w:tcPr>
            <w:tcW w:w="992" w:type="dxa"/>
            <w:vMerge/>
            <w:tcBorders>
              <w:left w:val="single" w:sz="4" w:space="0" w:color="000000"/>
              <w:right w:val="single" w:sz="4" w:space="0" w:color="000000"/>
            </w:tcBorders>
          </w:tcPr>
          <w:p>
            <w:pPr/>
          </w:p>
        </w:tc>
        <w:tc>
          <w:tcPr>
            <w:tcW w:w="6663" w:type="dxa"/>
            <w:tcBorders>
              <w:top w:val="nil" w:sz="6" w:space="0" w:color="auto"/>
              <w:left w:val="single" w:sz="4" w:space="0" w:color="000000"/>
              <w:bottom w:val="nil" w:sz="6" w:space="0" w:color="auto"/>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r>
      <w:tr>
        <w:trPr>
          <w:trHeight w:val="357" w:hRule="exact"/>
        </w:trPr>
        <w:tc>
          <w:tcPr>
            <w:tcW w:w="1679" w:type="dxa"/>
            <w:vMerge/>
            <w:tcBorders>
              <w:left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34" w:right="0"/>
              <w:jc w:val="left"/>
              <w:rPr>
                <w:rFonts w:ascii="宋体" w:hAnsi="宋体" w:cs="宋体" w:eastAsia="宋体" w:hint="default"/>
                <w:sz w:val="18"/>
                <w:szCs w:val="18"/>
              </w:rPr>
            </w:pPr>
            <w:r>
              <w:rPr>
                <w:rFonts w:ascii="宋体" w:hAnsi="宋体" w:cs="宋体" w:eastAsia="宋体" w:hint="default"/>
                <w:sz w:val="18"/>
                <w:szCs w:val="18"/>
              </w:rPr>
              <w:t>军、王桢</w:t>
            </w:r>
          </w:p>
        </w:tc>
        <w:tc>
          <w:tcPr>
            <w:tcW w:w="992" w:type="dxa"/>
            <w:vMerge/>
            <w:tcBorders>
              <w:left w:val="single" w:sz="4" w:space="0" w:color="000000"/>
              <w:bottom w:val="single" w:sz="4" w:space="0" w:color="000000"/>
              <w:right w:val="single" w:sz="4" w:space="0" w:color="000000"/>
            </w:tcBorders>
          </w:tcPr>
          <w:p>
            <w:pPr/>
          </w:p>
        </w:tc>
        <w:tc>
          <w:tcPr>
            <w:tcW w:w="6663" w:type="dxa"/>
            <w:tcBorders>
              <w:top w:val="nil" w:sz="6" w:space="0" w:color="auto"/>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r>
      <w:tr>
        <w:trPr>
          <w:trHeight w:val="358" w:hRule="exact"/>
        </w:trPr>
        <w:tc>
          <w:tcPr>
            <w:tcW w:w="1679" w:type="dxa"/>
            <w:vMerge/>
            <w:tcBorders>
              <w:left w:val="single" w:sz="4" w:space="0" w:color="000000"/>
              <w:right w:val="single" w:sz="4" w:space="0" w:color="000000"/>
            </w:tcBorders>
            <w:shd w:val="clear" w:color="auto" w:fill="D2D2D2"/>
          </w:tcPr>
          <w:p>
            <w:pPr/>
          </w:p>
        </w:tc>
        <w:tc>
          <w:tcPr>
            <w:tcW w:w="1146" w:type="dxa"/>
            <w:tcBorders>
              <w:top w:val="single" w:sz="4" w:space="0" w:color="000000"/>
              <w:left w:val="single" w:sz="4" w:space="0" w:color="000000"/>
              <w:bottom w:val="nil" w:sz="6" w:space="0" w:color="auto"/>
              <w:right w:val="single" w:sz="4" w:space="0" w:color="000000"/>
            </w:tcBorders>
          </w:tcPr>
          <w:p>
            <w:pPr/>
          </w:p>
        </w:tc>
        <w:tc>
          <w:tcPr>
            <w:tcW w:w="99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关于珠海宣</w:t>
            </w:r>
          </w:p>
        </w:tc>
        <w:tc>
          <w:tcPr>
            <w:tcW w:w="6663"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r>
      <w:tr>
        <w:trPr>
          <w:trHeight w:val="937" w:hRule="exact"/>
        </w:trPr>
        <w:tc>
          <w:tcPr>
            <w:tcW w:w="1679" w:type="dxa"/>
            <w:vMerge/>
            <w:tcBorders>
              <w:left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34"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99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59"/>
              <w:jc w:val="both"/>
              <w:rPr>
                <w:rFonts w:ascii="宋体" w:hAnsi="宋体" w:cs="宋体" w:eastAsia="宋体" w:hint="default"/>
                <w:sz w:val="18"/>
                <w:szCs w:val="18"/>
              </w:rPr>
            </w:pPr>
            <w:r>
              <w:rPr>
                <w:rFonts w:ascii="宋体" w:hAnsi="宋体" w:cs="宋体" w:eastAsia="宋体" w:hint="default"/>
                <w:sz w:val="18"/>
                <w:szCs w:val="18"/>
              </w:rPr>
              <w:t>亚所租赁的 房屋尚未办 理产权证书</w:t>
            </w:r>
          </w:p>
        </w:tc>
        <w:tc>
          <w:tcPr>
            <w:tcW w:w="6663"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23"/>
              <w:jc w:val="both"/>
              <w:rPr>
                <w:rFonts w:ascii="宋体" w:hAnsi="宋体" w:cs="宋体" w:eastAsia="宋体" w:hint="default"/>
                <w:sz w:val="18"/>
                <w:szCs w:val="18"/>
              </w:rPr>
            </w:pPr>
            <w:r>
              <w:rPr>
                <w:rFonts w:ascii="宋体" w:hAnsi="宋体" w:cs="宋体" w:eastAsia="宋体" w:hint="default"/>
                <w:spacing w:val="-2"/>
                <w:sz w:val="18"/>
                <w:szCs w:val="18"/>
              </w:rPr>
              <w:t>如发生任何纠纷或政府部门要求搬迁，导致公司需要另租其他生产经营场地，宣亚投</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pacing w:val="-2"/>
                <w:sz w:val="18"/>
                <w:szCs w:val="18"/>
              </w:rPr>
              <w:t>资将承担公司的搬迁费用、因生产经营停顿所产生的损失以及其他相关损失，且在承</w:t>
            </w:r>
            <w:r>
              <w:rPr>
                <w:rFonts w:ascii="宋体" w:hAnsi="宋体" w:cs="宋体" w:eastAsia="宋体" w:hint="default"/>
                <w:spacing w:val="-73"/>
                <w:sz w:val="18"/>
                <w:szCs w:val="18"/>
              </w:rPr>
              <w:t> </w:t>
            </w:r>
            <w:r>
              <w:rPr>
                <w:rFonts w:ascii="宋体" w:hAnsi="宋体" w:cs="宋体" w:eastAsia="宋体" w:hint="default"/>
                <w:spacing w:val="-73"/>
                <w:sz w:val="18"/>
                <w:szCs w:val="18"/>
              </w:rPr>
            </w:r>
            <w:r>
              <w:rPr>
                <w:rFonts w:ascii="宋体" w:hAnsi="宋体" w:cs="宋体" w:eastAsia="宋体" w:hint="default"/>
                <w:sz w:val="18"/>
                <w:szCs w:val="18"/>
              </w:rPr>
              <w:t>担相关支出后不向公司追偿，保证公司不会因此遭受任何损失。</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2" w:right="0"/>
              <w:jc w:val="left"/>
              <w:rPr>
                <w:rFonts w:ascii="宋体" w:hAnsi="宋体" w:cs="宋体" w:eastAsia="宋体" w:hint="default"/>
                <w:sz w:val="18"/>
                <w:szCs w:val="18"/>
              </w:rPr>
            </w:pPr>
            <w:r>
              <w:rPr>
                <w:rFonts w:ascii="宋体" w:hAnsi="宋体" w:cs="宋体" w:eastAsia="宋体" w:hint="default"/>
                <w:sz w:val="18"/>
                <w:szCs w:val="18"/>
              </w:rPr>
              <w:t>长期有效</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right="199"/>
              <w:jc w:val="right"/>
              <w:rPr>
                <w:rFonts w:ascii="宋体" w:hAnsi="宋体" w:cs="宋体" w:eastAsia="宋体" w:hint="default"/>
                <w:sz w:val="18"/>
                <w:szCs w:val="18"/>
              </w:rPr>
            </w:pPr>
            <w:r>
              <w:rPr>
                <w:rFonts w:ascii="宋体" w:hAnsi="宋体" w:cs="宋体" w:eastAsia="宋体" w:hint="default"/>
                <w:sz w:val="18"/>
                <w:szCs w:val="18"/>
              </w:rPr>
              <w:t>正常履行中</w:t>
            </w:r>
          </w:p>
        </w:tc>
      </w:tr>
      <w:tr>
        <w:trPr>
          <w:trHeight w:val="356" w:hRule="exact"/>
        </w:trPr>
        <w:tc>
          <w:tcPr>
            <w:tcW w:w="1679" w:type="dxa"/>
            <w:vMerge/>
            <w:tcBorders>
              <w:left w:val="single" w:sz="4" w:space="0" w:color="000000"/>
              <w:bottom w:val="single" w:sz="4" w:space="0" w:color="000000"/>
              <w:right w:val="single" w:sz="4" w:space="0" w:color="000000"/>
            </w:tcBorders>
            <w:shd w:val="clear" w:color="auto" w:fill="D2D2D2"/>
          </w:tcPr>
          <w:p>
            <w:pPr/>
          </w:p>
        </w:tc>
        <w:tc>
          <w:tcPr>
            <w:tcW w:w="1146" w:type="dxa"/>
            <w:tcBorders>
              <w:top w:val="nil" w:sz="6" w:space="0" w:color="auto"/>
              <w:left w:val="single" w:sz="4" w:space="0" w:color="000000"/>
              <w:bottom w:val="single" w:sz="4" w:space="0" w:color="000000"/>
              <w:right w:val="single" w:sz="4" w:space="0" w:color="000000"/>
            </w:tcBorders>
          </w:tcPr>
          <w:p>
            <w:pPr/>
          </w:p>
        </w:tc>
        <w:tc>
          <w:tcPr>
            <w:tcW w:w="99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的承诺</w:t>
            </w:r>
          </w:p>
        </w:tc>
        <w:tc>
          <w:tcPr>
            <w:tcW w:w="6663"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146"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146" w:type="dxa"/>
            <w:tcBorders>
              <w:top w:val="single" w:sz="4" w:space="0" w:color="000000"/>
              <w:left w:val="single" w:sz="13" w:space="0" w:color="D2D2D2"/>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6663"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1146"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66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358" w:hRule="exact"/>
        </w:trPr>
        <w:tc>
          <w:tcPr>
            <w:tcW w:w="1679" w:type="dxa"/>
            <w:tcBorders>
              <w:top w:val="single" w:sz="4" w:space="0" w:color="000000"/>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如承诺超期未履行完</w:t>
            </w:r>
          </w:p>
        </w:tc>
        <w:tc>
          <w:tcPr>
            <w:tcW w:w="12204" w:type="dxa"/>
            <w:gridSpan w:val="6"/>
            <w:tcBorders>
              <w:top w:val="single" w:sz="4" w:space="0" w:color="000000"/>
              <w:left w:val="single" w:sz="13" w:space="0" w:color="D2D2D2"/>
              <w:bottom w:val="nil" w:sz="6" w:space="0" w:color="auto"/>
              <w:right w:val="single" w:sz="4" w:space="0" w:color="000000"/>
            </w:tcBorders>
          </w:tcPr>
          <w:p>
            <w:pPr/>
          </w:p>
        </w:tc>
      </w:tr>
      <w:tr>
        <w:trPr>
          <w:trHeight w:val="311" w:hRule="exact"/>
        </w:trPr>
        <w:tc>
          <w:tcPr>
            <w:tcW w:w="1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毕的，应当详细说明</w:t>
            </w:r>
          </w:p>
        </w:tc>
        <w:tc>
          <w:tcPr>
            <w:tcW w:w="12204" w:type="dxa"/>
            <w:gridSpan w:val="6"/>
            <w:tcBorders>
              <w:top w:val="nil" w:sz="6" w:space="0" w:color="auto"/>
              <w:left w:val="single" w:sz="13" w:space="0" w:color="D2D2D2"/>
              <w:bottom w:val="nil" w:sz="6" w:space="0" w:color="auto"/>
              <w:right w:val="single" w:sz="4" w:space="0" w:color="000000"/>
            </w:tcBorders>
          </w:tcPr>
          <w:p>
            <w:pPr/>
          </w:p>
        </w:tc>
      </w:tr>
      <w:tr>
        <w:trPr>
          <w:trHeight w:val="313" w:hRule="exact"/>
        </w:trPr>
        <w:tc>
          <w:tcPr>
            <w:tcW w:w="1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未完成履行的具体原</w:t>
            </w:r>
          </w:p>
        </w:tc>
        <w:tc>
          <w:tcPr>
            <w:tcW w:w="12204" w:type="dxa"/>
            <w:gridSpan w:val="6"/>
            <w:tcBorders>
              <w:top w:val="nil" w:sz="6" w:space="0" w:color="auto"/>
              <w:left w:val="single" w:sz="13" w:space="0" w:color="D2D2D2"/>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12" w:hRule="exact"/>
        </w:trPr>
        <w:tc>
          <w:tcPr>
            <w:tcW w:w="16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10"/>
              <w:ind w:left="11" w:right="0"/>
              <w:jc w:val="left"/>
              <w:rPr>
                <w:rFonts w:ascii="宋体" w:hAnsi="宋体" w:cs="宋体" w:eastAsia="宋体" w:hint="default"/>
                <w:sz w:val="18"/>
                <w:szCs w:val="18"/>
              </w:rPr>
            </w:pPr>
            <w:r>
              <w:rPr>
                <w:rFonts w:ascii="宋体" w:hAnsi="宋体" w:cs="宋体" w:eastAsia="宋体" w:hint="default"/>
                <w:sz w:val="18"/>
                <w:szCs w:val="18"/>
              </w:rPr>
              <w:t>因及下一步的工作计</w:t>
            </w:r>
          </w:p>
        </w:tc>
        <w:tc>
          <w:tcPr>
            <w:tcW w:w="12204" w:type="dxa"/>
            <w:gridSpan w:val="6"/>
            <w:tcBorders>
              <w:top w:val="nil" w:sz="6" w:space="0" w:color="auto"/>
              <w:left w:val="single" w:sz="13" w:space="0" w:color="D2D2D2"/>
              <w:bottom w:val="nil" w:sz="6" w:space="0" w:color="auto"/>
              <w:right w:val="single" w:sz="4" w:space="0" w:color="000000"/>
            </w:tcBorders>
          </w:tcPr>
          <w:p>
            <w:pPr/>
          </w:p>
        </w:tc>
      </w:tr>
      <w:tr>
        <w:trPr>
          <w:trHeight w:val="357" w:hRule="exact"/>
        </w:trPr>
        <w:tc>
          <w:tcPr>
            <w:tcW w:w="1679" w:type="dxa"/>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划</w:t>
            </w:r>
          </w:p>
        </w:tc>
        <w:tc>
          <w:tcPr>
            <w:tcW w:w="12204" w:type="dxa"/>
            <w:gridSpan w:val="6"/>
            <w:tcBorders>
              <w:top w:val="nil" w:sz="6" w:space="0" w:color="auto"/>
              <w:left w:val="single" w:sz="13" w:space="0" w:color="D2D2D2"/>
              <w:bottom w:val="single" w:sz="4" w:space="0" w:color="000000"/>
              <w:right w:val="single" w:sz="4" w:space="0" w:color="000000"/>
            </w:tcBorders>
          </w:tcPr>
          <w:p>
            <w:pPr/>
          </w:p>
        </w:tc>
      </w:tr>
    </w:tbl>
    <w:p>
      <w:pPr>
        <w:spacing w:after="0"/>
        <w:sectPr>
          <w:pgSz w:w="16840" w:h="11910" w:orient="landscape"/>
          <w:pgMar w:header="867" w:footer="979" w:top="1060" w:bottom="1160" w:left="1340" w:right="1320"/>
        </w:sectPr>
      </w:pPr>
    </w:p>
    <w:p>
      <w:pPr>
        <w:spacing w:line="240" w:lineRule="auto" w:before="7"/>
        <w:rPr>
          <w:rFonts w:ascii="Times New Roman" w:hAnsi="Times New Roman" w:cs="Times New Roman" w:eastAsia="Times New Roman" w:hint="default"/>
          <w:sz w:val="23"/>
          <w:szCs w:val="23"/>
        </w:rPr>
      </w:pPr>
    </w:p>
    <w:p>
      <w:pPr>
        <w:pStyle w:val="Heading4"/>
        <w:spacing w:line="259" w:lineRule="auto" w:before="35"/>
        <w:ind w:right="0"/>
        <w:jc w:val="left"/>
        <w:rPr>
          <w:b w:val="0"/>
          <w:bCs w:val="0"/>
        </w:rPr>
      </w:pPr>
      <w:bookmarkStart w:name="2、公司资产或项目存在盈利预测，且报告期仍处在盈利预测期间，公司就资产或项目达到" w:id="68"/>
      <w:bookmarkEnd w:id="68"/>
      <w:r>
        <w:rPr>
          <w:b w:val="0"/>
          <w:bCs w:val="0"/>
        </w:rPr>
      </w: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74"/>
        </w:rPr>
        <w:t> </w:t>
      </w:r>
      <w:r>
        <w:rPr>
          <w:spacing w:val="-74"/>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三、控股股东及其关联方对上市公司的非经营性占用资金情况" w:id="69"/>
      <w:bookmarkEnd w:id="69"/>
      <w:r>
        <w:rPr>
          <w:b w:val="0"/>
          <w:bCs w:val="0"/>
        </w:rPr>
      </w:r>
      <w:r>
        <w:rPr/>
        <w:t>三、控股股东及其关联方对上市公司的非经营性占用资金情况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111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公司报告期不存在控股股东及其关联方对上市公司的非经营性占用资金。四、董事会对最近一期</w:t>
      </w:r>
      <w:r>
        <w:rPr>
          <w:rFonts w:ascii="Times New Roman" w:hAnsi="Times New Roman" w:cs="Times New Roman" w:eastAsia="Times New Roman" w:hint="default"/>
          <w:spacing w:val="-2"/>
        </w:rPr>
        <w:t>“</w:t>
      </w:r>
      <w:r>
        <w:rPr>
          <w:spacing w:val="-2"/>
        </w:rPr>
        <w:t>非标准审计报告</w:t>
      </w:r>
      <w:r>
        <w:rPr>
          <w:rFonts w:ascii="Times New Roman" w:hAnsi="Times New Roman" w:cs="Times New Roman" w:eastAsia="Times New Roman" w:hint="default"/>
          <w:spacing w:val="-2"/>
        </w:rPr>
        <w:t>”</w:t>
      </w:r>
      <w:r>
        <w:rPr>
          <w:spacing w:val="-2"/>
        </w:rPr>
        <w:t>相关情况</w:t>
      </w:r>
      <w:r>
        <w:rPr>
          <w:spacing w:val="-43"/>
        </w:rPr>
        <w:t> </w:t>
      </w:r>
      <w:r>
        <w:rPr/>
        <w:t>的说明</w:t>
      </w:r>
    </w:p>
    <w:p>
      <w:pPr>
        <w:pStyle w:val="BodyText"/>
        <w:spacing w:line="240" w:lineRule="auto" w:before="5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四、董事会对最近一期“非标准审计报告”相关情况的说明" w:id="70"/>
      <w:bookmarkEnd w:id="70"/>
      <w:r>
        <w:rPr>
          <w:b w:val="0"/>
          <w:bCs w:val="0"/>
        </w:rPr>
      </w:r>
      <w:r>
        <w:rPr/>
        <w:t>四、董事会对最近一期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相关情况的说明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董事会、监事会、独立董事（如有）对会计师事务所本报告期“非标准审计报告”的说" w:id="71"/>
      <w:bookmarkEnd w:id="71"/>
      <w:r>
        <w:rPr>
          <w:b w:val="0"/>
          <w:bCs w:val="0"/>
        </w:rPr>
      </w:r>
      <w:r>
        <w:rPr/>
        <w:t>五、董事会、监事会、独立董事（如有）对会计师事务所本报告期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4"/>
        <w:rPr>
          <w:rFonts w:ascii="宋体" w:hAnsi="宋体" w:cs="宋体" w:eastAsia="宋体" w:hint="default"/>
          <w:b/>
          <w:bCs/>
          <w:sz w:val="25"/>
          <w:szCs w:val="25"/>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六、董事会关于报告期会计政策、会计估计变更或重大会计差错更正的说明" w:id="72"/>
      <w:bookmarkEnd w:id="72"/>
      <w:r>
        <w:rPr>
          <w:b w:val="0"/>
          <w:bCs w:val="0"/>
        </w:rPr>
      </w:r>
      <w:r>
        <w:rPr/>
        <w:t>六、董事会关于报告期会计政策、会计估计变更或重大会计差错更正的说明</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51" w:right="1027" w:hanging="3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spacing w:val="-2"/>
        </w:rPr>
        <w:t>财政部于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15</w:t>
      </w:r>
      <w:r>
        <w:rPr>
          <w:spacing w:val="-2"/>
        </w:rPr>
        <w:t>日发布了《财政部关于修订印发</w:t>
      </w:r>
      <w:r>
        <w:rPr>
          <w:rFonts w:ascii="Times New Roman" w:hAnsi="Times New Roman" w:cs="Times New Roman" w:eastAsia="Times New Roman" w:hint="default"/>
          <w:spacing w:val="-2"/>
        </w:rPr>
        <w:t>2018</w:t>
      </w:r>
      <w:r>
        <w:rPr>
          <w:spacing w:val="-2"/>
        </w:rPr>
        <w:t>年度一般企业财务报表格式的通知》（财会（</w:t>
      </w:r>
      <w:r>
        <w:rPr>
          <w:rFonts w:ascii="Times New Roman" w:hAnsi="Times New Roman" w:cs="Times New Roman" w:eastAsia="Times New Roman" w:hint="default"/>
          <w:spacing w:val="-2"/>
        </w:rPr>
        <w:t>2018</w:t>
      </w:r>
      <w:r>
        <w:rPr>
          <w:spacing w:val="-2"/>
        </w:rPr>
        <w:t>）</w:t>
      </w:r>
      <w:r>
        <w:rPr>
          <w:rFonts w:ascii="Times New Roman" w:hAnsi="Times New Roman" w:cs="Times New Roman" w:eastAsia="Times New Roman" w:hint="default"/>
          <w:spacing w:val="-2"/>
        </w:rPr>
        <w:t>15</w:t>
      </w:r>
      <w:r>
        <w:rPr>
          <w:spacing w:val="-2"/>
        </w:rPr>
        <w:t>号），</w:t>
      </w:r>
    </w:p>
    <w:p>
      <w:pPr>
        <w:pStyle w:val="BodyText"/>
        <w:spacing w:line="217" w:lineRule="exact"/>
        <w:ind w:right="0"/>
        <w:jc w:val="left"/>
      </w:pPr>
      <w:r>
        <w:rPr/>
        <w:t>对一般企业财务报表格式进行了修订。</w:t>
      </w:r>
    </w:p>
    <w:p>
      <w:pPr>
        <w:spacing w:line="240" w:lineRule="auto" w:before="0"/>
        <w:rPr>
          <w:rFonts w:ascii="宋体" w:hAnsi="宋体" w:cs="宋体" w:eastAsia="宋体" w:hint="default"/>
          <w:sz w:val="18"/>
          <w:szCs w:val="18"/>
        </w:rPr>
      </w:pPr>
    </w:p>
    <w:p>
      <w:pPr>
        <w:pStyle w:val="BodyText"/>
        <w:spacing w:line="240" w:lineRule="auto" w:before="153"/>
        <w:ind w:left="588" w:right="0"/>
        <w:jc w:val="left"/>
      </w:pPr>
      <w:r>
        <w:rPr/>
        <w:t>本公司执行上述规定的主要影响如下：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6"/>
          <w:szCs w:val="16"/>
        </w:rPr>
      </w:pPr>
    </w:p>
    <w:p>
      <w:pPr>
        <w:pStyle w:val="BodyText"/>
        <w:spacing w:line="240" w:lineRule="auto"/>
        <w:ind w:left="0" w:right="1060"/>
        <w:jc w:val="right"/>
      </w:pPr>
      <w:r>
        <w:rPr/>
        <w:pict>
          <v:shape style="position:absolute;margin-left:56.220001pt;margin-top:-188.138275pt;width:483.5pt;height:251.55pt;mso-position-horizontal-relative:page;mso-position-vertical-relative:paragraph;z-index:150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442"/>
                    <w:gridCol w:w="1229"/>
                    <w:gridCol w:w="3970"/>
                  </w:tblGrid>
                  <w:tr>
                    <w:trPr>
                      <w:trHeight w:val="602" w:hRule="exact"/>
                    </w:trPr>
                    <w:tc>
                      <w:tcPr>
                        <w:tcW w:w="4442"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240" w:lineRule="auto" w:before="146"/>
                          <w:ind w:left="1130"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1229"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240" w:lineRule="auto" w:before="146"/>
                          <w:ind w:right="245"/>
                          <w:jc w:val="right"/>
                          <w:rPr>
                            <w:rFonts w:ascii="宋体" w:hAnsi="宋体" w:cs="宋体" w:eastAsia="宋体" w:hint="default"/>
                            <w:sz w:val="18"/>
                            <w:szCs w:val="18"/>
                          </w:rPr>
                        </w:pPr>
                        <w:r>
                          <w:rPr>
                            <w:rFonts w:ascii="宋体" w:hAnsi="宋体" w:cs="宋体" w:eastAsia="宋体" w:hint="default"/>
                            <w:sz w:val="18"/>
                            <w:szCs w:val="18"/>
                          </w:rPr>
                          <w:t>审批程序</w:t>
                        </w:r>
                      </w:p>
                    </w:tc>
                    <w:tc>
                      <w:tcPr>
                        <w:tcW w:w="3970" w:type="dxa"/>
                        <w:tcBorders>
                          <w:top w:val="single" w:sz="8" w:space="0" w:color="000000"/>
                          <w:left w:val="single" w:sz="8" w:space="0" w:color="000000"/>
                          <w:bottom w:val="single" w:sz="8" w:space="0" w:color="000000"/>
                          <w:right w:val="single" w:sz="8" w:space="0" w:color="000000"/>
                        </w:tcBorders>
                        <w:shd w:val="clear" w:color="auto" w:fill="D0CECE"/>
                      </w:tcPr>
                      <w:p>
                        <w:pPr>
                          <w:pStyle w:val="TableParagraph"/>
                          <w:spacing w:line="240" w:lineRule="auto" w:before="146"/>
                          <w:ind w:left="803" w:right="0"/>
                          <w:jc w:val="left"/>
                          <w:rPr>
                            <w:rFonts w:ascii="宋体" w:hAnsi="宋体" w:cs="宋体" w:eastAsia="宋体" w:hint="default"/>
                            <w:sz w:val="18"/>
                            <w:szCs w:val="18"/>
                          </w:rPr>
                        </w:pPr>
                        <w:r>
                          <w:rPr>
                            <w:rFonts w:ascii="宋体" w:hAnsi="宋体" w:cs="宋体" w:eastAsia="宋体" w:hint="default"/>
                            <w:sz w:val="18"/>
                            <w:szCs w:val="18"/>
                          </w:rPr>
                          <w:t>受影响的报表项目名称和金额</w:t>
                        </w:r>
                      </w:p>
                    </w:tc>
                  </w:tr>
                  <w:tr>
                    <w:trPr>
                      <w:trHeight w:val="4409" w:hRule="exact"/>
                    </w:trPr>
                    <w:tc>
                      <w:tcPr>
                        <w:tcW w:w="4442"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2"/>
                            <w:szCs w:val="12"/>
                          </w:rPr>
                        </w:pPr>
                      </w:p>
                      <w:p>
                        <w:pPr>
                          <w:pStyle w:val="TableParagraph"/>
                          <w:spacing w:line="300" w:lineRule="auto"/>
                          <w:ind w:left="-1" w:right="-1"/>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 </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应收票据及应收账款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应付票据</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应付账款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合并列</w:t>
                        </w:r>
                        <w:r>
                          <w:rPr>
                            <w:rFonts w:ascii="宋体" w:hAnsi="宋体" w:cs="宋体" w:eastAsia="宋体" w:hint="default"/>
                            <w:spacing w:val="-82"/>
                            <w:sz w:val="18"/>
                            <w:szCs w:val="18"/>
                          </w:rPr>
                          <w:t> </w:t>
                        </w:r>
                        <w:r>
                          <w:rPr>
                            <w:rFonts w:ascii="宋体" w:hAnsi="宋体" w:cs="宋体" w:eastAsia="宋体" w:hint="default"/>
                            <w:spacing w:val="-1"/>
                            <w:sz w:val="18"/>
                            <w:szCs w:val="18"/>
                          </w:rPr>
                          <w:t>示为</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应付票据及应付账款</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应收利息</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和</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应收股利</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并</w:t>
                        </w:r>
                        <w:r>
                          <w:rPr>
                            <w:rFonts w:ascii="宋体" w:hAnsi="宋体" w:cs="宋体" w:eastAsia="宋体" w:hint="default"/>
                            <w:spacing w:val="-82"/>
                            <w:sz w:val="18"/>
                            <w:szCs w:val="18"/>
                          </w:rPr>
                          <w:t> </w:t>
                        </w:r>
                        <w:r>
                          <w:rPr>
                            <w:rFonts w:ascii="宋体" w:hAnsi="宋体" w:cs="宋体" w:eastAsia="宋体" w:hint="default"/>
                            <w:sz w:val="18"/>
                            <w:szCs w:val="18"/>
                          </w:rPr>
                          <w:t>入</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应付利息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应付股利</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其 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固定资产清理</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列示； </w:t>
                        </w:r>
                        <w:r>
                          <w:rPr>
                            <w:rFonts w:ascii="Times New Roman" w:hAnsi="Times New Roman" w:cs="Times New Roman" w:eastAsia="Times New Roman" w:hint="default"/>
                            <w:sz w:val="18"/>
                            <w:szCs w:val="18"/>
                          </w:rPr>
                          <w:t>“</w:t>
                        </w:r>
                        <w:r>
                          <w:rPr>
                            <w:rFonts w:ascii="宋体" w:hAnsi="宋体" w:cs="宋体" w:eastAsia="宋体" w:hint="default"/>
                            <w:sz w:val="18"/>
                            <w:szCs w:val="18"/>
                          </w:rPr>
                          <w:t>工程物资</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列示；</w:t>
                        </w:r>
                        <w:r>
                          <w:rPr>
                            <w:rFonts w:ascii="Times New Roman" w:hAnsi="Times New Roman" w:cs="Times New Roman" w:eastAsia="Times New Roman" w:hint="default"/>
                            <w:sz w:val="18"/>
                            <w:szCs w:val="18"/>
                          </w:rPr>
                          <w:t>“</w:t>
                        </w:r>
                        <w:r>
                          <w:rPr>
                            <w:rFonts w:ascii="宋体" w:hAnsi="宋体" w:cs="宋体" w:eastAsia="宋体" w:hint="default"/>
                            <w:sz w:val="18"/>
                            <w:szCs w:val="18"/>
                          </w:rPr>
                          <w:t>专项应付款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长 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307"/>
                          <w:jc w:val="right"/>
                          <w:rPr>
                            <w:rFonts w:ascii="宋体" w:hAnsi="宋体" w:cs="宋体" w:eastAsia="宋体" w:hint="default"/>
                            <w:sz w:val="18"/>
                            <w:szCs w:val="18"/>
                          </w:rPr>
                        </w:pPr>
                        <w:r>
                          <w:rPr>
                            <w:rFonts w:ascii="宋体" w:hAnsi="宋体" w:cs="宋体" w:eastAsia="宋体" w:hint="default"/>
                            <w:sz w:val="18"/>
                            <w:szCs w:val="18"/>
                          </w:rPr>
                          <w:t>董事会审批</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1"/>
                          <w:ind w:left="-1" w:right="43"/>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 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157,524,826.45</w:t>
                        </w:r>
                        <w:r>
                          <w:rPr>
                            <w:rFonts w:ascii="宋体" w:hAnsi="宋体" w:cs="宋体" w:eastAsia="宋体" w:hint="default"/>
                            <w:sz w:val="18"/>
                            <w:szCs w:val="18"/>
                          </w:rPr>
                          <w:t>元，上期金额 </w:t>
                        </w:r>
                        <w:r>
                          <w:rPr>
                            <w:rFonts w:ascii="Times New Roman" w:hAnsi="Times New Roman" w:cs="Times New Roman" w:eastAsia="Times New Roman" w:hint="default"/>
                            <w:sz w:val="18"/>
                            <w:szCs w:val="18"/>
                          </w:rPr>
                          <w:t>288,919,821.15</w:t>
                        </w:r>
                        <w:r>
                          <w:rPr>
                            <w:rFonts w:ascii="宋体" w:hAnsi="宋体" w:cs="宋体" w:eastAsia="宋体" w:hint="default"/>
                            <w:sz w:val="18"/>
                            <w:szCs w:val="18"/>
                          </w:rPr>
                          <w:t>元；</w:t>
                        </w:r>
                      </w:p>
                      <w:p>
                        <w:pPr>
                          <w:pStyle w:val="TableParagraph"/>
                          <w:spacing w:line="300" w:lineRule="auto" w:before="13"/>
                          <w:ind w:left="-1" w:right="127"/>
                          <w:jc w:val="both"/>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 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41,677,219.28</w:t>
                        </w:r>
                        <w:r>
                          <w:rPr>
                            <w:rFonts w:ascii="宋体" w:hAnsi="宋体" w:cs="宋体" w:eastAsia="宋体" w:hint="default"/>
                            <w:sz w:val="18"/>
                            <w:szCs w:val="18"/>
                          </w:rPr>
                          <w:t>元，上期金额 </w:t>
                        </w:r>
                        <w:r>
                          <w:rPr>
                            <w:rFonts w:ascii="Times New Roman" w:hAnsi="Times New Roman" w:cs="Times New Roman" w:eastAsia="Times New Roman" w:hint="default"/>
                            <w:sz w:val="18"/>
                            <w:szCs w:val="18"/>
                          </w:rPr>
                          <w:t>87,500,950.66</w:t>
                        </w:r>
                        <w:r>
                          <w:rPr>
                            <w:rFonts w:ascii="宋体" w:hAnsi="宋体" w:cs="宋体" w:eastAsia="宋体" w:hint="default"/>
                            <w:sz w:val="18"/>
                            <w:szCs w:val="18"/>
                          </w:rPr>
                          <w:t>元；</w:t>
                        </w:r>
                      </w:p>
                      <w:p>
                        <w:pPr>
                          <w:pStyle w:val="TableParagraph"/>
                          <w:spacing w:line="302" w:lineRule="auto" w:before="13"/>
                          <w:ind w:left="-1" w:right="1"/>
                          <w:jc w:val="left"/>
                          <w:rPr>
                            <w:rFonts w:ascii="宋体" w:hAnsi="宋体" w:cs="宋体" w:eastAsia="宋体" w:hint="default"/>
                            <w:sz w:val="18"/>
                            <w:szCs w:val="18"/>
                          </w:rPr>
                        </w:pPr>
                        <w:r>
                          <w:rPr>
                            <w:rFonts w:ascii="宋体" w:hAnsi="宋体" w:cs="宋体" w:eastAsia="宋体" w:hint="default"/>
                            <w:sz w:val="18"/>
                            <w:szCs w:val="18"/>
                          </w:rPr>
                          <w:t>调增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其他应收款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0.00 </w:t>
                        </w:r>
                        <w:r>
                          <w:rPr>
                            <w:rFonts w:ascii="宋体" w:hAnsi="宋体" w:cs="宋体" w:eastAsia="宋体" w:hint="default"/>
                            <w:sz w:val="18"/>
                            <w:szCs w:val="18"/>
                          </w:rPr>
                          <w:t>元； </w:t>
                        </w:r>
                        <w:r>
                          <w:rPr>
                            <w:rFonts w:ascii="宋体" w:hAnsi="宋体" w:cs="宋体" w:eastAsia="宋体" w:hint="default"/>
                            <w:spacing w:val="-2"/>
                            <w:sz w:val="18"/>
                            <w:szCs w:val="18"/>
                          </w:rPr>
                          <w:t>调增</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其他应付款</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本期金额</w:t>
                        </w:r>
                        <w:r>
                          <w:rPr>
                            <w:rFonts w:ascii="Times New Roman" w:hAnsi="Times New Roman" w:cs="Times New Roman" w:eastAsia="Times New Roman" w:hint="default"/>
                            <w:spacing w:val="-2"/>
                            <w:sz w:val="18"/>
                            <w:szCs w:val="18"/>
                          </w:rPr>
                          <w:t>1,809,106.51</w:t>
                        </w:r>
                        <w:r>
                          <w:rPr>
                            <w:rFonts w:ascii="宋体" w:hAnsi="宋体" w:cs="宋体" w:eastAsia="宋体" w:hint="default"/>
                            <w:spacing w:val="-2"/>
                            <w:sz w:val="18"/>
                            <w:szCs w:val="18"/>
                          </w:rPr>
                          <w:t>元，上期金</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 调增</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 调增</w:t>
                        </w:r>
                        <w:r>
                          <w:rPr>
                            <w:rFonts w:ascii="Times New Roman" w:hAnsi="Times New Roman" w:cs="Times New Roman" w:eastAsia="Times New Roman" w:hint="default"/>
                            <w:sz w:val="18"/>
                            <w:szCs w:val="18"/>
                          </w:rPr>
                          <w:t>“</w:t>
                        </w:r>
                        <w:r>
                          <w:rPr>
                            <w:rFonts w:ascii="宋体" w:hAnsi="宋体" w:cs="宋体" w:eastAsia="宋体" w:hint="default"/>
                            <w:sz w:val="18"/>
                            <w:szCs w:val="18"/>
                          </w:rPr>
                          <w:t>在建工程</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 调增</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0.00</w:t>
                        </w:r>
                        <w:r>
                          <w:rPr>
                            <w:rFonts w:ascii="宋体" w:hAnsi="宋体" w:cs="宋体" w:eastAsia="宋体" w:hint="default"/>
                            <w:sz w:val="18"/>
                            <w:szCs w:val="18"/>
                          </w:rPr>
                          <w:t>元，上期金额</w:t>
                        </w:r>
                        <w:r>
                          <w:rPr>
                            <w:rFonts w:ascii="Times New Roman" w:hAnsi="Times New Roman" w:cs="Times New Roman" w:eastAsia="Times New Roman" w:hint="default"/>
                            <w:sz w:val="18"/>
                            <w:szCs w:val="18"/>
                          </w:rPr>
                          <w:t>0.00 </w:t>
                        </w:r>
                        <w:r>
                          <w:rPr>
                            <w:rFonts w:ascii="宋体" w:hAnsi="宋体" w:cs="宋体" w:eastAsia="宋体" w:hint="default"/>
                            <w:sz w:val="18"/>
                            <w:szCs w:val="18"/>
                          </w:rPr>
                          <w:t>元。</w:t>
                        </w:r>
                      </w:p>
                    </w:tc>
                  </w:tr>
                </w:tbl>
                <w:p>
                  <w:pPr/>
                </w:p>
              </w:txbxContent>
            </v:textbox>
            <w10:wrap type="none"/>
          </v:shape>
        </w:pict>
      </w:r>
      <w:r>
        <w:rPr/>
        <w:t>；</w:t>
      </w:r>
    </w:p>
    <w:p>
      <w:pPr>
        <w:pStyle w:val="BodyText"/>
        <w:spacing w:line="240" w:lineRule="auto" w:before="76"/>
        <w:ind w:left="0" w:right="1060"/>
        <w:jc w:val="right"/>
      </w:pPr>
      <w:r>
        <w:rPr/>
        <w:t>；</w:t>
      </w:r>
    </w:p>
    <w:p>
      <w:pPr>
        <w:spacing w:after="0" w:line="240" w:lineRule="auto"/>
        <w:jc w:val="right"/>
        <w:sectPr>
          <w:headerReference w:type="default" r:id="rId20"/>
          <w:footerReference w:type="default" r:id="rId21"/>
          <w:pgSz w:w="11910" w:h="16840"/>
          <w:pgMar w:header="877" w:footer="979" w:top="1100" w:bottom="1160" w:left="980" w:right="0"/>
          <w:pgNumType w:start="41"/>
        </w:sectPr>
      </w:pPr>
    </w:p>
    <w:p>
      <w:pPr>
        <w:spacing w:line="240" w:lineRule="auto" w:before="6"/>
        <w:rPr>
          <w:rFonts w:ascii="宋体" w:hAnsi="宋体" w:cs="宋体" w:eastAsia="宋体" w:hint="default"/>
          <w:sz w:val="24"/>
          <w:szCs w:val="24"/>
        </w:rPr>
      </w:pPr>
    </w:p>
    <w:tbl>
      <w:tblPr>
        <w:tblW w:w="0" w:type="auto"/>
        <w:jc w:val="left"/>
        <w:tblInd w:w="144" w:type="dxa"/>
        <w:tblLayout w:type="fixed"/>
        <w:tblCellMar>
          <w:top w:w="0" w:type="dxa"/>
          <w:left w:w="0" w:type="dxa"/>
          <w:bottom w:w="0" w:type="dxa"/>
          <w:right w:w="0" w:type="dxa"/>
        </w:tblCellMar>
        <w:tblLook w:val="01E0"/>
      </w:tblPr>
      <w:tblGrid>
        <w:gridCol w:w="4442"/>
        <w:gridCol w:w="1229"/>
        <w:gridCol w:w="3970"/>
      </w:tblGrid>
      <w:tr>
        <w:trPr>
          <w:trHeight w:val="1289" w:hRule="exact"/>
        </w:trPr>
        <w:tc>
          <w:tcPr>
            <w:tcW w:w="4442" w:type="dxa"/>
            <w:tcBorders>
              <w:top w:val="single" w:sz="8" w:space="0" w:color="000000"/>
              <w:left w:val="single" w:sz="8" w:space="0" w:color="000000"/>
              <w:bottom w:val="single" w:sz="8" w:space="0" w:color="000000"/>
              <w:right w:val="single" w:sz="8" w:space="0" w:color="000000"/>
            </w:tcBorders>
          </w:tcPr>
          <w:p>
            <w:pPr>
              <w:pStyle w:val="TableParagraph"/>
              <w:spacing w:line="300" w:lineRule="auto" w:before="21"/>
              <w:ind w:left="-1" w:right="-3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项目，将原</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pacing w:val="-3"/>
                <w:sz w:val="18"/>
                <w:szCs w:val="18"/>
              </w:rPr>
              <w:t>中的研发费用重分类至</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研发费用</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单独列示；在利润表中</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z w:val="18"/>
                <w:szCs w:val="18"/>
              </w:rPr>
              <w:t>财务费用项下新增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 比较数据相应调整。</w:t>
            </w:r>
          </w:p>
        </w:tc>
        <w:tc>
          <w:tcPr>
            <w:tcW w:w="122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397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300" w:lineRule="auto"/>
              <w:ind w:left="-1" w:right="53"/>
              <w:jc w:val="left"/>
              <w:rPr>
                <w:rFonts w:ascii="宋体" w:hAnsi="宋体" w:cs="宋体" w:eastAsia="宋体"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Times New Roman" w:hAnsi="Times New Roman" w:cs="Times New Roman" w:eastAsia="Times New Roman" w:hint="default"/>
                <w:sz w:val="18"/>
                <w:szCs w:val="18"/>
              </w:rPr>
              <w:t>14,684,127.72</w:t>
            </w:r>
            <w:r>
              <w:rPr>
                <w:rFonts w:ascii="宋体" w:hAnsi="宋体" w:cs="宋体" w:eastAsia="宋体" w:hint="default"/>
                <w:sz w:val="18"/>
                <w:szCs w:val="18"/>
              </w:rPr>
              <w:t>元，上期金 额</w:t>
            </w:r>
            <w:r>
              <w:rPr>
                <w:rFonts w:ascii="Times New Roman" w:hAnsi="Times New Roman" w:cs="Times New Roman" w:eastAsia="Times New Roman" w:hint="default"/>
                <w:sz w:val="18"/>
                <w:szCs w:val="18"/>
              </w:rPr>
              <w:t>18,842,176.87</w:t>
            </w:r>
            <w:r>
              <w:rPr>
                <w:rFonts w:ascii="宋体" w:hAnsi="宋体" w:cs="宋体" w:eastAsia="宋体" w:hint="default"/>
                <w:sz w:val="18"/>
                <w:szCs w:val="18"/>
              </w:rPr>
              <w:t>元，重分类至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2"/>
          <w:szCs w:val="22"/>
        </w:rPr>
      </w:pPr>
    </w:p>
    <w:p>
      <w:pPr>
        <w:pStyle w:val="Heading2"/>
        <w:spacing w:line="240" w:lineRule="auto" w:before="26"/>
        <w:ind w:right="0"/>
        <w:jc w:val="left"/>
        <w:rPr>
          <w:b w:val="0"/>
          <w:bCs w:val="0"/>
        </w:rPr>
      </w:pPr>
      <w:bookmarkStart w:name="七、与上年度财务报告相比，合并报表范围发生变化的情况说明" w:id="73"/>
      <w:bookmarkEnd w:id="73"/>
      <w:r>
        <w:rPr>
          <w:b w:val="0"/>
          <w:bCs w:val="0"/>
        </w:rPr>
      </w:r>
      <w:r>
        <w:rPr/>
        <w:t>七、与上年度财务报告相比，合并报表范围发生变化的情况说明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51" w:right="1118" w:hanging="39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24</w:t>
      </w:r>
      <w:r>
        <w:rPr/>
        <w:t>日与种房（北京）科技有限公司、邓伟玉、北京财到信息技术有限公司、宜昌泰如丰汇网络科</w:t>
      </w:r>
    </w:p>
    <w:p>
      <w:pPr>
        <w:pStyle w:val="BodyText"/>
        <w:spacing w:line="230" w:lineRule="exact"/>
        <w:ind w:right="0"/>
        <w:jc w:val="left"/>
      </w:pPr>
      <w:r>
        <w:rPr/>
        <w:t>技有限公司（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18</w:t>
      </w:r>
      <w:r>
        <w:rPr/>
        <w:t>日</w:t>
      </w:r>
      <w:r>
        <w:rPr>
          <w:rFonts w:ascii="Times New Roman" w:hAnsi="Times New Roman" w:cs="Times New Roman" w:eastAsia="Times New Roman" w:hint="default"/>
        </w:rPr>
        <w:t>“</w:t>
      </w:r>
      <w:r>
        <w:rPr/>
        <w:t>宜昌泰如丰汇网络科技有限公司</w:t>
      </w:r>
      <w:r>
        <w:rPr>
          <w:rFonts w:ascii="Times New Roman" w:hAnsi="Times New Roman" w:cs="Times New Roman" w:eastAsia="Times New Roman" w:hint="default"/>
        </w:rPr>
        <w:t>”</w:t>
      </w:r>
      <w:r>
        <w:rPr/>
        <w:t>将所持股权转让给</w:t>
      </w:r>
      <w:r>
        <w:rPr>
          <w:rFonts w:ascii="Times New Roman" w:hAnsi="Times New Roman" w:cs="Times New Roman" w:eastAsia="Times New Roman" w:hint="default"/>
        </w:rPr>
        <w:t>“</w:t>
      </w:r>
      <w:r>
        <w:rPr/>
        <w:t>北京墨多客科技中心（有限合伙）</w:t>
      </w:r>
      <w:r>
        <w:rPr>
          <w:rFonts w:ascii="Times New Roman" w:hAnsi="Times New Roman" w:cs="Times New Roman" w:eastAsia="Times New Roman" w:hint="default"/>
        </w:rPr>
        <w:t>”</w:t>
      </w:r>
      <w:r>
        <w:rPr/>
        <w:t>）及</w:t>
      </w:r>
    </w:p>
    <w:p>
      <w:pPr>
        <w:pStyle w:val="BodyText"/>
        <w:spacing w:line="300" w:lineRule="auto" w:before="63"/>
        <w:ind w:right="0"/>
        <w:jc w:val="left"/>
      </w:pPr>
      <w:r>
        <w:rPr/>
        <w:t>丁来滨出资设立子公司北京金色区块网络科技有限公司。截至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日，北京金色区块网络科技有限公司注册资本</w:t>
      </w:r>
      <w:r>
        <w:rPr>
          <w:spacing w:val="-3"/>
        </w:rPr>
        <w:t> </w:t>
      </w:r>
      <w:r>
        <w:rPr>
          <w:spacing w:val="-3"/>
        </w:rPr>
      </w:r>
      <w:r>
        <w:rPr>
          <w:rFonts w:ascii="Times New Roman" w:hAnsi="Times New Roman" w:cs="Times New Roman" w:eastAsia="Times New Roman" w:hint="default"/>
          <w:spacing w:val="-3"/>
        </w:rPr>
        <w:t>2,000</w:t>
      </w:r>
      <w:r>
        <w:rPr>
          <w:spacing w:val="-3"/>
        </w:rPr>
        <w:t>万元，实收资本</w:t>
      </w:r>
      <w:r>
        <w:rPr>
          <w:rFonts w:ascii="Times New Roman" w:hAnsi="Times New Roman" w:cs="Times New Roman" w:eastAsia="Times New Roman" w:hint="default"/>
          <w:spacing w:val="-3"/>
        </w:rPr>
        <w:t>1,400.00</w:t>
      </w:r>
      <w:r>
        <w:rPr>
          <w:spacing w:val="-3"/>
        </w:rPr>
        <w:t>万元，法定代表人丁来滨。本公司出资</w:t>
      </w:r>
      <w:r>
        <w:rPr>
          <w:rFonts w:ascii="Times New Roman" w:hAnsi="Times New Roman" w:cs="Times New Roman" w:eastAsia="Times New Roman" w:hint="default"/>
          <w:spacing w:val="-3"/>
        </w:rPr>
        <w:t>714</w:t>
      </w:r>
      <w:r>
        <w:rPr>
          <w:spacing w:val="-3"/>
        </w:rPr>
        <w:t>万元，持股</w:t>
      </w:r>
      <w:r>
        <w:rPr>
          <w:rFonts w:ascii="Times New Roman" w:hAnsi="Times New Roman" w:cs="Times New Roman" w:eastAsia="Times New Roman" w:hint="default"/>
          <w:spacing w:val="-3"/>
        </w:rPr>
        <w:t>35.7%</w:t>
      </w:r>
      <w:r>
        <w:rPr>
          <w:spacing w:val="-3"/>
        </w:rPr>
        <w:t>，为第一大股东，能够控制该公司，</w:t>
      </w:r>
      <w:r>
        <w:rPr>
          <w:spacing w:val="-38"/>
        </w:rPr>
        <w:t> </w:t>
      </w:r>
      <w:r>
        <w:rPr>
          <w:spacing w:val="-38"/>
        </w:rPr>
      </w:r>
      <w:r>
        <w:rPr/>
        <w:t>本年将其纳入合并报表范围。</w:t>
      </w:r>
    </w:p>
    <w:p>
      <w:pPr>
        <w:spacing w:line="240" w:lineRule="auto" w:before="8"/>
        <w:rPr>
          <w:rFonts w:ascii="宋体" w:hAnsi="宋体" w:cs="宋体" w:eastAsia="宋体" w:hint="default"/>
          <w:sz w:val="21"/>
          <w:szCs w:val="21"/>
        </w:rPr>
      </w:pPr>
    </w:p>
    <w:p>
      <w:pPr>
        <w:pStyle w:val="Heading2"/>
        <w:spacing w:line="240" w:lineRule="auto"/>
        <w:ind w:right="0"/>
        <w:jc w:val="left"/>
        <w:rPr>
          <w:b w:val="0"/>
          <w:bCs w:val="0"/>
        </w:rPr>
      </w:pPr>
      <w:bookmarkStart w:name="八、聘任、解聘会计师事务所情况" w:id="74"/>
      <w:bookmarkEnd w:id="74"/>
      <w:r>
        <w:rPr>
          <w:b w:val="0"/>
          <w:bCs w:val="0"/>
        </w:rPr>
      </w:r>
      <w:r>
        <w:rPr/>
        <w:t>八、聘任、解聘会计师事务所情况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92"/>
        <w:gridCol w:w="4777"/>
      </w:tblGrid>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66</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许培梅、顾欣</w:t>
            </w:r>
          </w:p>
        </w:tc>
      </w:tr>
      <w:tr>
        <w:trPr>
          <w:trHeight w:val="402" w:hRule="exact"/>
        </w:trPr>
        <w:tc>
          <w:tcPr>
            <w:tcW w:w="4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bl>
    <w:p>
      <w:pPr>
        <w:pStyle w:val="BodyText"/>
        <w:spacing w:line="240" w:lineRule="auto" w:before="51"/>
        <w:ind w:right="0"/>
        <w:jc w:val="left"/>
      </w:pPr>
      <w:r>
        <w:rPr/>
        <w:t>是否改聘会计师事务所</w:t>
      </w:r>
    </w:p>
    <w:p>
      <w:pPr>
        <w:pStyle w:val="BodyText"/>
        <w:spacing w:line="338" w:lineRule="auto" w:before="117"/>
        <w:ind w:right="62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聘请内部控制审计会计师事务所、财务顾问或保荐人情况</w:t>
      </w:r>
    </w:p>
    <w:p>
      <w:pPr>
        <w:pStyle w:val="BodyText"/>
        <w:spacing w:line="328" w:lineRule="auto" w:before="42"/>
        <w:ind w:left="514" w:right="1122"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本年度，公司聘请立信会计师事务所（特殊普通合伙）出具内部控制鉴证报告，报酬包含在年度审计费中。 从</w:t>
      </w:r>
      <w:r>
        <w:rPr>
          <w:rFonts w:ascii="Times New Roman" w:hAnsi="Times New Roman" w:cs="Times New Roman" w:eastAsia="Times New Roman" w:hint="default"/>
        </w:rPr>
        <w:t>2015</w:t>
      </w:r>
      <w:r>
        <w:rPr/>
        <w:t>年起，公司聘请中德证券有限责任公司作为公司的上市保荐机构，公司于</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日上市时从发行费用中支</w:t>
      </w:r>
    </w:p>
    <w:p>
      <w:pPr>
        <w:pStyle w:val="BodyText"/>
        <w:spacing w:line="238" w:lineRule="exact"/>
        <w:ind w:right="0"/>
        <w:jc w:val="left"/>
      </w:pPr>
      <w:r>
        <w:rPr/>
        <w:t>付承销保荐费共计</w:t>
      </w:r>
      <w:r>
        <w:rPr>
          <w:rFonts w:ascii="Times New Roman" w:hAnsi="Times New Roman" w:cs="Times New Roman" w:eastAsia="Times New Roman" w:hint="default"/>
        </w:rPr>
        <w:t>2,813.36</w:t>
      </w:r>
      <w:r>
        <w:rPr/>
        <w:t>万元。</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九、年度报告披露后面临暂停上市和终止上市情况" w:id="75"/>
      <w:bookmarkEnd w:id="75"/>
      <w:r>
        <w:rPr>
          <w:b w:val="0"/>
          <w:bCs w:val="0"/>
        </w:rPr>
      </w:r>
      <w:r>
        <w:rPr/>
        <w:t>九、年度报告披露后面临暂停上市和终止上市情况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破产重整相关事项" w:id="76"/>
      <w:bookmarkEnd w:id="76"/>
      <w:r>
        <w:rPr>
          <w:b w:val="0"/>
          <w:bCs w:val="0"/>
        </w:rPr>
      </w:r>
      <w:r>
        <w:rPr/>
        <w:t>十、破产重整相关事项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公司报告期未发生破产重整相关事项。</w:t>
      </w:r>
    </w:p>
    <w:p>
      <w:pPr>
        <w:spacing w:after="0" w:line="338"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十一、重大诉讼、仲裁事项" w:id="77"/>
      <w:bookmarkEnd w:id="77"/>
      <w:r>
        <w:rPr>
          <w:b w:val="0"/>
          <w:bCs w:val="0"/>
        </w:rPr>
      </w:r>
      <w:r>
        <w:rPr/>
        <w:t>十一、重大诉讼、仲裁事项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pict>
          <v:shape style="position:absolute;margin-left:349.23999pt;margin-top:55.231693pt;width:90.05pt;height:62.4pt;mso-position-horizontal-relative:page;mso-position-vertical-relative:paragraph;z-index:-971128" type="#_x0000_t202" filled="false" stroked="false">
            <v:textbox inset="0,0,0,0">
              <w:txbxContent>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pStyle w:val="BodyText"/>
                    <w:spacing w:line="240" w:lineRule="auto"/>
                    <w:ind w:left="0" w:right="0"/>
                    <w:jc w:val="left"/>
                  </w:pPr>
                  <w:r>
                    <w:rPr/>
                    <w:t>日，</w:t>
                  </w:r>
                </w:p>
              </w:txbxContent>
            </v:textbox>
            <w10:wrap type="none"/>
          </v:shape>
        </w:pict>
      </w: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5"/>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2"/>
        <w:gridCol w:w="835"/>
        <w:gridCol w:w="1265"/>
        <w:gridCol w:w="954"/>
        <w:gridCol w:w="1392"/>
        <w:gridCol w:w="1508"/>
        <w:gridCol w:w="992"/>
        <w:gridCol w:w="923"/>
      </w:tblGrid>
      <w:tr>
        <w:trPr>
          <w:trHeight w:val="74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5"/>
              <w:ind w:left="52"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8"/>
              <w:ind w:left="5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65"/>
              <w:ind w:left="446" w:right="87"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65"/>
              <w:ind w:left="292" w:right="49"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65"/>
              <w:ind w:left="241" w:right="89"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38" w:lineRule="auto" w:before="46"/>
              <w:ind w:left="388" w:right="146"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9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6"/>
              <w:ind w:left="22" w:right="23"/>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月份，我公</w:t>
            </w:r>
            <w:r>
              <w:rPr>
                <w:rFonts w:ascii="宋体" w:hAnsi="宋体" w:cs="宋体" w:eastAsia="宋体" w:hint="default"/>
                <w:sz w:val="18"/>
                <w:szCs w:val="18"/>
              </w:rPr>
              <w:t> 司向上海斐阅信息技 术有限公司提供天天 链</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N1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传播服务，服 务结束后，经多次催 收服务费用无果，于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日我 公司在上海市普陀区 人民法院申请立案。</w:t>
            </w:r>
          </w:p>
        </w:tc>
        <w:tc>
          <w:tcPr>
            <w:tcW w:w="835"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19"/>
              <w:jc w:val="right"/>
              <w:rPr>
                <w:rFonts w:ascii="Times New Roman" w:hAnsi="Times New Roman" w:cs="Times New Roman" w:eastAsia="Times New Roman" w:hint="default"/>
                <w:sz w:val="18"/>
                <w:szCs w:val="18"/>
              </w:rPr>
            </w:pPr>
            <w:r>
              <w:rPr>
                <w:rFonts w:ascii="Times New Roman"/>
                <w:sz w:val="18"/>
              </w:rPr>
              <w:t>83.33</w:t>
            </w:r>
          </w:p>
        </w:tc>
        <w:tc>
          <w:tcPr>
            <w:tcW w:w="1265"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宋体" w:hAnsi="宋体" w:cs="宋体" w:eastAsia="宋体" w:hint="default"/>
                <w:sz w:val="18"/>
                <w:szCs w:val="18"/>
              </w:rPr>
              <w:t>结案</w:t>
            </w:r>
          </w:p>
        </w:tc>
        <w:tc>
          <w:tcPr>
            <w:tcW w:w="1392"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5</w:t>
            </w:r>
          </w:p>
          <w:p>
            <w:pPr>
              <w:pStyle w:val="TableParagraph"/>
              <w:spacing w:line="319" w:lineRule="auto" w:before="61"/>
              <w:ind w:left="22" w:right="97"/>
              <w:jc w:val="left"/>
              <w:rPr>
                <w:rFonts w:ascii="宋体" w:hAnsi="宋体" w:cs="宋体" w:eastAsia="宋体" w:hint="default"/>
                <w:sz w:val="18"/>
                <w:szCs w:val="18"/>
              </w:rPr>
            </w:pPr>
            <w:r>
              <w:rPr>
                <w:rFonts w:ascii="宋体" w:hAnsi="宋体" w:cs="宋体" w:eastAsia="宋体" w:hint="default"/>
                <w:sz w:val="18"/>
                <w:szCs w:val="18"/>
              </w:rPr>
              <w:t>法院判决我公司 胜诉</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1248" w:lineRule="exact"/>
              <w:ind w:right="-50"/>
              <w:jc w:val="left"/>
              <w:rPr>
                <w:rFonts w:ascii="宋体" w:hAnsi="宋体" w:cs="宋体" w:eastAsia="宋体" w:hint="default"/>
                <w:sz w:val="20"/>
                <w:szCs w:val="20"/>
              </w:rPr>
            </w:pPr>
            <w:r>
              <w:rPr>
                <w:rFonts w:ascii="宋体" w:hAnsi="宋体" w:cs="宋体" w:eastAsia="宋体" w:hint="default"/>
                <w:position w:val="-24"/>
                <w:sz w:val="20"/>
                <w:szCs w:val="20"/>
              </w:rPr>
              <w:pict>
                <v:group style="width:74.9pt;height:62.4pt;mso-position-horizontal-relative:char;mso-position-vertical-relative:line" coordorigin="0,0" coordsize="1498,1248">
                  <v:group style="position:absolute;left:0;top:0;width:1498;height:1248" coordorigin="0,0" coordsize="1498,1248">
                    <v:shape style="position:absolute;left:0;top:0;width:1498;height:1248" coordorigin="0,0" coordsize="1498,1248" path="m0,1248l1498,1248,1498,0,0,0,0,1248xe" filled="true" fillcolor="#ffffff" stroked="false">
                      <v:path arrowok="t"/>
                      <v:fill type="solid"/>
                    </v:shape>
                  </v:group>
                </v:group>
              </w:pict>
            </w:r>
            <w:r>
              <w:rPr>
                <w:rFonts w:ascii="宋体" w:hAnsi="宋体" w:cs="宋体" w:eastAsia="宋体" w:hint="default"/>
                <w:position w:val="-24"/>
                <w:sz w:val="20"/>
                <w:szCs w:val="20"/>
              </w:rPr>
            </w:r>
          </w:p>
          <w:p>
            <w:pPr>
              <w:pStyle w:val="TableParagraph"/>
              <w:spacing w:line="240" w:lineRule="auto" w:before="56"/>
              <w:ind w:left="24" w:right="0"/>
              <w:jc w:val="left"/>
              <w:rPr>
                <w:rFonts w:ascii="宋体" w:hAnsi="宋体" w:cs="宋体" w:eastAsia="宋体" w:hint="default"/>
                <w:sz w:val="18"/>
                <w:szCs w:val="18"/>
              </w:rPr>
            </w:pPr>
            <w:r>
              <w:rPr>
                <w:rFonts w:ascii="宋体" w:hAnsi="宋体" w:cs="宋体" w:eastAsia="宋体" w:hint="default"/>
                <w:sz w:val="18"/>
                <w:szCs w:val="18"/>
              </w:rPr>
              <w:t>未回款</w:t>
            </w: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
              <w:ind w:right="0"/>
              <w:jc w:val="left"/>
              <w:rPr>
                <w:rFonts w:ascii="宋体" w:hAnsi="宋体" w:cs="宋体" w:eastAsia="宋体" w:hint="default"/>
                <w:sz w:val="21"/>
                <w:szCs w:val="21"/>
              </w:rPr>
            </w:pPr>
          </w:p>
        </w:tc>
        <w:tc>
          <w:tcPr>
            <w:tcW w:w="99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352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pacing w:val="-4"/>
                <w:sz w:val="18"/>
                <w:szCs w:val="18"/>
              </w:rPr>
              <w:t>月份，我公</w:t>
            </w:r>
            <w:r>
              <w:rPr>
                <w:rFonts w:ascii="宋体" w:hAnsi="宋体" w:cs="宋体" w:eastAsia="宋体" w:hint="default"/>
                <w:sz w:val="18"/>
                <w:szCs w:val="18"/>
              </w:rPr>
              <w:t> 司向上海康斐信息技 术有限公司提供澳门 发布会和推啥</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APP</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上 市发布会</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个项目的 服务，服务结束后， 经多次催收服务费用 </w:t>
            </w:r>
            <w:r>
              <w:rPr>
                <w:rFonts w:ascii="宋体" w:hAnsi="宋体" w:cs="宋体" w:eastAsia="宋体" w:hint="default"/>
                <w:spacing w:val="-17"/>
                <w:sz w:val="18"/>
                <w:szCs w:val="18"/>
              </w:rPr>
              <w:t>无果，于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5"/>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日我公司在上海市 普陀区人民法院申请 立案。</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168.50</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澳门发布 会结案，另 一个进行 中</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5"/>
                <w:szCs w:val="15"/>
              </w:rPr>
            </w:pPr>
          </w:p>
          <w:p>
            <w:pPr>
              <w:pStyle w:val="TableParagraph"/>
              <w:spacing w:line="240" w:lineRule="auto"/>
              <w:ind w:left="22"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319" w:lineRule="auto" w:before="61"/>
              <w:ind w:left="22" w:right="97"/>
              <w:jc w:val="both"/>
              <w:rPr>
                <w:rFonts w:ascii="宋体" w:hAnsi="宋体" w:cs="宋体" w:eastAsia="宋体" w:hint="default"/>
                <w:sz w:val="18"/>
                <w:szCs w:val="18"/>
              </w:rPr>
            </w:pPr>
            <w:r>
              <w:rPr>
                <w:rFonts w:ascii="宋体" w:hAnsi="宋体" w:cs="宋体" w:eastAsia="宋体" w:hint="default"/>
                <w:sz w:val="18"/>
                <w:szCs w:val="18"/>
              </w:rPr>
              <w:t>日，法院判定澳 门发布会项目我 公司胜诉</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未回款</w:t>
            </w:r>
          </w:p>
        </w:tc>
        <w:tc>
          <w:tcPr>
            <w:tcW w:w="99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4146"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月份至</w:t>
            </w:r>
          </w:p>
          <w:p>
            <w:pPr>
              <w:pStyle w:val="TableParagraph"/>
              <w:spacing w:line="312" w:lineRule="auto" w:before="61"/>
              <w:ind w:left="22"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月份期间， 我公司向上海斐赛克 斯通信设备有限公司 </w:t>
            </w:r>
            <w:r>
              <w:rPr>
                <w:rFonts w:ascii="宋体" w:hAnsi="宋体" w:cs="宋体" w:eastAsia="宋体" w:hint="default"/>
                <w:spacing w:val="-8"/>
                <w:sz w:val="18"/>
                <w:szCs w:val="18"/>
              </w:rPr>
              <w:t>提供日常、天天链</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N1</w:t>
            </w:r>
            <w:r>
              <w:rPr>
                <w:rFonts w:ascii="Times New Roman" w:hAnsi="Times New Roman" w:cs="Times New Roman" w:eastAsia="Times New Roman" w:hint="default"/>
                <w:spacing w:val="-1"/>
                <w:w w:val="99"/>
                <w:sz w:val="18"/>
                <w:szCs w:val="18"/>
              </w:rPr>
              <w:t> </w:t>
            </w:r>
            <w:r>
              <w:rPr>
                <w:rFonts w:ascii="宋体" w:hAnsi="宋体" w:cs="宋体" w:eastAsia="宋体" w:hint="default"/>
                <w:sz w:val="18"/>
                <w:szCs w:val="18"/>
              </w:rPr>
              <w:t>之后及斐讯手环传播 共计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个项目的服 务，服务结束后，经 多次催收服务费用无 果，于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309" w:lineRule="auto" w:before="3"/>
              <w:ind w:left="22" w:right="22"/>
              <w:jc w:val="both"/>
              <w:rPr>
                <w:rFonts w:ascii="宋体" w:hAnsi="宋体" w:cs="宋体" w:eastAsia="宋体" w:hint="default"/>
                <w:sz w:val="18"/>
                <w:szCs w:val="18"/>
              </w:rPr>
            </w:pP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日我公司在上海市 松江区人民法院申请 立案。</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329.27</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进行中</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r>
        <w:trPr>
          <w:trHeight w:val="1611"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3"/>
              <w:jc w:val="both"/>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月份我公司 向珠海市魅族科技有 限公司提供日常传播 服务，服务结束后， 多次催收服务费用无</w:t>
            </w:r>
          </w:p>
        </w:tc>
        <w:tc>
          <w:tcPr>
            <w:tcW w:w="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477.73</w:t>
            </w:r>
          </w:p>
        </w:tc>
        <w:tc>
          <w:tcPr>
            <w:tcW w:w="12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0"/>
                <w:szCs w:val="20"/>
              </w:rPr>
            </w:pPr>
          </w:p>
          <w:p>
            <w:pPr>
              <w:pStyle w:val="TableParagraph"/>
              <w:spacing w:line="319" w:lineRule="auto"/>
              <w:ind w:left="23" w:right="198"/>
              <w:jc w:val="left"/>
              <w:rPr>
                <w:rFonts w:ascii="宋体" w:hAnsi="宋体" w:cs="宋体" w:eastAsia="宋体" w:hint="default"/>
                <w:sz w:val="18"/>
                <w:szCs w:val="18"/>
              </w:rPr>
            </w:pPr>
            <w:r>
              <w:rPr>
                <w:rFonts w:ascii="宋体" w:hAnsi="宋体" w:cs="宋体" w:eastAsia="宋体" w:hint="default"/>
                <w:sz w:val="18"/>
                <w:szCs w:val="18"/>
              </w:rPr>
              <w:t>被告申请 仲裁异议</w:t>
            </w:r>
          </w:p>
        </w:tc>
        <w:tc>
          <w:tcPr>
            <w:tcW w:w="1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99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11"/>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702"/>
        <w:gridCol w:w="835"/>
        <w:gridCol w:w="1265"/>
        <w:gridCol w:w="954"/>
        <w:gridCol w:w="1392"/>
        <w:gridCol w:w="1508"/>
        <w:gridCol w:w="992"/>
        <w:gridCol w:w="923"/>
      </w:tblGrid>
      <w:tr>
        <w:trPr>
          <w:trHeight w:val="744" w:hRule="exact"/>
        </w:trPr>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基本情况</w:t>
            </w:r>
          </w:p>
        </w:tc>
        <w:tc>
          <w:tcPr>
            <w:tcW w:w="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7"/>
              <w:ind w:left="52" w:right="0"/>
              <w:jc w:val="left"/>
              <w:rPr>
                <w:rFonts w:ascii="宋体" w:hAnsi="宋体" w:cs="宋体" w:eastAsia="宋体" w:hint="default"/>
                <w:sz w:val="18"/>
                <w:szCs w:val="18"/>
              </w:rPr>
            </w:pPr>
            <w:r>
              <w:rPr>
                <w:rFonts w:ascii="宋体" w:hAnsi="宋体" w:cs="宋体" w:eastAsia="宋体" w:hint="default"/>
                <w:sz w:val="18"/>
                <w:szCs w:val="18"/>
              </w:rPr>
              <w:t>涉案金额</w:t>
            </w:r>
          </w:p>
          <w:p>
            <w:pPr>
              <w:pStyle w:val="TableParagraph"/>
              <w:spacing w:line="240" w:lineRule="auto" w:before="76"/>
              <w:ind w:left="52"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7"/>
              <w:ind w:left="446" w:right="87" w:hanging="360"/>
              <w:jc w:val="left"/>
              <w:rPr>
                <w:rFonts w:ascii="宋体" w:hAnsi="宋体" w:cs="宋体" w:eastAsia="宋体" w:hint="default"/>
                <w:sz w:val="18"/>
                <w:szCs w:val="18"/>
              </w:rPr>
            </w:pPr>
            <w:r>
              <w:rPr>
                <w:rFonts w:ascii="宋体" w:hAnsi="宋体" w:cs="宋体" w:eastAsia="宋体" w:hint="default"/>
                <w:sz w:val="18"/>
                <w:szCs w:val="18"/>
              </w:rPr>
              <w:t>是否形成预计 负债</w:t>
            </w:r>
          </w:p>
        </w:tc>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7"/>
              <w:ind w:left="292" w:right="49"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 </w:t>
            </w:r>
            <w:r>
              <w:rPr>
                <w:rFonts w:ascii="宋体" w:hAnsi="宋体" w:cs="宋体" w:eastAsia="宋体" w:hint="default"/>
                <w:sz w:val="18"/>
                <w:szCs w:val="18"/>
              </w:rPr>
              <w:t>进展</w:t>
            </w:r>
          </w:p>
        </w:tc>
        <w:tc>
          <w:tcPr>
            <w:tcW w:w="1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7"/>
              <w:ind w:left="241" w:right="89" w:hanging="15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审理 结果及影响</w:t>
            </w:r>
          </w:p>
        </w:tc>
        <w:tc>
          <w:tcPr>
            <w:tcW w:w="15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40" w:lineRule="auto" w:before="46"/>
              <w:ind w:left="388" w:right="146" w:hanging="240"/>
              <w:jc w:val="left"/>
              <w:rPr>
                <w:rFonts w:ascii="宋体" w:hAnsi="宋体" w:cs="宋体" w:eastAsia="宋体" w:hint="default"/>
                <w:sz w:val="18"/>
                <w:szCs w:val="18"/>
              </w:rPr>
            </w:pPr>
            <w:r>
              <w:rPr>
                <w:rFonts w:ascii="宋体" w:hAnsi="宋体" w:cs="宋体" w:eastAsia="宋体" w:hint="default"/>
                <w:sz w:val="18"/>
                <w:szCs w:val="18"/>
              </w:rPr>
              <w:t>诉讼</w:t>
            </w:r>
            <w:r>
              <w:rPr>
                <w:rFonts w:ascii="Times New Roman" w:hAnsi="Times New Roman" w:cs="Times New Roman" w:eastAsia="Times New Roman" w:hint="default"/>
                <w:sz w:val="18"/>
                <w:szCs w:val="18"/>
              </w:rPr>
              <w:t>(</w:t>
            </w:r>
            <w:r>
              <w:rPr>
                <w:rFonts w:ascii="宋体" w:hAnsi="宋体" w:cs="宋体" w:eastAsia="宋体" w:hint="default"/>
                <w:sz w:val="18"/>
                <w:szCs w:val="18"/>
              </w:rPr>
              <w:t>仲裁</w:t>
            </w:r>
            <w:r>
              <w:rPr>
                <w:rFonts w:ascii="Times New Roman" w:hAnsi="Times New Roman" w:cs="Times New Roman" w:eastAsia="Times New Roman" w:hint="default"/>
                <w:sz w:val="18"/>
                <w:szCs w:val="18"/>
              </w:rPr>
              <w:t>)</w:t>
            </w:r>
            <w:r>
              <w:rPr>
                <w:rFonts w:ascii="宋体" w:hAnsi="宋体" w:cs="宋体" w:eastAsia="宋体" w:hint="default"/>
                <w:sz w:val="18"/>
                <w:szCs w:val="18"/>
              </w:rPr>
              <w:t>判决 执行情况</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130"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9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95"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992"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6"/>
              <w:ind w:left="22" w:right="23"/>
              <w:jc w:val="both"/>
              <w:rPr>
                <w:rFonts w:ascii="宋体" w:hAnsi="宋体" w:cs="宋体" w:eastAsia="宋体" w:hint="default"/>
                <w:sz w:val="18"/>
                <w:szCs w:val="18"/>
              </w:rPr>
            </w:pPr>
            <w:r>
              <w:rPr>
                <w:rFonts w:ascii="宋体" w:hAnsi="宋体" w:cs="宋体" w:eastAsia="宋体" w:hint="default"/>
                <w:spacing w:val="-7"/>
                <w:sz w:val="18"/>
                <w:szCs w:val="18"/>
              </w:rPr>
              <w:t>果，于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日我公司向北京市仲 裁委员会申请仲裁。</w:t>
            </w:r>
          </w:p>
        </w:tc>
        <w:tc>
          <w:tcPr>
            <w:tcW w:w="835" w:type="dxa"/>
            <w:tcBorders>
              <w:top w:val="single" w:sz="12" w:space="0" w:color="D2D2D2"/>
              <w:left w:val="single" w:sz="4" w:space="0" w:color="000000"/>
              <w:bottom w:val="single" w:sz="4" w:space="0" w:color="000000"/>
              <w:right w:val="single" w:sz="4" w:space="0" w:color="000000"/>
            </w:tcBorders>
          </w:tcPr>
          <w:p>
            <w:pPr/>
          </w:p>
        </w:tc>
        <w:tc>
          <w:tcPr>
            <w:tcW w:w="1265" w:type="dxa"/>
            <w:tcBorders>
              <w:top w:val="single" w:sz="12" w:space="0" w:color="D2D2D2"/>
              <w:left w:val="single" w:sz="4" w:space="0" w:color="000000"/>
              <w:bottom w:val="single" w:sz="4" w:space="0" w:color="000000"/>
              <w:right w:val="single" w:sz="4" w:space="0" w:color="000000"/>
            </w:tcBorders>
          </w:tcPr>
          <w:p>
            <w:pPr/>
          </w:p>
        </w:tc>
        <w:tc>
          <w:tcPr>
            <w:tcW w:w="954" w:type="dxa"/>
            <w:tcBorders>
              <w:top w:val="single" w:sz="12" w:space="0" w:color="D2D2D2"/>
              <w:left w:val="single" w:sz="4" w:space="0" w:color="000000"/>
              <w:bottom w:val="single" w:sz="4" w:space="0" w:color="000000"/>
              <w:right w:val="single" w:sz="4" w:space="0" w:color="000000"/>
            </w:tcBorders>
          </w:tcPr>
          <w:p>
            <w:pPr/>
          </w:p>
        </w:tc>
        <w:tc>
          <w:tcPr>
            <w:tcW w:w="1392" w:type="dxa"/>
            <w:tcBorders>
              <w:top w:val="single" w:sz="12" w:space="0" w:color="D2D2D2"/>
              <w:left w:val="single" w:sz="4" w:space="0" w:color="000000"/>
              <w:bottom w:val="single" w:sz="4" w:space="0" w:color="000000"/>
              <w:right w:val="single" w:sz="4" w:space="0" w:color="000000"/>
            </w:tcBorders>
          </w:tcPr>
          <w:p>
            <w:pPr/>
          </w:p>
        </w:tc>
        <w:tc>
          <w:tcPr>
            <w:tcW w:w="1508"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92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十二、处罚及整改情况" w:id="78"/>
      <w:bookmarkEnd w:id="78"/>
      <w:r>
        <w:rPr>
          <w:b w:val="0"/>
          <w:bCs w:val="0"/>
        </w:rPr>
      </w:r>
      <w:r>
        <w:rPr/>
        <w:t>十二、处罚及整改情况</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787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公司报告期不存在处罚及整改情况。</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bookmarkStart w:name="十三、公司及其控股股东、实际控制人的诚信状况" w:id="79"/>
      <w:bookmarkEnd w:id="79"/>
      <w:r>
        <w:rPr>
          <w:b w:val="0"/>
          <w:bCs w:val="0"/>
        </w:rPr>
      </w:r>
      <w:r>
        <w:rPr/>
        <w:t>十三、公司及其控股股东、实际控制人的诚信状况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十四、公司股权激励计划、员工持股计划或其他员工激励措施的实施情况" w:id="80"/>
      <w:bookmarkEnd w:id="80"/>
      <w:r>
        <w:rPr>
          <w:b w:val="0"/>
          <w:bCs w:val="0"/>
        </w:rPr>
      </w:r>
      <w:r>
        <w:rPr/>
        <w:t>十四、公司股权激励计划、员工持股计划或其他员工激励措施的实施情况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44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公司报告期无股权激励计划、员工持股计划或其他员工激励措施及其实施情况。</w:t>
      </w:r>
    </w:p>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bookmarkStart w:name="十五、重大关联交易" w:id="81"/>
      <w:bookmarkEnd w:id="81"/>
      <w:r>
        <w:rPr>
          <w:b w:val="0"/>
          <w:bCs w:val="0"/>
        </w:rPr>
      </w:r>
      <w:r>
        <w:rPr/>
        <w:t>十五、重大关联交易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与日常经营相关的关联交易" w:id="82"/>
      <w:bookmarkEnd w:id="82"/>
      <w:r>
        <w:rPr>
          <w:b w:val="0"/>
          <w:bCs w:val="0"/>
        </w:rPr>
      </w:r>
      <w:r>
        <w:rPr>
          <w:rFonts w:ascii="Times New Roman" w:hAnsi="Times New Roman" w:cs="Times New Roman" w:eastAsia="Times New Roman" w:hint="default"/>
        </w:rPr>
        <w:t>1</w:t>
      </w:r>
      <w:r>
        <w:rPr/>
        <w:t>、与日常经营相关的关联交易</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公司报告期未发生与日常经营相关的关联交易。</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资产或股权收购、出售发生的关联交易" w:id="83"/>
      <w:bookmarkEnd w:id="83"/>
      <w:r>
        <w:rPr>
          <w:b w:val="0"/>
          <w:bCs w:val="0"/>
        </w:rPr>
      </w:r>
      <w:r>
        <w:rPr>
          <w:rFonts w:ascii="Times New Roman" w:hAnsi="Times New Roman" w:cs="Times New Roman" w:eastAsia="Times New Roman"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64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公司报告期未发生资产或股权收购、出售的关联交易。</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共同对外投资的关联交易" w:id="84"/>
      <w:bookmarkEnd w:id="84"/>
      <w:r>
        <w:rPr>
          <w:b w:val="0"/>
          <w:bCs w:val="0"/>
        </w:rPr>
      </w:r>
      <w:r>
        <w:rPr>
          <w:rFonts w:ascii="Times New Roman" w:hAnsi="Times New Roman" w:cs="Times New Roman" w:eastAsia="Times New Roman" w:hint="default"/>
        </w:rPr>
        <w:t>3</w:t>
      </w:r>
      <w:r>
        <w:rPr/>
        <w:t>、共同对外投资的关联交易</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1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公司报告期未发生共同对外投资的关联交易。</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4、关联债权债务往来" w:id="85"/>
      <w:bookmarkEnd w:id="85"/>
      <w:r>
        <w:rPr>
          <w:b w:val="0"/>
          <w:bCs w:val="0"/>
        </w:rPr>
      </w:r>
      <w:r>
        <w:rPr>
          <w:rFonts w:ascii="Times New Roman" w:hAnsi="Times New Roman" w:cs="Times New Roman" w:eastAsia="Times New Roman" w:hint="default"/>
        </w:rPr>
        <w:t>4</w:t>
      </w:r>
      <w:r>
        <w:rPr/>
        <w:t>、关联债权债务往来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公司报告期不存在关联债权债务往来。</w:t>
      </w:r>
    </w:p>
    <w:p>
      <w:pPr>
        <w:spacing w:after="0" w:line="338"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5、其他重大关联交易" w:id="86"/>
      <w:bookmarkEnd w:id="86"/>
      <w:r>
        <w:rPr>
          <w:b w:val="0"/>
          <w:bCs w:val="0"/>
        </w:rPr>
      </w:r>
      <w:r>
        <w:rPr>
          <w:rFonts w:ascii="Times New Roman" w:hAnsi="Times New Roman" w:cs="Times New Roman" w:eastAsia="Times New Roman" w:hint="default"/>
        </w:rPr>
        <w:t>5</w:t>
      </w:r>
      <w:r>
        <w:rPr/>
        <w:t>、其他重大关联交易</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w:t>
      </w:r>
      <w:r>
        <w:rPr/>
        <w:t>适用</w:t>
      </w:r>
      <w:r>
        <w:rPr>
          <w:spacing w:val="89"/>
        </w:rPr>
        <w:t> </w:t>
      </w:r>
      <w:r>
        <w:rPr>
          <w:rFonts w:ascii="Times New Roman" w:hAnsi="Times New Roman" w:cs="Times New Roman" w:eastAsia="Times New Roman" w:hint="default"/>
        </w:rPr>
        <w:t>□</w:t>
      </w:r>
      <w:r>
        <w:rPr/>
        <w:t>不适用</w:t>
      </w:r>
    </w:p>
    <w:p>
      <w:pPr>
        <w:pStyle w:val="BodyText"/>
        <w:spacing w:line="300" w:lineRule="auto" w:before="101"/>
        <w:ind w:right="1132" w:firstLine="360"/>
        <w:jc w:val="both"/>
      </w:pPr>
      <w:r>
        <w:rPr/>
        <w:t>公司于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15</w:t>
      </w:r>
      <w:r>
        <w:rPr>
          <w:rFonts w:ascii="Times New Roman" w:hAnsi="Times New Roman" w:cs="Times New Roman" w:eastAsia="Times New Roman" w:hint="default"/>
          <w:spacing w:val="-1"/>
        </w:rPr>
        <w:t> </w:t>
      </w:r>
      <w:r>
        <w:rPr/>
        <w:t>日召开的第三届董事会第九次会议、第四届监事会第八次会议同意拟租用北京斯普汇德文化中 </w:t>
      </w:r>
      <w:r>
        <w:rPr>
          <w:spacing w:val="-5"/>
          <w:w w:val="100"/>
        </w:rPr>
        <w:t>心（有限合伙）（以下简称</w:t>
      </w:r>
      <w:r>
        <w:rPr>
          <w:rFonts w:ascii="Times New Roman" w:hAnsi="Times New Roman" w:cs="Times New Roman" w:eastAsia="Times New Roman" w:hint="default"/>
          <w:spacing w:val="-5"/>
          <w:w w:val="100"/>
        </w:rPr>
        <w:t>“</w:t>
      </w:r>
      <w:r>
        <w:rPr>
          <w:spacing w:val="-5"/>
          <w:w w:val="100"/>
        </w:rPr>
        <w:t>斯普汇德</w:t>
      </w:r>
      <w:r>
        <w:rPr>
          <w:rFonts w:ascii="Times New Roman" w:hAnsi="Times New Roman" w:cs="Times New Roman" w:eastAsia="Times New Roman" w:hint="default"/>
          <w:spacing w:val="-5"/>
          <w:w w:val="100"/>
        </w:rPr>
        <w:t>”</w:t>
      </w:r>
      <w:r>
        <w:rPr>
          <w:spacing w:val="-5"/>
          <w:w w:val="100"/>
        </w:rPr>
        <w:t>）承租的位于北京市朝阳区双桥街</w:t>
      </w:r>
      <w:r>
        <w:rPr>
          <w:spacing w:val="-33"/>
          <w:w w:val="100"/>
        </w:rPr>
        <w:t> </w:t>
      </w:r>
      <w:r>
        <w:rPr>
          <w:rFonts w:ascii="Times New Roman" w:hAnsi="Times New Roman" w:cs="Times New Roman" w:eastAsia="Times New Roman" w:hint="default"/>
        </w:rPr>
        <w:t>12</w:t>
      </w:r>
      <w:r>
        <w:rPr>
          <w:rFonts w:ascii="Times New Roman" w:hAnsi="Times New Roman" w:cs="Times New Roman" w:eastAsia="Times New Roman" w:hint="default"/>
          <w:spacing w:val="12"/>
        </w:rPr>
        <w:t> </w:t>
      </w:r>
      <w:r>
        <w:rPr/>
        <w:t>号院</w:t>
      </w:r>
      <w:r>
        <w:rPr>
          <w:spacing w:val="-33"/>
        </w:rPr>
        <w:t> </w:t>
      </w:r>
      <w:r>
        <w:rPr>
          <w:rFonts w:ascii="Times New Roman" w:hAnsi="Times New Roman" w:cs="Times New Roman" w:eastAsia="Times New Roman" w:hint="default"/>
          <w:spacing w:val="-2"/>
        </w:rPr>
        <w:t>39#</w:t>
      </w:r>
      <w:r>
        <w:rPr>
          <w:spacing w:val="-2"/>
        </w:rPr>
        <w:t>、</w:t>
      </w:r>
      <w:r>
        <w:rPr>
          <w:rFonts w:ascii="Times New Roman" w:hAnsi="Times New Roman" w:cs="Times New Roman" w:eastAsia="Times New Roman" w:hint="default"/>
          <w:spacing w:val="-2"/>
        </w:rPr>
        <w:t>41#-45#</w:t>
      </w:r>
      <w:r>
        <w:rPr>
          <w:spacing w:val="-2"/>
        </w:rPr>
        <w:t>办公楼，并于当日与斯普汇德</w:t>
      </w:r>
      <w:r>
        <w:rPr>
          <w:spacing w:val="-87"/>
        </w:rPr>
        <w:t> </w:t>
      </w:r>
      <w:r>
        <w:rPr>
          <w:spacing w:val="-87"/>
        </w:rPr>
      </w:r>
      <w:r>
        <w:rPr>
          <w:spacing w:val="-6"/>
        </w:rPr>
        <w:t>签订《房屋租赁合同》，该房屋建筑面积为</w:t>
      </w:r>
      <w:r>
        <w:rPr>
          <w:spacing w:val="-45"/>
        </w:rPr>
        <w:t> </w:t>
      </w:r>
      <w:r>
        <w:rPr>
          <w:rFonts w:ascii="Times New Roman" w:hAnsi="Times New Roman" w:cs="Times New Roman" w:eastAsia="Times New Roman" w:hint="default"/>
        </w:rPr>
        <w:t>5048.49</w:t>
      </w:r>
      <w:r>
        <w:rPr>
          <w:rFonts w:ascii="Times New Roman" w:hAnsi="Times New Roman" w:cs="Times New Roman" w:eastAsia="Times New Roman" w:hint="default"/>
          <w:spacing w:val="1"/>
        </w:rPr>
        <w:t> </w:t>
      </w:r>
      <w:r>
        <w:rPr>
          <w:spacing w:val="-2"/>
        </w:rPr>
        <w:t>平方米，租赁期限为</w:t>
      </w:r>
      <w:r>
        <w:rPr>
          <w:spacing w:val="-45"/>
        </w:rPr>
        <w:t> </w:t>
      </w:r>
      <w:r>
        <w:rPr>
          <w:rFonts w:ascii="Times New Roman" w:hAnsi="Times New Roman" w:cs="Times New Roman" w:eastAsia="Times New Roman" w:hint="default"/>
        </w:rPr>
        <w:t>3519 </w:t>
      </w:r>
      <w:r>
        <w:rPr>
          <w:spacing w:val="-2"/>
        </w:rPr>
        <w:t>天，租赁期自</w:t>
      </w:r>
      <w:r>
        <w:rPr>
          <w:spacing w:val="-45"/>
        </w:rPr>
        <w:t> </w:t>
      </w:r>
      <w:r>
        <w:rPr>
          <w:rFonts w:ascii="Times New Roman" w:hAnsi="Times New Roman" w:cs="Times New Roman" w:eastAsia="Times New Roman" w:hint="default"/>
        </w:rPr>
        <w:t>2019 </w:t>
      </w:r>
      <w:r>
        <w:rPr/>
        <w:t>年</w:t>
      </w:r>
      <w:r>
        <w:rPr>
          <w:spacing w:val="-44"/>
        </w:rPr>
        <w:t> </w:t>
      </w:r>
      <w:r>
        <w:rPr>
          <w:rFonts w:ascii="Times New Roman" w:hAnsi="Times New Roman" w:cs="Times New Roman" w:eastAsia="Times New Roman" w:hint="default"/>
        </w:rPr>
        <w:t>1 </w:t>
      </w:r>
      <w:r>
        <w:rPr/>
        <w:t>月</w:t>
      </w:r>
      <w:r>
        <w:rPr>
          <w:spacing w:val="-44"/>
        </w:rPr>
        <w:t> </w:t>
      </w:r>
      <w:r>
        <w:rPr>
          <w:rFonts w:ascii="Times New Roman" w:hAnsi="Times New Roman" w:cs="Times New Roman" w:eastAsia="Times New Roman" w:hint="default"/>
        </w:rPr>
        <w:t>1 </w:t>
      </w:r>
      <w:r>
        <w:rPr/>
        <w:t>日至</w:t>
      </w:r>
      <w:r>
        <w:rPr>
          <w:spacing w:val="-45"/>
        </w:rPr>
        <w:t> </w:t>
      </w:r>
      <w:r>
        <w:rPr>
          <w:rFonts w:ascii="Times New Roman" w:hAnsi="Times New Roman" w:cs="Times New Roman" w:eastAsia="Times New Roman" w:hint="default"/>
        </w:rPr>
        <w:t>2028</w:t>
      </w:r>
      <w:r>
        <w:rPr>
          <w:rFonts w:ascii="Times New Roman" w:hAnsi="Times New Roman" w:cs="Times New Roman" w:eastAsia="Times New Roman" w:hint="default"/>
          <w:spacing w:val="1"/>
        </w:rPr>
        <w:t> </w:t>
      </w:r>
      <w:r>
        <w:rPr/>
        <w:t>年</w:t>
      </w:r>
      <w:r>
        <w:rPr>
          <w:spacing w:val="-44"/>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月</w:t>
      </w:r>
    </w:p>
    <w:p>
      <w:pPr>
        <w:pStyle w:val="BodyText"/>
        <w:spacing w:line="240" w:lineRule="auto" w:before="13"/>
        <w:ind w:right="0"/>
        <w:jc w:val="left"/>
      </w:pPr>
      <w:r>
        <w:rPr>
          <w:rFonts w:ascii="Times New Roman" w:hAnsi="Times New Roman" w:cs="Times New Roman" w:eastAsia="Times New Roman" w:hint="default"/>
        </w:rPr>
        <w:t>19</w:t>
      </w:r>
      <w:r>
        <w:rPr>
          <w:rFonts w:ascii="Times New Roman" w:hAnsi="Times New Roman" w:cs="Times New Roman" w:eastAsia="Times New Roman" w:hint="default"/>
          <w:spacing w:val="-1"/>
        </w:rPr>
        <w:t> </w:t>
      </w:r>
      <w:r>
        <w:rPr/>
        <w:t>日止</w:t>
      </w:r>
      <w:r>
        <w:rPr>
          <w:spacing w:val="-9"/>
        </w:rPr>
        <w:t>，</w:t>
      </w:r>
      <w:r>
        <w:rPr/>
        <w:t>公司以每半年为一期支付租金</w:t>
      </w:r>
      <w:r>
        <w:rPr>
          <w:spacing w:val="-9"/>
        </w:rPr>
        <w:t>，</w:t>
      </w:r>
      <w:r>
        <w:rPr/>
        <w:t>租金为人民币</w:t>
      </w:r>
      <w:r>
        <w:rPr>
          <w:spacing w:val="-45"/>
        </w:rPr>
        <w:t> </w:t>
      </w:r>
      <w:r>
        <w:rPr>
          <w:rFonts w:ascii="Times New Roman" w:hAnsi="Times New Roman" w:cs="Times New Roman" w:eastAsia="Times New Roman" w:hint="default"/>
        </w:rPr>
        <w:t>4,163,86</w:t>
      </w:r>
      <w:r>
        <w:rPr>
          <w:rFonts w:ascii="Times New Roman" w:hAnsi="Times New Roman" w:cs="Times New Roman" w:eastAsia="Times New Roman" w:hint="default"/>
          <w:spacing w:val="-2"/>
        </w:rPr>
        <w:t>5</w:t>
      </w:r>
      <w:r>
        <w:rPr>
          <w:rFonts w:ascii="Times New Roman" w:hAnsi="Times New Roman" w:cs="Times New Roman" w:eastAsia="Times New Roman" w:hint="default"/>
        </w:rPr>
        <w:t>.03 </w:t>
      </w:r>
      <w:r>
        <w:rPr/>
        <w:t>元</w:t>
      </w:r>
      <w:r>
        <w:rPr>
          <w:rFonts w:ascii="Times New Roman" w:hAnsi="Times New Roman" w:cs="Times New Roman" w:eastAsia="Times New Roman" w:hint="default"/>
        </w:rPr>
        <w:t>/</w:t>
      </w:r>
      <w:r>
        <w:rPr/>
        <w:t>半</w:t>
      </w:r>
      <w:r>
        <w:rPr>
          <w:spacing w:val="-9"/>
        </w:rPr>
        <w:t>年</w:t>
      </w:r>
      <w:r>
        <w:rPr/>
        <w:t>（含房屋租金</w:t>
      </w:r>
      <w:r>
        <w:rPr>
          <w:spacing w:val="-9"/>
        </w:rPr>
        <w:t>、</w:t>
      </w:r>
      <w:r>
        <w:rPr/>
        <w:t>物业管理费及相关税费</w:t>
      </w:r>
      <w:r>
        <w:rPr>
          <w:spacing w:val="-90"/>
        </w:rPr>
        <w:t>）</w:t>
      </w:r>
      <w:r>
        <w:rPr>
          <w:spacing w:val="-9"/>
        </w:rPr>
        <w:t>，</w:t>
      </w:r>
      <w:r>
        <w:rPr/>
        <w:t>租赁</w:t>
      </w:r>
    </w:p>
    <w:p>
      <w:pPr>
        <w:pStyle w:val="BodyText"/>
        <w:spacing w:line="240" w:lineRule="auto" w:before="63"/>
        <w:ind w:right="0"/>
        <w:jc w:val="left"/>
      </w:pPr>
      <w:r>
        <w:rPr/>
        <w:t>物业全部租期内租金合计为人民币</w:t>
      </w:r>
      <w:r>
        <w:rPr>
          <w:spacing w:val="-46"/>
        </w:rPr>
        <w:t> </w:t>
      </w:r>
      <w:r>
        <w:rPr>
          <w:rFonts w:ascii="Times New Roman" w:hAnsi="Times New Roman" w:cs="Times New Roman" w:eastAsia="Times New Roman" w:hint="default"/>
        </w:rPr>
        <w:t>80,953,818.00 </w:t>
      </w:r>
      <w:r>
        <w:rPr/>
        <w:t>元，本公司于</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46"/>
        </w:rPr>
        <w:t> </w:t>
      </w:r>
      <w:r>
        <w:rPr>
          <w:rFonts w:ascii="Times New Roman" w:hAnsi="Times New Roman" w:cs="Times New Roman" w:eastAsia="Times New Roman" w:hint="default"/>
        </w:rPr>
        <w:t>21</w:t>
      </w:r>
      <w:r>
        <w:rPr>
          <w:rFonts w:ascii="Times New Roman" w:hAnsi="Times New Roman" w:cs="Times New Roman" w:eastAsia="Times New Roman" w:hint="default"/>
          <w:spacing w:val="-1"/>
        </w:rPr>
        <w:t> </w:t>
      </w:r>
      <w:r>
        <w:rPr/>
        <w:t>日向斯普汇德缴纳相当于租赁物业的</w:t>
      </w:r>
      <w:r>
        <w:rPr>
          <w:spacing w:val="-46"/>
        </w:rPr>
        <w:t> </w:t>
      </w:r>
      <w:r>
        <w:rPr>
          <w:rFonts w:ascii="Times New Roman" w:hAnsi="Times New Roman" w:cs="Times New Roman" w:eastAsia="Times New Roman" w:hint="default"/>
        </w:rPr>
        <w:t>92</w:t>
      </w:r>
      <w:r>
        <w:rPr>
          <w:rFonts w:ascii="Times New Roman" w:hAnsi="Times New Roman" w:cs="Times New Roman" w:eastAsia="Times New Roman" w:hint="default"/>
          <w:spacing w:val="-1"/>
        </w:rPr>
        <w:t> </w:t>
      </w:r>
      <w:r>
        <w:rPr/>
        <w:t>天</w:t>
      </w:r>
    </w:p>
    <w:p>
      <w:pPr>
        <w:pStyle w:val="BodyText"/>
        <w:spacing w:line="240" w:lineRule="auto" w:before="64"/>
        <w:ind w:right="0"/>
        <w:jc w:val="left"/>
      </w:pPr>
      <w:r>
        <w:rPr/>
        <w:t>租金的保证金，合计金额为人民币</w:t>
      </w:r>
      <w:r>
        <w:rPr>
          <w:spacing w:val="-50"/>
        </w:rPr>
        <w:t> </w:t>
      </w:r>
      <w:r>
        <w:rPr>
          <w:rFonts w:ascii="Times New Roman" w:hAnsi="Times New Roman" w:cs="Times New Roman" w:eastAsia="Times New Roman" w:hint="default"/>
        </w:rPr>
        <w:t>2,117,942.52</w:t>
      </w:r>
      <w:r>
        <w:rPr>
          <w:rFonts w:ascii="Times New Roman" w:hAnsi="Times New Roman" w:cs="Times New Roman" w:eastAsia="Times New Roman" w:hint="default"/>
          <w:spacing w:val="-5"/>
        </w:rPr>
        <w:t> </w:t>
      </w:r>
      <w:r>
        <w:rPr/>
        <w:t>元。</w:t>
      </w:r>
    </w:p>
    <w:p>
      <w:pPr>
        <w:pStyle w:val="BodyText"/>
        <w:spacing w:line="307" w:lineRule="auto" w:before="102"/>
        <w:ind w:right="1130" w:firstLine="360"/>
        <w:jc w:val="both"/>
      </w:pPr>
      <w:r>
        <w:rPr/>
        <w:t>公司于</w:t>
      </w:r>
      <w:r>
        <w:rPr>
          <w:spacing w:val="-40"/>
        </w:rPr>
        <w:t> </w:t>
      </w:r>
      <w:r>
        <w:rPr>
          <w:rFonts w:ascii="Times New Roman" w:hAnsi="Times New Roman" w:cs="Times New Roman" w:eastAsia="Times New Roman" w:hint="default"/>
        </w:rPr>
        <w:t>2018</w:t>
      </w:r>
      <w:r>
        <w:rPr>
          <w:rFonts w:ascii="Times New Roman" w:hAnsi="Times New Roman" w:cs="Times New Roman" w:eastAsia="Times New Roman" w:hint="default"/>
          <w:spacing w:val="5"/>
        </w:rPr>
        <w:t> </w:t>
      </w:r>
      <w:r>
        <w:rPr/>
        <w:t>年</w:t>
      </w:r>
      <w:r>
        <w:rPr>
          <w:spacing w:val="-3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
        </w:rPr>
        <w:t> </w:t>
      </w:r>
      <w:r>
        <w:rPr/>
        <w:t>月</w:t>
      </w:r>
      <w:r>
        <w:rPr>
          <w:spacing w:val="-40"/>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spacing w:val="-3"/>
        </w:rPr>
        <w:t>日召开第三届董事会第十次会议、第四届监事会第九次会议，审议通过了《关于签订</w:t>
      </w:r>
      <w:r>
        <w:rPr>
          <w:rFonts w:ascii="Times New Roman" w:hAnsi="Times New Roman" w:cs="Times New Roman" w:eastAsia="Times New Roman" w:hint="default"/>
          <w:spacing w:val="-3"/>
        </w:rPr>
        <w:t>&lt;</w:t>
      </w:r>
      <w:r>
        <w:rPr>
          <w:spacing w:val="-3"/>
        </w:rPr>
        <w:t>房屋租赁</w:t>
      </w:r>
      <w:r>
        <w:rPr/>
        <w:t> </w:t>
      </w:r>
      <w:r>
        <w:rPr>
          <w:spacing w:val="-1"/>
        </w:rPr>
        <w:t>合同补充协议</w:t>
      </w:r>
      <w:r>
        <w:rPr>
          <w:rFonts w:ascii="Times New Roman" w:hAnsi="Times New Roman" w:cs="Times New Roman" w:eastAsia="Times New Roman" w:hint="default"/>
          <w:spacing w:val="-1"/>
        </w:rPr>
        <w:t>&gt;</w:t>
      </w:r>
      <w:r>
        <w:rPr>
          <w:spacing w:val="-1"/>
        </w:rPr>
        <w:t>暨关联交易的议案》。协议双方需按国家政府部门出台有关新的政策及市场行情变化，每三年进行必要的租</w:t>
      </w:r>
      <w:r>
        <w:rPr>
          <w:spacing w:val="-54"/>
        </w:rPr>
        <w:t> </w:t>
      </w:r>
      <w:r>
        <w:rPr>
          <w:spacing w:val="-54"/>
        </w:rPr>
      </w:r>
      <w:r>
        <w:rPr>
          <w:spacing w:val="-2"/>
        </w:rPr>
        <w:t>金调整。但是无论如何，调整后的年租金水平不得高于原合同租期内第一年的租金，此调整须经公司重新履行相应的审议程</w:t>
      </w:r>
      <w:r>
        <w:rPr>
          <w:spacing w:val="-66"/>
        </w:rPr>
        <w:t> </w:t>
      </w:r>
      <w:r>
        <w:rPr>
          <w:spacing w:val="-66"/>
        </w:rPr>
      </w:r>
      <w:r>
        <w:rPr/>
        <w:t>序后生效。</w:t>
      </w:r>
      <w:r>
        <w:rPr>
          <w:rFonts w:ascii="Times New Roman" w:hAnsi="Times New Roman" w:cs="Times New Roman" w:eastAsia="Times New Roman" w:hint="default"/>
        </w:rPr>
        <w:t>2019</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月</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6"/>
        </w:rPr>
        <w:t> </w:t>
      </w:r>
      <w:r>
        <w:rPr/>
        <w:t>日</w:t>
      </w:r>
      <w:r>
        <w:rPr>
          <w:rFonts w:ascii="Times New Roman" w:hAnsi="Times New Roman" w:cs="Times New Roman" w:eastAsia="Times New Roman" w:hint="default"/>
        </w:rPr>
        <w:t>-2021</w:t>
      </w:r>
      <w:r>
        <w:rPr>
          <w:rFonts w:ascii="Times New Roman" w:hAnsi="Times New Roman" w:cs="Times New Roman" w:eastAsia="Times New Roman" w:hint="default"/>
          <w:spacing w:val="6"/>
        </w:rPr>
        <w:t> </w:t>
      </w:r>
      <w:r>
        <w:rPr/>
        <w:t>年</w:t>
      </w:r>
      <w:r>
        <w:rPr>
          <w:spacing w:val="-39"/>
        </w:rPr>
        <w:t> </w:t>
      </w:r>
      <w:r>
        <w:rPr>
          <w:rFonts w:ascii="Times New Roman" w:hAnsi="Times New Roman" w:cs="Times New Roman" w:eastAsia="Times New Roman" w:hint="default"/>
        </w:rPr>
        <w:t>12</w:t>
      </w:r>
      <w:r>
        <w:rPr>
          <w:rFonts w:ascii="Times New Roman" w:hAnsi="Times New Roman" w:cs="Times New Roman" w:eastAsia="Times New Roman" w:hint="default"/>
          <w:spacing w:val="6"/>
        </w:rPr>
        <w:t> </w:t>
      </w:r>
      <w:r>
        <w:rPr/>
        <w:t>月</w:t>
      </w:r>
      <w:r>
        <w:rPr>
          <w:spacing w:val="-39"/>
        </w:rPr>
        <w:t> </w:t>
      </w:r>
      <w:r>
        <w:rPr>
          <w:rFonts w:ascii="Times New Roman" w:hAnsi="Times New Roman" w:cs="Times New Roman" w:eastAsia="Times New Roman" w:hint="default"/>
        </w:rPr>
        <w:t>31</w:t>
      </w:r>
      <w:r>
        <w:rPr>
          <w:rFonts w:ascii="Times New Roman" w:hAnsi="Times New Roman" w:cs="Times New Roman" w:eastAsia="Times New Roman" w:hint="default"/>
          <w:spacing w:val="6"/>
        </w:rPr>
        <w:t> </w:t>
      </w:r>
      <w:r>
        <w:rPr/>
        <w:t>日房屋租金合计：人民币</w:t>
      </w:r>
      <w:r>
        <w:rPr>
          <w:spacing w:val="-38"/>
        </w:rPr>
        <w:t> </w:t>
      </w:r>
      <w:r>
        <w:rPr>
          <w:rFonts w:ascii="Times New Roman" w:hAnsi="Times New Roman" w:cs="Times New Roman" w:eastAsia="Times New Roman" w:hint="default"/>
        </w:rPr>
        <w:t>25,213,237.98</w:t>
      </w:r>
      <w:r>
        <w:rPr>
          <w:rFonts w:ascii="Times New Roman" w:hAnsi="Times New Roman" w:cs="Times New Roman" w:eastAsia="Times New Roman" w:hint="default"/>
          <w:spacing w:val="7"/>
        </w:rPr>
        <w:t> </w:t>
      </w:r>
      <w:r>
        <w:rPr/>
        <w:t>元（大写：贰仟伍佰贰拾壹万叁仟贰</w:t>
      </w:r>
    </w:p>
    <w:p>
      <w:pPr>
        <w:pStyle w:val="BodyText"/>
        <w:spacing w:line="302" w:lineRule="auto" w:before="7"/>
        <w:ind w:right="1120"/>
        <w:jc w:val="left"/>
      </w:pPr>
      <w:r>
        <w:rPr>
          <w:spacing w:val="-4"/>
        </w:rPr>
        <w:t>佰叁拾柒元玖角八分）。如租金没有调整，租赁物业全部租期内租金合计：人民币</w:t>
      </w:r>
      <w:r>
        <w:rPr>
          <w:spacing w:val="-40"/>
        </w:rPr>
        <w:t> </w:t>
      </w:r>
      <w:r>
        <w:rPr>
          <w:rFonts w:ascii="Times New Roman" w:hAnsi="Times New Roman" w:cs="Times New Roman" w:eastAsia="Times New Roman" w:hint="default"/>
        </w:rPr>
        <w:t>80,953,818</w:t>
      </w:r>
      <w:r>
        <w:rPr>
          <w:rFonts w:ascii="Times New Roman" w:hAnsi="Times New Roman" w:cs="Times New Roman" w:eastAsia="Times New Roman" w:hint="default"/>
          <w:spacing w:val="5"/>
        </w:rPr>
        <w:t> </w:t>
      </w:r>
      <w:r>
        <w:rPr>
          <w:spacing w:val="-1"/>
        </w:rPr>
        <w:t>元</w:t>
      </w:r>
      <w:r>
        <w:rPr>
          <w:rFonts w:ascii="Times New Roman" w:hAnsi="Times New Roman" w:cs="Times New Roman" w:eastAsia="Times New Roman" w:hint="default"/>
          <w:spacing w:val="-1"/>
        </w:rPr>
        <w:t>(</w:t>
      </w:r>
      <w:r>
        <w:rPr>
          <w:spacing w:val="-1"/>
        </w:rPr>
        <w:t>大写：捌仟零玖拾伍万叁仟</w:t>
      </w:r>
      <w:r>
        <w:rPr/>
        <w:t> 捌佰壹拾捌元整</w:t>
      </w:r>
      <w:r>
        <w:rPr>
          <w:rFonts w:ascii="Times New Roman" w:hAnsi="Times New Roman" w:cs="Times New Roman" w:eastAsia="Times New Roman" w:hint="default"/>
        </w:rPr>
        <w:t>)</w:t>
      </w:r>
      <w:r>
        <w:rPr/>
        <w:t>。</w:t>
      </w:r>
    </w:p>
    <w:p>
      <w:pPr>
        <w:pStyle w:val="BodyText"/>
        <w:spacing w:line="302" w:lineRule="auto" w:before="49"/>
        <w:ind w:right="1042" w:firstLine="360"/>
        <w:jc w:val="both"/>
      </w:pPr>
      <w:r>
        <w:rPr/>
        <w:t>公司于</w:t>
      </w:r>
      <w:r>
        <w:rPr>
          <w:spacing w:val="-45"/>
        </w:rPr>
        <w:t> </w:t>
      </w:r>
      <w:r>
        <w:rPr>
          <w:rFonts w:ascii="Times New Roman" w:hAnsi="Times New Roman" w:cs="Times New Roman" w:eastAsia="Times New Roman" w:hint="default"/>
        </w:rPr>
        <w:t>2018 </w:t>
      </w:r>
      <w:r>
        <w:rPr/>
        <w:t>年</w:t>
      </w:r>
      <w:r>
        <w:rPr>
          <w:spacing w:val="-44"/>
        </w:rPr>
        <w:t> </w:t>
      </w:r>
      <w:r>
        <w:rPr>
          <w:rFonts w:ascii="Times New Roman" w:hAnsi="Times New Roman" w:cs="Times New Roman" w:eastAsia="Times New Roman" w:hint="default"/>
        </w:rPr>
        <w:t>12 </w:t>
      </w:r>
      <w:r>
        <w:rPr/>
        <w:t>月</w:t>
      </w:r>
      <w:r>
        <w:rPr>
          <w:spacing w:val="-45"/>
        </w:rPr>
        <w:t> </w:t>
      </w:r>
      <w:r>
        <w:rPr>
          <w:rFonts w:ascii="Times New Roman" w:hAnsi="Times New Roman" w:cs="Times New Roman" w:eastAsia="Times New Roman" w:hint="default"/>
        </w:rPr>
        <w:t>3 </w:t>
      </w:r>
      <w:r>
        <w:rPr/>
        <w:t>日召开</w:t>
      </w:r>
      <w:r>
        <w:rPr>
          <w:spacing w:val="-44"/>
        </w:rPr>
        <w:t> </w:t>
      </w:r>
      <w:r>
        <w:rPr>
          <w:rFonts w:ascii="Times New Roman" w:hAnsi="Times New Roman" w:cs="Times New Roman" w:eastAsia="Times New Roman" w:hint="default"/>
        </w:rPr>
        <w:t>2018 </w:t>
      </w:r>
      <w:r>
        <w:rPr>
          <w:spacing w:val="-3"/>
        </w:rPr>
        <w:t>年第四次临时股东大会，审议通过了《关于签订</w:t>
      </w:r>
      <w:r>
        <w:rPr>
          <w:rFonts w:ascii="Times New Roman" w:hAnsi="Times New Roman" w:cs="Times New Roman" w:eastAsia="Times New Roman" w:hint="default"/>
          <w:spacing w:val="-3"/>
        </w:rPr>
        <w:t>&lt;</w:t>
      </w:r>
      <w:r>
        <w:rPr>
          <w:spacing w:val="-3"/>
        </w:rPr>
        <w:t>房屋租赁合同</w:t>
      </w:r>
      <w:r>
        <w:rPr>
          <w:rFonts w:ascii="Times New Roman" w:hAnsi="Times New Roman" w:cs="Times New Roman" w:eastAsia="Times New Roman" w:hint="default"/>
          <w:spacing w:val="-3"/>
        </w:rPr>
        <w:t>&gt;</w:t>
      </w:r>
      <w:r>
        <w:rPr>
          <w:spacing w:val="-3"/>
        </w:rPr>
        <w:t>暨关联交易的议案》</w:t>
      </w:r>
      <w:r>
        <w:rPr/>
        <w:t> </w:t>
      </w:r>
      <w:r>
        <w:rPr>
          <w:spacing w:val="-4"/>
        </w:rPr>
        <w:t>及《关于签订</w:t>
      </w:r>
      <w:r>
        <w:rPr>
          <w:rFonts w:ascii="Times New Roman" w:hAnsi="Times New Roman" w:cs="Times New Roman" w:eastAsia="Times New Roman" w:hint="default"/>
          <w:spacing w:val="-4"/>
        </w:rPr>
        <w:t>&lt;</w:t>
      </w:r>
      <w:r>
        <w:rPr>
          <w:spacing w:val="-4"/>
        </w:rPr>
        <w:t>房屋租赁合同补充协议</w:t>
      </w:r>
      <w:r>
        <w:rPr>
          <w:rFonts w:ascii="Times New Roman" w:hAnsi="Times New Roman" w:cs="Times New Roman" w:eastAsia="Times New Roman" w:hint="default"/>
          <w:spacing w:val="-4"/>
        </w:rPr>
        <w:t>&gt;</w:t>
      </w:r>
      <w:r>
        <w:rPr>
          <w:spacing w:val="-4"/>
        </w:rPr>
        <w:t>暨关联交易的议案》。</w:t>
      </w: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2"/>
          <w:szCs w:val="12"/>
        </w:rPr>
      </w:pPr>
    </w:p>
    <w:p>
      <w:pPr>
        <w:pStyle w:val="BodyText"/>
        <w:spacing w:line="240" w:lineRule="auto"/>
        <w:ind w:right="0"/>
        <w:jc w:val="left"/>
      </w:pPr>
      <w:r>
        <w:rPr/>
        <w:t>重大关联交易临时报告披露网站相关查询</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460"/>
        <w:gridCol w:w="2650"/>
        <w:gridCol w:w="3459"/>
      </w:tblGrid>
      <w:tr>
        <w:trPr>
          <w:trHeight w:val="402" w:hRule="exact"/>
        </w:trPr>
        <w:tc>
          <w:tcPr>
            <w:tcW w:w="3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临时公告名称</w:t>
            </w:r>
          </w:p>
        </w:tc>
        <w:tc>
          <w:tcPr>
            <w:tcW w:w="2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0"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24" w:right="0"/>
              <w:jc w:val="left"/>
              <w:rPr>
                <w:rFonts w:ascii="宋体" w:hAnsi="宋体" w:cs="宋体" w:eastAsia="宋体" w:hint="default"/>
                <w:sz w:val="18"/>
                <w:szCs w:val="18"/>
              </w:rPr>
            </w:pPr>
            <w:r>
              <w:rPr>
                <w:rFonts w:ascii="宋体" w:hAnsi="宋体" w:cs="宋体" w:eastAsia="宋体" w:hint="default"/>
                <w:sz w:val="18"/>
                <w:szCs w:val="18"/>
              </w:rPr>
              <w:t>临时公告披露网站名称</w:t>
            </w:r>
          </w:p>
        </w:tc>
      </w:tr>
      <w:tr>
        <w:trPr>
          <w:trHeight w:val="740" w:hRule="exact"/>
        </w:trPr>
        <w:tc>
          <w:tcPr>
            <w:tcW w:w="3460" w:type="dxa"/>
            <w:vMerge w:val="restart"/>
            <w:tcBorders>
              <w:top w:val="single" w:sz="4" w:space="0" w:color="000000"/>
              <w:left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、《关于签订</w:t>
            </w:r>
            <w:r>
              <w:rPr>
                <w:rFonts w:ascii="Times New Roman" w:hAnsi="Times New Roman" w:cs="Times New Roman" w:eastAsia="Times New Roman" w:hint="default"/>
                <w:spacing w:val="-7"/>
                <w:sz w:val="18"/>
                <w:szCs w:val="18"/>
              </w:rPr>
              <w:t>&lt;</w:t>
            </w:r>
            <w:r>
              <w:rPr>
                <w:rFonts w:ascii="宋体" w:hAnsi="宋体" w:cs="宋体" w:eastAsia="宋体" w:hint="default"/>
                <w:spacing w:val="-7"/>
                <w:sz w:val="18"/>
                <w:szCs w:val="18"/>
              </w:rPr>
              <w:t>房屋租赁合同</w:t>
            </w:r>
            <w:r>
              <w:rPr>
                <w:rFonts w:ascii="Times New Roman" w:hAnsi="Times New Roman" w:cs="Times New Roman" w:eastAsia="Times New Roman" w:hint="default"/>
                <w:spacing w:val="-7"/>
                <w:sz w:val="18"/>
                <w:szCs w:val="18"/>
              </w:rPr>
              <w:t>&gt;</w:t>
            </w:r>
            <w:r>
              <w:rPr>
                <w:rFonts w:ascii="宋体" w:hAnsi="宋体" w:cs="宋体" w:eastAsia="宋体" w:hint="default"/>
                <w:spacing w:val="-7"/>
                <w:sz w:val="18"/>
                <w:szCs w:val="18"/>
              </w:rPr>
              <w:t>暨关联交易的</w:t>
            </w:r>
            <w:r>
              <w:rPr>
                <w:rFonts w:ascii="宋体" w:hAnsi="宋体" w:cs="宋体" w:eastAsia="宋体" w:hint="default"/>
                <w:spacing w:val="-74"/>
                <w:sz w:val="18"/>
                <w:szCs w:val="18"/>
              </w:rPr>
              <w:t> </w:t>
            </w:r>
            <w:r>
              <w:rPr>
                <w:rFonts w:ascii="宋体" w:hAnsi="宋体" w:cs="宋体" w:eastAsia="宋体" w:hint="default"/>
                <w:sz w:val="18"/>
                <w:szCs w:val="18"/>
              </w:rPr>
              <w:t>公告》</w:t>
            </w:r>
          </w:p>
          <w:p>
            <w:pPr>
              <w:pStyle w:val="TableParagraph"/>
              <w:spacing w:line="302" w:lineRule="auto" w:before="68"/>
              <w:ind w:left="22" w:right="23"/>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、《关于签订</w:t>
            </w:r>
            <w:r>
              <w:rPr>
                <w:rFonts w:ascii="Times New Roman" w:hAnsi="Times New Roman" w:cs="Times New Roman" w:eastAsia="Times New Roman" w:hint="default"/>
                <w:spacing w:val="-7"/>
                <w:sz w:val="18"/>
                <w:szCs w:val="18"/>
              </w:rPr>
              <w:t>&lt;</w:t>
            </w:r>
            <w:r>
              <w:rPr>
                <w:rFonts w:ascii="宋体" w:hAnsi="宋体" w:cs="宋体" w:eastAsia="宋体" w:hint="default"/>
                <w:spacing w:val="-7"/>
                <w:sz w:val="18"/>
                <w:szCs w:val="18"/>
              </w:rPr>
              <w:t>房屋租赁合同补充协议</w:t>
            </w:r>
            <w:r>
              <w:rPr>
                <w:rFonts w:ascii="Times New Roman" w:hAnsi="Times New Roman" w:cs="Times New Roman" w:eastAsia="Times New Roman" w:hint="default"/>
                <w:spacing w:val="-7"/>
                <w:sz w:val="18"/>
                <w:szCs w:val="18"/>
              </w:rPr>
              <w:t>&gt;</w:t>
            </w:r>
            <w:r>
              <w:rPr>
                <w:rFonts w:ascii="宋体" w:hAnsi="宋体" w:cs="宋体" w:eastAsia="宋体" w:hint="default"/>
                <w:spacing w:val="-7"/>
                <w:sz w:val="18"/>
                <w:szCs w:val="18"/>
              </w:rPr>
              <w:t>暨关</w:t>
            </w:r>
            <w:r>
              <w:rPr>
                <w:rFonts w:ascii="宋体" w:hAnsi="宋体" w:cs="宋体" w:eastAsia="宋体" w:hint="default"/>
                <w:spacing w:val="-74"/>
                <w:sz w:val="18"/>
                <w:szCs w:val="18"/>
              </w:rPr>
              <w:t> </w:t>
            </w:r>
            <w:r>
              <w:rPr>
                <w:rFonts w:ascii="宋体" w:hAnsi="宋体" w:cs="宋体" w:eastAsia="宋体" w:hint="default"/>
                <w:sz w:val="18"/>
                <w:szCs w:val="18"/>
              </w:rPr>
              <w:t>联交易的公告》</w:t>
            </w: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9"/>
                <w:szCs w:val="19"/>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640" w:hRule="exact"/>
        </w:trPr>
        <w:tc>
          <w:tcPr>
            <w:tcW w:w="3460" w:type="dxa"/>
            <w:vMerge/>
            <w:tcBorders>
              <w:left w:val="single" w:sz="4" w:space="0" w:color="000000"/>
              <w:bottom w:val="single" w:sz="4" w:space="0" w:color="000000"/>
              <w:right w:val="single" w:sz="4" w:space="0" w:color="000000"/>
            </w:tcBorders>
          </w:tcPr>
          <w:p>
            <w:pPr/>
          </w:p>
        </w:tc>
        <w:tc>
          <w:tcPr>
            <w:tcW w:w="2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22" w:right="0"/>
              <w:jc w:val="left"/>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4"/>
          <w:szCs w:val="24"/>
        </w:rPr>
      </w:pPr>
    </w:p>
    <w:p>
      <w:pPr>
        <w:pStyle w:val="Heading2"/>
        <w:spacing w:line="240" w:lineRule="auto" w:before="26"/>
        <w:ind w:right="0"/>
        <w:jc w:val="left"/>
        <w:rPr>
          <w:b w:val="0"/>
          <w:bCs w:val="0"/>
        </w:rPr>
      </w:pPr>
      <w:bookmarkStart w:name="十六、重大合同及其履行情况" w:id="87"/>
      <w:bookmarkEnd w:id="87"/>
      <w:r>
        <w:rPr>
          <w:b w:val="0"/>
          <w:bCs w:val="0"/>
        </w:rPr>
      </w:r>
      <w:r>
        <w:rPr/>
        <w:t>十六、重大合同及其履行情况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托管、承包、租赁事项情况" w:id="88"/>
      <w:bookmarkEnd w:id="88"/>
      <w:r>
        <w:rPr>
          <w:b w:val="0"/>
          <w:bCs w:val="0"/>
        </w:rPr>
      </w:r>
      <w:r>
        <w:rPr>
          <w:rFonts w:ascii="Times New Roman" w:hAnsi="Times New Roman" w:cs="Times New Roman" w:eastAsia="Times New Roman" w:hint="default"/>
        </w:rPr>
        <w:t>1</w:t>
      </w:r>
      <w:r>
        <w:rPr/>
        <w:t>、托管、承包、租赁事项情况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托管情况" w:id="89"/>
      <w:bookmarkEnd w:id="89"/>
      <w:r>
        <w:rPr>
          <w:b w:val="0"/>
          <w:bCs w:val="0"/>
        </w:rPr>
      </w:r>
      <w:r>
        <w:rPr/>
        <w:t>（</w:t>
      </w:r>
      <w:r>
        <w:rPr>
          <w:rFonts w:ascii="Times New Roman" w:hAnsi="Times New Roman" w:cs="Times New Roman" w:eastAsia="Times New Roman" w:hint="default"/>
        </w:rPr>
        <w:t>1</w:t>
      </w:r>
      <w:r>
        <w:rPr/>
        <w:t>）托管情况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公司报告期不存在托管情况。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2）承包情况" w:id="90"/>
      <w:bookmarkEnd w:id="90"/>
      <w:r>
        <w:rPr>
          <w:b w:val="0"/>
          <w:bCs w:val="0"/>
        </w:rPr>
      </w:r>
      <w:r>
        <w:rPr/>
        <w:t>（</w:t>
      </w:r>
      <w:r>
        <w:rPr>
          <w:rFonts w:ascii="Times New Roman" w:hAnsi="Times New Roman" w:cs="Times New Roman" w:eastAsia="Times New Roman" w:hint="default"/>
        </w:rPr>
        <w:t>2</w:t>
      </w:r>
      <w:r>
        <w:rPr/>
        <w:t>）承包情况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公司报告期不存在承包情况。</w:t>
      </w:r>
    </w:p>
    <w:p>
      <w:pPr>
        <w:spacing w:line="240" w:lineRule="auto" w:before="1"/>
        <w:rPr>
          <w:rFonts w:ascii="宋体" w:hAnsi="宋体" w:cs="宋体" w:eastAsia="宋体" w:hint="default"/>
          <w:sz w:val="21"/>
          <w:szCs w:val="21"/>
        </w:rPr>
      </w:pPr>
    </w:p>
    <w:p>
      <w:pPr>
        <w:pStyle w:val="Heading4"/>
        <w:spacing w:line="240" w:lineRule="auto"/>
        <w:ind w:right="0"/>
        <w:jc w:val="left"/>
        <w:rPr>
          <w:b w:val="0"/>
          <w:bCs w:val="0"/>
        </w:rPr>
      </w:pPr>
      <w:bookmarkStart w:name="（3）租赁情况" w:id="91"/>
      <w:bookmarkEnd w:id="91"/>
      <w:r>
        <w:rPr>
          <w:b w:val="0"/>
          <w:bCs w:val="0"/>
        </w:rPr>
      </w:r>
      <w:r>
        <w:rPr/>
        <w:t>（</w:t>
      </w:r>
      <w:r>
        <w:rPr>
          <w:rFonts w:ascii="Times New Roman" w:hAnsi="Times New Roman" w:cs="Times New Roman" w:eastAsia="Times New Roman"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租赁情况说明</w:t>
      </w:r>
    </w:p>
    <w:p>
      <w:pPr>
        <w:pStyle w:val="BodyText"/>
        <w:spacing w:line="300" w:lineRule="auto" w:before="115"/>
        <w:ind w:right="1031"/>
        <w:jc w:val="left"/>
      </w:pPr>
      <w:r>
        <w:rPr>
          <w:spacing w:val="-2"/>
        </w:rPr>
        <w:t>租用北京斯普汇德文化中心</w:t>
      </w:r>
      <w:r>
        <w:rPr>
          <w:rFonts w:ascii="Times New Roman" w:hAnsi="Times New Roman" w:cs="Times New Roman" w:eastAsia="Times New Roman" w:hint="default"/>
          <w:spacing w:val="-2"/>
        </w:rPr>
        <w:t>(</w:t>
      </w:r>
      <w:r>
        <w:rPr>
          <w:spacing w:val="-2"/>
        </w:rPr>
        <w:t>有限合伙</w:t>
      </w:r>
      <w:r>
        <w:rPr>
          <w:rFonts w:ascii="Times New Roman" w:hAnsi="Times New Roman" w:cs="Times New Roman" w:eastAsia="Times New Roman" w:hint="default"/>
          <w:spacing w:val="-2"/>
        </w:rPr>
        <w:t>)</w:t>
      </w:r>
      <w:r>
        <w:rPr>
          <w:spacing w:val="-2"/>
        </w:rPr>
        <w:t>（以下简称</w:t>
      </w:r>
      <w:r>
        <w:rPr>
          <w:rFonts w:ascii="Times New Roman" w:hAnsi="Times New Roman" w:cs="Times New Roman" w:eastAsia="Times New Roman" w:hint="default"/>
          <w:spacing w:val="-2"/>
        </w:rPr>
        <w:t>“</w:t>
      </w:r>
      <w:r>
        <w:rPr>
          <w:spacing w:val="-2"/>
        </w:rPr>
        <w:t>斯普汇德</w:t>
      </w:r>
      <w:r>
        <w:rPr>
          <w:rFonts w:ascii="Times New Roman" w:hAnsi="Times New Roman" w:cs="Times New Roman" w:eastAsia="Times New Roman" w:hint="default"/>
          <w:spacing w:val="-2"/>
        </w:rPr>
        <w:t>”</w:t>
      </w:r>
      <w:r>
        <w:rPr>
          <w:spacing w:val="-2"/>
        </w:rPr>
        <w:t>）承租的位于北京市朝阳区双桥街</w:t>
      </w:r>
      <w:r>
        <w:rPr>
          <w:rFonts w:ascii="Times New Roman" w:hAnsi="Times New Roman" w:cs="Times New Roman" w:eastAsia="Times New Roman" w:hint="default"/>
          <w:spacing w:val="-2"/>
        </w:rPr>
        <w:t>12</w:t>
      </w:r>
      <w:r>
        <w:rPr>
          <w:spacing w:val="-2"/>
        </w:rPr>
        <w:t>号院</w:t>
      </w:r>
      <w:r>
        <w:rPr>
          <w:spacing w:val="-3"/>
        </w:rPr>
        <w:t> </w:t>
      </w:r>
      <w:r>
        <w:rPr>
          <w:rFonts w:ascii="Times New Roman" w:hAnsi="Times New Roman" w:cs="Times New Roman" w:eastAsia="Times New Roman" w:hint="default"/>
          <w:spacing w:val="-4"/>
        </w:rPr>
        <w:t>39#</w:t>
      </w:r>
      <w:r>
        <w:rPr>
          <w:spacing w:val="-4"/>
        </w:rPr>
        <w:t>、</w:t>
      </w:r>
      <w:r>
        <w:rPr>
          <w:rFonts w:ascii="Times New Roman" w:hAnsi="Times New Roman" w:cs="Times New Roman" w:eastAsia="Times New Roman" w:hint="default"/>
          <w:spacing w:val="-4"/>
        </w:rPr>
        <w:t>41#-45#</w:t>
      </w:r>
      <w:r>
        <w:rPr>
          <w:spacing w:val="-4"/>
        </w:rPr>
        <w:t>办公楼，</w:t>
      </w:r>
      <w:r>
        <w:rPr>
          <w:spacing w:val="-88"/>
        </w:rPr>
        <w:t> </w:t>
      </w:r>
      <w:r>
        <w:rPr/>
        <w:t>房屋建筑面积为 </w:t>
      </w:r>
      <w:r>
        <w:rPr>
          <w:rFonts w:ascii="Times New Roman" w:hAnsi="Times New Roman" w:cs="Times New Roman" w:eastAsia="Times New Roman" w:hint="default"/>
        </w:rPr>
        <w:t>5048.49</w:t>
      </w:r>
      <w:r>
        <w:rPr>
          <w:rFonts w:ascii="Times New Roman" w:hAnsi="Times New Roman" w:cs="Times New Roman" w:eastAsia="Times New Roman" w:hint="default"/>
          <w:spacing w:val="8"/>
        </w:rPr>
        <w:t> </w:t>
      </w:r>
      <w:r>
        <w:rPr/>
        <w:t>平方米，租期自</w:t>
      </w:r>
      <w:r>
        <w:rPr>
          <w:rFonts w:ascii="宋体" w:hAnsi="宋体" w:cs="宋体" w:eastAsia="宋体" w:hint="default"/>
        </w:rPr>
        <w:t>2019</w:t>
      </w:r>
      <w:r>
        <w:rPr/>
        <w:t>年</w:t>
      </w:r>
      <w:r>
        <w:rPr>
          <w:rFonts w:ascii="宋体" w:hAnsi="宋体" w:cs="宋体" w:eastAsia="宋体" w:hint="default"/>
        </w:rPr>
        <w:t>1</w:t>
      </w:r>
      <w:r>
        <w:rPr/>
        <w:t>月</w:t>
      </w:r>
      <w:r>
        <w:rPr>
          <w:rFonts w:ascii="宋体" w:hAnsi="宋体" w:cs="宋体" w:eastAsia="宋体" w:hint="default"/>
        </w:rPr>
        <w:t>1</w:t>
      </w:r>
      <w:r>
        <w:rPr/>
        <w:t>日至</w:t>
      </w:r>
      <w:r>
        <w:rPr>
          <w:rFonts w:ascii="宋体" w:hAnsi="宋体" w:cs="宋体" w:eastAsia="宋体" w:hint="default"/>
        </w:rPr>
        <w:t>2028</w:t>
      </w:r>
      <w:r>
        <w:rPr/>
        <w:t>年</w:t>
      </w:r>
      <w:r>
        <w:rPr>
          <w:rFonts w:ascii="宋体" w:hAnsi="宋体" w:cs="宋体" w:eastAsia="宋体" w:hint="default"/>
        </w:rPr>
        <w:t>8</w:t>
      </w:r>
      <w:r>
        <w:rPr/>
        <w:t>月</w:t>
      </w:r>
      <w:r>
        <w:rPr>
          <w:rFonts w:ascii="宋体" w:hAnsi="宋体" w:cs="宋体" w:eastAsia="宋体" w:hint="default"/>
        </w:rPr>
        <w:t>19</w:t>
      </w:r>
      <w:r>
        <w:rPr/>
        <w:t>日止。</w:t>
      </w:r>
    </w:p>
    <w:p>
      <w:pPr>
        <w:pStyle w:val="BodyText"/>
        <w:spacing w:line="240" w:lineRule="auto" w:before="53"/>
        <w:ind w:right="0"/>
        <w:jc w:val="left"/>
      </w:pPr>
      <w:r>
        <w:rPr/>
        <w:t>为公司带来的损益达到公司报告期利润总额</w:t>
      </w:r>
      <w:r>
        <w:rPr>
          <w:spacing w:val="-46"/>
        </w:rPr>
        <w:t> </w:t>
      </w:r>
      <w:r>
        <w:rPr>
          <w:rFonts w:ascii="Times New Roman" w:hAnsi="Times New Roman" w:cs="Times New Roman" w:eastAsia="Times New Roman" w:hint="default"/>
        </w:rPr>
        <w:t>10%</w:t>
      </w:r>
      <w:r>
        <w:rPr/>
        <w:t>以上的项目</w:t>
      </w:r>
    </w:p>
    <w:p>
      <w:pPr>
        <w:pStyle w:val="BodyText"/>
        <w:spacing w:line="240" w:lineRule="auto" w:before="10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right="0"/>
        <w:jc w:val="left"/>
      </w:pPr>
      <w:r>
        <w:rPr/>
        <w:t>公司报告期不存在为公司带来的损益达到公司报告期利润总额</w:t>
      </w:r>
      <w:r>
        <w:rPr>
          <w:spacing w:val="-45"/>
        </w:rPr>
        <w:t> </w:t>
      </w:r>
      <w:r>
        <w:rPr>
          <w:rFonts w:ascii="Times New Roman" w:hAnsi="Times New Roman" w:cs="Times New Roman" w:eastAsia="Times New Roman" w:hint="default"/>
        </w:rPr>
        <w:t>10%</w:t>
      </w:r>
      <w:r>
        <w:rPr/>
        <w:t>以上的租赁项目。</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重大担保" w:id="92"/>
      <w:bookmarkEnd w:id="92"/>
      <w:r>
        <w:rPr>
          <w:b w:val="0"/>
          <w:bCs w:val="0"/>
        </w:rPr>
      </w:r>
      <w:r>
        <w:rPr>
          <w:rFonts w:ascii="Times New Roman" w:hAnsi="Times New Roman" w:cs="Times New Roman" w:eastAsia="Times New Roman" w:hint="default"/>
        </w:rPr>
        <w:t>2</w:t>
      </w:r>
      <w:r>
        <w:rPr/>
        <w:t>、重大担保</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公司报告期不存在担保情况。</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3、委托他人进行现金资产管理情况" w:id="93"/>
      <w:bookmarkEnd w:id="93"/>
      <w:r>
        <w:rPr>
          <w:b w:val="0"/>
          <w:bCs w:val="0"/>
        </w:rPr>
      </w:r>
      <w:r>
        <w:rPr>
          <w:rFonts w:ascii="Times New Roman" w:hAnsi="Times New Roman" w:cs="Times New Roman" w:eastAsia="Times New Roman" w:hint="default"/>
        </w:rPr>
        <w:t>3</w:t>
      </w:r>
      <w:r>
        <w:rPr/>
        <w:t>、委托他人进行现金资产管理情况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委托理财情况" w:id="94"/>
      <w:bookmarkEnd w:id="94"/>
      <w:r>
        <w:rPr>
          <w:b w:val="0"/>
          <w:bCs w:val="0"/>
        </w:rPr>
      </w:r>
      <w:r>
        <w:rPr/>
        <w:t>（</w:t>
      </w:r>
      <w:r>
        <w:rPr>
          <w:rFonts w:ascii="Times New Roman" w:hAnsi="Times New Roman" w:cs="Times New Roman" w:eastAsia="Times New Roman" w:hint="default"/>
        </w:rPr>
        <w:t>1</w:t>
      </w:r>
      <w:r>
        <w:rPr/>
        <w:t>）委托理财情况</w:t>
      </w:r>
      <w:r>
        <w:rPr>
          <w:b w:val="0"/>
          <w:bCs w:val="0"/>
        </w:rPr>
      </w:r>
    </w:p>
    <w:p>
      <w:pPr>
        <w:spacing w:line="240" w:lineRule="auto" w:before="8"/>
        <w:rPr>
          <w:rFonts w:ascii="宋体" w:hAnsi="宋体" w:cs="宋体" w:eastAsia="宋体" w:hint="default"/>
          <w:b/>
          <w:bCs/>
          <w:sz w:val="26"/>
          <w:szCs w:val="26"/>
        </w:rPr>
      </w:pPr>
    </w:p>
    <w:p>
      <w:pPr>
        <w:pStyle w:val="BodyText"/>
        <w:spacing w:line="338"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公司报告期不存在委托理财。</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2）委托贷款情况" w:id="95"/>
      <w:bookmarkEnd w:id="95"/>
      <w:r>
        <w:rPr>
          <w:b w:val="0"/>
          <w:bCs w:val="0"/>
        </w:rPr>
      </w:r>
      <w:r>
        <w:rPr/>
        <w:t>（</w:t>
      </w:r>
      <w:r>
        <w:rPr>
          <w:rFonts w:ascii="Times New Roman" w:hAnsi="Times New Roman" w:cs="Times New Roman" w:eastAsia="Times New Roman" w:hint="default"/>
        </w:rPr>
        <w:t>2</w:t>
      </w:r>
      <w:r>
        <w:rPr/>
        <w:t>）委托贷款情况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84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公司报告期不存在委托贷款。</w:t>
      </w:r>
    </w:p>
    <w:p>
      <w:pPr>
        <w:spacing w:line="240" w:lineRule="auto" w:before="12"/>
        <w:rPr>
          <w:rFonts w:ascii="宋体" w:hAnsi="宋体" w:cs="宋体" w:eastAsia="宋体" w:hint="default"/>
          <w:sz w:val="20"/>
          <w:szCs w:val="20"/>
        </w:rPr>
      </w:pPr>
    </w:p>
    <w:p>
      <w:pPr>
        <w:pStyle w:val="Heading4"/>
        <w:spacing w:line="240" w:lineRule="auto"/>
        <w:ind w:right="0"/>
        <w:jc w:val="left"/>
        <w:rPr>
          <w:b w:val="0"/>
          <w:bCs w:val="0"/>
        </w:rPr>
      </w:pPr>
      <w:bookmarkStart w:name="4、其他重大合同" w:id="96"/>
      <w:bookmarkEnd w:id="96"/>
      <w:r>
        <w:rPr>
          <w:b w:val="0"/>
          <w:bCs w:val="0"/>
        </w:rPr>
      </w:r>
      <w:r>
        <w:rPr>
          <w:rFonts w:ascii="Times New Roman" w:hAnsi="Times New Roman" w:cs="Times New Roman" w:eastAsia="Times New Roman" w:hint="default"/>
        </w:rPr>
        <w:t>4</w:t>
      </w:r>
      <w:r>
        <w:rPr/>
        <w:t>、其他重大合同</w:t>
      </w:r>
      <w:r>
        <w:rPr>
          <w:b w:val="0"/>
          <w:bCs w:val="0"/>
        </w:rPr>
      </w:r>
    </w:p>
    <w:p>
      <w:pPr>
        <w:pStyle w:val="BodyText"/>
        <w:spacing w:line="297" w:lineRule="auto" w:before="48"/>
        <w:ind w:right="805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公司报告期不存在其他重大合同。</w:t>
      </w:r>
    </w:p>
    <w:p>
      <w:pPr>
        <w:spacing w:line="240" w:lineRule="auto" w:before="12"/>
        <w:rPr>
          <w:rFonts w:ascii="宋体" w:hAnsi="宋体" w:cs="宋体" w:eastAsia="宋体" w:hint="default"/>
          <w:sz w:val="18"/>
          <w:szCs w:val="18"/>
        </w:rPr>
      </w:pPr>
    </w:p>
    <w:p>
      <w:pPr>
        <w:pStyle w:val="Heading2"/>
        <w:spacing w:line="240" w:lineRule="auto"/>
        <w:ind w:right="0"/>
        <w:jc w:val="left"/>
        <w:rPr>
          <w:b w:val="0"/>
          <w:bCs w:val="0"/>
        </w:rPr>
      </w:pPr>
      <w:bookmarkStart w:name="十七、社会责任情况" w:id="97"/>
      <w:bookmarkEnd w:id="97"/>
      <w:r>
        <w:rPr>
          <w:b w:val="0"/>
          <w:bCs w:val="0"/>
        </w:rPr>
      </w:r>
      <w:r>
        <w:rPr/>
        <w:t>十七、社会责任情况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履行社会责任情况" w:id="98"/>
      <w:bookmarkEnd w:id="98"/>
      <w:r>
        <w:rPr>
          <w:b w:val="0"/>
          <w:bCs w:val="0"/>
        </w:rPr>
      </w:r>
      <w:r>
        <w:rPr>
          <w:rFonts w:ascii="Times New Roman" w:hAnsi="Times New Roman" w:cs="Times New Roman" w:eastAsia="Times New Roman" w:hint="default"/>
        </w:rPr>
        <w:t>1</w:t>
      </w:r>
      <w:r>
        <w:rPr/>
        <w:t>、履行社会责任情况</w:t>
      </w:r>
      <w:r>
        <w:rPr>
          <w:b w:val="0"/>
          <w:bCs w:val="0"/>
        </w:rPr>
      </w:r>
    </w:p>
    <w:p>
      <w:pPr>
        <w:pStyle w:val="BodyText"/>
        <w:spacing w:line="624" w:lineRule="exact" w:before="57"/>
        <w:ind w:left="514" w:right="0" w:hanging="360"/>
        <w:jc w:val="left"/>
      </w:pPr>
      <w:r>
        <w:rPr/>
        <w:t>（一）股东及债权人权益保护 </w:t>
      </w:r>
      <w:r>
        <w:rPr>
          <w:spacing w:val="-2"/>
        </w:rPr>
        <w:t>公司严格按照《公司法》、《证券法》、《深圳证券交易所创业板股票上市规则》等相关法律法规和《公司章程》的规</w:t>
      </w:r>
    </w:p>
    <w:p>
      <w:pPr>
        <w:pStyle w:val="BodyText"/>
        <w:spacing w:line="213" w:lineRule="exact"/>
        <w:ind w:right="0"/>
        <w:jc w:val="left"/>
      </w:pPr>
      <w:r>
        <w:rPr/>
        <w:t>定，规范股东大会的召集、召开及表决程序，积极主动采用网络投票等方式扩大股东参与股东大会的比例，确保股东对公司</w:t>
      </w:r>
    </w:p>
    <w:p>
      <w:pPr>
        <w:pStyle w:val="BodyText"/>
        <w:spacing w:line="240" w:lineRule="auto" w:before="76"/>
        <w:ind w:right="0"/>
        <w:jc w:val="left"/>
      </w:pPr>
      <w:r>
        <w:rPr/>
        <w:t>重大事项的知情权、参与权和表决权。</w:t>
      </w:r>
    </w:p>
    <w:p>
      <w:pPr>
        <w:spacing w:line="240" w:lineRule="auto" w:before="0"/>
        <w:rPr>
          <w:rFonts w:ascii="宋体" w:hAnsi="宋体" w:cs="宋体" w:eastAsia="宋体" w:hint="default"/>
          <w:sz w:val="18"/>
          <w:szCs w:val="18"/>
        </w:rPr>
      </w:pPr>
    </w:p>
    <w:p>
      <w:pPr>
        <w:pStyle w:val="BodyText"/>
        <w:spacing w:line="319" w:lineRule="auto" w:before="153"/>
        <w:ind w:right="1131" w:firstLine="360"/>
        <w:jc w:val="both"/>
      </w:pPr>
      <w:r>
        <w:rPr>
          <w:spacing w:val="-2"/>
        </w:rPr>
        <w:t>报告期内，公司积极实施现金分红政策，确保股东投资回报；不断完善内控体系，优化公司治理结构；严格履行信息披</w:t>
      </w:r>
      <w:r>
        <w:rPr/>
        <w:t> </w:t>
      </w:r>
      <w:r>
        <w:rPr>
          <w:spacing w:val="-2"/>
        </w:rPr>
        <w:t>露义务，真实、准确、完整、及时、公平地向所有股东披露信息；通过网上业绩说明会、投资者电话、电子邮箱、投资者关</w:t>
      </w:r>
      <w:r>
        <w:rPr>
          <w:spacing w:val="-69"/>
        </w:rPr>
        <w:t> </w:t>
      </w:r>
      <w:r>
        <w:rPr>
          <w:spacing w:val="-69"/>
        </w:rPr>
      </w:r>
      <w:r>
        <w:rPr>
          <w:spacing w:val="-2"/>
        </w:rPr>
        <w:t>系互动平台等多种方式与投资者进行沟通交流，建立良好的互动平台。同时，公司的财务政策稳健，资产、资金安全，在维</w:t>
      </w:r>
      <w:r>
        <w:rPr>
          <w:spacing w:val="-70"/>
        </w:rPr>
        <w:t> </w:t>
      </w:r>
      <w:r>
        <w:rPr>
          <w:spacing w:val="-70"/>
        </w:rPr>
      </w:r>
      <w:r>
        <w:rPr/>
        <w:t>护股东利益的同时兼顾债权人的利益。</w:t>
      </w:r>
    </w:p>
    <w:p>
      <w:pPr>
        <w:spacing w:line="240" w:lineRule="auto" w:before="2"/>
        <w:rPr>
          <w:rFonts w:ascii="宋体" w:hAnsi="宋体" w:cs="宋体" w:eastAsia="宋体" w:hint="default"/>
          <w:sz w:val="25"/>
          <w:szCs w:val="25"/>
        </w:rPr>
      </w:pPr>
    </w:p>
    <w:p>
      <w:pPr>
        <w:pStyle w:val="BodyText"/>
        <w:spacing w:line="240" w:lineRule="auto"/>
        <w:ind w:left="514" w:right="0"/>
        <w:jc w:val="left"/>
      </w:pPr>
      <w:r>
        <w:rPr/>
        <w:t>报告期内，公司无大股东及关联方占用公司资金情形，亦不存在将资金直接或间接地提供给大股东及关联方使用的各种</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情形，公司无任何形式的对外担保事项。</w:t>
      </w:r>
    </w:p>
    <w:p>
      <w:pPr>
        <w:pStyle w:val="BodyText"/>
        <w:spacing w:line="624" w:lineRule="exact" w:before="99"/>
        <w:ind w:left="514" w:right="0" w:hanging="360"/>
        <w:jc w:val="left"/>
      </w:pPr>
      <w:r>
        <w:rPr/>
        <w:t>（二）职工权益保护 </w:t>
      </w:r>
      <w:r>
        <w:rPr>
          <w:spacing w:val="-2"/>
        </w:rPr>
        <w:t>公司在用工制度上完全遵循《劳动法》、《劳动合同法》等法律、法规的要求，与所有员工签订了《劳动合同》，办理</w:t>
      </w:r>
    </w:p>
    <w:p>
      <w:pPr>
        <w:pStyle w:val="BodyText"/>
        <w:spacing w:line="213" w:lineRule="exact"/>
        <w:ind w:right="0"/>
        <w:jc w:val="left"/>
      </w:pPr>
      <w:r>
        <w:rPr/>
        <w:t>各种社会保险，尊重和维护员工的个人权益。公司注重人才培养，不断完善职业培训制度，积极开展培训，提升员工素质，</w:t>
      </w:r>
    </w:p>
    <w:p>
      <w:pPr>
        <w:pStyle w:val="BodyText"/>
        <w:spacing w:line="316" w:lineRule="auto" w:before="76"/>
        <w:ind w:right="0"/>
        <w:jc w:val="left"/>
      </w:pPr>
      <w:r>
        <w:rPr>
          <w:spacing w:val="-4"/>
        </w:rPr>
        <w:t>为员工发展提供更多机会，实现员工与企业的共同成长。公司依据《公司法》、《公司章程》等规定，关注职工的合理诉求，</w:t>
      </w:r>
      <w:r>
        <w:rPr>
          <w:spacing w:val="-46"/>
        </w:rPr>
        <w:t> </w:t>
      </w:r>
      <w:r>
        <w:rPr>
          <w:spacing w:val="-46"/>
        </w:rPr>
      </w:r>
      <w:r>
        <w:rPr/>
        <w:t>关注员工健康和满意度，构建和谐稳定的劳资关系。</w:t>
      </w:r>
    </w:p>
    <w:p>
      <w:pPr>
        <w:pStyle w:val="BodyText"/>
        <w:spacing w:line="624" w:lineRule="exact" w:before="42"/>
        <w:ind w:left="514" w:right="0" w:hanging="360"/>
        <w:jc w:val="left"/>
      </w:pPr>
      <w:r>
        <w:rPr/>
        <w:t>（三）供应商、客户权益保护 </w:t>
      </w:r>
      <w:r>
        <w:rPr>
          <w:spacing w:val="-2"/>
        </w:rPr>
        <w:t>公司遵循</w:t>
      </w:r>
      <w:r>
        <w:rPr>
          <w:rFonts w:ascii="Times New Roman" w:hAnsi="Times New Roman" w:cs="Times New Roman" w:eastAsia="Times New Roman" w:hint="default"/>
          <w:spacing w:val="-2"/>
        </w:rPr>
        <w:t>“</w:t>
      </w:r>
      <w:r>
        <w:rPr>
          <w:spacing w:val="-2"/>
        </w:rPr>
        <w:t>平等、互利</w:t>
      </w:r>
      <w:r>
        <w:rPr>
          <w:rFonts w:ascii="Times New Roman" w:hAnsi="Times New Roman" w:cs="Times New Roman" w:eastAsia="Times New Roman" w:hint="default"/>
          <w:spacing w:val="-2"/>
        </w:rPr>
        <w:t>”</w:t>
      </w:r>
      <w:r>
        <w:rPr>
          <w:spacing w:val="-2"/>
        </w:rPr>
        <w:t>原则，积极构建和发展与供应商、客户的战略合作伙伴关系，注重与各相关方的沟通与协调，共</w:t>
      </w:r>
    </w:p>
    <w:p>
      <w:pPr>
        <w:pStyle w:val="BodyText"/>
        <w:spacing w:line="213" w:lineRule="exact"/>
        <w:ind w:right="0"/>
        <w:jc w:val="left"/>
      </w:pPr>
      <w:r>
        <w:rPr/>
        <w:t>同构筑信任与合作的平台。</w:t>
      </w:r>
    </w:p>
    <w:p>
      <w:pPr>
        <w:pStyle w:val="BodyText"/>
        <w:spacing w:line="620" w:lineRule="atLeast" w:before="4"/>
        <w:ind w:left="514" w:right="0" w:hanging="360"/>
        <w:jc w:val="left"/>
      </w:pPr>
      <w:r>
        <w:rPr/>
        <w:t>（四）履行企业社会责任 </w:t>
      </w:r>
      <w:r>
        <w:rPr>
          <w:spacing w:val="-2"/>
        </w:rPr>
        <w:t>公司作为专业整合营销传播服务企业，在行业具有较大的影响力，凭借优秀的营销策略制订能力、创意内容策划能力及</w:t>
      </w:r>
    </w:p>
    <w:p>
      <w:pPr>
        <w:pStyle w:val="BodyText"/>
        <w:spacing w:line="316" w:lineRule="auto" w:before="76"/>
        <w:ind w:right="0"/>
        <w:jc w:val="left"/>
      </w:pPr>
      <w:r>
        <w:rPr>
          <w:spacing w:val="-2"/>
        </w:rPr>
        <w:t>高效的执行管理能力，为众多国内外知名企业提供了全方位的整合营销传播服务，在行业内积累了丰富的业务经验，形成了</w:t>
      </w:r>
      <w:r>
        <w:rPr>
          <w:spacing w:val="-66"/>
        </w:rPr>
        <w:t> </w:t>
      </w:r>
      <w:r>
        <w:rPr>
          <w:spacing w:val="-66"/>
        </w:rPr>
      </w:r>
      <w:r>
        <w:rPr/>
        <w:t>良好的客户关系，并连续九年入选中国国际公共关系协会评选的</w:t>
      </w:r>
      <w:r>
        <w:rPr>
          <w:rFonts w:ascii="Times New Roman" w:hAnsi="Times New Roman" w:cs="Times New Roman" w:eastAsia="Times New Roman" w:hint="default"/>
        </w:rPr>
        <w:t>TOP</w:t>
      </w:r>
      <w:r>
        <w:rPr/>
        <w:t>公司之列。</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2、履行精准扶贫社会责任情况" w:id="99"/>
      <w:bookmarkEnd w:id="99"/>
      <w:r>
        <w:rPr>
          <w:b w:val="0"/>
          <w:bCs w:val="0"/>
        </w:rPr>
      </w:r>
      <w:r>
        <w:rPr>
          <w:rFonts w:ascii="Times New Roman" w:hAnsi="Times New Roman" w:cs="Times New Roman" w:eastAsia="Times New Roman" w:hint="default"/>
        </w:rPr>
        <w:t>2</w:t>
      </w:r>
      <w:r>
        <w:rPr/>
        <w:t>、履行精准扶贫社会责任情况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公司报告年度暂未开展精准扶贫工作，也暂无后续精准扶贫计划。</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环境保护相关的情况" w:id="100"/>
      <w:bookmarkEnd w:id="100"/>
      <w:r>
        <w:rPr>
          <w:b w:val="0"/>
          <w:bCs w:val="0"/>
        </w:rPr>
      </w:r>
      <w:r>
        <w:rPr>
          <w:rFonts w:ascii="Times New Roman" w:hAnsi="Times New Roman" w:cs="Times New Roman" w:eastAsia="Times New Roman" w:hint="default"/>
        </w:rPr>
        <w:t>3</w:t>
      </w:r>
      <w:r>
        <w:rPr/>
        <w:t>、环境保护相关的情况</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5712"/>
        <w:jc w:val="left"/>
      </w:pPr>
      <w:r>
        <w:rPr/>
        <w:t>上市公司及其子公司是否属于环境保护部门公布的重点排污单位 否</w:t>
      </w:r>
    </w:p>
    <w:p>
      <w:pPr>
        <w:pStyle w:val="BodyText"/>
        <w:spacing w:line="316" w:lineRule="auto" w:before="28"/>
        <w:ind w:right="1131" w:firstLine="360"/>
        <w:jc w:val="both"/>
      </w:pPr>
      <w:r>
        <w:rPr>
          <w:spacing w:val="-2"/>
        </w:rPr>
        <w:t>上市公司及其子公司不属于环境保护部分公布的重点排污单位。公司及子公司在日常生产经营中认真执行国家有关环境</w:t>
      </w:r>
      <w:r>
        <w:rPr/>
        <w:t> 保护方面的法律法规，报告期内未出现因违反环境保护相关法律法规而受到处罚的情况。</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bookmarkStart w:name="十八、其他重大事项的说明" w:id="101"/>
      <w:bookmarkEnd w:id="101"/>
      <w:r>
        <w:rPr>
          <w:b w:val="0"/>
          <w:bCs w:val="0"/>
        </w:rPr>
      </w:r>
      <w:r>
        <w:rPr/>
        <w:t>十八、其他重大事项的说明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9" w:lineRule="auto" w:before="101"/>
        <w:ind w:right="1129" w:firstLine="360"/>
        <w:jc w:val="both"/>
      </w:pP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日召开第二届董事会第二十二次会议，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日召开</w:t>
      </w:r>
      <w:r>
        <w:rPr>
          <w:rFonts w:ascii="Times New Roman" w:hAnsi="Times New Roman" w:cs="Times New Roman" w:eastAsia="Times New Roman" w:hint="default"/>
        </w:rPr>
        <w:t>2018</w:t>
      </w:r>
      <w:r>
        <w:rPr/>
        <w:t>年第一次临时股东大会，审议通 </w:t>
      </w:r>
      <w:r>
        <w:rPr>
          <w:spacing w:val="-2"/>
        </w:rPr>
        <w:t>过了《关于董事会换届选举暨提名第三届董事会非独立董事候选人的议案》、《关于董事会换届选举暨提名第三届董事会独</w:t>
      </w:r>
      <w:r>
        <w:rPr>
          <w:spacing w:val="-64"/>
        </w:rPr>
        <w:t> </w:t>
      </w:r>
      <w:r>
        <w:rPr>
          <w:spacing w:val="-64"/>
        </w:rPr>
      </w:r>
      <w:r>
        <w:rPr>
          <w:spacing w:val="-2"/>
        </w:rPr>
        <w:t>立董事候选人的议案》，同意选举张秀兵先生、万丽莉女士、宾卫女士和闫贵忠先生为公司第三届董事会非独立董事，同意</w:t>
      </w:r>
      <w:r>
        <w:rPr>
          <w:spacing w:val="-66"/>
        </w:rPr>
        <w:t> </w:t>
      </w:r>
      <w:r>
        <w:rPr>
          <w:spacing w:val="-66"/>
        </w:rPr>
      </w:r>
      <w:r>
        <w:rPr/>
        <w:t>选举方军先生、王正鹏先生和徐轶尊先生为公司第三届董事会独立董事。上述</w:t>
      </w:r>
      <w:r>
        <w:rPr>
          <w:rFonts w:ascii="Times New Roman" w:hAnsi="Times New Roman" w:cs="Times New Roman" w:eastAsia="Times New Roman" w:hint="default"/>
        </w:rPr>
        <w:t>7</w:t>
      </w:r>
      <w:r>
        <w:rPr/>
        <w:t>名董事共同组成公司第三届董事会，任期自</w:t>
      </w:r>
      <w:r>
        <w:rPr>
          <w:spacing w:val="-82"/>
        </w:rPr>
        <w:t> </w:t>
      </w:r>
      <w:r>
        <w:rPr>
          <w:spacing w:val="-82"/>
        </w:rPr>
      </w:r>
      <w:r>
        <w:rPr>
          <w:spacing w:val="-2"/>
        </w:rPr>
        <w:t>本次股东大会审议通过之日起三年。具体内容详见公司于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13</w:t>
      </w:r>
      <w:r>
        <w:rPr>
          <w:spacing w:val="-2"/>
        </w:rPr>
        <w:t>日在巨潮资讯网（</w:t>
      </w:r>
      <w:hyperlink r:id="rId11">
        <w:r>
          <w:rPr>
            <w:rFonts w:ascii="Times New Roman" w:hAnsi="Times New Roman" w:cs="Times New Roman" w:eastAsia="Times New Roman" w:hint="default"/>
            <w:spacing w:val="-2"/>
          </w:rPr>
          <w:t>http://www.cninfo.com.cn</w:t>
        </w:r>
      </w:hyperlink>
      <w:r>
        <w:rPr>
          <w:spacing w:val="-2"/>
        </w:rPr>
        <w:t>）上披露的</w:t>
      </w:r>
    </w:p>
    <w:p>
      <w:pPr>
        <w:pStyle w:val="BodyText"/>
        <w:spacing w:line="300" w:lineRule="auto" w:before="5"/>
        <w:ind w:right="1087"/>
        <w:jc w:val="both"/>
      </w:pPr>
      <w:r>
        <w:rPr>
          <w:spacing w:val="-9"/>
        </w:rPr>
        <w:t>《第二届董事会第二十二次会议决议公告》（公告编号：</w:t>
      </w:r>
      <w:r>
        <w:rPr>
          <w:rFonts w:ascii="Times New Roman" w:hAnsi="Times New Roman" w:cs="Times New Roman" w:eastAsia="Times New Roman" w:hint="default"/>
          <w:spacing w:val="-9"/>
        </w:rPr>
        <w:t>2018-009</w:t>
      </w:r>
      <w:r>
        <w:rPr>
          <w:spacing w:val="-9"/>
        </w:rPr>
        <w:t>）、《关于董事会换届选举的公告》（公告编号：</w:t>
      </w:r>
      <w:r>
        <w:rPr>
          <w:rFonts w:ascii="Times New Roman" w:hAnsi="Times New Roman" w:cs="Times New Roman" w:eastAsia="Times New Roman" w:hint="default"/>
          <w:spacing w:val="-9"/>
        </w:rPr>
        <w:t>2018-010</w:t>
      </w:r>
      <w:r>
        <w:rPr>
          <w:spacing w:val="-9"/>
        </w:rPr>
        <w:t>）；</w:t>
      </w:r>
      <w:r>
        <w:rPr>
          <w:spacing w:val="-27"/>
        </w:rPr>
        <w:t> </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日披露的《</w:t>
      </w:r>
      <w:r>
        <w:rPr>
          <w:rFonts w:ascii="Times New Roman" w:hAnsi="Times New Roman" w:cs="Times New Roman" w:eastAsia="Times New Roman" w:hint="default"/>
        </w:rPr>
        <w:t>2018</w:t>
      </w:r>
      <w:r>
        <w:rPr/>
        <w:t>年第一次临时股东大会决议公告》（公告编号：</w:t>
      </w:r>
      <w:r>
        <w:rPr>
          <w:rFonts w:ascii="Times New Roman" w:hAnsi="Times New Roman" w:cs="Times New Roman" w:eastAsia="Times New Roman" w:hint="default"/>
        </w:rPr>
        <w:t>2018-021</w:t>
      </w:r>
      <w:r>
        <w:rPr/>
        <w:t>）、《关于完成董事会换届选举的公</w:t>
      </w:r>
      <w:r>
        <w:rPr>
          <w:spacing w:val="-59"/>
        </w:rPr>
        <w:t> </w:t>
      </w:r>
      <w:r>
        <w:rPr>
          <w:spacing w:val="-59"/>
        </w:rPr>
      </w:r>
      <w:r>
        <w:rPr/>
        <w:t>告》（公告编号：</w:t>
      </w:r>
      <w:r>
        <w:rPr>
          <w:rFonts w:ascii="Times New Roman" w:hAnsi="Times New Roman" w:cs="Times New Roman" w:eastAsia="Times New Roman" w:hint="default"/>
        </w:rPr>
        <w:t>2018-022</w:t>
      </w:r>
      <w:r>
        <w:rPr/>
        <w:t>）。</w:t>
      </w:r>
    </w:p>
    <w:p>
      <w:pPr>
        <w:pStyle w:val="BodyText"/>
        <w:spacing w:line="300" w:lineRule="auto" w:before="133"/>
        <w:ind w:right="1131" w:firstLine="360"/>
        <w:jc w:val="both"/>
      </w:pPr>
      <w:r>
        <w:rPr>
          <w:rFonts w:ascii="Times New Roman" w:hAnsi="Times New Roman" w:cs="Times New Roman" w:eastAsia="Times New Roman" w:hint="default"/>
        </w:rPr>
        <w:t>2</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9</w:t>
      </w:r>
      <w:r>
        <w:rPr/>
        <w:t>日召开</w:t>
      </w:r>
      <w:r>
        <w:rPr>
          <w:rFonts w:ascii="Times New Roman" w:hAnsi="Times New Roman" w:cs="Times New Roman" w:eastAsia="Times New Roman" w:hint="default"/>
        </w:rPr>
        <w:t>2018</w:t>
      </w:r>
      <w:r>
        <w:rPr/>
        <w:t>年第一次职工代表大会，选举公司职工黄硕先生、张伟先生为公司第四届监事会职工 </w:t>
      </w:r>
      <w:r>
        <w:rPr>
          <w:spacing w:val="-2"/>
        </w:rPr>
        <w:t>代表监事；</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12</w:t>
      </w:r>
      <w:r>
        <w:rPr>
          <w:spacing w:val="-2"/>
        </w:rPr>
        <w:t>日召开第三届监事会第十次会议，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日召开</w:t>
      </w:r>
      <w:r>
        <w:rPr>
          <w:rFonts w:ascii="Times New Roman" w:hAnsi="Times New Roman" w:cs="Times New Roman" w:eastAsia="Times New Roman" w:hint="default"/>
          <w:spacing w:val="-2"/>
        </w:rPr>
        <w:t>2018</w:t>
      </w:r>
      <w:r>
        <w:rPr>
          <w:spacing w:val="-2"/>
        </w:rPr>
        <w:t>年第一次临时股东大会，审议通过了《关</w:t>
      </w:r>
    </w:p>
    <w:p>
      <w:pPr>
        <w:spacing w:after="0" w:line="300"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7" w:lineRule="auto" w:before="44"/>
        <w:ind w:right="1130"/>
        <w:jc w:val="both"/>
      </w:pPr>
      <w:r>
        <w:rPr>
          <w:spacing w:val="-2"/>
        </w:rPr>
        <w:t>于监事会换届选举暨提名第四届监事会非职工代表监事候选人的议案》，同意选举王桢女士为公司第四届监事会非职工代表</w:t>
      </w:r>
      <w:r>
        <w:rPr>
          <w:spacing w:val="-64"/>
        </w:rPr>
        <w:t> </w:t>
      </w:r>
      <w:r>
        <w:rPr>
          <w:spacing w:val="-64"/>
        </w:rPr>
      </w:r>
      <w:r>
        <w:rPr>
          <w:spacing w:val="-2"/>
        </w:rPr>
        <w:t>监事，与职工代表监事黄硕先生、张伟先生共同组成公司第四届监事会，任期自本次股东大会审议通过之日起三年。具体内</w:t>
      </w:r>
      <w:r>
        <w:rPr>
          <w:spacing w:val="-66"/>
        </w:rPr>
        <w:t> </w:t>
      </w:r>
      <w:r>
        <w:rPr>
          <w:spacing w:val="-66"/>
        </w:rPr>
      </w:r>
      <w:r>
        <w:rPr/>
        <w:t>容详见公司于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10</w:t>
      </w:r>
      <w:r>
        <w:rPr/>
        <w:t>日在巨潮资讯网（</w:t>
      </w:r>
      <w:hyperlink r:id="rId11">
        <w:r>
          <w:rPr>
            <w:rFonts w:ascii="Times New Roman" w:hAnsi="Times New Roman" w:cs="Times New Roman" w:eastAsia="Times New Roman" w:hint="default"/>
          </w:rPr>
          <w:t>http://www.cninfo.com.cn</w:t>
        </w:r>
      </w:hyperlink>
      <w:r>
        <w:rPr/>
        <w:t>）上披露的《职工代表大会决议公告》（公告编号：</w:t>
      </w:r>
      <w:r>
        <w:rPr>
          <w:spacing w:val="-17"/>
        </w:rPr>
        <w:t> </w:t>
      </w:r>
      <w:r>
        <w:rPr>
          <w:spacing w:val="-17"/>
        </w:rPr>
      </w:r>
      <w:r>
        <w:rPr>
          <w:rFonts w:ascii="Times New Roman" w:hAnsi="Times New Roman" w:cs="Times New Roman" w:eastAsia="Times New Roman" w:hint="default"/>
        </w:rPr>
        <w:t>2018-008</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13</w:t>
      </w:r>
      <w:r>
        <w:rPr/>
        <w:t>日披露的《第三届监事会第十次会议决议公告》（公告编号：</w:t>
      </w:r>
      <w:r>
        <w:rPr>
          <w:rFonts w:ascii="Times New Roman" w:hAnsi="Times New Roman" w:cs="Times New Roman" w:eastAsia="Times New Roman" w:hint="default"/>
        </w:rPr>
        <w:t>2018-011</w:t>
      </w:r>
      <w:r>
        <w:rPr/>
        <w:t>）、《关于监事会换届选</w:t>
      </w:r>
      <w:r>
        <w:rPr>
          <w:spacing w:val="-32"/>
        </w:rPr>
        <w:t> </w:t>
      </w:r>
      <w:r>
        <w:rPr>
          <w:spacing w:val="-32"/>
        </w:rPr>
      </w:r>
      <w:r>
        <w:rPr/>
        <w:t>举的公告》（</w:t>
      </w:r>
      <w:r>
        <w:rPr>
          <w:rFonts w:ascii="Times New Roman" w:hAnsi="Times New Roman" w:cs="Times New Roman" w:eastAsia="Times New Roman" w:hint="default"/>
        </w:rPr>
        <w:t>2018-012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13</w:t>
      </w:r>
      <w:r>
        <w:rPr/>
        <w:t>日披露的《</w:t>
      </w:r>
      <w:r>
        <w:rPr>
          <w:rFonts w:ascii="Times New Roman" w:hAnsi="Times New Roman" w:cs="Times New Roman" w:eastAsia="Times New Roman" w:hint="default"/>
        </w:rPr>
        <w:t>2018</w:t>
      </w:r>
      <w:r>
        <w:rPr>
          <w:rFonts w:ascii="Times New Roman" w:hAnsi="Times New Roman" w:cs="Times New Roman" w:eastAsia="Times New Roman" w:hint="default"/>
          <w:spacing w:val="21"/>
        </w:rPr>
        <w:t> </w:t>
      </w:r>
      <w:r>
        <w:rPr/>
        <w:t>年第一次临时股东大会决议公告》（公告编号：</w:t>
      </w:r>
      <w:r>
        <w:rPr>
          <w:rFonts w:ascii="Times New Roman" w:hAnsi="Times New Roman" w:cs="Times New Roman" w:eastAsia="Times New Roman" w:hint="default"/>
        </w:rPr>
        <w:t>2018-021</w:t>
      </w:r>
      <w:r>
        <w:rPr/>
        <w:t>）、《关 于完成监事会换届选举的公告》（公告编号：</w:t>
      </w:r>
      <w:r>
        <w:rPr>
          <w:rFonts w:ascii="Times New Roman" w:hAnsi="Times New Roman" w:cs="Times New Roman" w:eastAsia="Times New Roman" w:hint="default"/>
        </w:rPr>
        <w:t>2018-023</w:t>
      </w:r>
      <w:r>
        <w:rPr/>
        <w:t>）。</w:t>
      </w:r>
    </w:p>
    <w:p>
      <w:pPr>
        <w:pStyle w:val="BodyText"/>
        <w:spacing w:line="300" w:lineRule="auto" w:before="127"/>
        <w:ind w:right="1042" w:firstLine="360"/>
        <w:jc w:val="left"/>
      </w:pPr>
      <w:r>
        <w:rPr>
          <w:rFonts w:ascii="Times New Roman" w:hAnsi="Times New Roman" w:cs="Times New Roman" w:eastAsia="Times New Roman" w:hint="default"/>
        </w:rPr>
        <w:t>3</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日在巨潮资讯网（</w:t>
      </w:r>
      <w:hyperlink r:id="rId11">
        <w:r>
          <w:rPr>
            <w:rFonts w:ascii="Times New Roman" w:hAnsi="Times New Roman" w:cs="Times New Roman" w:eastAsia="Times New Roman" w:hint="default"/>
          </w:rPr>
          <w:t>http://www.cninfo.com.cn</w:t>
        </w:r>
      </w:hyperlink>
      <w:r>
        <w:rPr/>
        <w:t>）上披露了《关于终止战略合作协议的公告》（公告 </w:t>
      </w:r>
      <w:r>
        <w:rPr>
          <w:spacing w:val="-3"/>
        </w:rPr>
        <w:t>编号：</w:t>
      </w:r>
      <w:r>
        <w:rPr>
          <w:rFonts w:ascii="Times New Roman" w:hAnsi="Times New Roman" w:cs="Times New Roman" w:eastAsia="Times New Roman" w:hint="default"/>
          <w:spacing w:val="-3"/>
        </w:rPr>
        <w:t>2018-051</w:t>
      </w:r>
      <w:r>
        <w:rPr>
          <w:spacing w:val="-3"/>
        </w:rPr>
        <w:t>），公司与北京蜜莱坞网络科技有限公司友好协商并达成共识：决定终止实施《战略合作协议》的相关事项。</w:t>
      </w:r>
    </w:p>
    <w:p>
      <w:pPr>
        <w:pStyle w:val="BodyText"/>
        <w:spacing w:line="300" w:lineRule="auto" w:before="133"/>
        <w:ind w:right="1040" w:firstLine="360"/>
        <w:jc w:val="left"/>
      </w:pPr>
      <w:r>
        <w:rPr>
          <w:rFonts w:ascii="Times New Roman" w:hAnsi="Times New Roman" w:cs="Times New Roman" w:eastAsia="Times New Roman" w:hint="default"/>
        </w:rPr>
        <w:t>4</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日在巨潮资讯网（</w:t>
      </w:r>
      <w:hyperlink r:id="rId11">
        <w:r>
          <w:rPr>
            <w:rFonts w:ascii="Times New Roman" w:hAnsi="Times New Roman" w:cs="Times New Roman" w:eastAsia="Times New Roman" w:hint="default"/>
          </w:rPr>
          <w:t>http://www.cninfo.com.cn</w:t>
        </w:r>
      </w:hyperlink>
      <w:r>
        <w:rPr/>
        <w:t>）上披露了《关于签署战略合作协议的公告》（公告 编号：</w:t>
      </w:r>
      <w:r>
        <w:rPr>
          <w:rFonts w:ascii="Times New Roman" w:hAnsi="Times New Roman" w:cs="Times New Roman" w:eastAsia="Times New Roman" w:hint="default"/>
        </w:rPr>
        <w:t>2018-052</w:t>
      </w:r>
      <w:r>
        <w:rPr/>
        <w:t>），公司与北京周同科技有限公司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w:t>
      </w:r>
      <w:r>
        <w:rPr/>
        <w:t>周同科技</w:t>
      </w:r>
      <w:r>
        <w:rPr>
          <w:rFonts w:ascii="Times New Roman" w:hAnsi="Times New Roman" w:cs="Times New Roman" w:eastAsia="Times New Roman" w:hint="default"/>
        </w:rPr>
        <w:t>”)</w:t>
      </w:r>
      <w:r>
        <w:rPr/>
        <w:t>拟开展合作，共同对视频营销领域的商业价值进行</w:t>
      </w:r>
      <w:r>
        <w:rPr>
          <w:spacing w:val="-69"/>
        </w:rPr>
        <w:t> </w:t>
      </w:r>
      <w:r>
        <w:rPr>
          <w:spacing w:val="-69"/>
        </w:rPr>
      </w:r>
      <w:r>
        <w:rPr/>
        <w:t>深度开发；同日披露了《关于签署购买周同科技</w:t>
      </w:r>
      <w:r>
        <w:rPr>
          <w:rFonts w:ascii="Times New Roman" w:hAnsi="Times New Roman" w:cs="Times New Roman" w:eastAsia="Times New Roman" w:hint="default"/>
        </w:rPr>
        <w:t>3%</w:t>
      </w:r>
      <w:r>
        <w:rPr/>
        <w:t>股权的</w:t>
      </w:r>
      <w:r>
        <w:rPr>
          <w:rFonts w:ascii="Times New Roman" w:hAnsi="Times New Roman" w:cs="Times New Roman" w:eastAsia="Times New Roman" w:hint="default"/>
        </w:rPr>
        <w:t>&lt;</w:t>
      </w:r>
      <w:r>
        <w:rPr/>
        <w:t>股权转让协议</w:t>
      </w:r>
      <w:r>
        <w:rPr>
          <w:rFonts w:ascii="Times New Roman" w:hAnsi="Times New Roman" w:cs="Times New Roman" w:eastAsia="Times New Roman" w:hint="default"/>
        </w:rPr>
        <w:t>&gt;</w:t>
      </w:r>
      <w:r>
        <w:rPr/>
        <w:t>》的公告》（公告编号：</w:t>
      </w:r>
      <w:r>
        <w:rPr>
          <w:rFonts w:ascii="Times New Roman" w:hAnsi="Times New Roman" w:cs="Times New Roman" w:eastAsia="Times New Roman" w:hint="default"/>
        </w:rPr>
        <w:t>2018-049</w:t>
      </w:r>
      <w:r>
        <w:rPr/>
        <w:t>），公司以自</w:t>
      </w:r>
      <w:r>
        <w:rPr>
          <w:spacing w:val="-52"/>
        </w:rPr>
        <w:t> </w:t>
      </w:r>
      <w:r>
        <w:rPr>
          <w:spacing w:val="-52"/>
        </w:rPr>
      </w:r>
      <w:r>
        <w:rPr/>
        <w:t>有资金</w:t>
      </w:r>
      <w:r>
        <w:rPr>
          <w:rFonts w:ascii="Times New Roman" w:hAnsi="Times New Roman" w:cs="Times New Roman" w:eastAsia="Times New Roman" w:hint="default"/>
        </w:rPr>
        <w:t>2,335.2274 </w:t>
      </w:r>
      <w:r>
        <w:rPr>
          <w:spacing w:val="-4"/>
        </w:rPr>
        <w:t>万元受让邵塬翔先生持有的周同科技</w:t>
      </w:r>
      <w:r>
        <w:rPr>
          <w:rFonts w:ascii="Times New Roman" w:hAnsi="Times New Roman" w:cs="Times New Roman" w:eastAsia="Times New Roman" w:hint="default"/>
          <w:spacing w:val="-4"/>
        </w:rPr>
        <w:t>3%</w:t>
      </w:r>
      <w:r>
        <w:rPr>
          <w:spacing w:val="-4"/>
        </w:rPr>
        <w:t>的股权（对应合计人民币</w:t>
      </w:r>
      <w:r>
        <w:rPr>
          <w:rFonts w:ascii="Times New Roman" w:hAnsi="Times New Roman" w:cs="Times New Roman" w:eastAsia="Times New Roman" w:hint="default"/>
          <w:spacing w:val="-4"/>
        </w:rPr>
        <w:t>4.7726</w:t>
      </w:r>
      <w:r>
        <w:rPr>
          <w:spacing w:val="-4"/>
        </w:rPr>
        <w:t>万元的注册资本，全部尚未实缴。）</w:t>
      </w:r>
      <w:r>
        <w:rPr>
          <w:spacing w:val="-80"/>
        </w:rPr>
        <w:t> </w:t>
      </w:r>
      <w:r>
        <w:rPr>
          <w:spacing w:val="-80"/>
        </w:rPr>
      </w:r>
      <w:r>
        <w:rPr/>
        <w:t>本次交易完成后，公司将持有周同科技</w:t>
      </w:r>
      <w:r>
        <w:rPr>
          <w:rFonts w:ascii="Times New Roman" w:hAnsi="Times New Roman" w:cs="Times New Roman" w:eastAsia="Times New Roman" w:hint="default"/>
        </w:rPr>
        <w:t>3%</w:t>
      </w:r>
      <w:r>
        <w:rPr/>
        <w:t>的股权，周同科技将成为公司的参股公司。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25</w:t>
      </w:r>
      <w:r>
        <w:rPr/>
        <w:t>日，公司披露了《关于购 </w:t>
      </w:r>
      <w:r>
        <w:rPr>
          <w:spacing w:val="-1"/>
        </w:rPr>
        <w:t>买周同科技</w:t>
      </w:r>
      <w:r>
        <w:rPr>
          <w:rFonts w:ascii="Times New Roman" w:hAnsi="Times New Roman" w:cs="Times New Roman" w:eastAsia="Times New Roman" w:hint="default"/>
          <w:spacing w:val="-1"/>
        </w:rPr>
        <w:t>3%</w:t>
      </w:r>
      <w:r>
        <w:rPr>
          <w:spacing w:val="-1"/>
        </w:rPr>
        <w:t>股权完成工商变更登记的公告》（公告编号：</w:t>
      </w:r>
      <w:r>
        <w:rPr>
          <w:rFonts w:ascii="Times New Roman" w:hAnsi="Times New Roman" w:cs="Times New Roman" w:eastAsia="Times New Roman" w:hint="default"/>
          <w:spacing w:val="-1"/>
        </w:rPr>
        <w:t>2018-055</w:t>
      </w:r>
      <w:r>
        <w:rPr>
          <w:spacing w:val="-1"/>
        </w:rPr>
        <w:t>），周同科技办理完成股权过户手续及工商变更登记，</w:t>
      </w:r>
      <w:r>
        <w:rPr>
          <w:spacing w:val="-54"/>
        </w:rPr>
        <w:t> </w:t>
      </w:r>
      <w:r>
        <w:rPr>
          <w:spacing w:val="-54"/>
        </w:rPr>
      </w:r>
      <w:r>
        <w:rPr/>
        <w:t>并取得了北京市工商行政管理局颁发的《营业执照》。</w:t>
      </w:r>
    </w:p>
    <w:p>
      <w:pPr>
        <w:pStyle w:val="BodyText"/>
        <w:spacing w:line="300" w:lineRule="auto" w:before="151"/>
        <w:ind w:right="1042" w:firstLine="360"/>
        <w:jc w:val="left"/>
      </w:pPr>
      <w:r>
        <w:rPr>
          <w:rFonts w:ascii="Times New Roman" w:hAnsi="Times New Roman" w:cs="Times New Roman" w:eastAsia="Times New Roman" w:hint="default"/>
        </w:rPr>
        <w:t>5</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日在巨潮资讯网（</w:t>
      </w:r>
      <w:hyperlink r:id="rId11">
        <w:r>
          <w:rPr>
            <w:rFonts w:ascii="Times New Roman" w:hAnsi="Times New Roman" w:cs="Times New Roman" w:eastAsia="Times New Roman" w:hint="default"/>
          </w:rPr>
          <w:t>http://www.cninfo.com.cn</w:t>
        </w:r>
      </w:hyperlink>
      <w:r>
        <w:rPr/>
        <w:t>）上披露了《关于签署</w:t>
      </w:r>
      <w:r>
        <w:rPr>
          <w:rFonts w:ascii="Times New Roman" w:hAnsi="Times New Roman" w:cs="Times New Roman" w:eastAsia="Times New Roman" w:hint="default"/>
        </w:rPr>
        <w:t>&lt;</w:t>
      </w:r>
      <w:r>
        <w:rPr/>
        <w:t>投资协议</w:t>
      </w:r>
      <w:r>
        <w:rPr>
          <w:rFonts w:ascii="Times New Roman" w:hAnsi="Times New Roman" w:cs="Times New Roman" w:eastAsia="Times New Roman" w:hint="default"/>
        </w:rPr>
        <w:t>&gt;</w:t>
      </w:r>
      <w:r>
        <w:rPr/>
        <w:t>的公告》（公告编</w:t>
      </w:r>
      <w:r>
        <w:rPr>
          <w:w w:val="99"/>
        </w:rPr>
        <w:t> </w:t>
      </w:r>
      <w:r>
        <w:rPr>
          <w:spacing w:val="-1"/>
        </w:rPr>
        <w:t>号：</w:t>
      </w:r>
      <w:r>
        <w:rPr>
          <w:rFonts w:ascii="Times New Roman" w:hAnsi="Times New Roman" w:cs="Times New Roman" w:eastAsia="Times New Roman" w:hint="default"/>
          <w:spacing w:val="-1"/>
        </w:rPr>
        <w:t>2018-048</w:t>
      </w:r>
      <w:r>
        <w:rPr>
          <w:spacing w:val="-1"/>
        </w:rPr>
        <w:t>），公司拟以自有资金</w:t>
      </w:r>
      <w:r>
        <w:rPr>
          <w:rFonts w:ascii="Times New Roman" w:hAnsi="Times New Roman" w:cs="Times New Roman" w:eastAsia="Times New Roman" w:hint="default"/>
          <w:spacing w:val="-1"/>
        </w:rPr>
        <w:t>3,000</w:t>
      </w:r>
      <w:r>
        <w:rPr>
          <w:spacing w:val="-1"/>
        </w:rPr>
        <w:t>万元对链极智能科技</w:t>
      </w:r>
      <w:r>
        <w:rPr>
          <w:rFonts w:ascii="Times New Roman" w:hAnsi="Times New Roman" w:cs="Times New Roman" w:eastAsia="Times New Roman" w:hint="default"/>
          <w:spacing w:val="-1"/>
        </w:rPr>
        <w:t>(</w:t>
      </w:r>
      <w:r>
        <w:rPr>
          <w:spacing w:val="-1"/>
        </w:rPr>
        <w:t>上海</w:t>
      </w:r>
      <w:r>
        <w:rPr>
          <w:rFonts w:ascii="Times New Roman" w:hAnsi="Times New Roman" w:cs="Times New Roman" w:eastAsia="Times New Roman" w:hint="default"/>
          <w:spacing w:val="-1"/>
        </w:rPr>
        <w:t>)</w:t>
      </w:r>
      <w:r>
        <w:rPr>
          <w:spacing w:val="-1"/>
        </w:rPr>
        <w:t>有限公司</w:t>
      </w:r>
      <w:r>
        <w:rPr>
          <w:rFonts w:ascii="Times New Roman" w:hAnsi="Times New Roman" w:cs="Times New Roman" w:eastAsia="Times New Roman" w:hint="default"/>
          <w:spacing w:val="-1"/>
        </w:rPr>
        <w:t>(</w:t>
      </w:r>
      <w:r>
        <w:rPr>
          <w:spacing w:val="-1"/>
        </w:rPr>
        <w:t>以下简称</w:t>
      </w:r>
      <w:r>
        <w:rPr>
          <w:rFonts w:ascii="Times New Roman" w:hAnsi="Times New Roman" w:cs="Times New Roman" w:eastAsia="Times New Roman" w:hint="default"/>
          <w:spacing w:val="-1"/>
        </w:rPr>
        <w:t>“</w:t>
      </w:r>
      <w:r>
        <w:rPr>
          <w:spacing w:val="-1"/>
        </w:rPr>
        <w:t>链极科技</w:t>
      </w:r>
      <w:r>
        <w:rPr>
          <w:rFonts w:ascii="Times New Roman" w:hAnsi="Times New Roman" w:cs="Times New Roman" w:eastAsia="Times New Roman" w:hint="default"/>
          <w:spacing w:val="-1"/>
        </w:rPr>
        <w:t>”)</w:t>
      </w:r>
      <w:r>
        <w:rPr>
          <w:spacing w:val="-1"/>
        </w:rPr>
        <w:t>进行增资，增资完成后，</w:t>
      </w:r>
      <w:r>
        <w:rPr>
          <w:spacing w:val="-78"/>
        </w:rPr>
        <w:t> </w:t>
      </w:r>
      <w:r>
        <w:rPr>
          <w:spacing w:val="-78"/>
        </w:rPr>
      </w:r>
      <w:r>
        <w:rPr/>
        <w:t>公司将持有链极科技</w:t>
      </w:r>
      <w:r>
        <w:rPr>
          <w:rFonts w:ascii="Times New Roman" w:hAnsi="Times New Roman" w:cs="Times New Roman" w:eastAsia="Times New Roman" w:hint="default"/>
        </w:rPr>
        <w:t>30%</w:t>
      </w:r>
      <w:r>
        <w:rPr/>
        <w:t>的股权，链极科技成为公司的参股公司。</w:t>
      </w:r>
    </w:p>
    <w:p>
      <w:pPr>
        <w:pStyle w:val="BodyText"/>
        <w:spacing w:line="300" w:lineRule="auto" w:before="133"/>
        <w:ind w:right="1130" w:firstLine="360"/>
        <w:jc w:val="both"/>
      </w:pPr>
      <w:r>
        <w:rPr>
          <w:rFonts w:ascii="Times New Roman" w:hAnsi="Times New Roman" w:cs="Times New Roman" w:eastAsia="Times New Roman" w:hint="default"/>
        </w:rPr>
        <w:t>6</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24</w:t>
      </w:r>
      <w:r>
        <w:rPr/>
        <w:t>日在巨潮资讯网（</w:t>
      </w:r>
      <w:hyperlink r:id="rId11">
        <w:r>
          <w:rPr>
            <w:rFonts w:ascii="Times New Roman" w:hAnsi="Times New Roman" w:cs="Times New Roman" w:eastAsia="Times New Roman" w:hint="default"/>
          </w:rPr>
          <w:t>http://www.cninfo.com.cn</w:t>
        </w:r>
      </w:hyperlink>
      <w:r>
        <w:rPr/>
        <w:t>）上披露了《关于拟设立区块链实验室的公告》（公 </w:t>
      </w:r>
      <w:r>
        <w:rPr>
          <w:spacing w:val="-1"/>
        </w:rPr>
        <w:t>告编号：</w:t>
      </w:r>
      <w:r>
        <w:rPr>
          <w:rFonts w:ascii="Times New Roman" w:hAnsi="Times New Roman" w:cs="Times New Roman" w:eastAsia="Times New Roman" w:hint="default"/>
          <w:spacing w:val="-1"/>
        </w:rPr>
        <w:t>2018-050</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25</w:t>
      </w:r>
      <w:r>
        <w:rPr>
          <w:spacing w:val="-1"/>
        </w:rPr>
        <w:t>日披露了《关于区块链实验室成立的公告》（公告编号：</w:t>
      </w:r>
      <w:r>
        <w:rPr>
          <w:rFonts w:ascii="Times New Roman" w:hAnsi="Times New Roman" w:cs="Times New Roman" w:eastAsia="Times New Roman" w:hint="default"/>
          <w:spacing w:val="-1"/>
        </w:rPr>
        <w:t>2018-054</w:t>
      </w:r>
      <w:r>
        <w:rPr>
          <w:spacing w:val="-1"/>
        </w:rPr>
        <w:t>）；</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7</w:t>
      </w:r>
      <w:r>
        <w:rPr>
          <w:spacing w:val="-1"/>
        </w:rPr>
        <w:t>月</w:t>
      </w:r>
      <w:r>
        <w:rPr>
          <w:rFonts w:ascii="Times New Roman" w:hAnsi="Times New Roman" w:cs="Times New Roman" w:eastAsia="Times New Roman" w:hint="default"/>
          <w:spacing w:val="-1"/>
        </w:rPr>
        <w:t>13</w:t>
      </w:r>
      <w:r>
        <w:rPr>
          <w:spacing w:val="-1"/>
        </w:rPr>
        <w:t>日披</w:t>
      </w:r>
      <w:r>
        <w:rPr>
          <w:spacing w:val="-45"/>
        </w:rPr>
        <w:t> </w:t>
      </w:r>
      <w:r>
        <w:rPr/>
        <w:t>露了《关于区块链实验室推出首款产品的公告》（公告编号：</w:t>
      </w:r>
      <w:r>
        <w:rPr>
          <w:rFonts w:ascii="Times New Roman" w:hAnsi="Times New Roman" w:cs="Times New Roman" w:eastAsia="Times New Roman" w:hint="default"/>
        </w:rPr>
        <w:t>2018-058</w:t>
      </w:r>
      <w:r>
        <w:rPr/>
        <w:t>）。</w:t>
      </w:r>
    </w:p>
    <w:p>
      <w:pPr>
        <w:pStyle w:val="BodyText"/>
        <w:spacing w:line="300" w:lineRule="auto" w:before="133"/>
        <w:ind w:right="1041" w:firstLine="360"/>
        <w:jc w:val="left"/>
      </w:pPr>
      <w:r>
        <w:rPr>
          <w:rFonts w:ascii="Times New Roman" w:hAnsi="Times New Roman" w:cs="Times New Roman" w:eastAsia="Times New Roman" w:hint="default"/>
          <w:spacing w:val="-2"/>
        </w:rPr>
        <w:t>7</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6</w:t>
      </w:r>
      <w:r>
        <w:rPr>
          <w:spacing w:val="-2"/>
        </w:rPr>
        <w:t>日在巨潮资讯网（</w:t>
      </w:r>
      <w:hyperlink r:id="rId11">
        <w:r>
          <w:rPr>
            <w:rFonts w:ascii="Times New Roman" w:hAnsi="Times New Roman" w:cs="Times New Roman" w:eastAsia="Times New Roman" w:hint="default"/>
            <w:spacing w:val="-2"/>
          </w:rPr>
          <w:t>http://www.cninfo.com.cn</w:t>
        </w:r>
      </w:hyperlink>
      <w:r>
        <w:rPr>
          <w:spacing w:val="-2"/>
        </w:rPr>
        <w:t>）上披露了《关于首席执行官（总裁）、副总裁辞职的</w:t>
      </w:r>
      <w:r>
        <w:rPr>
          <w:w w:val="99"/>
        </w:rPr>
        <w:t> </w:t>
      </w:r>
      <w:r>
        <w:rPr>
          <w:spacing w:val="-4"/>
        </w:rPr>
        <w:t>公告》（公告编号：</w:t>
      </w:r>
      <w:r>
        <w:rPr>
          <w:rFonts w:ascii="Times New Roman" w:hAnsi="Times New Roman" w:cs="Times New Roman" w:eastAsia="Times New Roman" w:hint="default"/>
          <w:spacing w:val="-4"/>
        </w:rPr>
        <w:t>2018-066</w:t>
      </w:r>
      <w:r>
        <w:rPr>
          <w:spacing w:val="-4"/>
        </w:rPr>
        <w:t>）；</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9</w:t>
      </w:r>
      <w:r>
        <w:rPr>
          <w:spacing w:val="-4"/>
        </w:rPr>
        <w:t>月</w:t>
      </w:r>
      <w:r>
        <w:rPr>
          <w:rFonts w:ascii="Times New Roman" w:hAnsi="Times New Roman" w:cs="Times New Roman" w:eastAsia="Times New Roman" w:hint="default"/>
          <w:spacing w:val="-4"/>
        </w:rPr>
        <w:t>11</w:t>
      </w:r>
      <w:r>
        <w:rPr>
          <w:spacing w:val="-4"/>
        </w:rPr>
        <w:t>日召开第三届董事会第六次会议，审议通过了《关于聘任首席执行官（总裁）、</w:t>
      </w:r>
      <w:r>
        <w:rPr>
          <w:spacing w:val="-78"/>
        </w:rPr>
        <w:t> </w:t>
      </w:r>
      <w:r>
        <w:rPr>
          <w:spacing w:val="-78"/>
        </w:rPr>
      </w:r>
      <w:r>
        <w:rPr/>
        <w:t>副总裁的议案》；</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13</w:t>
      </w:r>
      <w:r>
        <w:rPr/>
        <w:t>日披露了《关于聘任首席执行官（总裁）、副总裁的公告》（公告编号：</w:t>
      </w:r>
      <w:r>
        <w:rPr>
          <w:rFonts w:ascii="Times New Roman" w:hAnsi="Times New Roman" w:cs="Times New Roman" w:eastAsia="Times New Roman" w:hint="default"/>
        </w:rPr>
        <w:t>2018-071</w:t>
      </w:r>
      <w:r>
        <w:rPr/>
        <w:t>）。</w:t>
      </w:r>
    </w:p>
    <w:p>
      <w:pPr>
        <w:pStyle w:val="BodyText"/>
        <w:spacing w:line="304" w:lineRule="auto" w:before="133"/>
        <w:ind w:right="1129" w:firstLine="360"/>
        <w:jc w:val="both"/>
      </w:pPr>
      <w:r>
        <w:rPr>
          <w:rFonts w:ascii="Times New Roman" w:hAnsi="Times New Roman" w:cs="Times New Roman" w:eastAsia="Times New Roman" w:hint="default"/>
        </w:rPr>
        <w:t>8</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11</w:t>
      </w:r>
      <w:r>
        <w:rPr/>
        <w:t>日召开第三届董事会第六次会议、第四届监事会第五次会议，</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日召开</w:t>
      </w:r>
      <w:r>
        <w:rPr>
          <w:rFonts w:ascii="Times New Roman" w:hAnsi="Times New Roman" w:cs="Times New Roman" w:eastAsia="Times New Roman" w:hint="default"/>
        </w:rPr>
        <w:t>2018</w:t>
      </w:r>
      <w:r>
        <w:rPr/>
        <w:t>年第二次 </w:t>
      </w:r>
      <w:r>
        <w:rPr>
          <w:spacing w:val="-2"/>
        </w:rPr>
        <w:t>临时股东大会，审议通过了《关于终止部分首次公开发行募投项目并将相关募集资金用于永久补充流动资金的议案》。具体</w:t>
      </w:r>
      <w:r>
        <w:rPr>
          <w:spacing w:val="-66"/>
        </w:rPr>
        <w:t> </w:t>
      </w:r>
      <w:r>
        <w:rPr>
          <w:spacing w:val="-66"/>
        </w:rPr>
      </w:r>
      <w:r>
        <w:rPr>
          <w:spacing w:val="-4"/>
          <w:w w:val="99"/>
        </w:rPr>
        <w:t>内容详见公司于</w:t>
      </w:r>
      <w:r>
        <w:rPr>
          <w:rFonts w:ascii="Times New Roman" w:hAnsi="Times New Roman" w:cs="Times New Roman" w:eastAsia="Times New Roman" w:hint="default"/>
          <w:spacing w:val="-4"/>
          <w:w w:val="99"/>
        </w:rPr>
        <w:t>2018</w:t>
      </w:r>
      <w:r>
        <w:rPr>
          <w:spacing w:val="-4"/>
          <w:w w:val="99"/>
        </w:rPr>
        <w:t>年</w:t>
      </w:r>
      <w:r>
        <w:rPr>
          <w:rFonts w:ascii="Times New Roman" w:hAnsi="Times New Roman" w:cs="Times New Roman" w:eastAsia="Times New Roman" w:hint="default"/>
          <w:spacing w:val="-4"/>
          <w:w w:val="99"/>
        </w:rPr>
        <w:t>9</w:t>
      </w:r>
      <w:r>
        <w:rPr>
          <w:spacing w:val="-4"/>
          <w:w w:val="99"/>
        </w:rPr>
        <w:t>月</w:t>
      </w:r>
      <w:r>
        <w:rPr>
          <w:rFonts w:ascii="Times New Roman" w:hAnsi="Times New Roman" w:cs="Times New Roman" w:eastAsia="Times New Roman" w:hint="default"/>
          <w:spacing w:val="-4"/>
          <w:w w:val="99"/>
        </w:rPr>
        <w:t>13</w:t>
      </w:r>
      <w:r>
        <w:rPr>
          <w:spacing w:val="-4"/>
          <w:w w:val="99"/>
        </w:rPr>
        <w:t>日在巨潮资讯网（</w:t>
      </w:r>
      <w:hyperlink r:id="rId11">
        <w:r>
          <w:rPr>
            <w:rFonts w:ascii="Times New Roman" w:hAnsi="Times New Roman" w:cs="Times New Roman" w:eastAsia="Times New Roman" w:hint="default"/>
            <w:spacing w:val="-4"/>
            <w:w w:val="99"/>
          </w:rPr>
          <w:t>http://www.cninfo.com.cn</w:t>
        </w:r>
      </w:hyperlink>
      <w:r>
        <w:rPr>
          <w:spacing w:val="-4"/>
          <w:w w:val="99"/>
        </w:rPr>
        <w:t>）上披露的《第三届董事会第六次会议决议公告》（公</w:t>
      </w:r>
      <w:r>
        <w:rPr>
          <w:spacing w:val="-72"/>
          <w:w w:val="99"/>
        </w:rPr>
        <w:t> </w:t>
      </w:r>
      <w:r>
        <w:rPr>
          <w:spacing w:val="-72"/>
          <w:w w:val="99"/>
        </w:rPr>
      </w:r>
      <w:r>
        <w:rPr>
          <w:spacing w:val="-1"/>
        </w:rPr>
        <w:t>告编号：</w:t>
      </w:r>
      <w:r>
        <w:rPr>
          <w:rFonts w:ascii="Times New Roman" w:hAnsi="Times New Roman" w:cs="Times New Roman" w:eastAsia="Times New Roman" w:hint="default"/>
          <w:spacing w:val="-1"/>
        </w:rPr>
        <w:t>2018-067</w:t>
      </w:r>
      <w:r>
        <w:rPr>
          <w:spacing w:val="-1"/>
        </w:rPr>
        <w:t>）、《第四届监事会第五次会议决议公告》（公告编号：</w:t>
      </w:r>
      <w:r>
        <w:rPr>
          <w:rFonts w:ascii="Times New Roman" w:hAnsi="Times New Roman" w:cs="Times New Roman" w:eastAsia="Times New Roman" w:hint="default"/>
          <w:spacing w:val="-1"/>
        </w:rPr>
        <w:t>2018-068</w:t>
      </w:r>
      <w:r>
        <w:rPr>
          <w:spacing w:val="-1"/>
        </w:rPr>
        <w:t>）、《关于终止部分首次公开发行募集</w:t>
      </w:r>
      <w:r>
        <w:rPr>
          <w:spacing w:val="-52"/>
        </w:rPr>
        <w:t> </w:t>
      </w:r>
      <w:r>
        <w:rPr>
          <w:spacing w:val="-52"/>
        </w:rPr>
      </w:r>
      <w:r>
        <w:rPr/>
        <w:t>资金投资项目并将相关募集资金用于永久补充流动资金的公告》（公告编号：</w:t>
      </w:r>
      <w:r>
        <w:rPr>
          <w:rFonts w:ascii="Times New Roman" w:hAnsi="Times New Roman" w:cs="Times New Roman" w:eastAsia="Times New Roman" w:hint="default"/>
        </w:rPr>
        <w:t>2018-069</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28</w:t>
      </w:r>
      <w:r>
        <w:rPr/>
        <w:t>日披露的《</w:t>
      </w:r>
      <w:r>
        <w:rPr>
          <w:rFonts w:ascii="Times New Roman" w:hAnsi="Times New Roman" w:cs="Times New Roman" w:eastAsia="Times New Roman" w:hint="default"/>
        </w:rPr>
        <w:t>2018</w:t>
      </w:r>
      <w:r>
        <w:rPr>
          <w:rFonts w:ascii="Times New Roman" w:hAnsi="Times New Roman" w:cs="Times New Roman" w:eastAsia="Times New Roman" w:hint="default"/>
          <w:spacing w:val="-12"/>
        </w:rPr>
        <w:t> </w:t>
      </w:r>
      <w:r>
        <w:rPr/>
        <w:t>年第二次临时股东大会决议公告》（公告编号：</w:t>
      </w:r>
      <w:r>
        <w:rPr>
          <w:rFonts w:ascii="Times New Roman" w:hAnsi="Times New Roman" w:cs="Times New Roman" w:eastAsia="Times New Roman" w:hint="default"/>
        </w:rPr>
        <w:t>2018-077</w:t>
      </w:r>
      <w:r>
        <w:rPr/>
        <w:t>）。</w:t>
      </w:r>
    </w:p>
    <w:p>
      <w:pPr>
        <w:pStyle w:val="BodyText"/>
        <w:spacing w:line="300" w:lineRule="auto" w:before="129"/>
        <w:ind w:right="0" w:firstLine="360"/>
        <w:jc w:val="left"/>
      </w:pPr>
      <w:r>
        <w:rPr>
          <w:rFonts w:ascii="Times New Roman" w:hAnsi="Times New Roman" w:cs="Times New Roman" w:eastAsia="Times New Roman" w:hint="default"/>
          <w:spacing w:val="-2"/>
        </w:rPr>
        <w:t>9</w:t>
      </w:r>
      <w:r>
        <w:rPr>
          <w:spacing w:val="-2"/>
        </w:rPr>
        <w:t>、公司于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26</w:t>
      </w:r>
      <w:r>
        <w:rPr>
          <w:spacing w:val="-2"/>
        </w:rPr>
        <w:t>日召开第三届董事会第七次会议、第四届监事会第六次会议，</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15</w:t>
      </w:r>
      <w:r>
        <w:rPr>
          <w:spacing w:val="-2"/>
        </w:rPr>
        <w:t>日召开</w:t>
      </w:r>
      <w:r>
        <w:rPr>
          <w:rFonts w:ascii="Times New Roman" w:hAnsi="Times New Roman" w:cs="Times New Roman" w:eastAsia="Times New Roman" w:hint="default"/>
          <w:spacing w:val="-2"/>
        </w:rPr>
        <w:t>2018</w:t>
      </w:r>
      <w:r>
        <w:rPr>
          <w:spacing w:val="-2"/>
        </w:rPr>
        <w:t>年第三次</w:t>
      </w:r>
      <w:r>
        <w:rPr/>
        <w:t> </w:t>
      </w:r>
      <w:r>
        <w:rPr>
          <w:spacing w:val="12"/>
        </w:rPr>
        <w:t>临时股东大会，</w:t>
      </w:r>
      <w:r>
        <w:rPr>
          <w:spacing w:val="-74"/>
        </w:rPr>
        <w:t> </w:t>
      </w:r>
      <w:r>
        <w:rPr>
          <w:spacing w:val="12"/>
        </w:rPr>
        <w:t>审议通过了《</w:t>
      </w:r>
      <w:r>
        <w:rPr>
          <w:spacing w:val="-74"/>
        </w:rPr>
        <w:t> </w:t>
      </w:r>
      <w:r>
        <w:rPr>
          <w:spacing w:val="14"/>
        </w:rPr>
        <w:t>关于回购公司股份预案的议案》。具体内容详见公司于</w:t>
      </w:r>
      <w:r>
        <w:rPr>
          <w:spacing w:val="-67"/>
        </w:rPr>
        <w:t> </w:t>
      </w:r>
      <w:r>
        <w:rPr>
          <w:rFonts w:ascii="Times New Roman" w:hAnsi="Times New Roman" w:cs="Times New Roman" w:eastAsia="Times New Roman" w:hint="default"/>
          <w:spacing w:val="10"/>
        </w:rPr>
        <w:t>2018</w:t>
      </w:r>
      <w:r>
        <w:rPr>
          <w:spacing w:val="10"/>
        </w:rPr>
        <w:t>年</w:t>
      </w:r>
      <w:r>
        <w:rPr>
          <w:rFonts w:ascii="Times New Roman" w:hAnsi="Times New Roman" w:cs="Times New Roman" w:eastAsia="Times New Roman" w:hint="default"/>
          <w:spacing w:val="10"/>
        </w:rPr>
        <w:t>9</w:t>
      </w:r>
      <w:r>
        <w:rPr>
          <w:spacing w:val="10"/>
        </w:rPr>
        <w:t>月</w:t>
      </w:r>
      <w:r>
        <w:rPr>
          <w:rFonts w:ascii="Times New Roman" w:hAnsi="Times New Roman" w:cs="Times New Roman" w:eastAsia="Times New Roman" w:hint="default"/>
          <w:spacing w:val="10"/>
        </w:rPr>
        <w:t>27</w:t>
      </w:r>
      <w:r>
        <w:rPr>
          <w:spacing w:val="10"/>
        </w:rPr>
        <w:t>日在巨潮资讯网</w:t>
      </w:r>
    </w:p>
    <w:p>
      <w:pPr>
        <w:pStyle w:val="BodyText"/>
        <w:spacing w:line="300" w:lineRule="auto" w:before="13"/>
        <w:ind w:right="1130"/>
        <w:jc w:val="both"/>
      </w:pPr>
      <w:r>
        <w:rPr/>
        <w:t>（</w:t>
      </w:r>
      <w:hyperlink r:id="rId11">
        <w:r>
          <w:rPr>
            <w:rFonts w:ascii="Times New Roman" w:hAnsi="Times New Roman" w:cs="Times New Roman" w:eastAsia="Times New Roman" w:hint="default"/>
          </w:rPr>
          <w:t>http://www.cninfo.com.cn</w:t>
        </w:r>
      </w:hyperlink>
      <w:r>
        <w:rPr/>
        <w:t>）上披露的《第三届董事会第七次会议决议公告》（公告编号：</w:t>
      </w:r>
      <w:r>
        <w:rPr>
          <w:rFonts w:ascii="Times New Roman" w:hAnsi="Times New Roman" w:cs="Times New Roman" w:eastAsia="Times New Roman" w:hint="default"/>
        </w:rPr>
        <w:t>2018-073</w:t>
      </w:r>
      <w:r>
        <w:rPr/>
        <w:t>）、《第四届监事会第</w:t>
      </w:r>
      <w:r>
        <w:rPr>
          <w:spacing w:val="-64"/>
        </w:rPr>
        <w:t> </w:t>
      </w:r>
      <w:r>
        <w:rPr>
          <w:spacing w:val="-64"/>
        </w:rPr>
      </w:r>
      <w:r>
        <w:rPr>
          <w:spacing w:val="-1"/>
        </w:rPr>
        <w:t>六次会议决议公告》（公告编号：</w:t>
      </w:r>
      <w:r>
        <w:rPr>
          <w:rFonts w:ascii="Times New Roman" w:hAnsi="Times New Roman" w:cs="Times New Roman" w:eastAsia="Times New Roman" w:hint="default"/>
          <w:spacing w:val="-1"/>
        </w:rPr>
        <w:t>2018-074</w:t>
      </w:r>
      <w:r>
        <w:rPr>
          <w:spacing w:val="-1"/>
        </w:rPr>
        <w:t>）、《关于回购公司股份预案的公告》（公告编号：</w:t>
      </w:r>
      <w:r>
        <w:rPr>
          <w:rFonts w:ascii="Times New Roman" w:hAnsi="Times New Roman" w:cs="Times New Roman" w:eastAsia="Times New Roman" w:hint="default"/>
          <w:spacing w:val="-1"/>
        </w:rPr>
        <w:t>2018-075</w:t>
      </w:r>
      <w:r>
        <w:rPr>
          <w:spacing w:val="-1"/>
        </w:rPr>
        <w:t>）；于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10</w:t>
      </w:r>
      <w:r>
        <w:rPr>
          <w:spacing w:val="-1"/>
        </w:rPr>
        <w:t>月</w:t>
      </w:r>
      <w:r>
        <w:rPr>
          <w:spacing w:val="-49"/>
        </w:rPr>
        <w:t> </w:t>
      </w:r>
      <w:r>
        <w:rPr>
          <w:rFonts w:ascii="Times New Roman" w:hAnsi="Times New Roman" w:cs="Times New Roman" w:eastAsia="Times New Roman" w:hint="default"/>
        </w:rPr>
        <w:t>15</w:t>
      </w:r>
      <w:r>
        <w:rPr/>
        <w:t>日披露的《</w:t>
      </w:r>
      <w:r>
        <w:rPr>
          <w:rFonts w:ascii="Times New Roman" w:hAnsi="Times New Roman" w:cs="Times New Roman" w:eastAsia="Times New Roman" w:hint="default"/>
        </w:rPr>
        <w:t>2018</w:t>
      </w:r>
      <w:r>
        <w:rPr/>
        <w:t>年第三次临时股东大会决议公告》（公告编号：</w:t>
      </w:r>
      <w:r>
        <w:rPr>
          <w:rFonts w:ascii="Times New Roman" w:hAnsi="Times New Roman" w:cs="Times New Roman" w:eastAsia="Times New Roman" w:hint="default"/>
        </w:rPr>
        <w:t>2018-080</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日披露的《关于回购公司股</w:t>
      </w:r>
      <w:r>
        <w:rPr>
          <w:spacing w:val="-59"/>
        </w:rPr>
        <w:t> </w:t>
      </w:r>
      <w:r>
        <w:rPr>
          <w:spacing w:val="-59"/>
        </w:rPr>
      </w:r>
      <w:r>
        <w:rPr/>
        <w:t>份的报告书》（公告编号：</w:t>
      </w:r>
      <w:r>
        <w:rPr>
          <w:rFonts w:ascii="Times New Roman" w:hAnsi="Times New Roman" w:cs="Times New Roman" w:eastAsia="Times New Roman" w:hint="default"/>
        </w:rPr>
        <w:t>2018-090</w:t>
      </w:r>
      <w:r>
        <w:rPr/>
        <w:t>）。</w:t>
      </w:r>
    </w:p>
    <w:p>
      <w:pPr>
        <w:pStyle w:val="BodyText"/>
        <w:spacing w:line="300" w:lineRule="auto" w:before="133"/>
        <w:ind w:right="1042" w:firstLine="360"/>
        <w:jc w:val="both"/>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日召开第三届董事会第十一次会议，审议通过了《关于确定回购股份用途的议案》。具体内容详见 </w:t>
      </w:r>
      <w:r>
        <w:rPr>
          <w:spacing w:val="-2"/>
        </w:rPr>
        <w:t>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31</w:t>
      </w:r>
      <w:r>
        <w:rPr>
          <w:spacing w:val="-2"/>
        </w:rPr>
        <w:t>日在巨潮资讯网（</w:t>
      </w:r>
      <w:hyperlink r:id="rId11">
        <w:r>
          <w:rPr>
            <w:rFonts w:ascii="Times New Roman" w:hAnsi="Times New Roman" w:cs="Times New Roman" w:eastAsia="Times New Roman" w:hint="default"/>
            <w:spacing w:val="-2"/>
          </w:rPr>
          <w:t>http://www.cninfo.com.cn</w:t>
        </w:r>
      </w:hyperlink>
      <w:r>
        <w:rPr>
          <w:spacing w:val="-2"/>
        </w:rPr>
        <w:t>）上披露的《第三届董事会第十一次会议决议公告》（公告编</w:t>
      </w:r>
      <w:r>
        <w:rPr>
          <w:spacing w:val="-40"/>
        </w:rPr>
        <w:t> </w:t>
      </w:r>
      <w:r>
        <w:rPr>
          <w:spacing w:val="-40"/>
        </w:rPr>
      </w:r>
      <w:r>
        <w:rPr>
          <w:spacing w:val="-2"/>
        </w:rPr>
        <w:t>号：</w:t>
      </w:r>
      <w:r>
        <w:rPr>
          <w:rFonts w:ascii="Times New Roman" w:hAnsi="Times New Roman" w:cs="Times New Roman" w:eastAsia="Times New Roman" w:hint="default"/>
          <w:spacing w:val="-2"/>
        </w:rPr>
        <w:t>2019-004</w:t>
      </w:r>
      <w:r>
        <w:rPr>
          <w:spacing w:val="-2"/>
        </w:rPr>
        <w:t>）、《关于股份回购实施结果暨股份变动的公告》（公告编号：</w:t>
      </w:r>
      <w:r>
        <w:rPr>
          <w:rFonts w:ascii="Times New Roman" w:hAnsi="Times New Roman" w:cs="Times New Roman" w:eastAsia="Times New Roman" w:hint="default"/>
          <w:spacing w:val="-2"/>
        </w:rPr>
        <w:t>2019-007</w:t>
      </w:r>
      <w:r>
        <w:rPr>
          <w:spacing w:val="-2"/>
        </w:rPr>
        <w:t>）、《关于确定回购股份用途的公告》</w:t>
      </w:r>
    </w:p>
    <w:p>
      <w:pPr>
        <w:pStyle w:val="BodyText"/>
        <w:spacing w:line="240" w:lineRule="auto" w:before="13"/>
        <w:ind w:right="0"/>
        <w:jc w:val="both"/>
      </w:pPr>
      <w:r>
        <w:rPr/>
        <w:t>（公告编号：</w:t>
      </w:r>
      <w:r>
        <w:rPr>
          <w:rFonts w:ascii="Times New Roman" w:hAnsi="Times New Roman" w:cs="Times New Roman" w:eastAsia="Times New Roman" w:hint="default"/>
        </w:rPr>
        <w:t>2019-008</w:t>
      </w:r>
      <w:r>
        <w:rPr/>
        <w:t>）。</w:t>
      </w:r>
    </w:p>
    <w:p>
      <w:pPr>
        <w:spacing w:line="240" w:lineRule="auto" w:before="13"/>
        <w:rPr>
          <w:rFonts w:ascii="宋体" w:hAnsi="宋体" w:cs="宋体" w:eastAsia="宋体" w:hint="default"/>
          <w:sz w:val="13"/>
          <w:szCs w:val="13"/>
        </w:rPr>
      </w:pPr>
    </w:p>
    <w:p>
      <w:pPr>
        <w:pStyle w:val="BodyText"/>
        <w:spacing w:line="240" w:lineRule="auto"/>
        <w:ind w:left="514" w:right="0"/>
        <w:jc w:val="left"/>
      </w:pPr>
      <w:r>
        <w:rPr>
          <w:rFonts w:ascii="Times New Roman" w:hAnsi="Times New Roman" w:cs="Times New Roman" w:eastAsia="Times New Roman" w:hint="default"/>
        </w:rPr>
        <w:t>10</w:t>
      </w: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日召开第三届董事会第九次会议、第四届监事会第八次会议，审议通过了《关于延长部分募集</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130"/>
        <w:jc w:val="both"/>
      </w:pPr>
      <w:r>
        <w:rPr/>
        <w:t>资金投资项目建设期的议案》、《关于签订</w:t>
      </w:r>
      <w:r>
        <w:rPr>
          <w:rFonts w:ascii="Times New Roman" w:hAnsi="Times New Roman" w:cs="Times New Roman" w:eastAsia="Times New Roman" w:hint="default"/>
        </w:rPr>
        <w:t>&lt;</w:t>
      </w:r>
      <w:r>
        <w:rPr/>
        <w:t>房屋租赁合同</w:t>
      </w:r>
      <w:r>
        <w:rPr>
          <w:rFonts w:ascii="Times New Roman" w:hAnsi="Times New Roman" w:cs="Times New Roman" w:eastAsia="Times New Roman" w:hint="default"/>
        </w:rPr>
        <w:t>&gt;</w:t>
      </w:r>
      <w:r>
        <w:rPr/>
        <w:t>暨关联交易的议案》；于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22</w:t>
      </w:r>
      <w:r>
        <w:rPr/>
        <w:t>日召开第三届董事会第</w:t>
      </w:r>
      <w:r>
        <w:rPr>
          <w:spacing w:val="-25"/>
        </w:rPr>
        <w:t> </w:t>
      </w:r>
      <w:r>
        <w:rPr>
          <w:spacing w:val="-25"/>
        </w:rPr>
      </w:r>
      <w:r>
        <w:rPr/>
        <w:t>十次会议、第四届监事会第九次会议，审议通过了《关于签订</w:t>
      </w:r>
      <w:r>
        <w:rPr>
          <w:rFonts w:ascii="Times New Roman" w:hAnsi="Times New Roman" w:cs="Times New Roman" w:eastAsia="Times New Roman" w:hint="default"/>
        </w:rPr>
        <w:t>&lt;</w:t>
      </w:r>
      <w:r>
        <w:rPr/>
        <w:t>房屋租赁合同补充协议</w:t>
      </w:r>
      <w:r>
        <w:rPr>
          <w:rFonts w:ascii="Times New Roman" w:hAnsi="Times New Roman" w:cs="Times New Roman" w:eastAsia="Times New Roman" w:hint="default"/>
        </w:rPr>
        <w:t>&gt;</w:t>
      </w:r>
      <w:r>
        <w:rPr/>
        <w:t>暨关联交易的议案》；于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22"/>
        </w:rPr>
        <w:t> </w:t>
      </w:r>
      <w:r>
        <w:rPr>
          <w:spacing w:val="12"/>
        </w:rPr>
        <w:t>月</w:t>
      </w:r>
      <w:r>
        <w:rPr>
          <w:rFonts w:ascii="Times New Roman" w:hAnsi="Times New Roman" w:cs="Times New Roman" w:eastAsia="Times New Roman" w:hint="default"/>
          <w:spacing w:val="12"/>
        </w:rPr>
        <w:t>3</w:t>
      </w:r>
      <w:r>
        <w:rPr>
          <w:spacing w:val="12"/>
        </w:rPr>
        <w:t>日召开</w:t>
      </w:r>
      <w:r>
        <w:rPr>
          <w:rFonts w:ascii="Times New Roman" w:hAnsi="Times New Roman" w:cs="Times New Roman" w:eastAsia="Times New Roman" w:hint="default"/>
          <w:spacing w:val="12"/>
        </w:rPr>
        <w:t>2018</w:t>
      </w:r>
      <w:r>
        <w:rPr>
          <w:spacing w:val="12"/>
        </w:rPr>
        <w:t>年第四次临时股东大会，审议通过了上述议案。</w:t>
      </w:r>
      <w:r>
        <w:rPr>
          <w:spacing w:val="-58"/>
        </w:rPr>
        <w:t> </w:t>
      </w:r>
      <w:r>
        <w:rPr>
          <w:spacing w:val="13"/>
        </w:rPr>
        <w:t>具体内容详见公司于</w:t>
      </w:r>
      <w:r>
        <w:rPr>
          <w:spacing w:val="-47"/>
        </w:rPr>
        <w:t> </w:t>
      </w:r>
      <w:r>
        <w:rPr>
          <w:rFonts w:ascii="Times New Roman" w:hAnsi="Times New Roman" w:cs="Times New Roman" w:eastAsia="Times New Roman" w:hint="default"/>
          <w:spacing w:val="9"/>
        </w:rPr>
        <w:t>2018</w:t>
      </w:r>
      <w:r>
        <w:rPr>
          <w:spacing w:val="9"/>
        </w:rPr>
        <w:t>年</w:t>
      </w:r>
      <w:r>
        <w:rPr>
          <w:rFonts w:ascii="Times New Roman" w:hAnsi="Times New Roman" w:cs="Times New Roman" w:eastAsia="Times New Roman" w:hint="default"/>
          <w:spacing w:val="9"/>
        </w:rPr>
        <w:t>11</w:t>
      </w:r>
      <w:r>
        <w:rPr>
          <w:spacing w:val="9"/>
        </w:rPr>
        <w:t>月</w:t>
      </w:r>
      <w:r>
        <w:rPr>
          <w:rFonts w:ascii="Times New Roman" w:hAnsi="Times New Roman" w:cs="Times New Roman" w:eastAsia="Times New Roman" w:hint="default"/>
          <w:spacing w:val="9"/>
        </w:rPr>
        <w:t>15</w:t>
      </w:r>
      <w:r>
        <w:rPr>
          <w:spacing w:val="9"/>
        </w:rPr>
        <w:t>日在巨潮资讯网</w:t>
      </w:r>
    </w:p>
    <w:p>
      <w:pPr>
        <w:pStyle w:val="BodyText"/>
        <w:spacing w:line="300" w:lineRule="auto" w:before="13"/>
        <w:ind w:right="1051"/>
        <w:jc w:val="both"/>
      </w:pPr>
      <w:r>
        <w:rPr/>
        <w:t>（</w:t>
      </w:r>
      <w:hyperlink r:id="rId11">
        <w:r>
          <w:rPr>
            <w:rFonts w:ascii="Times New Roman" w:hAnsi="Times New Roman" w:cs="Times New Roman" w:eastAsia="Times New Roman" w:hint="default"/>
          </w:rPr>
          <w:t>http://www.cninfo.com.cn</w:t>
        </w:r>
      </w:hyperlink>
      <w:r>
        <w:rPr/>
        <w:t>）上披露的《第三届董事会第九次会议决议公告》（公告编号：</w:t>
      </w:r>
      <w:r>
        <w:rPr>
          <w:rFonts w:ascii="Times New Roman" w:hAnsi="Times New Roman" w:cs="Times New Roman" w:eastAsia="Times New Roman" w:hint="default"/>
        </w:rPr>
        <w:t>2018-093</w:t>
      </w:r>
      <w:r>
        <w:rPr/>
        <w:t>）、《第四届监事会第</w:t>
      </w:r>
      <w:r>
        <w:rPr>
          <w:spacing w:val="-64"/>
        </w:rPr>
        <w:t> </w:t>
      </w:r>
      <w:r>
        <w:rPr>
          <w:spacing w:val="-64"/>
        </w:rPr>
      </w:r>
      <w:r>
        <w:rPr>
          <w:spacing w:val="-2"/>
        </w:rPr>
        <w:t>八次会议决议公告》（公告编号：</w:t>
      </w:r>
      <w:r>
        <w:rPr>
          <w:rFonts w:ascii="Times New Roman" w:hAnsi="Times New Roman" w:cs="Times New Roman" w:eastAsia="Times New Roman" w:hint="default"/>
          <w:spacing w:val="-2"/>
        </w:rPr>
        <w:t>2018-094</w:t>
      </w:r>
      <w:r>
        <w:rPr>
          <w:spacing w:val="-2"/>
        </w:rPr>
        <w:t>）、《关于延长部分募集资金投资项目建设期的公告》（公告编号：</w:t>
      </w:r>
      <w:r>
        <w:rPr>
          <w:rFonts w:ascii="Times New Roman" w:hAnsi="Times New Roman" w:cs="Times New Roman" w:eastAsia="Times New Roman" w:hint="default"/>
          <w:spacing w:val="-2"/>
        </w:rPr>
        <w:t>2018-095</w:t>
      </w:r>
      <w:r>
        <w:rPr>
          <w:spacing w:val="-2"/>
        </w:rPr>
        <w:t>）、</w:t>
      </w:r>
      <w:r>
        <w:rPr/>
      </w:r>
    </w:p>
    <w:p>
      <w:pPr>
        <w:pStyle w:val="BodyText"/>
        <w:spacing w:line="300" w:lineRule="auto" w:before="13"/>
        <w:ind w:right="1129"/>
        <w:jc w:val="both"/>
      </w:pPr>
      <w:r>
        <w:rPr>
          <w:spacing w:val="-2"/>
        </w:rPr>
        <w:t>《关于签订</w:t>
      </w:r>
      <w:r>
        <w:rPr>
          <w:rFonts w:ascii="Times New Roman" w:hAnsi="Times New Roman" w:cs="Times New Roman" w:eastAsia="Times New Roman" w:hint="default"/>
          <w:spacing w:val="-2"/>
        </w:rPr>
        <w:t>&lt;</w:t>
      </w:r>
      <w:r>
        <w:rPr>
          <w:spacing w:val="-2"/>
        </w:rPr>
        <w:t>房屋租赁合同</w:t>
      </w:r>
      <w:r>
        <w:rPr>
          <w:rFonts w:ascii="Times New Roman" w:hAnsi="Times New Roman" w:cs="Times New Roman" w:eastAsia="Times New Roman" w:hint="default"/>
          <w:spacing w:val="-2"/>
        </w:rPr>
        <w:t>&gt;</w:t>
      </w:r>
      <w:r>
        <w:rPr>
          <w:spacing w:val="-2"/>
        </w:rPr>
        <w:t>暨关联交易的公告》（公告编号：</w:t>
      </w:r>
      <w:r>
        <w:rPr>
          <w:rFonts w:ascii="Times New Roman" w:hAnsi="Times New Roman" w:cs="Times New Roman" w:eastAsia="Times New Roman" w:hint="default"/>
          <w:spacing w:val="-2"/>
        </w:rPr>
        <w:t>2018-096</w:t>
      </w:r>
      <w:r>
        <w:rPr>
          <w:spacing w:val="-2"/>
        </w:rPr>
        <w:t>）；于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22</w:t>
      </w:r>
      <w:r>
        <w:rPr>
          <w:spacing w:val="-2"/>
        </w:rPr>
        <w:t>日披露的《第三届董事会第十次</w:t>
      </w:r>
      <w:r>
        <w:rPr>
          <w:spacing w:val="-42"/>
        </w:rPr>
        <w:t> </w:t>
      </w:r>
      <w:r>
        <w:rPr>
          <w:spacing w:val="-42"/>
        </w:rPr>
      </w:r>
      <w:r>
        <w:rPr/>
        <w:t>会议决议公告》（公告编号：</w:t>
      </w:r>
      <w:r>
        <w:rPr>
          <w:rFonts w:ascii="Times New Roman" w:hAnsi="Times New Roman" w:cs="Times New Roman" w:eastAsia="Times New Roman" w:hint="default"/>
        </w:rPr>
        <w:t>2018-098</w:t>
      </w:r>
      <w:r>
        <w:rPr/>
        <w:t>）、《第四届监事会第九次会议决议公告》（公告编号：</w:t>
      </w:r>
      <w:r>
        <w:rPr>
          <w:rFonts w:ascii="Times New Roman" w:hAnsi="Times New Roman" w:cs="Times New Roman" w:eastAsia="Times New Roman" w:hint="default"/>
        </w:rPr>
        <w:t>2018-099</w:t>
      </w:r>
      <w:r>
        <w:rPr/>
        <w:t>）、《关于签订</w:t>
      </w:r>
      <w:r>
        <w:rPr>
          <w:rFonts w:ascii="Times New Roman" w:hAnsi="Times New Roman" w:cs="Times New Roman" w:eastAsia="Times New Roman" w:hint="default"/>
        </w:rPr>
        <w:t>&lt;</w:t>
      </w:r>
      <w:r>
        <w:rPr>
          <w:rFonts w:ascii="Times New Roman" w:hAnsi="Times New Roman" w:cs="Times New Roman" w:eastAsia="Times New Roman" w:hint="default"/>
          <w:spacing w:val="2"/>
        </w:rPr>
        <w:t> </w:t>
      </w:r>
      <w:r>
        <w:rPr>
          <w:spacing w:val="-2"/>
        </w:rPr>
        <w:t>房屋租赁合同补充协议</w:t>
      </w:r>
      <w:r>
        <w:rPr>
          <w:rFonts w:ascii="Times New Roman" w:hAnsi="Times New Roman" w:cs="Times New Roman" w:eastAsia="Times New Roman" w:hint="default"/>
          <w:spacing w:val="-2"/>
        </w:rPr>
        <w:t>&gt;</w:t>
      </w:r>
      <w:r>
        <w:rPr>
          <w:spacing w:val="-2"/>
        </w:rPr>
        <w:t>暨关联交易的公告》（公告编号：</w:t>
      </w:r>
      <w:r>
        <w:rPr>
          <w:rFonts w:ascii="Times New Roman" w:hAnsi="Times New Roman" w:cs="Times New Roman" w:eastAsia="Times New Roman" w:hint="default"/>
          <w:spacing w:val="-2"/>
        </w:rPr>
        <w:t>2018-100</w:t>
      </w:r>
      <w:r>
        <w:rPr>
          <w:spacing w:val="-2"/>
        </w:rPr>
        <w:t>）；于</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w:t>
      </w:r>
      <w:r>
        <w:rPr>
          <w:spacing w:val="-2"/>
        </w:rPr>
        <w:t>日披露的《</w:t>
      </w:r>
      <w:r>
        <w:rPr>
          <w:rFonts w:ascii="Times New Roman" w:hAnsi="Times New Roman" w:cs="Times New Roman" w:eastAsia="Times New Roman" w:hint="default"/>
          <w:spacing w:val="-2"/>
        </w:rPr>
        <w:t>2018</w:t>
      </w:r>
      <w:r>
        <w:rPr>
          <w:spacing w:val="-2"/>
        </w:rPr>
        <w:t>年第四次临时股东大</w:t>
      </w:r>
      <w:r>
        <w:rPr>
          <w:spacing w:val="-28"/>
        </w:rPr>
        <w:t> </w:t>
      </w:r>
      <w:r>
        <w:rPr/>
        <w:t>会决议公告》（公告编号：</w:t>
      </w:r>
      <w:r>
        <w:rPr>
          <w:rFonts w:ascii="Times New Roman" w:hAnsi="Times New Roman" w:cs="Times New Roman" w:eastAsia="Times New Roman" w:hint="default"/>
        </w:rPr>
        <w:t>2018-103</w:t>
      </w:r>
      <w:r>
        <w:rPr/>
        <w:t>）。</w:t>
      </w:r>
    </w:p>
    <w:p>
      <w:pPr>
        <w:spacing w:after="0" w:line="300"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pStyle w:val="Heading2"/>
        <w:spacing w:line="240" w:lineRule="auto" w:before="202"/>
        <w:ind w:right="0"/>
        <w:jc w:val="left"/>
        <w:rPr>
          <w:b w:val="0"/>
          <w:bCs w:val="0"/>
        </w:rPr>
      </w:pPr>
      <w:bookmarkStart w:name="十九、公司子公司重大事项" w:id="102"/>
      <w:bookmarkEnd w:id="102"/>
      <w:r>
        <w:rPr>
          <w:b w:val="0"/>
          <w:bCs w:val="0"/>
        </w:rPr>
      </w:r>
      <w:r>
        <w:rPr/>
        <w:t>十九、公司子公司重大事项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16"/>
          <w:szCs w:val="16"/>
        </w:rPr>
      </w:pPr>
    </w:p>
    <w:p>
      <w:pPr>
        <w:pStyle w:val="BodyText"/>
        <w:spacing w:line="300" w:lineRule="auto"/>
        <w:ind w:right="1132" w:firstLine="360"/>
        <w:jc w:val="both"/>
      </w:pPr>
      <w:r>
        <w:rPr>
          <w:rFonts w:ascii="Times New Roman" w:hAnsi="Times New Roman" w:cs="Times New Roman" w:eastAsia="Times New Roman" w:hint="default"/>
          <w:spacing w:val="-2"/>
        </w:rPr>
        <w:t>1</w:t>
      </w:r>
      <w:r>
        <w:rPr>
          <w:spacing w:val="-2"/>
        </w:rPr>
        <w:t>、公司在</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13</w:t>
      </w:r>
      <w:r>
        <w:rPr>
          <w:spacing w:val="-2"/>
        </w:rPr>
        <w:t>日以自有资金</w:t>
      </w:r>
      <w:r>
        <w:rPr>
          <w:rFonts w:ascii="Times New Roman" w:hAnsi="Times New Roman" w:cs="Times New Roman" w:eastAsia="Times New Roman" w:hint="default"/>
          <w:spacing w:val="-2"/>
        </w:rPr>
        <w:t>3,905.127</w:t>
      </w:r>
      <w:r>
        <w:rPr>
          <w:spacing w:val="-2"/>
        </w:rPr>
        <w:t>万元人民币向宣亚国际有限公司增资。增资完成后，宣亚国际有限公司的</w:t>
      </w:r>
      <w:r>
        <w:rPr/>
        <w:t> 注册资本由</w:t>
      </w:r>
      <w:r>
        <w:rPr>
          <w:rFonts w:ascii="Times New Roman" w:hAnsi="Times New Roman" w:cs="Times New Roman" w:eastAsia="Times New Roman" w:hint="default"/>
        </w:rPr>
        <w:t>100</w:t>
      </w:r>
      <w:r>
        <w:rPr/>
        <w:t>万美元增加至</w:t>
      </w:r>
      <w:r>
        <w:rPr>
          <w:rFonts w:ascii="Times New Roman" w:hAnsi="Times New Roman" w:cs="Times New Roman" w:eastAsia="Times New Roman" w:hint="default"/>
        </w:rPr>
        <w:t>715</w:t>
      </w:r>
      <w:r>
        <w:rPr/>
        <w:t>万美元，本次增资后，宣亚国际有限公司仍然为公司全资子公司。</w:t>
      </w:r>
    </w:p>
    <w:p>
      <w:pPr>
        <w:spacing w:line="240" w:lineRule="auto" w:before="12"/>
        <w:rPr>
          <w:rFonts w:ascii="宋体" w:hAnsi="宋体" w:cs="宋体" w:eastAsia="宋体" w:hint="default"/>
          <w:sz w:val="12"/>
          <w:szCs w:val="12"/>
        </w:rPr>
      </w:pPr>
    </w:p>
    <w:p>
      <w:pPr>
        <w:pStyle w:val="BodyText"/>
        <w:spacing w:line="300" w:lineRule="auto"/>
        <w:ind w:right="1130" w:firstLine="360"/>
        <w:jc w:val="both"/>
      </w:pPr>
      <w:r>
        <w:rPr>
          <w:rFonts w:ascii="Times New Roman" w:hAnsi="Times New Roman" w:cs="Times New Roman" w:eastAsia="Times New Roman" w:hint="default"/>
        </w:rPr>
        <w:t>2</w:t>
      </w:r>
      <w:r>
        <w:rPr/>
        <w:t>、</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w:t>
      </w:r>
      <w:r>
        <w:rPr/>
        <w:t>日，公司发布了《关于全资子公司拟购买房产的公告》（公告编号：</w:t>
      </w:r>
      <w:r>
        <w:rPr>
          <w:rFonts w:ascii="Times New Roman" w:hAnsi="Times New Roman" w:cs="Times New Roman" w:eastAsia="Times New Roman" w:hint="default"/>
        </w:rPr>
        <w:t>2018-017</w:t>
      </w:r>
      <w:r>
        <w:rPr/>
        <w:t>）。公司全资子公司宣亚 国际有限公司与</w:t>
      </w:r>
      <w:r>
        <w:rPr>
          <w:spacing w:val="-29"/>
        </w:rPr>
        <w:t> </w:t>
      </w:r>
      <w:r>
        <w:rPr>
          <w:rFonts w:ascii="Times New Roman" w:hAnsi="Times New Roman" w:cs="Times New Roman" w:eastAsia="Times New Roman" w:hint="default"/>
        </w:rPr>
        <w:t>L&amp;C</w:t>
      </w:r>
      <w:r>
        <w:rPr>
          <w:rFonts w:ascii="Times New Roman" w:hAnsi="Times New Roman" w:cs="Times New Roman" w:eastAsia="Times New Roman" w:hint="default"/>
          <w:spacing w:val="-14"/>
        </w:rPr>
        <w:t> </w:t>
      </w:r>
      <w:r>
        <w:rPr>
          <w:rFonts w:ascii="Times New Roman" w:hAnsi="Times New Roman" w:cs="Times New Roman" w:eastAsia="Times New Roman" w:hint="default"/>
        </w:rPr>
        <w:t>Partners</w:t>
      </w:r>
      <w:r>
        <w:rPr/>
        <w:t>（业主）在美国加利福尼亚州签订了附生效条件的《</w:t>
      </w:r>
      <w:r>
        <w:rPr>
          <w:rFonts w:ascii="Times New Roman" w:hAnsi="Times New Roman" w:cs="Times New Roman" w:eastAsia="Times New Roman" w:hint="default"/>
        </w:rPr>
        <w:t>STANDARD</w:t>
      </w:r>
      <w:r>
        <w:rPr>
          <w:rFonts w:ascii="Times New Roman" w:hAnsi="Times New Roman" w:cs="Times New Roman" w:eastAsia="Times New Roman" w:hint="default"/>
          <w:spacing w:val="-15"/>
        </w:rPr>
        <w:t> </w:t>
      </w:r>
      <w:r>
        <w:rPr>
          <w:rFonts w:ascii="Times New Roman" w:hAnsi="Times New Roman" w:cs="Times New Roman" w:eastAsia="Times New Roman" w:hint="default"/>
        </w:rPr>
        <w:t>OFFER,</w:t>
      </w:r>
      <w:r>
        <w:rPr>
          <w:rFonts w:ascii="Times New Roman" w:hAnsi="Times New Roman" w:cs="Times New Roman" w:eastAsia="Times New Roman" w:hint="default"/>
          <w:spacing w:val="-15"/>
        </w:rPr>
        <w:t> </w:t>
      </w:r>
      <w:r>
        <w:rPr>
          <w:rFonts w:ascii="Times New Roman" w:hAnsi="Times New Roman" w:cs="Times New Roman" w:eastAsia="Times New Roman" w:hint="default"/>
        </w:rPr>
        <w:t>AGREEMENT</w:t>
      </w:r>
      <w:r>
        <w:rPr>
          <w:rFonts w:ascii="Times New Roman" w:hAnsi="Times New Roman" w:cs="Times New Roman" w:eastAsia="Times New Roman" w:hint="default"/>
          <w:spacing w:val="-14"/>
        </w:rPr>
        <w:t> </w:t>
      </w:r>
      <w:r>
        <w:rPr>
          <w:rFonts w:ascii="Times New Roman" w:hAnsi="Times New Roman" w:cs="Times New Roman" w:eastAsia="Times New Roman" w:hint="default"/>
        </w:rPr>
        <w:t>AND</w:t>
      </w:r>
      <w:r>
        <w:rPr>
          <w:rFonts w:ascii="Times New Roman" w:hAnsi="Times New Roman" w:cs="Times New Roman" w:eastAsia="Times New Roman" w:hint="default"/>
          <w:w w:val="99"/>
        </w:rPr>
        <w:t> </w:t>
      </w:r>
      <w:r>
        <w:rPr>
          <w:rFonts w:ascii="Times New Roman" w:hAnsi="Times New Roman" w:cs="Times New Roman" w:eastAsia="Times New Roman" w:hint="default"/>
        </w:rPr>
        <w:t>ESCROW INSTRUCTIONS FOR PURCHASE OF REAL</w:t>
      </w:r>
      <w:r>
        <w:rPr>
          <w:rFonts w:ascii="Times New Roman" w:hAnsi="Times New Roman" w:cs="Times New Roman" w:eastAsia="Times New Roman" w:hint="default"/>
          <w:spacing w:val="8"/>
        </w:rPr>
        <w:t> </w:t>
      </w:r>
      <w:r>
        <w:rPr>
          <w:rFonts w:ascii="Times New Roman" w:hAnsi="Times New Roman" w:cs="Times New Roman" w:eastAsia="Times New Roman" w:hint="default"/>
        </w:rPr>
        <w:t>ESTATE(Non-Residential)</w:t>
      </w:r>
      <w:r>
        <w:rPr/>
        <w:t>》（购房标准合同、协议和托管说明</w:t>
      </w:r>
      <w:r>
        <w:rPr>
          <w:rFonts w:ascii="Times New Roman" w:hAnsi="Times New Roman" w:cs="Times New Roman" w:eastAsia="Times New Roman" w:hint="default"/>
        </w:rPr>
        <w:t>&lt;</w:t>
      </w:r>
      <w:r>
        <w:rPr/>
        <w:t>非住 宅</w:t>
      </w:r>
      <w:r>
        <w:rPr>
          <w:rFonts w:ascii="Times New Roman" w:hAnsi="Times New Roman" w:cs="Times New Roman" w:eastAsia="Times New Roman" w:hint="default"/>
        </w:rPr>
        <w:t>&gt;</w:t>
      </w:r>
      <w:r>
        <w:rPr/>
        <w:t>），约定宣亚国际有限公司以</w:t>
      </w:r>
      <w:r>
        <w:rPr>
          <w:rFonts w:ascii="Times New Roman" w:hAnsi="Times New Roman" w:cs="Times New Roman" w:eastAsia="Times New Roman" w:hint="default"/>
        </w:rPr>
        <w:t>615</w:t>
      </w:r>
      <w:r>
        <w:rPr/>
        <w:t>万美元（约合</w:t>
      </w:r>
      <w:r>
        <w:rPr>
          <w:rFonts w:ascii="Times New Roman" w:hAnsi="Times New Roman" w:cs="Times New Roman" w:eastAsia="Times New Roman" w:hint="default"/>
        </w:rPr>
        <w:t>4,000</w:t>
      </w:r>
      <w:r>
        <w:rPr/>
        <w:t>万人民币）购买 </w:t>
      </w:r>
      <w:r>
        <w:rPr>
          <w:rFonts w:ascii="Times New Roman" w:hAnsi="Times New Roman" w:cs="Times New Roman" w:eastAsia="Times New Roman" w:hint="default"/>
        </w:rPr>
        <w:t>L&amp;C Partners</w:t>
      </w:r>
      <w:r>
        <w:rPr>
          <w:rFonts w:ascii="Times New Roman" w:hAnsi="Times New Roman" w:cs="Times New Roman" w:eastAsia="Times New Roman" w:hint="default"/>
          <w:spacing w:val="-21"/>
        </w:rPr>
        <w:t> </w:t>
      </w:r>
      <w:r>
        <w:rPr/>
        <w:t>位于美国加利福尼亚州奥兰治县的一 座约</w:t>
      </w:r>
      <w:r>
        <w:rPr>
          <w:rFonts w:ascii="Times New Roman" w:hAnsi="Times New Roman" w:cs="Times New Roman" w:eastAsia="Times New Roman" w:hint="default"/>
        </w:rPr>
        <w:t>15,242</w:t>
      </w:r>
      <w:r>
        <w:rPr/>
        <w:t>平方英尺（约</w:t>
      </w:r>
      <w:r>
        <w:rPr>
          <w:rFonts w:ascii="Times New Roman" w:hAnsi="Times New Roman" w:cs="Times New Roman" w:eastAsia="Times New Roman" w:hint="default"/>
        </w:rPr>
        <w:t>1,416</w:t>
      </w:r>
      <w:r>
        <w:rPr/>
        <w:t>平方米）的商务办公楼；</w:t>
      </w:r>
    </w:p>
    <w:p>
      <w:pPr>
        <w:spacing w:line="240" w:lineRule="auto" w:before="12"/>
        <w:rPr>
          <w:rFonts w:ascii="宋体" w:hAnsi="宋体" w:cs="宋体" w:eastAsia="宋体" w:hint="default"/>
          <w:sz w:val="12"/>
          <w:szCs w:val="12"/>
        </w:rPr>
      </w:pPr>
    </w:p>
    <w:p>
      <w:pPr>
        <w:pStyle w:val="BodyText"/>
        <w:spacing w:line="300" w:lineRule="auto"/>
        <w:ind w:right="1130"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5</w:t>
      </w:r>
      <w:r>
        <w:rPr>
          <w:spacing w:val="-2"/>
        </w:rPr>
        <w:t>日，公司召开的第二届董事会第二十三次会议审议通过了《关于全资子公司拟购买房产的议案》，具体内容</w:t>
      </w:r>
      <w:r>
        <w:rPr/>
        <w:t> 详见同日披露的《第二届董事会第二十三次会议决议公告》（</w:t>
      </w:r>
      <w:r>
        <w:rPr>
          <w:rFonts w:ascii="Times New Roman" w:hAnsi="Times New Roman" w:cs="Times New Roman" w:eastAsia="Times New Roman" w:hint="default"/>
        </w:rPr>
        <w:t>2018-018</w:t>
      </w:r>
      <w:r>
        <w:rPr/>
        <w:t>）；</w:t>
      </w:r>
    </w:p>
    <w:p>
      <w:pPr>
        <w:spacing w:line="240" w:lineRule="auto" w:before="12"/>
        <w:rPr>
          <w:rFonts w:ascii="宋体" w:hAnsi="宋体" w:cs="宋体" w:eastAsia="宋体" w:hint="default"/>
          <w:sz w:val="12"/>
          <w:szCs w:val="12"/>
        </w:rPr>
      </w:pPr>
    </w:p>
    <w:p>
      <w:pPr>
        <w:pStyle w:val="BodyText"/>
        <w:spacing w:line="312" w:lineRule="auto"/>
        <w:ind w:right="1069" w:firstLine="360"/>
        <w:jc w:val="both"/>
      </w:pP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5</w:t>
      </w:r>
      <w:r>
        <w:rPr>
          <w:spacing w:val="-2"/>
        </w:rPr>
        <w:t>月</w:t>
      </w:r>
      <w:r>
        <w:rPr>
          <w:rFonts w:ascii="Times New Roman" w:hAnsi="Times New Roman" w:cs="Times New Roman" w:eastAsia="Times New Roman" w:hint="default"/>
          <w:spacing w:val="-2"/>
        </w:rPr>
        <w:t>4</w:t>
      </w:r>
      <w:r>
        <w:rPr>
          <w:spacing w:val="-2"/>
        </w:rPr>
        <w:t>日，公司召开的第三届董事会第四次会议审议通过了《关于全资子公司终止购买房产的议案》，由于在购买</w:t>
      </w:r>
      <w:r>
        <w:rPr/>
        <w:t> </w:t>
      </w:r>
      <w:r>
        <w:rPr>
          <w:spacing w:val="-2"/>
        </w:rPr>
        <w:t>房产事宜推进过程中部分条件无法达成，且各方意愿未能最终达成一致。公司结合实际情况并出于慎重考虑，经各方友好协</w:t>
      </w:r>
      <w:r>
        <w:rPr>
          <w:spacing w:val="-66"/>
        </w:rPr>
        <w:t> </w:t>
      </w:r>
      <w:r>
        <w:rPr>
          <w:spacing w:val="-66"/>
        </w:rPr>
      </w:r>
      <w:r>
        <w:rPr>
          <w:spacing w:val="-2"/>
        </w:rPr>
        <w:t>商，决定终止本次购买房产的事项，并收回宣亚国际有限公司本次购买房产所支付的款项。具体内容详见同日披露的《第三</w:t>
      </w:r>
      <w:r>
        <w:rPr>
          <w:spacing w:val="-66"/>
        </w:rPr>
        <w:t> </w:t>
      </w:r>
      <w:r>
        <w:rPr>
          <w:spacing w:val="-66"/>
        </w:rPr>
      </w:r>
      <w:r>
        <w:rPr>
          <w:spacing w:val="-6"/>
        </w:rPr>
        <w:t>届董事会第四次会议决议公告》（公告编号：</w:t>
      </w:r>
      <w:r>
        <w:rPr>
          <w:rFonts w:ascii="Times New Roman" w:hAnsi="Times New Roman" w:cs="Times New Roman" w:eastAsia="Times New Roman" w:hint="default"/>
          <w:spacing w:val="-6"/>
        </w:rPr>
        <w:t>2018-042</w:t>
      </w:r>
      <w:r>
        <w:rPr>
          <w:spacing w:val="-6"/>
        </w:rPr>
        <w:t>）、《关于全资子公司终止购买房产的公告》（公告编号：</w:t>
      </w:r>
      <w:r>
        <w:rPr>
          <w:rFonts w:ascii="Times New Roman" w:hAnsi="Times New Roman" w:cs="Times New Roman" w:eastAsia="Times New Roman" w:hint="default"/>
          <w:spacing w:val="-6"/>
        </w:rPr>
        <w:t>2018-043</w:t>
      </w:r>
      <w:r>
        <w:rPr>
          <w:spacing w:val="-6"/>
        </w:rPr>
        <w:t>）。</w:t>
      </w:r>
      <w:r>
        <w:rPr/>
      </w:r>
    </w:p>
    <w:p>
      <w:pPr>
        <w:pStyle w:val="BodyText"/>
        <w:spacing w:line="307" w:lineRule="auto" w:before="159"/>
        <w:ind w:right="1049" w:firstLine="360"/>
        <w:jc w:val="both"/>
      </w:pPr>
      <w:r>
        <w:rPr>
          <w:rFonts w:ascii="Times New Roman" w:hAnsi="Times New Roman" w:cs="Times New Roman" w:eastAsia="Times New Roman" w:hint="default"/>
        </w:rPr>
        <w:t>3</w:t>
      </w:r>
      <w:r>
        <w:rPr/>
        <w:t>、公司之控股子公司宣亚湖南与上海思酷文化传媒有限公司（以下简称</w:t>
      </w:r>
      <w:r>
        <w:rPr>
          <w:rFonts w:ascii="Times New Roman" w:hAnsi="Times New Roman" w:cs="Times New Roman" w:eastAsia="Times New Roman" w:hint="default"/>
        </w:rPr>
        <w:t>“</w:t>
      </w:r>
      <w:r>
        <w:rPr/>
        <w:t>思酷传媒</w:t>
      </w:r>
      <w:r>
        <w:rPr>
          <w:rFonts w:ascii="Times New Roman" w:hAnsi="Times New Roman" w:cs="Times New Roman" w:eastAsia="Times New Roman" w:hint="default"/>
        </w:rPr>
        <w:t>”</w:t>
      </w:r>
      <w:r>
        <w:rPr/>
        <w:t>）为充分发挥各自的企业品牌、产 </w:t>
      </w:r>
      <w:r>
        <w:rPr>
          <w:spacing w:val="-2"/>
        </w:rPr>
        <w:t>品品牌、客户资源、业务开拓等优势，有效整合并提升双方传播营销服务水平、加快各方上下游相关产业融合及发展，双方</w:t>
      </w:r>
      <w:r>
        <w:rPr>
          <w:spacing w:val="-66"/>
        </w:rPr>
        <w:t> </w:t>
      </w:r>
      <w:r>
        <w:rPr>
          <w:spacing w:val="-66"/>
        </w:rPr>
      </w:r>
      <w:r>
        <w:rPr/>
        <w:t>本着诚信、平等、互利的原则，经友好协商，于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t>日在上海签署战略合作协议。具体内容详见公司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22</w:t>
      </w:r>
      <w:r>
        <w:rPr>
          <w:rFonts w:ascii="Times New Roman" w:hAnsi="Times New Roman" w:cs="Times New Roman" w:eastAsia="Times New Roman" w:hint="default"/>
          <w:spacing w:val="42"/>
        </w:rPr>
        <w:t> </w:t>
      </w:r>
      <w:r>
        <w:rPr>
          <w:spacing w:val="-1"/>
        </w:rPr>
        <w:t>日在巨潮资讯网（</w:t>
      </w:r>
      <w:hyperlink r:id="rId11">
        <w:r>
          <w:rPr>
            <w:rFonts w:ascii="Times New Roman" w:hAnsi="Times New Roman" w:cs="Times New Roman" w:eastAsia="Times New Roman" w:hint="default"/>
            <w:spacing w:val="-1"/>
          </w:rPr>
          <w:t>http://www.cninfo.com.cn</w:t>
        </w:r>
      </w:hyperlink>
      <w:r>
        <w:rPr>
          <w:spacing w:val="-1"/>
        </w:rPr>
        <w:t>）披露的《关于控股子公司签署战略合作协议的公告》（公告编号：</w:t>
      </w:r>
      <w:r>
        <w:rPr>
          <w:rFonts w:ascii="Times New Roman" w:hAnsi="Times New Roman" w:cs="Times New Roman" w:eastAsia="Times New Roman" w:hint="default"/>
          <w:spacing w:val="-1"/>
        </w:rPr>
        <w:t>2018-053</w:t>
      </w:r>
      <w:r>
        <w:rPr>
          <w:spacing w:val="-1"/>
        </w:rPr>
        <w:t>）。</w:t>
      </w:r>
      <w:r>
        <w:rPr/>
      </w:r>
    </w:p>
    <w:p>
      <w:pPr>
        <w:spacing w:after="0" w:line="307" w:lineRule="auto"/>
        <w:jc w:val="both"/>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9"/>
          <w:szCs w:val="19"/>
        </w:rPr>
      </w:pPr>
    </w:p>
    <w:p>
      <w:pPr>
        <w:pStyle w:val="Heading1"/>
        <w:spacing w:line="240" w:lineRule="auto"/>
        <w:ind w:left="2966" w:right="0"/>
        <w:jc w:val="left"/>
        <w:rPr>
          <w:b w:val="0"/>
          <w:bCs w:val="0"/>
        </w:rPr>
      </w:pPr>
      <w:bookmarkStart w:name="第六节 股份变动及股东情况" w:id="103"/>
      <w:bookmarkEnd w:id="103"/>
      <w:r>
        <w:rPr>
          <w:b w:val="0"/>
          <w:bCs w:val="0"/>
        </w:rPr>
      </w:r>
      <w:bookmarkStart w:name="_bookmark5" w:id="104"/>
      <w:bookmarkEnd w:id="104"/>
      <w:r>
        <w:rPr>
          <w:b w:val="0"/>
          <w:bCs w:val="0"/>
        </w:rPr>
      </w:r>
      <w:r>
        <w:rPr/>
        <w:t>第六节</w:t>
      </w:r>
      <w:r>
        <w:rPr>
          <w:spacing w:val="-10"/>
        </w:rPr>
        <w:t> </w:t>
      </w:r>
      <w:r>
        <w:rPr/>
        <w:t>股份变动及股东情况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股份变动情况" w:id="105"/>
      <w:bookmarkEnd w:id="105"/>
      <w:r>
        <w:rPr>
          <w:b w:val="0"/>
          <w:bCs w:val="0"/>
        </w:rPr>
      </w: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股份变动情况" w:id="106"/>
      <w:bookmarkEnd w:id="106"/>
      <w:r>
        <w:rPr>
          <w:b w:val="0"/>
          <w:bCs w:val="0"/>
        </w:rPr>
      </w:r>
      <w:r>
        <w:rPr>
          <w:rFonts w:ascii="Times New Roman" w:hAnsi="Times New Roman" w:cs="Times New Roman" w:eastAsia="Times New Roman"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95"/>
        <w:gridCol w:w="1003"/>
        <w:gridCol w:w="992"/>
        <w:gridCol w:w="426"/>
        <w:gridCol w:w="568"/>
        <w:gridCol w:w="1134"/>
        <w:gridCol w:w="991"/>
        <w:gridCol w:w="1134"/>
        <w:gridCol w:w="1123"/>
        <w:gridCol w:w="794"/>
      </w:tblGrid>
      <w:tr>
        <w:trPr>
          <w:trHeight w:val="402" w:hRule="exact"/>
        </w:trPr>
        <w:tc>
          <w:tcPr>
            <w:tcW w:w="1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9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4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5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3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91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2"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1395" w:type="dxa"/>
            <w:vMerge w:val="restart"/>
            <w:tcBorders>
              <w:top w:val="nil" w:sz="6" w:space="0" w:color="auto"/>
              <w:left w:val="single" w:sz="4" w:space="0" w:color="000000"/>
              <w:right w:val="single" w:sz="4" w:space="0" w:color="000000"/>
            </w:tcBorders>
            <w:shd w:val="clear" w:color="auto" w:fill="D2D2D2"/>
          </w:tcPr>
          <w:p>
            <w:pPr/>
          </w:p>
        </w:tc>
        <w:tc>
          <w:tcPr>
            <w:tcW w:w="1003"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27" w:right="27"/>
              <w:jc w:val="left"/>
              <w:rPr>
                <w:rFonts w:ascii="宋体" w:hAnsi="宋体" w:cs="宋体" w:eastAsia="宋体" w:hint="default"/>
                <w:sz w:val="18"/>
                <w:szCs w:val="18"/>
              </w:rPr>
            </w:pPr>
            <w:r>
              <w:rPr>
                <w:rFonts w:ascii="宋体" w:hAnsi="宋体" w:cs="宋体" w:eastAsia="宋体" w:hint="default"/>
                <w:sz w:val="18"/>
                <w:szCs w:val="18"/>
              </w:rPr>
              <w:t>发行 新股</w:t>
            </w:r>
          </w:p>
        </w:tc>
        <w:tc>
          <w:tcPr>
            <w:tcW w:w="5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23" w:type="dxa"/>
            <w:tcBorders>
              <w:top w:val="single" w:sz="4" w:space="0" w:color="000000"/>
              <w:left w:val="single" w:sz="4" w:space="0" w:color="000000"/>
              <w:bottom w:val="nil" w:sz="6" w:space="0" w:color="auto"/>
              <w:right w:val="single" w:sz="4" w:space="0" w:color="000000"/>
            </w:tcBorders>
            <w:shd w:val="clear" w:color="auto" w:fill="D2D2D2"/>
          </w:tcPr>
          <w:p>
            <w:pPr/>
          </w:p>
        </w:tc>
        <w:tc>
          <w:tcPr>
            <w:tcW w:w="7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1" w:hRule="exact"/>
        </w:trPr>
        <w:tc>
          <w:tcPr>
            <w:tcW w:w="1395" w:type="dxa"/>
            <w:vMerge/>
            <w:tcBorders>
              <w:left w:val="single" w:sz="4" w:space="0" w:color="000000"/>
              <w:bottom w:val="nil" w:sz="6" w:space="0" w:color="auto"/>
              <w:right w:val="single" w:sz="4" w:space="0" w:color="000000"/>
            </w:tcBorders>
            <w:shd w:val="clear" w:color="auto" w:fill="D2D2D2"/>
          </w:tcPr>
          <w:p>
            <w:pPr/>
          </w:p>
        </w:tc>
        <w:tc>
          <w:tcPr>
            <w:tcW w:w="100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2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426" w:type="dxa"/>
            <w:vMerge/>
            <w:tcBorders>
              <w:left w:val="single" w:sz="4" w:space="0" w:color="000000"/>
              <w:right w:val="single" w:sz="4" w:space="0" w:color="000000"/>
            </w:tcBorders>
            <w:shd w:val="clear" w:color="auto" w:fill="D2D2D2"/>
          </w:tcPr>
          <w:p>
            <w:pPr/>
          </w:p>
        </w:tc>
        <w:tc>
          <w:tcPr>
            <w:tcW w:w="5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1"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小计</w:t>
            </w:r>
          </w:p>
        </w:tc>
        <w:tc>
          <w:tcPr>
            <w:tcW w:w="11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1395" w:type="dxa"/>
            <w:vMerge w:val="restart"/>
            <w:tcBorders>
              <w:top w:val="nil" w:sz="6" w:space="0" w:color="auto"/>
              <w:left w:val="single" w:sz="4" w:space="0" w:color="000000"/>
              <w:right w:val="single" w:sz="4" w:space="0" w:color="000000"/>
            </w:tcBorders>
            <w:shd w:val="clear" w:color="auto" w:fill="D2D2D2"/>
          </w:tcPr>
          <w:p>
            <w:pPr/>
          </w:p>
        </w:tc>
        <w:tc>
          <w:tcPr>
            <w:tcW w:w="1003"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426" w:type="dxa"/>
            <w:vMerge/>
            <w:tcBorders>
              <w:left w:val="single" w:sz="4" w:space="0" w:color="000000"/>
              <w:right w:val="single" w:sz="4" w:space="0" w:color="000000"/>
            </w:tcBorders>
            <w:shd w:val="clear" w:color="auto" w:fill="D2D2D2"/>
          </w:tcPr>
          <w:p>
            <w:pPr/>
          </w:p>
        </w:tc>
        <w:tc>
          <w:tcPr>
            <w:tcW w:w="568"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23" w:type="dxa"/>
            <w:vMerge/>
            <w:tcBorders>
              <w:left w:val="single" w:sz="4" w:space="0" w:color="000000"/>
              <w:bottom w:val="nil" w:sz="6" w:space="0" w:color="auto"/>
              <w:right w:val="single" w:sz="4" w:space="0" w:color="000000"/>
            </w:tcBorders>
            <w:shd w:val="clear" w:color="auto" w:fill="D2D2D2"/>
          </w:tcPr>
          <w:p>
            <w:pPr/>
          </w:p>
        </w:tc>
        <w:tc>
          <w:tcPr>
            <w:tcW w:w="79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395" w:type="dxa"/>
            <w:vMerge/>
            <w:tcBorders>
              <w:left w:val="single" w:sz="4" w:space="0" w:color="000000"/>
              <w:bottom w:val="single" w:sz="4" w:space="0" w:color="000000"/>
              <w:right w:val="single" w:sz="4" w:space="0" w:color="000000"/>
            </w:tcBorders>
            <w:shd w:val="clear" w:color="auto" w:fill="D2D2D2"/>
          </w:tcPr>
          <w:p>
            <w:pPr/>
          </w:p>
        </w:tc>
        <w:tc>
          <w:tcPr>
            <w:tcW w:w="1003"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426" w:type="dxa"/>
            <w:vMerge/>
            <w:tcBorders>
              <w:left w:val="single" w:sz="4" w:space="0" w:color="000000"/>
              <w:bottom w:val="single" w:sz="4" w:space="0" w:color="000000"/>
              <w:right w:val="single" w:sz="4" w:space="0" w:color="000000"/>
            </w:tcBorders>
            <w:shd w:val="clear" w:color="auto" w:fill="D2D2D2"/>
          </w:tcPr>
          <w:p>
            <w:pPr/>
          </w:p>
        </w:tc>
        <w:tc>
          <w:tcPr>
            <w:tcW w:w="5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23" w:type="dxa"/>
            <w:tcBorders>
              <w:top w:val="nil" w:sz="6" w:space="0" w:color="auto"/>
              <w:left w:val="single" w:sz="4" w:space="0" w:color="000000"/>
              <w:bottom w:val="single" w:sz="4" w:space="0" w:color="000000"/>
              <w:right w:val="single" w:sz="4" w:space="0" w:color="000000"/>
            </w:tcBorders>
            <w:shd w:val="clear" w:color="auto" w:fill="D2D2D2"/>
          </w:tcPr>
          <w:p>
            <w:pPr/>
          </w:p>
        </w:tc>
        <w:tc>
          <w:tcPr>
            <w:tcW w:w="7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10"/>
                <w:sz w:val="18"/>
                <w:szCs w:val="18"/>
              </w:rPr>
              <w:t>一、有限售条件股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81,000,000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75.00%</w:t>
            </w: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40,500,000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-4,837,445</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35,662,555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116,662,555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72.01%</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76,950,000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71.25%</w:t>
            </w: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38,475,000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1,237,555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39,712,555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116,662,555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72.01%</w:t>
            </w: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10"/>
                <w:sz w:val="18"/>
                <w:szCs w:val="18"/>
              </w:rPr>
              <w:t>其中：境内法人持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76,950,000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71.25%</w:t>
            </w: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38,475,000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38,475,000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115,425,000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71.25%</w:t>
            </w: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境内自然</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人持股</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1,237,555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1,237,555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1,237,555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0.76%</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3.75%</w:t>
            </w: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2,025,000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-6,075,000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-4,050,000</w:t>
            </w:r>
            <w:r>
              <w:rPr>
                <w:rFonts w:ascii="Times New Roman"/>
                <w:sz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10"/>
                <w:sz w:val="18"/>
                <w:szCs w:val="18"/>
              </w:rPr>
              <w:t>其中：境外法人持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3.75%</w:t>
            </w: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2,025,000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-6,075,000</w:t>
            </w:r>
            <w:r>
              <w:rPr>
                <w:rFonts w:ascii="Times New Roman"/>
                <w:sz w:val="18"/>
              </w:rPr>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-4,050,000</w:t>
            </w:r>
            <w:r>
              <w:rPr>
                <w:rFonts w:ascii="Times New Roman"/>
                <w:sz w:val="18"/>
              </w:rPr>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境外自然</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人持股</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
              <w:jc w:val="left"/>
              <w:rPr>
                <w:rFonts w:ascii="宋体" w:hAnsi="宋体" w:cs="宋体" w:eastAsia="宋体" w:hint="default"/>
                <w:sz w:val="18"/>
                <w:szCs w:val="18"/>
              </w:rPr>
            </w:pPr>
            <w:r>
              <w:rPr>
                <w:rFonts w:ascii="宋体" w:hAnsi="宋体" w:cs="宋体" w:eastAsia="宋体" w:hint="default"/>
                <w:spacing w:val="-10"/>
                <w:sz w:val="18"/>
                <w:szCs w:val="18"/>
              </w:rPr>
              <w:t>二、无限售条件股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份</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13,500,000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4,837,445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18,337,445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45,337,445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27.99%</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25.00%</w:t>
            </w: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13,500,000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4,837,445</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18,337,445</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45,337,445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27.99%</w:t>
            </w: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 资股</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 资股</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0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108,000,000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426"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54,000,000</w:t>
            </w:r>
          </w:p>
        </w:tc>
        <w:tc>
          <w:tcPr>
            <w:tcW w:w="11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162,000,000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r>
    </w:tbl>
    <w:p>
      <w:pPr>
        <w:pStyle w:val="BodyText"/>
        <w:spacing w:line="240" w:lineRule="auto" w:before="51"/>
        <w:ind w:right="0"/>
        <w:jc w:val="left"/>
      </w:pPr>
      <w:r>
        <w:rPr/>
        <w:t>股份变动的原因</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1"/>
        <w:ind w:left="514" w:right="0"/>
        <w:jc w:val="left"/>
      </w:pPr>
      <w:r>
        <w:rPr>
          <w:rFonts w:ascii="Times New Roman" w:hAnsi="Times New Roman" w:cs="Times New Roman" w:eastAsia="Times New Roman" w:hint="default"/>
        </w:rPr>
        <w:t>2018</w:t>
      </w:r>
      <w:r>
        <w:rPr>
          <w:rFonts w:ascii="Times New Roman" w:hAnsi="Times New Roman" w:cs="Times New Roman" w:eastAsia="Times New Roman" w:hint="default"/>
          <w:spacing w:val="-8"/>
        </w:rPr>
        <w:t> </w:t>
      </w:r>
      <w:r>
        <w:rPr/>
        <w:t>年</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8"/>
        </w:rPr>
        <w:t> </w:t>
      </w:r>
      <w:r>
        <w:rPr/>
        <w:t>月</w:t>
      </w:r>
      <w:r>
        <w:rPr>
          <w:spacing w:val="-45"/>
        </w:rPr>
        <w:t> </w:t>
      </w:r>
      <w:r>
        <w:rPr>
          <w:rFonts w:ascii="Times New Roman" w:hAnsi="Times New Roman" w:cs="Times New Roman" w:eastAsia="Times New Roman" w:hint="default"/>
        </w:rPr>
        <w:t>15</w:t>
      </w:r>
      <w:r>
        <w:rPr>
          <w:rFonts w:ascii="Times New Roman" w:hAnsi="Times New Roman" w:cs="Times New Roman" w:eastAsia="Times New Roman" w:hint="default"/>
          <w:spacing w:val="-7"/>
        </w:rPr>
        <w:t> </w:t>
      </w:r>
      <w:r>
        <w:rPr>
          <w:spacing w:val="-10"/>
        </w:rPr>
        <w:t>日，公司</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7"/>
        </w:rPr>
        <w:t> </w:t>
      </w:r>
      <w:r>
        <w:rPr/>
        <w:t>年年度股东大会审议通过了</w:t>
      </w:r>
      <w:r>
        <w:rPr>
          <w:spacing w:val="-45"/>
        </w:rPr>
        <w:t> </w:t>
      </w:r>
      <w:r>
        <w:rPr>
          <w:rFonts w:ascii="Times New Roman" w:hAnsi="Times New Roman" w:cs="Times New Roman" w:eastAsia="Times New Roman" w:hint="default"/>
        </w:rPr>
        <w:t>2017</w:t>
      </w:r>
      <w:r>
        <w:rPr>
          <w:rFonts w:ascii="Times New Roman" w:hAnsi="Times New Roman" w:cs="Times New Roman" w:eastAsia="Times New Roman" w:hint="default"/>
          <w:spacing w:val="-8"/>
        </w:rPr>
        <w:t> </w:t>
      </w:r>
      <w:r>
        <w:rPr>
          <w:spacing w:val="-3"/>
        </w:rPr>
        <w:t>年年度权益分派方案：以公司总股本</w:t>
      </w:r>
      <w:r>
        <w:rPr>
          <w:spacing w:val="-45"/>
        </w:rPr>
        <w:t> </w:t>
      </w:r>
      <w:r>
        <w:rPr>
          <w:rFonts w:ascii="Times New Roman" w:hAnsi="Times New Roman" w:cs="Times New Roman" w:eastAsia="Times New Roman" w:hint="default"/>
        </w:rPr>
        <w:t>108,000,000</w:t>
      </w:r>
      <w:r>
        <w:rPr>
          <w:rFonts w:ascii="Times New Roman" w:hAnsi="Times New Roman" w:cs="Times New Roman" w:eastAsia="Times New Roman" w:hint="default"/>
          <w:spacing w:val="-8"/>
        </w:rPr>
        <w:t> </w:t>
      </w:r>
      <w:r>
        <w:rPr/>
        <w:t>股为基</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right="0"/>
        <w:jc w:val="left"/>
      </w:pPr>
      <w:r>
        <w:rPr/>
        <w:t>数，向全体股东每</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股派发现金红利</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元（含税），送红股</w:t>
      </w:r>
      <w:r>
        <w:rPr>
          <w:spacing w:val="-50"/>
        </w:rPr>
        <w:t> </w:t>
      </w:r>
      <w:r>
        <w:rPr>
          <w:rFonts w:ascii="Times New Roman" w:hAnsi="Times New Roman" w:cs="Times New Roman" w:eastAsia="Times New Roman" w:hint="default"/>
        </w:rPr>
        <w:t>0</w:t>
      </w:r>
      <w:r>
        <w:rPr>
          <w:rFonts w:ascii="Times New Roman" w:hAnsi="Times New Roman" w:cs="Times New Roman" w:eastAsia="Times New Roman" w:hint="default"/>
          <w:spacing w:val="-13"/>
        </w:rPr>
        <w:t> </w:t>
      </w:r>
      <w:r>
        <w:rPr/>
        <w:t>股（含税），以资本公积金向全体股东每</w:t>
      </w:r>
      <w:r>
        <w:rPr>
          <w:spacing w:val="-50"/>
        </w:rPr>
        <w:t> </w:t>
      </w:r>
      <w:r>
        <w:rPr>
          <w:rFonts w:ascii="Times New Roman" w:hAnsi="Times New Roman" w:cs="Times New Roman" w:eastAsia="Times New Roman" w:hint="default"/>
        </w:rPr>
        <w:t>10</w:t>
      </w:r>
      <w:r>
        <w:rPr>
          <w:rFonts w:ascii="Times New Roman" w:hAnsi="Times New Roman" w:cs="Times New Roman" w:eastAsia="Times New Roman" w:hint="default"/>
          <w:spacing w:val="-13"/>
        </w:rPr>
        <w:t> </w:t>
      </w:r>
      <w:r>
        <w:rPr/>
        <w:t>股转增</w:t>
      </w:r>
      <w:r>
        <w:rPr>
          <w:spacing w:val="-50"/>
        </w:rPr>
        <w:t> </w:t>
      </w:r>
      <w:r>
        <w:rPr>
          <w:rFonts w:ascii="Times New Roman" w:hAnsi="Times New Roman" w:cs="Times New Roman" w:eastAsia="Times New Roman" w:hint="default"/>
        </w:rPr>
        <w:t>5</w:t>
      </w:r>
      <w:r>
        <w:rPr>
          <w:rFonts w:ascii="Times New Roman" w:hAnsi="Times New Roman" w:cs="Times New Roman" w:eastAsia="Times New Roman" w:hint="default"/>
          <w:spacing w:val="-13"/>
        </w:rPr>
        <w:t> </w:t>
      </w:r>
      <w:r>
        <w:rPr/>
        <w:t>股，合</w:t>
      </w:r>
    </w:p>
    <w:p>
      <w:pPr>
        <w:pStyle w:val="BodyText"/>
        <w:spacing w:line="240" w:lineRule="auto" w:before="63"/>
        <w:ind w:right="0"/>
        <w:jc w:val="left"/>
      </w:pPr>
      <w:r>
        <w:rPr/>
        <w:t>计转增股份</w:t>
      </w:r>
      <w:r>
        <w:rPr>
          <w:spacing w:val="-47"/>
        </w:rPr>
        <w:t> </w:t>
      </w:r>
      <w:r>
        <w:rPr>
          <w:rFonts w:ascii="Times New Roman" w:hAnsi="Times New Roman" w:cs="Times New Roman" w:eastAsia="Times New Roman" w:hint="default"/>
        </w:rPr>
        <w:t>54,000,000</w:t>
      </w:r>
      <w:r>
        <w:rPr>
          <w:rFonts w:ascii="Times New Roman" w:hAnsi="Times New Roman" w:cs="Times New Roman" w:eastAsia="Times New Roman" w:hint="default"/>
          <w:spacing w:val="-10"/>
        </w:rPr>
        <w:t> </w:t>
      </w:r>
      <w:r>
        <w:rPr/>
        <w:t>股，转增完成后公司总股本增至</w:t>
      </w:r>
      <w:r>
        <w:rPr>
          <w:spacing w:val="-47"/>
        </w:rPr>
        <w:t> </w:t>
      </w:r>
      <w:r>
        <w:rPr>
          <w:rFonts w:ascii="Times New Roman" w:hAnsi="Times New Roman" w:cs="Times New Roman" w:eastAsia="Times New Roman" w:hint="default"/>
        </w:rPr>
        <w:t>162,000,000</w:t>
      </w:r>
      <w:r>
        <w:rPr>
          <w:rFonts w:ascii="Times New Roman" w:hAnsi="Times New Roman" w:cs="Times New Roman" w:eastAsia="Times New Roman" w:hint="default"/>
          <w:spacing w:val="-10"/>
        </w:rPr>
        <w:t> </w:t>
      </w:r>
      <w:r>
        <w:rPr/>
        <w:t>股。本次权益分派股权登记日为</w:t>
      </w:r>
      <w:r>
        <w:rPr>
          <w:spacing w:val="-47"/>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0"/>
        </w:rPr>
        <w:t> </w:t>
      </w:r>
      <w:r>
        <w:rPr/>
        <w:t>年</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10"/>
        </w:rPr>
        <w:t> </w:t>
      </w:r>
      <w:r>
        <w:rPr/>
        <w:t>月</w:t>
      </w:r>
      <w:r>
        <w:rPr>
          <w:spacing w:val="-47"/>
        </w:rPr>
        <w:t> </w:t>
      </w:r>
      <w:r>
        <w:rPr>
          <w:rFonts w:ascii="Times New Roman" w:hAnsi="Times New Roman" w:cs="Times New Roman" w:eastAsia="Times New Roman" w:hint="default"/>
        </w:rPr>
        <w:t>30</w:t>
      </w:r>
      <w:r>
        <w:rPr>
          <w:rFonts w:ascii="Times New Roman" w:hAnsi="Times New Roman" w:cs="Times New Roman" w:eastAsia="Times New Roman" w:hint="default"/>
          <w:spacing w:val="-10"/>
        </w:rPr>
        <w:t> </w:t>
      </w:r>
      <w:r>
        <w:rPr/>
        <w:t>日，除</w:t>
      </w:r>
    </w:p>
    <w:p>
      <w:pPr>
        <w:pStyle w:val="BodyText"/>
        <w:spacing w:line="338" w:lineRule="auto" w:before="64"/>
        <w:ind w:right="8262"/>
        <w:jc w:val="left"/>
      </w:pPr>
      <w:r>
        <w:rPr/>
        <w:t>权除息日为</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9"/>
        </w:rPr>
        <w:t> </w:t>
      </w:r>
      <w:r>
        <w:rPr/>
        <w:t>年</w:t>
      </w:r>
      <w:r>
        <w:rPr>
          <w:spacing w:val="-46"/>
        </w:rPr>
        <w:t> </w:t>
      </w:r>
      <w:r>
        <w:rPr>
          <w:rFonts w:ascii="Times New Roman" w:hAnsi="Times New Roman" w:cs="Times New Roman" w:eastAsia="Times New Roman" w:hint="default"/>
        </w:rPr>
        <w:t>5</w:t>
      </w:r>
      <w:r>
        <w:rPr>
          <w:rFonts w:ascii="Times New Roman" w:hAnsi="Times New Roman" w:cs="Times New Roman" w:eastAsia="Times New Roman" w:hint="default"/>
          <w:spacing w:val="-9"/>
        </w:rPr>
        <w:t>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9"/>
        </w:rPr>
        <w:t> </w:t>
      </w:r>
      <w:r>
        <w:rPr/>
        <w:t>日。</w:t>
      </w:r>
      <w:r>
        <w:rPr>
          <w:spacing w:val="1"/>
        </w:rPr>
        <w:t> </w:t>
      </w:r>
      <w:r>
        <w:rPr/>
        <w:t>股份变动的批准情况</w:t>
      </w:r>
    </w:p>
    <w:p>
      <w:pPr>
        <w:pStyle w:val="BodyText"/>
        <w:spacing w:line="338" w:lineRule="auto" w:before="44"/>
        <w:ind w:left="511" w:right="1118" w:hanging="3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w:t>
      </w:r>
      <w:r>
        <w:rPr>
          <w:rFonts w:ascii="宋体" w:hAnsi="宋体" w:cs="宋体" w:eastAsia="宋体" w:hint="default"/>
          <w:spacing w:val="-2"/>
        </w:rPr>
        <w:t>1</w:t>
      </w:r>
      <w:r>
        <w:rPr>
          <w:spacing w:val="-2"/>
        </w:rPr>
        <w:t>、</w:t>
      </w:r>
      <w:r>
        <w:rPr>
          <w:rFonts w:ascii="宋体" w:hAnsi="宋体" w:cs="宋体" w:eastAsia="宋体" w:hint="default"/>
          <w:spacing w:val="-2"/>
        </w:rPr>
        <w:t>2018</w:t>
      </w:r>
      <w:r>
        <w:rPr>
          <w:spacing w:val="-2"/>
        </w:rPr>
        <w:t>年</w:t>
      </w:r>
      <w:r>
        <w:rPr>
          <w:rFonts w:ascii="宋体" w:hAnsi="宋体" w:cs="宋体" w:eastAsia="宋体" w:hint="default"/>
          <w:spacing w:val="-2"/>
        </w:rPr>
        <w:t>4</w:t>
      </w:r>
      <w:r>
        <w:rPr>
          <w:spacing w:val="-2"/>
        </w:rPr>
        <w:t>月</w:t>
      </w:r>
      <w:r>
        <w:rPr>
          <w:rFonts w:ascii="宋体" w:hAnsi="宋体" w:cs="宋体" w:eastAsia="宋体" w:hint="default"/>
          <w:spacing w:val="-2"/>
        </w:rPr>
        <w:t>19</w:t>
      </w:r>
      <w:r>
        <w:rPr>
          <w:spacing w:val="-2"/>
        </w:rPr>
        <w:t>日，公司第三届董事会第二次会议审议通过了《关于</w:t>
      </w:r>
      <w:r>
        <w:rPr>
          <w:rFonts w:ascii="宋体" w:hAnsi="宋体" w:cs="宋体" w:eastAsia="宋体" w:hint="default"/>
          <w:spacing w:val="-2"/>
        </w:rPr>
        <w:t>2017</w:t>
      </w:r>
      <w:r>
        <w:rPr>
          <w:spacing w:val="-2"/>
        </w:rPr>
        <w:t>年度利润分配及资本公积金转增股本预案的议</w:t>
      </w:r>
    </w:p>
    <w:p>
      <w:pPr>
        <w:pStyle w:val="BodyText"/>
        <w:spacing w:line="316" w:lineRule="auto" w:before="2"/>
        <w:ind w:right="1132"/>
        <w:jc w:val="both"/>
      </w:pPr>
      <w:r>
        <w:rPr>
          <w:spacing w:val="-5"/>
        </w:rPr>
        <w:t>案》、《关于修订</w:t>
      </w:r>
      <w:r>
        <w:rPr>
          <w:rFonts w:ascii="宋体" w:hAnsi="宋体" w:cs="宋体" w:eastAsia="宋体" w:hint="default"/>
          <w:spacing w:val="-5"/>
        </w:rPr>
        <w:t>&lt;</w:t>
      </w:r>
      <w:r>
        <w:rPr>
          <w:spacing w:val="-5"/>
        </w:rPr>
        <w:t>宣亚国际品牌管理（北京）股份有限公司章程</w:t>
      </w:r>
      <w:r>
        <w:rPr>
          <w:rFonts w:ascii="宋体" w:hAnsi="宋体" w:cs="宋体" w:eastAsia="宋体" w:hint="default"/>
          <w:spacing w:val="-5"/>
        </w:rPr>
        <w:t>&gt;</w:t>
      </w:r>
      <w:r>
        <w:rPr>
          <w:spacing w:val="-5"/>
        </w:rPr>
        <w:t>及办理工商变更登记的议案》。公司根据《公司法》和《公</w:t>
      </w:r>
      <w:r>
        <w:rPr>
          <w:spacing w:val="-78"/>
        </w:rPr>
        <w:t> </w:t>
      </w:r>
      <w:r>
        <w:rPr>
          <w:spacing w:val="-78"/>
        </w:rPr>
      </w:r>
      <w:r>
        <w:rPr/>
        <w:t>司章程》的相关规定，拟定</w:t>
      </w:r>
      <w:r>
        <w:rPr>
          <w:rFonts w:ascii="宋体" w:hAnsi="宋体" w:cs="宋体" w:eastAsia="宋体" w:hint="default"/>
        </w:rPr>
        <w:t>2017</w:t>
      </w:r>
      <w:r>
        <w:rPr/>
        <w:t>年度利润分配方案如下：拟以公司总股本</w:t>
      </w:r>
      <w:r>
        <w:rPr>
          <w:rFonts w:ascii="宋体" w:hAnsi="宋体" w:cs="宋体" w:eastAsia="宋体" w:hint="default"/>
        </w:rPr>
        <w:t>108,000,000</w:t>
      </w:r>
      <w:r>
        <w:rPr/>
        <w:t>股为基数，向全体股东每</w:t>
      </w:r>
      <w:r>
        <w:rPr>
          <w:rFonts w:ascii="宋体" w:hAnsi="宋体" w:cs="宋体" w:eastAsia="宋体" w:hint="default"/>
        </w:rPr>
        <w:t>10</w:t>
      </w:r>
      <w:r>
        <w:rPr/>
        <w:t>股派发现 金红利</w:t>
      </w:r>
      <w:r>
        <w:rPr>
          <w:rFonts w:ascii="宋体" w:hAnsi="宋体" w:cs="宋体" w:eastAsia="宋体" w:hint="default"/>
        </w:rPr>
        <w:t>5</w:t>
      </w:r>
      <w:r>
        <w:rPr/>
        <w:t>元（含税），送红股</w:t>
      </w:r>
      <w:r>
        <w:rPr>
          <w:rFonts w:ascii="宋体" w:hAnsi="宋体" w:cs="宋体" w:eastAsia="宋体" w:hint="default"/>
        </w:rPr>
        <w:t>0</w:t>
      </w:r>
      <w:r>
        <w:rPr/>
        <w:t>股（含税），以资本公积金向全体股东每</w:t>
      </w:r>
      <w:r>
        <w:rPr>
          <w:rFonts w:ascii="宋体" w:hAnsi="宋体" w:cs="宋体" w:eastAsia="宋体" w:hint="default"/>
        </w:rPr>
        <w:t>10</w:t>
      </w:r>
      <w:r>
        <w:rPr/>
        <w:t>股转增</w:t>
      </w:r>
      <w:r>
        <w:rPr>
          <w:rFonts w:ascii="宋体" w:hAnsi="宋体" w:cs="宋体" w:eastAsia="宋体" w:hint="default"/>
        </w:rPr>
        <w:t>5</w:t>
      </w:r>
      <w:r>
        <w:rPr/>
        <w:t>股，合计转增股份</w:t>
      </w:r>
      <w:r>
        <w:rPr>
          <w:rFonts w:ascii="宋体" w:hAnsi="宋体" w:cs="宋体" w:eastAsia="宋体" w:hint="default"/>
        </w:rPr>
        <w:t>54,000,000</w:t>
      </w:r>
      <w:r>
        <w:rPr/>
        <w:t>股，转增完 成后公司总股本增至</w:t>
      </w:r>
      <w:r>
        <w:rPr>
          <w:rFonts w:ascii="宋体" w:hAnsi="宋体" w:cs="宋体" w:eastAsia="宋体" w:hint="default"/>
        </w:rPr>
        <w:t>162,000,000</w:t>
      </w:r>
      <w:r>
        <w:rPr/>
        <w:t>股。</w:t>
      </w:r>
    </w:p>
    <w:p>
      <w:pPr>
        <w:pStyle w:val="BodyText"/>
        <w:spacing w:line="240" w:lineRule="auto" w:before="139"/>
        <w:ind w:left="511" w:right="0"/>
        <w:jc w:val="left"/>
      </w:pPr>
      <w:r>
        <w:rPr>
          <w:rFonts w:ascii="宋体" w:hAnsi="宋体" w:cs="宋体" w:eastAsia="宋体" w:hint="default"/>
          <w:spacing w:val="-3"/>
        </w:rPr>
        <w:t>2</w:t>
      </w:r>
      <w:r>
        <w:rPr>
          <w:spacing w:val="-3"/>
        </w:rPr>
        <w:t>、</w:t>
      </w:r>
      <w:r>
        <w:rPr>
          <w:rFonts w:ascii="宋体" w:hAnsi="宋体" w:cs="宋体" w:eastAsia="宋体" w:hint="default"/>
          <w:spacing w:val="-3"/>
        </w:rPr>
        <w:t>2018</w:t>
      </w:r>
      <w:r>
        <w:rPr>
          <w:spacing w:val="-3"/>
        </w:rPr>
        <w:t>年</w:t>
      </w:r>
      <w:r>
        <w:rPr>
          <w:rFonts w:ascii="宋体" w:hAnsi="宋体" w:cs="宋体" w:eastAsia="宋体" w:hint="default"/>
          <w:spacing w:val="-3"/>
        </w:rPr>
        <w:t>5</w:t>
      </w:r>
      <w:r>
        <w:rPr>
          <w:spacing w:val="-3"/>
        </w:rPr>
        <w:t>月</w:t>
      </w:r>
      <w:r>
        <w:rPr>
          <w:rFonts w:ascii="宋体" w:hAnsi="宋体" w:cs="宋体" w:eastAsia="宋体" w:hint="default"/>
          <w:spacing w:val="-3"/>
        </w:rPr>
        <w:t>15</w:t>
      </w:r>
      <w:r>
        <w:rPr>
          <w:spacing w:val="-3"/>
        </w:rPr>
        <w:t>日，公司</w:t>
      </w:r>
      <w:r>
        <w:rPr>
          <w:rFonts w:ascii="宋体" w:hAnsi="宋体" w:cs="宋体" w:eastAsia="宋体" w:hint="default"/>
          <w:spacing w:val="-3"/>
        </w:rPr>
        <w:t>2017</w:t>
      </w:r>
      <w:r>
        <w:rPr>
          <w:spacing w:val="-3"/>
        </w:rPr>
        <w:t>年年度股东大会审议通过了《关于</w:t>
      </w:r>
      <w:r>
        <w:rPr>
          <w:rFonts w:ascii="宋体" w:hAnsi="宋体" w:cs="宋体" w:eastAsia="宋体" w:hint="default"/>
          <w:spacing w:val="-3"/>
        </w:rPr>
        <w:t>2017</w:t>
      </w:r>
      <w:r>
        <w:rPr>
          <w:spacing w:val="-3"/>
        </w:rPr>
        <w:t>年度利润分配及资本公积金转增股本预案的议案》、</w:t>
      </w:r>
    </w:p>
    <w:p>
      <w:pPr>
        <w:pStyle w:val="BodyText"/>
        <w:spacing w:line="316" w:lineRule="auto" w:before="76"/>
        <w:ind w:right="1139"/>
        <w:jc w:val="left"/>
      </w:pPr>
      <w:r>
        <w:rPr/>
        <w:t>《关于修订</w:t>
      </w:r>
      <w:r>
        <w:rPr>
          <w:rFonts w:ascii="宋体" w:hAnsi="宋体" w:cs="宋体" w:eastAsia="宋体" w:hint="default"/>
        </w:rPr>
        <w:t>&lt;</w:t>
      </w:r>
      <w:r>
        <w:rPr/>
        <w:t>宣亚国际品牌管理（北京）股份有限公司章程</w:t>
      </w:r>
      <w:r>
        <w:rPr>
          <w:rFonts w:ascii="宋体" w:hAnsi="宋体" w:cs="宋体" w:eastAsia="宋体" w:hint="default"/>
        </w:rPr>
        <w:t>&gt;</w:t>
      </w:r>
      <w:r>
        <w:rPr/>
        <w:t>及办理工商变更登记的议案》。公司于</w:t>
      </w:r>
      <w:r>
        <w:rPr>
          <w:rFonts w:ascii="宋体" w:hAnsi="宋体" w:cs="宋体" w:eastAsia="宋体" w:hint="default"/>
        </w:rPr>
        <w:t>2018</w:t>
      </w:r>
      <w:r>
        <w:rPr/>
        <w:t>年</w:t>
      </w:r>
      <w:r>
        <w:rPr>
          <w:rFonts w:ascii="宋体" w:hAnsi="宋体" w:cs="宋体" w:eastAsia="宋体" w:hint="default"/>
        </w:rPr>
        <w:t>6</w:t>
      </w:r>
      <w:r>
        <w:rPr/>
        <w:t>月</w:t>
      </w:r>
      <w:r>
        <w:rPr>
          <w:rFonts w:ascii="宋体" w:hAnsi="宋体" w:cs="宋体" w:eastAsia="宋体" w:hint="default"/>
        </w:rPr>
        <w:t>27</w:t>
      </w:r>
      <w:r>
        <w:rPr/>
        <w:t>日发布《关 于完成工商变更登记的公告》（公告编号：</w:t>
      </w:r>
      <w:r>
        <w:rPr>
          <w:rFonts w:ascii="宋体" w:hAnsi="宋体" w:cs="宋体" w:eastAsia="宋体" w:hint="default"/>
        </w:rPr>
        <w:t>2018-056</w:t>
      </w:r>
      <w:r>
        <w:rPr/>
        <w:t>），公司注册资本由人民币</w:t>
      </w:r>
      <w:r>
        <w:rPr>
          <w:rFonts w:ascii="宋体" w:hAnsi="宋体" w:cs="宋体" w:eastAsia="宋体" w:hint="default"/>
        </w:rPr>
        <w:t>10,800</w:t>
      </w:r>
      <w:r>
        <w:rPr/>
        <w:t>万元变更为人民币</w:t>
      </w:r>
      <w:r>
        <w:rPr>
          <w:rFonts w:ascii="宋体" w:hAnsi="宋体" w:cs="宋体" w:eastAsia="宋体" w:hint="default"/>
        </w:rPr>
        <w:t>16,200</w:t>
      </w:r>
      <w:r>
        <w:rPr/>
        <w:t>万元。</w:t>
      </w:r>
    </w:p>
    <w:p>
      <w:pPr>
        <w:pStyle w:val="BodyText"/>
        <w:spacing w:line="240" w:lineRule="auto" w:before="140"/>
        <w:ind w:right="0"/>
        <w:jc w:val="left"/>
      </w:pPr>
      <w:r>
        <w:rPr/>
        <w:t>股份变动的过户情况</w:t>
      </w:r>
    </w:p>
    <w:p>
      <w:pPr>
        <w:pStyle w:val="BodyText"/>
        <w:spacing w:line="348" w:lineRule="auto" w:before="116"/>
        <w:ind w:right="373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上述股份变动，公司已委托中国证券登记结算有限责任公司深圳分公司进行了相关过户。 股份回购的实施进展情况</w:t>
      </w:r>
    </w:p>
    <w:p>
      <w:pPr>
        <w:pStyle w:val="BodyText"/>
        <w:spacing w:line="338" w:lineRule="auto" w:before="35"/>
        <w:ind w:left="511" w:right="1125" w:hanging="3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26</w:t>
      </w:r>
      <w:r>
        <w:rPr/>
        <w:t>日召开第三届董事会第七次会议、第四届监事会第六次会议，于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日召开</w:t>
      </w:r>
      <w:r>
        <w:rPr>
          <w:rFonts w:ascii="Times New Roman" w:hAnsi="Times New Roman" w:cs="Times New Roman" w:eastAsia="Times New Roman" w:hint="default"/>
        </w:rPr>
        <w:t>2018</w:t>
      </w:r>
      <w:r>
        <w:rPr/>
        <w:t>年第三次</w:t>
      </w:r>
    </w:p>
    <w:p>
      <w:pPr>
        <w:pStyle w:val="BodyText"/>
        <w:spacing w:line="230" w:lineRule="exact"/>
        <w:ind w:right="0"/>
        <w:jc w:val="left"/>
      </w:pPr>
      <w:r>
        <w:rPr/>
        <w:t>临时股东大会</w:t>
      </w:r>
      <w:r>
        <w:rPr>
          <w:rFonts w:ascii="Times New Roman" w:hAnsi="Times New Roman" w:cs="Times New Roman" w:eastAsia="Times New Roman" w:hint="default"/>
        </w:rPr>
        <w:t>,</w:t>
      </w:r>
      <w:r>
        <w:rPr/>
        <w:t>审议通过了《关于回购公司股份的预案》。公司拟使用不低于人民币</w:t>
      </w:r>
      <w:r>
        <w:rPr>
          <w:rFonts w:ascii="Times New Roman" w:hAnsi="Times New Roman" w:cs="Times New Roman" w:eastAsia="Times New Roman" w:hint="default"/>
        </w:rPr>
        <w:t>2,000</w:t>
      </w:r>
      <w:r>
        <w:rPr/>
        <w:t>万元（含）且不超过人民币</w:t>
      </w:r>
      <w:r>
        <w:rPr>
          <w:rFonts w:ascii="Times New Roman" w:hAnsi="Times New Roman" w:cs="Times New Roman" w:eastAsia="Times New Roman" w:hint="default"/>
        </w:rPr>
        <w:t>5,000</w:t>
      </w:r>
      <w:r>
        <w:rPr/>
        <w:t>万</w:t>
      </w:r>
    </w:p>
    <w:p>
      <w:pPr>
        <w:pStyle w:val="BodyText"/>
        <w:spacing w:line="300" w:lineRule="auto" w:before="63"/>
        <w:ind w:right="1049"/>
        <w:jc w:val="left"/>
      </w:pPr>
      <w:r>
        <w:rPr/>
        <w:t>元（含）的自有资金，以集中竞价交易方式回购公司股份，回购股份的价格不超过人民币</w:t>
      </w:r>
      <w:r>
        <w:rPr>
          <w:rFonts w:ascii="Times New Roman" w:hAnsi="Times New Roman" w:cs="Times New Roman" w:eastAsia="Times New Roman" w:hint="default"/>
        </w:rPr>
        <w:t>25</w:t>
      </w:r>
      <w:r>
        <w:rPr/>
        <w:t>元</w:t>
      </w:r>
      <w:r>
        <w:rPr>
          <w:rFonts w:ascii="Times New Roman" w:hAnsi="Times New Roman" w:cs="Times New Roman" w:eastAsia="Times New Roman" w:hint="default"/>
        </w:rPr>
        <w:t>/</w:t>
      </w:r>
      <w:r>
        <w:rPr/>
        <w:t>股（含），拟回购的股份将</w:t>
      </w:r>
      <w:r>
        <w:rPr>
          <w:spacing w:val="-45"/>
        </w:rPr>
        <w:t> </w:t>
      </w:r>
      <w:r>
        <w:rPr>
          <w:spacing w:val="-45"/>
        </w:rPr>
      </w:r>
      <w:r>
        <w:rPr/>
        <w:t>用于实施股权激励计划、员工持股计划或依法注销减少注册资本。回购期限自</w:t>
      </w:r>
      <w:r>
        <w:rPr>
          <w:rFonts w:ascii="Times New Roman" w:hAnsi="Times New Roman" w:cs="Times New Roman" w:eastAsia="Times New Roman" w:hint="default"/>
        </w:rPr>
        <w:t>2018</w:t>
      </w:r>
      <w:r>
        <w:rPr/>
        <w:t>年第三次临时股东大会审议通过之日起</w:t>
      </w:r>
      <w:r>
        <w:rPr>
          <w:rFonts w:ascii="Times New Roman" w:hAnsi="Times New Roman" w:cs="Times New Roman" w:eastAsia="Times New Roman" w:hint="default"/>
        </w:rPr>
        <w:t>6</w:t>
      </w:r>
      <w:r>
        <w:rPr>
          <w:rFonts w:ascii="Times New Roman" w:hAnsi="Times New Roman" w:cs="Times New Roman" w:eastAsia="Times New Roman" w:hint="default"/>
          <w:spacing w:val="-38"/>
        </w:rPr>
        <w:t> </w:t>
      </w:r>
      <w:r>
        <w:rPr/>
        <w:t>个月内（即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12</w:t>
      </w:r>
      <w:r>
        <w:rPr/>
        <w:t>日）。公司于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w:t>
      </w:r>
      <w:r>
        <w:rPr/>
        <w:t>日披露了《关于回购公司股份的报告书》（公告编号： </w:t>
      </w:r>
      <w:r>
        <w:rPr>
          <w:rFonts w:ascii="Times New Roman" w:hAnsi="Times New Roman" w:cs="Times New Roman" w:eastAsia="Times New Roman" w:hint="default"/>
        </w:rPr>
        <w:t>2018-090</w:t>
      </w:r>
      <w:r>
        <w:rPr/>
        <w:t>）。具体内容详见公司在巨潮资讯网（</w:t>
      </w:r>
      <w:hyperlink r:id="rId11">
        <w:r>
          <w:rPr>
            <w:rFonts w:ascii="Times New Roman" w:hAnsi="Times New Roman" w:cs="Times New Roman" w:eastAsia="Times New Roman" w:hint="default"/>
          </w:rPr>
          <w:t>www.cninfo.com.cn</w:t>
        </w:r>
      </w:hyperlink>
      <w:r>
        <w:rPr/>
        <w:t>）上披露的相关公告。</w:t>
      </w:r>
    </w:p>
    <w:p>
      <w:pPr>
        <w:pStyle w:val="BodyText"/>
        <w:spacing w:line="300" w:lineRule="auto" w:before="133"/>
        <w:ind w:right="1061" w:firstLine="357"/>
        <w:jc w:val="left"/>
      </w:pPr>
      <w:r>
        <w:rPr/>
        <w:t>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w:t>
      </w:r>
      <w:r>
        <w:rPr/>
        <w:t>日披露了《关于回购公司股份进展的公告》（公告编号：</w:t>
      </w:r>
      <w:r>
        <w:rPr>
          <w:rFonts w:ascii="Times New Roman" w:hAnsi="Times New Roman" w:cs="Times New Roman" w:eastAsia="Times New Roman" w:hint="default"/>
        </w:rPr>
        <w:t>2018-091</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5</w:t>
      </w:r>
      <w:r>
        <w:rPr/>
        <w:t>日披露了《关 于首次回购公司股份的公告》（公告编号：</w:t>
      </w:r>
      <w:r>
        <w:rPr>
          <w:rFonts w:ascii="Times New Roman" w:hAnsi="Times New Roman" w:cs="Times New Roman" w:eastAsia="Times New Roman" w:hint="default"/>
        </w:rPr>
        <w:t>2018-092</w:t>
      </w:r>
      <w:r>
        <w:rPr/>
        <w:t>）；于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日披露了《关于回购公司股份比例达到</w:t>
      </w:r>
      <w:r>
        <w:rPr>
          <w:rFonts w:ascii="Times New Roman" w:hAnsi="Times New Roman" w:cs="Times New Roman" w:eastAsia="Times New Roman" w:hint="default"/>
        </w:rPr>
        <w:t>1%</w:t>
      </w:r>
      <w:r>
        <w:rPr/>
        <w:t>暨回购</w:t>
      </w:r>
      <w:r>
        <w:rPr>
          <w:spacing w:val="-30"/>
        </w:rPr>
        <w:t> </w:t>
      </w:r>
      <w:r>
        <w:rPr>
          <w:spacing w:val="-4"/>
        </w:rPr>
        <w:t>进展的公告》（公告编号：</w:t>
      </w:r>
      <w:r>
        <w:rPr>
          <w:rFonts w:ascii="Times New Roman" w:hAnsi="Times New Roman" w:cs="Times New Roman" w:eastAsia="Times New Roman" w:hint="default"/>
          <w:spacing w:val="-4"/>
        </w:rPr>
        <w:t>2018-102</w:t>
      </w:r>
      <w:r>
        <w:rPr>
          <w:spacing w:val="-4"/>
        </w:rPr>
        <w:t>）；于</w:t>
      </w:r>
      <w:r>
        <w:rPr>
          <w:rFonts w:ascii="Times New Roman" w:hAnsi="Times New Roman" w:cs="Times New Roman" w:eastAsia="Times New Roman" w:hint="default"/>
          <w:spacing w:val="-4"/>
        </w:rPr>
        <w:t>2018</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3</w:t>
      </w:r>
      <w:r>
        <w:rPr>
          <w:spacing w:val="-4"/>
        </w:rPr>
        <w:t>日披露了《关于回购公司股份进展的公告》（公告编号：</w:t>
      </w:r>
      <w:r>
        <w:rPr>
          <w:rFonts w:ascii="Times New Roman" w:hAnsi="Times New Roman" w:cs="Times New Roman" w:eastAsia="Times New Roman" w:hint="default"/>
          <w:spacing w:val="-4"/>
        </w:rPr>
        <w:t>2018-104</w:t>
      </w:r>
      <w:r>
        <w:rPr>
          <w:spacing w:val="-4"/>
        </w:rPr>
        <w:t>）；</w:t>
      </w:r>
      <w:r>
        <w:rPr>
          <w:spacing w:val="-47"/>
        </w:rPr>
        <w:t> </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2</w:t>
      </w:r>
      <w:r>
        <w:rPr/>
        <w:t>日披露了《关于回购公司股份进展的公告》（公告编号：</w:t>
      </w:r>
      <w:r>
        <w:rPr>
          <w:rFonts w:ascii="Times New Roman" w:hAnsi="Times New Roman" w:cs="Times New Roman" w:eastAsia="Times New Roman" w:hint="default"/>
        </w:rPr>
        <w:t>2019-001</w:t>
      </w:r>
      <w:r>
        <w:rPr/>
        <w:t>）。</w:t>
      </w:r>
    </w:p>
    <w:p>
      <w:pPr>
        <w:pStyle w:val="BodyText"/>
        <w:spacing w:line="304" w:lineRule="auto" w:before="133"/>
        <w:ind w:right="1032" w:firstLine="357"/>
        <w:jc w:val="left"/>
      </w:pPr>
      <w:r>
        <w:rPr/>
        <w:t>公司于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日召开第三届董事会第十一次会议，审议通过了《关于确定回购股份用途的议案》，董事会同意本 次回购的股份用于实施股权激励计划。截至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日，公司通过股票回购专用证券账户以集中竞价交易方式累计回购</w:t>
      </w:r>
      <w:r>
        <w:rPr>
          <w:spacing w:val="-83"/>
        </w:rPr>
        <w:t> </w:t>
      </w:r>
      <w:r>
        <w:rPr>
          <w:spacing w:val="-83"/>
        </w:rPr>
      </w:r>
      <w:r>
        <w:rPr/>
        <w:t>公司股份数量为</w:t>
      </w:r>
      <w:r>
        <w:rPr>
          <w:rFonts w:ascii="Times New Roman" w:hAnsi="Times New Roman" w:cs="Times New Roman" w:eastAsia="Times New Roman" w:hint="default"/>
        </w:rPr>
        <w:t>2,960,025</w:t>
      </w:r>
      <w:r>
        <w:rPr/>
        <w:t>股，占公司目前总股本的比例为</w:t>
      </w:r>
      <w:r>
        <w:rPr>
          <w:rFonts w:ascii="Times New Roman" w:hAnsi="Times New Roman" w:cs="Times New Roman" w:eastAsia="Times New Roman" w:hint="default"/>
        </w:rPr>
        <w:t>1.83%</w:t>
      </w:r>
      <w:r>
        <w:rPr/>
        <w:t>，最高成交价为</w:t>
      </w:r>
      <w:r>
        <w:rPr>
          <w:rFonts w:ascii="Times New Roman" w:hAnsi="Times New Roman" w:cs="Times New Roman" w:eastAsia="Times New Roman" w:hint="default"/>
        </w:rPr>
        <w:t>18.50</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14.93</w:t>
      </w:r>
      <w:r>
        <w:rPr/>
        <w:t>元</w:t>
      </w:r>
      <w:r>
        <w:rPr>
          <w:rFonts w:ascii="Times New Roman" w:hAnsi="Times New Roman" w:cs="Times New Roman" w:eastAsia="Times New Roman" w:hint="default"/>
        </w:rPr>
        <w:t>/</w:t>
      </w:r>
      <w:r>
        <w:rPr/>
        <w:t>股，成交 总金额为 </w:t>
      </w:r>
      <w:r>
        <w:rPr>
          <w:rFonts w:ascii="Times New Roman" w:hAnsi="Times New Roman" w:cs="Times New Roman" w:eastAsia="Times New Roman" w:hint="default"/>
        </w:rPr>
        <w:t>48,875,219.48</w:t>
      </w:r>
      <w:r>
        <w:rPr/>
        <w:t>元（含手续费）。根据公司于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15</w:t>
      </w:r>
      <w:r>
        <w:rPr/>
        <w:t>日召开的</w:t>
      </w:r>
      <w:r>
        <w:rPr>
          <w:rFonts w:ascii="Times New Roman" w:hAnsi="Times New Roman" w:cs="Times New Roman" w:eastAsia="Times New Roman" w:hint="default"/>
        </w:rPr>
        <w:t>2018</w:t>
      </w:r>
      <w:r>
        <w:rPr/>
        <w:t>年第三次临时股东大会授权，公司董事会</w:t>
      </w:r>
      <w:r>
        <w:rPr>
          <w:spacing w:val="-51"/>
        </w:rPr>
        <w:t> </w:t>
      </w:r>
      <w:r>
        <w:rPr>
          <w:spacing w:val="-51"/>
        </w:rPr>
      </w:r>
      <w:r>
        <w:rPr>
          <w:spacing w:val="-4"/>
        </w:rPr>
        <w:t>可根据实际情况决定具体的回购时机、价格和数量等，公司董事会认为公司回购股份事项符合《关于回购公司股份的报告书》</w:t>
      </w:r>
      <w:r>
        <w:rPr>
          <w:spacing w:val="-44"/>
        </w:rPr>
        <w:t> </w:t>
      </w:r>
      <w:r>
        <w:rPr>
          <w:spacing w:val="-44"/>
        </w:rPr>
      </w:r>
      <w:r>
        <w:rPr/>
        <w:t>的</w:t>
      </w:r>
      <w:r>
        <w:rPr>
          <w:spacing w:val="-68"/>
        </w:rPr>
        <w:t> </w:t>
      </w:r>
      <w:r>
        <w:rPr/>
        <w:t>相</w:t>
      </w:r>
      <w:r>
        <w:rPr>
          <w:spacing w:val="-68"/>
        </w:rPr>
        <w:t> </w:t>
      </w:r>
      <w:r>
        <w:rPr/>
        <w:t>关</w:t>
      </w:r>
      <w:r>
        <w:rPr>
          <w:spacing w:val="-68"/>
        </w:rPr>
        <w:t> </w:t>
      </w:r>
      <w:r>
        <w:rPr/>
        <w:t>内</w:t>
      </w:r>
      <w:r>
        <w:rPr>
          <w:spacing w:val="-68"/>
        </w:rPr>
        <w:t> </w:t>
      </w:r>
      <w:r>
        <w:rPr/>
        <w:t>容</w:t>
      </w:r>
      <w:r>
        <w:rPr>
          <w:spacing w:val="-69"/>
        </w:rPr>
        <w:t> </w:t>
      </w:r>
      <w:r>
        <w:rPr/>
        <w:t>，</w:t>
      </w:r>
      <w:r>
        <w:rPr>
          <w:spacing w:val="-69"/>
        </w:rPr>
        <w:t> </w:t>
      </w:r>
      <w:r>
        <w:rPr/>
        <w:t>至</w:t>
      </w:r>
      <w:r>
        <w:rPr>
          <w:spacing w:val="-68"/>
        </w:rPr>
        <w:t> </w:t>
      </w:r>
      <w:r>
        <w:rPr/>
        <w:t>此</w:t>
      </w:r>
      <w:r>
        <w:rPr>
          <w:spacing w:val="-68"/>
        </w:rPr>
        <w:t> </w:t>
      </w:r>
      <w:r>
        <w:rPr/>
        <w:t>公</w:t>
      </w:r>
      <w:r>
        <w:rPr>
          <w:spacing w:val="-68"/>
        </w:rPr>
        <w:t> </w:t>
      </w:r>
      <w:r>
        <w:rPr/>
        <w:t>司</w:t>
      </w:r>
      <w:r>
        <w:rPr>
          <w:spacing w:val="-68"/>
        </w:rPr>
        <w:t> </w:t>
      </w:r>
      <w:r>
        <w:rPr/>
        <w:t>本</w:t>
      </w:r>
      <w:r>
        <w:rPr>
          <w:spacing w:val="-69"/>
        </w:rPr>
        <w:t> </w:t>
      </w:r>
      <w:r>
        <w:rPr/>
        <w:t>次</w:t>
      </w:r>
      <w:r>
        <w:rPr>
          <w:spacing w:val="-69"/>
        </w:rPr>
        <w:t> </w:t>
      </w:r>
      <w:r>
        <w:rPr/>
        <w:t>回</w:t>
      </w:r>
      <w:r>
        <w:rPr>
          <w:spacing w:val="-68"/>
        </w:rPr>
        <w:t> </w:t>
      </w:r>
      <w:r>
        <w:rPr/>
        <w:t>购</w:t>
      </w:r>
      <w:r>
        <w:rPr>
          <w:spacing w:val="-68"/>
        </w:rPr>
        <w:t> </w:t>
      </w:r>
      <w:r>
        <w:rPr/>
        <w:t>股</w:t>
      </w:r>
      <w:r>
        <w:rPr>
          <w:spacing w:val="-68"/>
        </w:rPr>
        <w:t> </w:t>
      </w:r>
      <w:r>
        <w:rPr/>
        <w:t>份</w:t>
      </w:r>
      <w:r>
        <w:rPr>
          <w:spacing w:val="-68"/>
        </w:rPr>
        <w:t> </w:t>
      </w:r>
      <w:r>
        <w:rPr/>
        <w:t>计</w:t>
      </w:r>
      <w:r>
        <w:rPr>
          <w:spacing w:val="-69"/>
        </w:rPr>
        <w:t> </w:t>
      </w:r>
      <w:r>
        <w:rPr/>
        <w:t>划</w:t>
      </w:r>
      <w:r>
        <w:rPr>
          <w:spacing w:val="-69"/>
        </w:rPr>
        <w:t> </w:t>
      </w:r>
      <w:r>
        <w:rPr/>
        <w:t>已</w:t>
      </w:r>
      <w:r>
        <w:rPr>
          <w:spacing w:val="-68"/>
        </w:rPr>
        <w:t> </w:t>
      </w:r>
      <w:r>
        <w:rPr/>
        <w:t>全</w:t>
      </w:r>
      <w:r>
        <w:rPr>
          <w:spacing w:val="-68"/>
        </w:rPr>
        <w:t> </w:t>
      </w:r>
      <w:r>
        <w:rPr/>
        <w:t>部</w:t>
      </w:r>
      <w:r>
        <w:rPr>
          <w:spacing w:val="-68"/>
        </w:rPr>
        <w:t> </w:t>
      </w:r>
      <w:r>
        <w:rPr/>
        <w:t>实</w:t>
      </w:r>
      <w:r>
        <w:rPr>
          <w:spacing w:val="-68"/>
        </w:rPr>
        <w:t> </w:t>
      </w:r>
      <w:r>
        <w:rPr/>
        <w:t>施</w:t>
      </w:r>
      <w:r>
        <w:rPr>
          <w:spacing w:val="-69"/>
        </w:rPr>
        <w:t> </w:t>
      </w:r>
      <w:r>
        <w:rPr/>
        <w:t>完</w:t>
      </w:r>
      <w:r>
        <w:rPr>
          <w:spacing w:val="-69"/>
        </w:rPr>
        <w:t> </w:t>
      </w:r>
      <w:r>
        <w:rPr/>
        <w:t>毕</w:t>
      </w:r>
      <w:r>
        <w:rPr>
          <w:spacing w:val="-68"/>
        </w:rPr>
        <w:t> </w:t>
      </w:r>
      <w:r>
        <w:rPr/>
        <w:t>。</w:t>
      </w:r>
      <w:r>
        <w:rPr>
          <w:spacing w:val="-68"/>
        </w:rPr>
        <w:t> </w:t>
      </w:r>
      <w:r>
        <w:rPr/>
        <w:t>具</w:t>
      </w:r>
      <w:r>
        <w:rPr>
          <w:spacing w:val="-68"/>
        </w:rPr>
        <w:t> </w:t>
      </w:r>
      <w:r>
        <w:rPr/>
        <w:t>体</w:t>
      </w:r>
      <w:r>
        <w:rPr>
          <w:spacing w:val="-68"/>
        </w:rPr>
        <w:t> </w:t>
      </w:r>
      <w:r>
        <w:rPr/>
        <w:t>内</w:t>
      </w:r>
      <w:r>
        <w:rPr>
          <w:spacing w:val="-69"/>
        </w:rPr>
        <w:t> </w:t>
      </w:r>
      <w:r>
        <w:rPr/>
        <w:t>容</w:t>
      </w:r>
      <w:r>
        <w:rPr>
          <w:spacing w:val="-69"/>
        </w:rPr>
        <w:t> </w:t>
      </w:r>
      <w:r>
        <w:rPr/>
        <w:t>详</w:t>
      </w:r>
      <w:r>
        <w:rPr>
          <w:spacing w:val="-68"/>
        </w:rPr>
        <w:t> </w:t>
      </w:r>
      <w:r>
        <w:rPr/>
        <w:t>见</w:t>
      </w:r>
      <w:r>
        <w:rPr>
          <w:spacing w:val="-68"/>
        </w:rPr>
        <w:t> </w:t>
      </w:r>
      <w:r>
        <w:rPr/>
        <w:t>公</w:t>
      </w:r>
      <w:r>
        <w:rPr>
          <w:spacing w:val="-68"/>
        </w:rPr>
        <w:t> </w:t>
      </w:r>
      <w:r>
        <w:rPr/>
        <w:t>司</w:t>
      </w:r>
      <w:r>
        <w:rPr>
          <w:spacing w:val="-68"/>
        </w:rPr>
        <w:t> </w:t>
      </w:r>
      <w:r>
        <w:rPr/>
        <w:t>于</w:t>
      </w:r>
      <w:r>
        <w:rPr>
          <w:spacing w:val="-59"/>
        </w:rPr>
        <w:t> </w:t>
      </w:r>
      <w:r>
        <w:rPr>
          <w:rFonts w:ascii="Times New Roman" w:hAnsi="Times New Roman" w:cs="Times New Roman" w:eastAsia="Times New Roman" w:hint="default"/>
        </w:rPr>
        <w:t>2019</w:t>
      </w:r>
      <w:r>
        <w:rPr>
          <w:rFonts w:ascii="Times New Roman" w:hAnsi="Times New Roman" w:cs="Times New Roman" w:eastAsia="Times New Roman" w:hint="default"/>
          <w:spacing w:val="-22"/>
        </w:rPr>
        <w:t> </w:t>
      </w:r>
      <w:r>
        <w:rPr/>
        <w:t>年</w:t>
      </w:r>
      <w:r>
        <w:rPr>
          <w:spacing w:val="-67"/>
        </w:rPr>
        <w:t> </w:t>
      </w:r>
      <w:r>
        <w:rPr>
          <w:rFonts w:ascii="Times New Roman" w:hAnsi="Times New Roman" w:cs="Times New Roman" w:eastAsia="Times New Roman" w:hint="default"/>
        </w:rPr>
        <w:t>1</w:t>
      </w:r>
      <w:r>
        <w:rPr>
          <w:rFonts w:ascii="Times New Roman" w:hAnsi="Times New Roman" w:cs="Times New Roman" w:eastAsia="Times New Roman" w:hint="default"/>
          <w:spacing w:val="-22"/>
        </w:rPr>
        <w:t> </w:t>
      </w:r>
      <w:r>
        <w:rPr/>
        <w:t>月</w:t>
      </w:r>
      <w:r>
        <w:rPr>
          <w:spacing w:val="-67"/>
        </w:rPr>
        <w:t> </w:t>
      </w:r>
      <w:r>
        <w:rPr>
          <w:rFonts w:ascii="Times New Roman" w:hAnsi="Times New Roman" w:cs="Times New Roman" w:eastAsia="Times New Roman" w:hint="default"/>
        </w:rPr>
        <w:t>31</w:t>
      </w:r>
      <w:r>
        <w:rPr>
          <w:rFonts w:ascii="Times New Roman" w:hAnsi="Times New Roman" w:cs="Times New Roman" w:eastAsia="Times New Roman" w:hint="default"/>
          <w:spacing w:val="-24"/>
        </w:rPr>
        <w:t> </w:t>
      </w:r>
      <w:r>
        <w:rPr/>
        <w:t>日</w:t>
      </w:r>
      <w:r>
        <w:rPr>
          <w:spacing w:val="-69"/>
        </w:rPr>
        <w:t> </w:t>
      </w:r>
      <w:r>
        <w:rPr/>
        <w:t>在</w:t>
      </w:r>
      <w:r>
        <w:rPr>
          <w:spacing w:val="-68"/>
        </w:rPr>
        <w:t> </w:t>
      </w:r>
      <w:r>
        <w:rPr/>
        <w:t>巨</w:t>
      </w:r>
      <w:r>
        <w:rPr>
          <w:spacing w:val="-68"/>
        </w:rPr>
        <w:t> </w:t>
      </w:r>
      <w:r>
        <w:rPr/>
        <w:t>潮</w:t>
      </w:r>
      <w:r>
        <w:rPr>
          <w:spacing w:val="-68"/>
        </w:rPr>
        <w:t> </w:t>
      </w:r>
      <w:r>
        <w:rPr/>
        <w:t>资</w:t>
      </w:r>
      <w:r>
        <w:rPr>
          <w:spacing w:val="-68"/>
        </w:rPr>
        <w:t> </w:t>
      </w:r>
      <w:r>
        <w:rPr/>
        <w:t>讯</w:t>
      </w:r>
      <w:r>
        <w:rPr>
          <w:spacing w:val="-68"/>
        </w:rPr>
        <w:t> </w:t>
      </w:r>
      <w:r>
        <w:rPr/>
        <w:t>网</w:t>
      </w:r>
    </w:p>
    <w:p>
      <w:pPr>
        <w:pStyle w:val="BodyText"/>
        <w:spacing w:line="300" w:lineRule="auto" w:before="9"/>
        <w:ind w:right="1130"/>
        <w:jc w:val="left"/>
      </w:pPr>
      <w:r>
        <w:rPr>
          <w:spacing w:val="-2"/>
        </w:rPr>
        <w:t>（</w:t>
      </w:r>
      <w:hyperlink r:id="rId11">
        <w:r>
          <w:rPr>
            <w:rFonts w:ascii="Times New Roman" w:hAnsi="Times New Roman" w:cs="Times New Roman" w:eastAsia="Times New Roman" w:hint="default"/>
            <w:spacing w:val="-2"/>
          </w:rPr>
          <w:t>www.cninfo.com.cn</w:t>
        </w:r>
      </w:hyperlink>
      <w:r>
        <w:rPr>
          <w:spacing w:val="-2"/>
        </w:rPr>
        <w:t>）上披露的《第三届董事会第十一次会议决议公告》（公告编号：</w:t>
      </w:r>
      <w:r>
        <w:rPr>
          <w:rFonts w:ascii="Times New Roman" w:hAnsi="Times New Roman" w:cs="Times New Roman" w:eastAsia="Times New Roman" w:hint="default"/>
          <w:spacing w:val="-2"/>
        </w:rPr>
        <w:t>2019-004</w:t>
      </w:r>
      <w:r>
        <w:rPr>
          <w:spacing w:val="-2"/>
        </w:rPr>
        <w:t>）、《关于股份回购实施结</w:t>
      </w:r>
      <w:r>
        <w:rPr>
          <w:spacing w:val="-39"/>
        </w:rPr>
        <w:t> </w:t>
      </w:r>
      <w:r>
        <w:rPr>
          <w:spacing w:val="-39"/>
        </w:rPr>
      </w:r>
      <w:r>
        <w:rPr/>
        <w:t>果暨股份变动的公告》（公告编号：</w:t>
      </w:r>
      <w:r>
        <w:rPr>
          <w:rFonts w:ascii="Times New Roman" w:hAnsi="Times New Roman" w:cs="Times New Roman" w:eastAsia="Times New Roman" w:hint="default"/>
        </w:rPr>
        <w:t>2019-007</w:t>
      </w:r>
      <w:r>
        <w:rPr/>
        <w:t>）、《关于确定回购股份用途的公告》（公告编号：</w:t>
      </w:r>
      <w:r>
        <w:rPr>
          <w:rFonts w:ascii="Times New Roman" w:hAnsi="Times New Roman" w:cs="Times New Roman" w:eastAsia="Times New Roman" w:hint="default"/>
        </w:rPr>
        <w:t>2019-008</w:t>
      </w:r>
      <w:r>
        <w:rPr/>
        <w:t>）。</w:t>
      </w:r>
    </w:p>
    <w:p>
      <w:pPr>
        <w:pStyle w:val="BodyText"/>
        <w:spacing w:line="240" w:lineRule="auto" w:before="134"/>
        <w:ind w:right="0"/>
        <w:jc w:val="left"/>
      </w:pPr>
      <w:r>
        <w:rPr/>
        <w:t>采用集中竞价方式减持回购股份的实施进展情况</w:t>
      </w:r>
    </w:p>
    <w:p>
      <w:pPr>
        <w:pStyle w:val="BodyText"/>
        <w:spacing w:line="338" w:lineRule="auto" w:before="116"/>
        <w:ind w:right="13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股份变动对最近一年和最近一期基本每股收益和稀释每股收益、归属于公司普通股股东的每股净资产等财务指标的影响</w:t>
      </w:r>
    </w:p>
    <w:p>
      <w:pPr>
        <w:pStyle w:val="BodyText"/>
        <w:spacing w:line="338" w:lineRule="auto" w:before="43"/>
        <w:ind w:left="514" w:right="1118" w:hanging="3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w:t>
      </w:r>
      <w:r>
        <w:rPr>
          <w:rFonts w:ascii="Times New Roman" w:hAnsi="Times New Roman" w:cs="Times New Roman" w:eastAsia="Times New Roman" w:hint="default"/>
        </w:rPr>
        <w:t>2017</w:t>
      </w:r>
      <w:r>
        <w:rPr/>
        <w:t>年度基本每股收益为</w:t>
      </w:r>
      <w:r>
        <w:rPr>
          <w:rFonts w:ascii="Times New Roman" w:hAnsi="Times New Roman" w:cs="Times New Roman" w:eastAsia="Times New Roman" w:hint="default"/>
        </w:rPr>
        <w:t>0.48</w:t>
      </w:r>
      <w:r>
        <w:rPr/>
        <w:t>元，稀释每股收益</w:t>
      </w:r>
      <w:r>
        <w:rPr>
          <w:rFonts w:ascii="Times New Roman" w:hAnsi="Times New Roman" w:cs="Times New Roman" w:eastAsia="Times New Roman" w:hint="default"/>
        </w:rPr>
        <w:t>0.48</w:t>
      </w:r>
      <w:r>
        <w:rPr/>
        <w:t>元，归属于公司普通股股东的每股净资产</w:t>
      </w:r>
      <w:r>
        <w:rPr>
          <w:rFonts w:ascii="Times New Roman" w:hAnsi="Times New Roman" w:cs="Times New Roman" w:eastAsia="Times New Roman" w:hint="default"/>
        </w:rPr>
        <w:t>4.56</w:t>
      </w:r>
      <w:r>
        <w:rPr/>
        <w:t>元。公司</w:t>
      </w:r>
      <w:r>
        <w:rPr>
          <w:rFonts w:ascii="Times New Roman" w:hAnsi="Times New Roman" w:cs="Times New Roman" w:eastAsia="Times New Roman" w:hint="default"/>
        </w:rPr>
        <w:t>2018</w:t>
      </w:r>
      <w:r>
        <w:rPr/>
        <w:t>年</w:t>
      </w:r>
    </w:p>
    <w:p>
      <w:pPr>
        <w:spacing w:after="0" w:line="338"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118"/>
        <w:jc w:val="left"/>
      </w:pPr>
      <w:r>
        <w:rPr/>
        <w:t>度基本每股收益为</w:t>
      </w:r>
      <w:r>
        <w:rPr>
          <w:rFonts w:ascii="Times New Roman" w:hAnsi="Times New Roman" w:cs="Times New Roman" w:eastAsia="Times New Roman" w:hint="default"/>
        </w:rPr>
        <w:t>0.13</w:t>
      </w:r>
      <w:r>
        <w:rPr/>
        <w:t>元，稀释每股收益</w:t>
      </w:r>
      <w:r>
        <w:rPr>
          <w:rFonts w:ascii="Times New Roman" w:hAnsi="Times New Roman" w:cs="Times New Roman" w:eastAsia="Times New Roman" w:hint="default"/>
        </w:rPr>
        <w:t>0.13</w:t>
      </w:r>
      <w:r>
        <w:rPr/>
        <w:t>元，较上年减少</w:t>
      </w:r>
      <w:r>
        <w:rPr>
          <w:rFonts w:ascii="Times New Roman" w:hAnsi="Times New Roman" w:cs="Times New Roman" w:eastAsia="Times New Roman" w:hint="default"/>
        </w:rPr>
        <w:t>72.92%</w:t>
      </w:r>
      <w:r>
        <w:rPr/>
        <w:t>，归属于公司普通股股东的每股净资产</w:t>
      </w:r>
      <w:r>
        <w:rPr>
          <w:rFonts w:ascii="Times New Roman" w:hAnsi="Times New Roman" w:cs="Times New Roman" w:eastAsia="Times New Roman" w:hint="default"/>
        </w:rPr>
        <w:t>2.68</w:t>
      </w:r>
      <w:r>
        <w:rPr/>
        <w:t>元，较上年</w:t>
      </w:r>
      <w:r>
        <w:rPr>
          <w:spacing w:val="-61"/>
        </w:rPr>
        <w:t> </w:t>
      </w:r>
      <w:r>
        <w:rPr>
          <w:spacing w:val="-61"/>
        </w:rPr>
      </w:r>
      <w:r>
        <w:rPr/>
        <w:t>减少</w:t>
      </w:r>
      <w:r>
        <w:rPr>
          <w:rFonts w:ascii="Times New Roman" w:hAnsi="Times New Roman" w:cs="Times New Roman" w:eastAsia="Times New Roman" w:hint="default"/>
        </w:rPr>
        <w:t>41.23%</w:t>
      </w:r>
      <w:r>
        <w:rPr/>
        <w:t>。</w:t>
      </w:r>
    </w:p>
    <w:p>
      <w:pPr>
        <w:pStyle w:val="BodyText"/>
        <w:spacing w:line="240" w:lineRule="auto" w:before="53"/>
        <w:ind w:right="0"/>
        <w:jc w:val="left"/>
      </w:pPr>
      <w:r>
        <w:rPr/>
        <w:t>公司认为必要或证券监管机构要求披露的其他内容</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限售股份变动情况" w:id="107"/>
      <w:bookmarkEnd w:id="107"/>
      <w:r>
        <w:rPr>
          <w:b w:val="0"/>
          <w:bCs w:val="0"/>
        </w:rPr>
      </w:r>
      <w:r>
        <w:rPr>
          <w:rFonts w:ascii="Times New Roman" w:hAnsi="Times New Roman" w:cs="Times New Roman" w:eastAsia="Times New Roman" w:hint="default"/>
        </w:rPr>
        <w:t>2</w:t>
      </w:r>
      <w:r>
        <w:rPr/>
        <w:t>、限售股份变动情况</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单位：股</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134"/>
        <w:gridCol w:w="1276"/>
        <w:gridCol w:w="1277"/>
        <w:gridCol w:w="1276"/>
        <w:gridCol w:w="1417"/>
        <w:gridCol w:w="1701"/>
        <w:gridCol w:w="1489"/>
      </w:tblGrid>
      <w:tr>
        <w:trPr>
          <w:trHeight w:val="71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91"/>
              <w:jc w:val="right"/>
              <w:rPr>
                <w:rFonts w:ascii="宋体" w:hAnsi="宋体" w:cs="宋体" w:eastAsia="宋体" w:hint="default"/>
                <w:sz w:val="18"/>
                <w:szCs w:val="18"/>
              </w:rPr>
            </w:pPr>
            <w:r>
              <w:rPr>
                <w:rFonts w:ascii="宋体" w:hAnsi="宋体" w:cs="宋体" w:eastAsia="宋体" w:hint="default"/>
                <w:sz w:val="18"/>
                <w:szCs w:val="18"/>
              </w:rPr>
              <w:t>期初限售股数</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3" w:right="91" w:hanging="360"/>
              <w:jc w:val="left"/>
              <w:rPr>
                <w:rFonts w:ascii="宋体" w:hAnsi="宋体" w:cs="宋体" w:eastAsia="宋体" w:hint="default"/>
                <w:sz w:val="18"/>
                <w:szCs w:val="18"/>
              </w:rPr>
            </w:pPr>
            <w:r>
              <w:rPr>
                <w:rFonts w:ascii="宋体" w:hAnsi="宋体" w:cs="宋体" w:eastAsia="宋体" w:hint="default"/>
                <w:sz w:val="18"/>
                <w:szCs w:val="18"/>
              </w:rPr>
              <w:t>本期解除限售 股数</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452" w:right="91" w:hanging="360"/>
              <w:jc w:val="left"/>
              <w:rPr>
                <w:rFonts w:ascii="宋体" w:hAnsi="宋体" w:cs="宋体" w:eastAsia="宋体" w:hint="default"/>
                <w:sz w:val="18"/>
                <w:szCs w:val="18"/>
              </w:rPr>
            </w:pPr>
            <w:r>
              <w:rPr>
                <w:rFonts w:ascii="宋体" w:hAnsi="宋体" w:cs="宋体" w:eastAsia="宋体" w:hint="default"/>
                <w:sz w:val="18"/>
                <w:szCs w:val="18"/>
              </w:rPr>
              <w:t>本期增加限售 股数</w:t>
            </w:r>
          </w:p>
        </w:tc>
        <w:tc>
          <w:tcPr>
            <w:tcW w:w="14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84" w:right="0"/>
              <w:jc w:val="left"/>
              <w:rPr>
                <w:rFonts w:ascii="宋体" w:hAnsi="宋体" w:cs="宋体" w:eastAsia="宋体" w:hint="default"/>
                <w:sz w:val="18"/>
                <w:szCs w:val="18"/>
              </w:rPr>
            </w:pPr>
            <w:r>
              <w:rPr>
                <w:rFonts w:ascii="宋体" w:hAnsi="宋体" w:cs="宋体" w:eastAsia="宋体" w:hint="default"/>
                <w:sz w:val="18"/>
                <w:szCs w:val="18"/>
              </w:rPr>
              <w:t>限售原因</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07"/>
              <w:jc w:val="right"/>
              <w:rPr>
                <w:rFonts w:ascii="宋体" w:hAnsi="宋体" w:cs="宋体" w:eastAsia="宋体" w:hint="default"/>
                <w:sz w:val="18"/>
                <w:szCs w:val="18"/>
              </w:rPr>
            </w:pPr>
            <w:r>
              <w:rPr>
                <w:rFonts w:ascii="宋体" w:hAnsi="宋体" w:cs="宋体" w:eastAsia="宋体" w:hint="default"/>
                <w:sz w:val="18"/>
                <w:szCs w:val="18"/>
              </w:rPr>
              <w:t>拟解除限售日期</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20,250,000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60,750,000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首发前机构类限售股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橙色动力</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13,500,000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6,750,000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20,250,000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首发前机构类限售股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伟岸仲合</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6,000,000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18,000,000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首发前机构类限售股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402"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金凤银凰</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10,950,000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5,475,000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16,425,000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首发前机构类限售股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59"/>
              <w:jc w:val="righ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 </w:t>
            </w:r>
            <w:r>
              <w:rPr>
                <w:rFonts w:ascii="宋体" w:hAnsi="宋体" w:cs="宋体" w:eastAsia="宋体" w:hint="default"/>
                <w:sz w:val="18"/>
                <w:szCs w:val="18"/>
              </w:rPr>
              <w:t>日</w:t>
            </w:r>
          </w:p>
        </w:tc>
      </w:tr>
      <w:tr>
        <w:trPr>
          <w:trHeight w:val="714"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BBDO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亚太</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首发前机构类限售股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已于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 </w:t>
            </w:r>
            <w:r>
              <w:rPr>
                <w:rFonts w:ascii="宋体" w:hAnsi="宋体" w:cs="宋体" w:eastAsia="宋体" w:hint="default"/>
                <w:sz w:val="18"/>
                <w:szCs w:val="18"/>
              </w:rPr>
              <w:t>月</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日解除限售</w:t>
            </w:r>
          </w:p>
        </w:tc>
      </w:tr>
      <w:tr>
        <w:trPr>
          <w:trHeight w:val="1338"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1,237,555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1,237,555</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高管锁定股</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在任期间，每年转 让股份不超过其 所持公司股份总 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tc>
      </w:tr>
      <w:tr>
        <w:trPr>
          <w:trHeight w:val="403" w:hRule="exact"/>
        </w:trPr>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4,050,000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39,712,555</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116,662,555</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bookmarkStart w:name="二、证券发行与上市情况" w:id="108"/>
      <w:bookmarkEnd w:id="108"/>
      <w:r>
        <w:rPr>
          <w:b w:val="0"/>
          <w:bCs w:val="0"/>
        </w:rPr>
      </w:r>
      <w:r>
        <w:rPr/>
        <w:t>二、证券发行与上市情况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证券发行（不含优先股）情况" w:id="109"/>
      <w:bookmarkEnd w:id="109"/>
      <w:r>
        <w:rPr>
          <w:b w:val="0"/>
          <w:bCs w:val="0"/>
        </w:rPr>
      </w:r>
      <w:r>
        <w:rPr>
          <w:rFonts w:ascii="Times New Roman" w:hAnsi="Times New Roman" w:cs="Times New Roman" w:eastAsia="Times New Roman" w:hint="default"/>
        </w:rPr>
        <w:t>1</w:t>
      </w:r>
      <w:r>
        <w:rPr/>
        <w:t>、报告期内证券发行（不含优先股）情况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公司股份总数及股东结构的变动、公司资产和负债结构的变动情况说明" w:id="110"/>
      <w:bookmarkEnd w:id="110"/>
      <w:r>
        <w:rPr>
          <w:b w:val="0"/>
          <w:bCs w:val="0"/>
        </w:rPr>
      </w: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300" w:lineRule="auto" w:before="101"/>
        <w:ind w:right="1121" w:firstLine="380"/>
        <w:jc w:val="both"/>
      </w:pP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日，公司</w:t>
      </w:r>
      <w:r>
        <w:rPr>
          <w:rFonts w:ascii="Times New Roman" w:hAnsi="Times New Roman" w:cs="Times New Roman" w:eastAsia="Times New Roman" w:hint="default"/>
        </w:rPr>
        <w:t>2017</w:t>
      </w:r>
      <w:r>
        <w:rPr/>
        <w:t>年年度股东大会审议通过了</w:t>
      </w:r>
      <w:r>
        <w:rPr>
          <w:rFonts w:ascii="Times New Roman" w:hAnsi="Times New Roman" w:cs="Times New Roman" w:eastAsia="Times New Roman" w:hint="default"/>
        </w:rPr>
        <w:t>2017</w:t>
      </w:r>
      <w:r>
        <w:rPr/>
        <w:t>年年度权益分派方案：以公司总股本</w:t>
      </w:r>
      <w:r>
        <w:rPr>
          <w:rFonts w:ascii="Times New Roman" w:hAnsi="Times New Roman" w:cs="Times New Roman" w:eastAsia="Times New Roman" w:hint="default"/>
        </w:rPr>
        <w:t>108,000,000</w:t>
      </w:r>
      <w:r>
        <w:rPr/>
        <w:t>股为基数， 向全体股东每</w:t>
      </w:r>
      <w:r>
        <w:rPr>
          <w:rFonts w:ascii="Times New Roman" w:hAnsi="Times New Roman" w:cs="Times New Roman" w:eastAsia="Times New Roman" w:hint="default"/>
        </w:rPr>
        <w:t>10</w:t>
      </w:r>
      <w:r>
        <w:rPr/>
        <w:t>股派发现金红利</w:t>
      </w:r>
      <w:r>
        <w:rPr>
          <w:rFonts w:ascii="Times New Roman" w:hAnsi="Times New Roman" w:cs="Times New Roman" w:eastAsia="Times New Roman" w:hint="default"/>
        </w:rPr>
        <w:t>5</w:t>
      </w:r>
      <w:r>
        <w:rPr/>
        <w:t>元（含税），送红股</w:t>
      </w:r>
      <w:r>
        <w:rPr>
          <w:rFonts w:ascii="Times New Roman" w:hAnsi="Times New Roman" w:cs="Times New Roman" w:eastAsia="Times New Roman" w:hint="default"/>
        </w:rPr>
        <w:t>0</w:t>
      </w:r>
      <w:r>
        <w:rPr/>
        <w:t>股（含税），以资本公积金向全体股东每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5</w:t>
      </w:r>
      <w:r>
        <w:rPr/>
        <w:t>股，合计转增股</w:t>
      </w:r>
      <w:r>
        <w:rPr>
          <w:spacing w:val="-83"/>
        </w:rPr>
        <w:t> </w:t>
      </w:r>
      <w:r>
        <w:rPr>
          <w:spacing w:val="-83"/>
        </w:rPr>
      </w:r>
      <w:r>
        <w:rPr/>
        <w:t>份</w:t>
      </w:r>
      <w:r>
        <w:rPr>
          <w:rFonts w:ascii="Times New Roman" w:hAnsi="Times New Roman" w:cs="Times New Roman" w:eastAsia="Times New Roman" w:hint="default"/>
        </w:rPr>
        <w:t>54,000,000</w:t>
      </w:r>
      <w:r>
        <w:rPr/>
        <w:t>股，转增完成后公司总股本增至</w:t>
      </w:r>
      <w:r>
        <w:rPr>
          <w:rFonts w:ascii="Times New Roman" w:hAnsi="Times New Roman" w:cs="Times New Roman" w:eastAsia="Times New Roman" w:hint="default"/>
        </w:rPr>
        <w:t>162,000,000</w:t>
      </w:r>
      <w:r>
        <w:rPr/>
        <w:t>股。</w:t>
      </w:r>
    </w:p>
    <w:p>
      <w:pPr>
        <w:pStyle w:val="BodyText"/>
        <w:spacing w:line="300" w:lineRule="auto" w:before="52"/>
        <w:ind w:right="1217" w:firstLine="360"/>
        <w:jc w:val="both"/>
      </w:pPr>
      <w:r>
        <w:rPr>
          <w:spacing w:val="-1"/>
        </w:rPr>
        <w:t>报告期末公司总资产为</w:t>
      </w:r>
      <w:r>
        <w:rPr>
          <w:rFonts w:ascii="Times New Roman" w:hAnsi="Times New Roman" w:cs="Times New Roman" w:eastAsia="Times New Roman" w:hint="default"/>
          <w:spacing w:val="-1"/>
        </w:rPr>
        <w:t>50,050.58</w:t>
      </w:r>
      <w:r>
        <w:rPr>
          <w:spacing w:val="-1"/>
        </w:rPr>
        <w:t>万元，比年初下降</w:t>
      </w:r>
      <w:r>
        <w:rPr>
          <w:rFonts w:ascii="Times New Roman" w:hAnsi="Times New Roman" w:cs="Times New Roman" w:eastAsia="Times New Roman" w:hint="default"/>
          <w:spacing w:val="-1"/>
        </w:rPr>
        <w:t>19.09%</w:t>
      </w:r>
      <w:r>
        <w:rPr>
          <w:spacing w:val="-1"/>
        </w:rPr>
        <w:t>，归属于上市公司股东的所有者权益</w:t>
      </w:r>
      <w:r>
        <w:rPr>
          <w:rFonts w:ascii="Times New Roman" w:hAnsi="Times New Roman" w:cs="Times New Roman" w:eastAsia="Times New Roman" w:hint="default"/>
          <w:spacing w:val="-1"/>
        </w:rPr>
        <w:t>40,933.49</w:t>
      </w:r>
      <w:r>
        <w:rPr>
          <w:spacing w:val="-1"/>
        </w:rPr>
        <w:t>万元，比年初</w:t>
      </w:r>
      <w:r>
        <w:rPr/>
        <w:t> 下降</w:t>
      </w:r>
      <w:r>
        <w:rPr>
          <w:rFonts w:ascii="Times New Roman" w:hAnsi="Times New Roman" w:cs="Times New Roman" w:eastAsia="Times New Roman" w:hint="default"/>
        </w:rPr>
        <w:t>14.53%</w:t>
      </w:r>
      <w:r>
        <w:rPr/>
        <w:t>。</w:t>
      </w:r>
    </w:p>
    <w:p>
      <w:pPr>
        <w:pStyle w:val="BodyText"/>
        <w:spacing w:line="240" w:lineRule="auto" w:before="13"/>
        <w:ind w:left="514" w:right="0"/>
        <w:jc w:val="left"/>
      </w:pPr>
      <w:r>
        <w:rPr/>
        <w:t>报告期末公司资产负债率为</w:t>
      </w:r>
      <w:r>
        <w:rPr>
          <w:rFonts w:ascii="Times New Roman" w:hAnsi="Times New Roman" w:cs="Times New Roman" w:eastAsia="Times New Roman" w:hint="default"/>
        </w:rPr>
        <w:t>16.26%,</w:t>
      </w:r>
      <w:r>
        <w:rPr>
          <w:rFonts w:ascii="Times New Roman" w:hAnsi="Times New Roman" w:cs="Times New Roman" w:eastAsia="Times New Roman" w:hint="default"/>
          <w:spacing w:val="25"/>
        </w:rPr>
        <w:t> </w:t>
      </w:r>
      <w:r>
        <w:rPr/>
        <w:t>比年初降低</w:t>
      </w:r>
      <w:r>
        <w:rPr>
          <w:rFonts w:ascii="Times New Roman" w:hAnsi="Times New Roman" w:cs="Times New Roman" w:eastAsia="Times New Roman" w:hint="default"/>
        </w:rPr>
        <w:t>4.08%</w:t>
      </w:r>
      <w:r>
        <w:rPr/>
        <w:t>。</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3、现存的内部职工股情况" w:id="111"/>
      <w:bookmarkEnd w:id="111"/>
      <w:r>
        <w:rPr>
          <w:b w:val="0"/>
          <w:bCs w:val="0"/>
        </w:rPr>
      </w:r>
      <w:r>
        <w:rPr>
          <w:rFonts w:ascii="Times New Roman" w:hAnsi="Times New Roman" w:cs="Times New Roman" w:eastAsia="Times New Roman" w:hint="default"/>
        </w:rPr>
        <w:t>3</w:t>
      </w:r>
      <w:r>
        <w:rPr/>
        <w:t>、现存的内部职工股情况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8"/>
        <w:rPr>
          <w:rFonts w:ascii="宋体" w:hAnsi="宋体" w:cs="宋体" w:eastAsia="宋体" w:hint="default"/>
          <w:sz w:val="19"/>
          <w:szCs w:val="19"/>
        </w:rPr>
      </w:pPr>
    </w:p>
    <w:p>
      <w:pPr>
        <w:pStyle w:val="Heading2"/>
        <w:spacing w:line="240" w:lineRule="auto" w:before="26"/>
        <w:ind w:right="0"/>
        <w:jc w:val="left"/>
        <w:rPr>
          <w:b w:val="0"/>
          <w:bCs w:val="0"/>
        </w:rPr>
      </w:pPr>
      <w:bookmarkStart w:name="三、股东和实际控制人情况" w:id="112"/>
      <w:bookmarkEnd w:id="112"/>
      <w:r>
        <w:rPr>
          <w:b w:val="0"/>
          <w:bCs w:val="0"/>
        </w:rPr>
      </w: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公司股东数量及持股情况" w:id="113"/>
      <w:bookmarkEnd w:id="113"/>
      <w:r>
        <w:rPr>
          <w:b w:val="0"/>
          <w:bCs w:val="0"/>
        </w:rPr>
      </w:r>
      <w:r>
        <w:rPr>
          <w:rFonts w:ascii="Times New Roman" w:hAnsi="Times New Roman" w:cs="Times New Roman" w:eastAsia="Times New Roman" w:hint="default"/>
        </w:rPr>
        <w:t>1</w:t>
      </w:r>
      <w:r>
        <w:rPr/>
        <w:t>、公司股东数量及持股情况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pict>
          <v:shape style="position:absolute;margin-left:449.277008pt;margin-top:70.491699pt;width:85.75pt;height:31.2pt;mso-position-horizontal-relative:page;mso-position-vertical-relative:paragraph;z-index:-971104" type="#_x0000_t202" filled="false" stroked="false">
            <v:textbox inset="0,0,0,0">
              <w:txbxContent>
                <w:p>
                  <w:pPr>
                    <w:pStyle w:val="BodyText"/>
                    <w:spacing w:line="207" w:lineRule="exact"/>
                    <w:ind w:left="0" w:right="0"/>
                    <w:jc w:val="left"/>
                  </w:pPr>
                  <w:r>
                    <w:rPr/>
                    <w:t>（如有）</w:t>
                  </w:r>
                </w:p>
              </w:txbxContent>
            </v:textbox>
            <w10:wrap type="none"/>
          </v:shape>
        </w:pict>
      </w:r>
      <w:r>
        <w:rPr/>
        <w:pict>
          <v:group style="position:absolute;margin-left:482.399994pt;margin-top:70.491699pt;width:52.65pt;height:31.2pt;mso-position-horizontal-relative:page;mso-position-vertical-relative:paragraph;z-index:-971080" coordorigin="9648,1410" coordsize="1053,624">
            <v:shape style="position:absolute;left:9648;top:1410;width:1053;height:624" coordorigin="9648,1410" coordsize="1053,624" path="m9648,2034l10700,2034,10700,1410,9648,1410,9648,2034xe" filled="true" fillcolor="#ffffff" stroked="false">
              <v:path arrowok="t"/>
              <v:fill type="solid"/>
            </v:shape>
            <w10:wrap type="none"/>
          </v:group>
        </w:pict>
      </w:r>
      <w:r>
        <w:rPr/>
        <w:t>单位：股</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94"/>
        <w:gridCol w:w="341"/>
        <w:gridCol w:w="807"/>
        <w:gridCol w:w="268"/>
        <w:gridCol w:w="709"/>
        <w:gridCol w:w="461"/>
        <w:gridCol w:w="816"/>
        <w:gridCol w:w="403"/>
        <w:gridCol w:w="589"/>
        <w:gridCol w:w="718"/>
        <w:gridCol w:w="275"/>
        <w:gridCol w:w="812"/>
        <w:gridCol w:w="181"/>
        <w:gridCol w:w="1131"/>
        <w:gridCol w:w="508"/>
        <w:gridCol w:w="559"/>
      </w:tblGrid>
      <w:tr>
        <w:trPr>
          <w:trHeight w:val="162" w:hRule="exact"/>
        </w:trPr>
        <w:tc>
          <w:tcPr>
            <w:tcW w:w="1335" w:type="dxa"/>
            <w:gridSpan w:val="2"/>
            <w:vMerge w:val="restart"/>
            <w:tcBorders>
              <w:top w:val="single" w:sz="4" w:space="0" w:color="000000"/>
              <w:left w:val="single" w:sz="4" w:space="0" w:color="000000"/>
              <w:right w:val="single" w:sz="4" w:space="0" w:color="000000"/>
            </w:tcBorders>
            <w:shd w:val="clear" w:color="auto" w:fill="D2D2D2"/>
          </w:tcPr>
          <w:p>
            <w:pPr/>
          </w:p>
        </w:tc>
        <w:tc>
          <w:tcPr>
            <w:tcW w:w="807" w:type="dxa"/>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62" w:right="0"/>
              <w:jc w:val="left"/>
              <w:rPr>
                <w:rFonts w:ascii="Times New Roman" w:hAnsi="Times New Roman" w:cs="Times New Roman" w:eastAsia="Times New Roman" w:hint="default"/>
                <w:sz w:val="18"/>
                <w:szCs w:val="18"/>
              </w:rPr>
            </w:pPr>
            <w:r>
              <w:rPr>
                <w:rFonts w:ascii="Times New Roman"/>
                <w:sz w:val="18"/>
              </w:rPr>
              <w:t>14,323</w:t>
            </w:r>
          </w:p>
        </w:tc>
        <w:tc>
          <w:tcPr>
            <w:tcW w:w="1439" w:type="dxa"/>
            <w:gridSpan w:val="3"/>
            <w:vMerge w:val="restart"/>
            <w:tcBorders>
              <w:top w:val="single" w:sz="4" w:space="0" w:color="000000"/>
              <w:left w:val="single" w:sz="4" w:space="0" w:color="000000"/>
              <w:right w:val="single" w:sz="4" w:space="0" w:color="000000"/>
            </w:tcBorders>
            <w:shd w:val="clear" w:color="auto" w:fill="D2D2D2"/>
          </w:tcPr>
          <w:p>
            <w:pPr/>
          </w:p>
        </w:tc>
        <w:tc>
          <w:tcPr>
            <w:tcW w:w="1218" w:type="dxa"/>
            <w:gridSpan w:val="2"/>
            <w:vMerge w:val="restart"/>
            <w:tcBorders>
              <w:top w:val="single" w:sz="4" w:space="0" w:color="000000"/>
              <w:left w:val="single" w:sz="9" w:space="0" w:color="D2D2D2"/>
              <w:right w:val="single" w:sz="9"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73" w:right="0"/>
              <w:jc w:val="left"/>
              <w:rPr>
                <w:rFonts w:ascii="Times New Roman" w:hAnsi="Times New Roman" w:cs="Times New Roman" w:eastAsia="Times New Roman" w:hint="default"/>
                <w:sz w:val="18"/>
                <w:szCs w:val="18"/>
              </w:rPr>
            </w:pPr>
            <w:r>
              <w:rPr>
                <w:rFonts w:ascii="Times New Roman"/>
                <w:sz w:val="18"/>
              </w:rPr>
              <w:t>12,496</w:t>
            </w:r>
          </w:p>
        </w:tc>
        <w:tc>
          <w:tcPr>
            <w:tcW w:w="1306"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087" w:type="dxa"/>
            <w:gridSpan w:val="2"/>
            <w:vMerge w:val="restart"/>
            <w:tcBorders>
              <w:top w:val="single" w:sz="4" w:space="0" w:color="000000"/>
              <w:left w:val="single" w:sz="10" w:space="0" w:color="D2D2D2"/>
              <w:right w:val="single" w:sz="13" w:space="0" w:color="D2D2D2"/>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1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11" w:right="28"/>
              <w:jc w:val="both"/>
              <w:rPr>
                <w:rFonts w:ascii="宋体" w:hAnsi="宋体" w:cs="宋体" w:eastAsia="宋体" w:hint="default"/>
                <w:sz w:val="18"/>
                <w:szCs w:val="18"/>
              </w:rPr>
            </w:pPr>
            <w:r>
              <w:rPr>
                <w:rFonts w:ascii="宋体" w:hAnsi="宋体" w:cs="宋体" w:eastAsia="宋体" w:hint="default"/>
                <w:sz w:val="18"/>
                <w:szCs w:val="18"/>
              </w:rPr>
              <w:t>年度报告披露日 前上一月末表决 权恢复的优先股 股东总数</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508" w:type="dxa"/>
            <w:tcBorders>
              <w:top w:val="single" w:sz="4" w:space="0" w:color="000000"/>
              <w:left w:val="single" w:sz="13" w:space="0" w:color="D2D2D2"/>
              <w:bottom w:val="nil" w:sz="6" w:space="0" w:color="auto"/>
              <w:right w:val="nil" w:sz="6" w:space="0" w:color="auto"/>
            </w:tcBorders>
          </w:tcPr>
          <w:p>
            <w:pPr/>
          </w:p>
        </w:tc>
        <w:tc>
          <w:tcPr>
            <w:tcW w:w="559" w:type="dxa"/>
            <w:tcBorders>
              <w:top w:val="single" w:sz="4" w:space="0" w:color="000000"/>
              <w:left w:val="nil" w:sz="6" w:space="0" w:color="auto"/>
              <w:bottom w:val="nil" w:sz="6" w:space="0" w:color="auto"/>
              <w:right w:val="single" w:sz="4" w:space="0" w:color="000000"/>
            </w:tcBorders>
          </w:tcPr>
          <w:p>
            <w:pPr/>
          </w:p>
        </w:tc>
      </w:tr>
      <w:tr>
        <w:trPr>
          <w:trHeight w:val="156" w:hRule="exact"/>
        </w:trPr>
        <w:tc>
          <w:tcPr>
            <w:tcW w:w="1335" w:type="dxa"/>
            <w:gridSpan w:val="2"/>
            <w:vMerge/>
            <w:tcBorders>
              <w:left w:val="single" w:sz="4" w:space="0" w:color="000000"/>
              <w:right w:val="single" w:sz="4" w:space="0" w:color="000000"/>
            </w:tcBorders>
            <w:shd w:val="clear" w:color="auto" w:fill="D2D2D2"/>
          </w:tcPr>
          <w:p>
            <w:pPr/>
          </w:p>
        </w:tc>
        <w:tc>
          <w:tcPr>
            <w:tcW w:w="807" w:type="dxa"/>
            <w:vMerge/>
            <w:tcBorders>
              <w:left w:val="single" w:sz="9" w:space="0" w:color="D2D2D2"/>
              <w:right w:val="single" w:sz="9" w:space="0" w:color="D2D2D2"/>
            </w:tcBorders>
          </w:tcPr>
          <w:p>
            <w:pPr/>
          </w:p>
        </w:tc>
        <w:tc>
          <w:tcPr>
            <w:tcW w:w="1439"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23"/>
              <w:jc w:val="both"/>
              <w:rPr>
                <w:rFonts w:ascii="宋体" w:hAnsi="宋体" w:cs="宋体" w:eastAsia="宋体" w:hint="default"/>
                <w:sz w:val="18"/>
                <w:szCs w:val="18"/>
              </w:rPr>
            </w:pPr>
            <w:r>
              <w:rPr>
                <w:rFonts w:ascii="宋体" w:hAnsi="宋体" w:cs="宋体" w:eastAsia="宋体" w:hint="default"/>
                <w:sz w:val="18"/>
                <w:szCs w:val="18"/>
              </w:rPr>
              <w:t>报告期末表决权 恢复的优先股股 东总数（如有）</w:t>
            </w:r>
          </w:p>
          <w:p>
            <w:pPr>
              <w:pStyle w:val="TableParagraph"/>
              <w:spacing w:line="240" w:lineRule="auto" w:before="20"/>
              <w:ind w:left="11" w:right="0"/>
              <w:jc w:val="both"/>
              <w:rPr>
                <w:rFonts w:ascii="宋体" w:hAnsi="宋体" w:cs="宋体" w:eastAsia="宋体" w:hint="default"/>
                <w:sz w:val="18"/>
                <w:szCs w:val="18"/>
              </w:rPr>
            </w:pP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w:t>
            </w:r>
            <w:r>
              <w:rPr>
                <w:rFonts w:ascii="宋体" w:hAnsi="宋体" w:cs="宋体" w:eastAsia="宋体" w:hint="default"/>
                <w:sz w:val="18"/>
                <w:szCs w:val="18"/>
              </w:rPr>
              <w:t>）</w:t>
            </w: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val="restart"/>
            <w:tcBorders>
              <w:top w:val="nil" w:sz="6" w:space="0" w:color="auto"/>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gridSpan w:val="2"/>
            <w:vMerge/>
            <w:tcBorders>
              <w:left w:val="single" w:sz="4" w:space="0" w:color="000000"/>
              <w:bottom w:val="nil" w:sz="6" w:space="0" w:color="auto"/>
              <w:right w:val="single" w:sz="4" w:space="0" w:color="000000"/>
            </w:tcBorders>
            <w:shd w:val="clear" w:color="auto" w:fill="D2D2D2"/>
          </w:tcPr>
          <w:p>
            <w:pPr/>
          </w:p>
        </w:tc>
        <w:tc>
          <w:tcPr>
            <w:tcW w:w="807" w:type="dxa"/>
            <w:vMerge/>
            <w:tcBorders>
              <w:left w:val="single" w:sz="9" w:space="0" w:color="D2D2D2"/>
              <w:right w:val="single" w:sz="9" w:space="0" w:color="D2D2D2"/>
            </w:tcBorders>
          </w:tcPr>
          <w:p>
            <w:pPr/>
          </w:p>
        </w:tc>
        <w:tc>
          <w:tcPr>
            <w:tcW w:w="1439"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1" w:right="155"/>
              <w:jc w:val="both"/>
              <w:rPr>
                <w:rFonts w:ascii="宋体" w:hAnsi="宋体" w:cs="宋体" w:eastAsia="宋体" w:hint="default"/>
                <w:sz w:val="18"/>
                <w:szCs w:val="18"/>
              </w:rPr>
            </w:pPr>
            <w:r>
              <w:rPr>
                <w:rFonts w:ascii="宋体" w:hAnsi="宋体" w:cs="宋体" w:eastAsia="宋体" w:hint="default"/>
                <w:sz w:val="18"/>
                <w:szCs w:val="18"/>
              </w:rPr>
              <w:t>年度报告披露日 前上一月末普通 股股东总数</w:t>
            </w: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703" w:hRule="exact"/>
        </w:trPr>
        <w:tc>
          <w:tcPr>
            <w:tcW w:w="1335"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22" w:right="40"/>
              <w:jc w:val="left"/>
              <w:rPr>
                <w:rFonts w:ascii="宋体" w:hAnsi="宋体" w:cs="宋体" w:eastAsia="宋体" w:hint="default"/>
                <w:sz w:val="18"/>
                <w:szCs w:val="18"/>
              </w:rPr>
            </w:pPr>
            <w:r>
              <w:rPr>
                <w:rFonts w:ascii="宋体" w:hAnsi="宋体" w:cs="宋体" w:eastAsia="宋体" w:hint="default"/>
                <w:sz w:val="18"/>
                <w:szCs w:val="18"/>
              </w:rPr>
              <w:t>报告期末普通股 股东总数</w:t>
            </w:r>
          </w:p>
        </w:tc>
        <w:tc>
          <w:tcPr>
            <w:tcW w:w="807" w:type="dxa"/>
            <w:vMerge/>
            <w:tcBorders>
              <w:left w:val="single" w:sz="9" w:space="0" w:color="D2D2D2"/>
              <w:right w:val="single" w:sz="9" w:space="0" w:color="D2D2D2"/>
            </w:tcBorders>
          </w:tcPr>
          <w:p>
            <w:pPr/>
          </w:p>
        </w:tc>
        <w:tc>
          <w:tcPr>
            <w:tcW w:w="1439" w:type="dxa"/>
            <w:gridSpan w:val="3"/>
            <w:vMerge/>
            <w:tcBorders>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r>
      <w:tr>
        <w:trPr>
          <w:trHeight w:val="156" w:hRule="exact"/>
        </w:trPr>
        <w:tc>
          <w:tcPr>
            <w:tcW w:w="1335" w:type="dxa"/>
            <w:gridSpan w:val="2"/>
            <w:vMerge w:val="restart"/>
            <w:tcBorders>
              <w:top w:val="nil" w:sz="6" w:space="0" w:color="auto"/>
              <w:left w:val="single" w:sz="4" w:space="0" w:color="000000"/>
              <w:right w:val="single" w:sz="4" w:space="0" w:color="000000"/>
            </w:tcBorders>
            <w:shd w:val="clear" w:color="auto" w:fill="D2D2D2"/>
          </w:tcPr>
          <w:p>
            <w:pPr/>
          </w:p>
        </w:tc>
        <w:tc>
          <w:tcPr>
            <w:tcW w:w="807" w:type="dxa"/>
            <w:vMerge/>
            <w:tcBorders>
              <w:left w:val="single" w:sz="9" w:space="0" w:color="D2D2D2"/>
              <w:right w:val="single" w:sz="9" w:space="0" w:color="D2D2D2"/>
            </w:tcBorders>
          </w:tcPr>
          <w:p>
            <w:pPr/>
          </w:p>
        </w:tc>
        <w:tc>
          <w:tcPr>
            <w:tcW w:w="1439" w:type="dxa"/>
            <w:gridSpan w:val="3"/>
            <w:vMerge/>
            <w:tcBorders>
              <w:left w:val="single" w:sz="4" w:space="0" w:color="000000"/>
              <w:bottom w:val="nil" w:sz="6" w:space="0" w:color="auto"/>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156" w:hRule="exact"/>
        </w:trPr>
        <w:tc>
          <w:tcPr>
            <w:tcW w:w="1335" w:type="dxa"/>
            <w:gridSpan w:val="2"/>
            <w:vMerge/>
            <w:tcBorders>
              <w:left w:val="single" w:sz="4" w:space="0" w:color="000000"/>
              <w:right w:val="single" w:sz="4" w:space="0" w:color="000000"/>
            </w:tcBorders>
            <w:shd w:val="clear" w:color="auto" w:fill="D2D2D2"/>
          </w:tcPr>
          <w:p>
            <w:pPr/>
          </w:p>
        </w:tc>
        <w:tc>
          <w:tcPr>
            <w:tcW w:w="807" w:type="dxa"/>
            <w:vMerge/>
            <w:tcBorders>
              <w:left w:val="single" w:sz="9" w:space="0" w:color="D2D2D2"/>
              <w:right w:val="single" w:sz="9" w:space="0" w:color="D2D2D2"/>
            </w:tcBorders>
          </w:tcPr>
          <w:p>
            <w:pPr/>
          </w:p>
        </w:tc>
        <w:tc>
          <w:tcPr>
            <w:tcW w:w="1439" w:type="dxa"/>
            <w:gridSpan w:val="3"/>
            <w:vMerge w:val="restart"/>
            <w:tcBorders>
              <w:top w:val="nil" w:sz="6" w:space="0" w:color="auto"/>
              <w:left w:val="single" w:sz="4" w:space="0" w:color="000000"/>
              <w:right w:val="single" w:sz="4" w:space="0" w:color="000000"/>
            </w:tcBorders>
            <w:shd w:val="clear" w:color="auto" w:fill="D2D2D2"/>
          </w:tcPr>
          <w:p>
            <w:pPr/>
          </w:p>
        </w:tc>
        <w:tc>
          <w:tcPr>
            <w:tcW w:w="1218" w:type="dxa"/>
            <w:gridSpan w:val="2"/>
            <w:vMerge/>
            <w:tcBorders>
              <w:left w:val="single" w:sz="9" w:space="0" w:color="D2D2D2"/>
              <w:right w:val="single" w:sz="9" w:space="0" w:color="D2D2D2"/>
            </w:tcBorders>
          </w:tcPr>
          <w:p>
            <w:pPr/>
          </w:p>
        </w:tc>
        <w:tc>
          <w:tcPr>
            <w:tcW w:w="1306" w:type="dxa"/>
            <w:gridSpan w:val="2"/>
            <w:vMerge/>
            <w:tcBorders>
              <w:left w:val="single" w:sz="4" w:space="0" w:color="000000"/>
              <w:bottom w:val="nil" w:sz="6" w:space="0" w:color="auto"/>
              <w:right w:val="single" w:sz="4" w:space="0" w:color="000000"/>
            </w:tcBorders>
            <w:shd w:val="clear" w:color="auto" w:fill="D2D2D2"/>
          </w:tcPr>
          <w:p>
            <w:pPr/>
          </w:p>
        </w:tc>
        <w:tc>
          <w:tcPr>
            <w:tcW w:w="1087" w:type="dxa"/>
            <w:gridSpan w:val="2"/>
            <w:vMerge/>
            <w:tcBorders>
              <w:left w:val="single" w:sz="10" w:space="0" w:color="D2D2D2"/>
              <w:right w:val="single" w:sz="13" w:space="0" w:color="D2D2D2"/>
            </w:tcBorders>
          </w:tcPr>
          <w:p>
            <w:pPr/>
          </w:p>
        </w:tc>
        <w:tc>
          <w:tcPr>
            <w:tcW w:w="1311" w:type="dxa"/>
            <w:gridSpan w:val="2"/>
            <w:vMerge/>
            <w:tcBorders>
              <w:left w:val="single" w:sz="4" w:space="0" w:color="000000"/>
              <w:right w:val="single" w:sz="4" w:space="0" w:color="000000"/>
            </w:tcBorders>
            <w:shd w:val="clear" w:color="auto" w:fill="D2D2D2"/>
          </w:tcPr>
          <w:p>
            <w:pPr/>
          </w:p>
        </w:tc>
        <w:tc>
          <w:tcPr>
            <w:tcW w:w="508" w:type="dxa"/>
            <w:vMerge/>
            <w:tcBorders>
              <w:left w:val="single" w:sz="13" w:space="0" w:color="D2D2D2"/>
              <w:right w:val="nil" w:sz="6" w:space="0" w:color="auto"/>
            </w:tcBorders>
          </w:tcPr>
          <w:p>
            <w:pPr/>
          </w:p>
        </w:tc>
        <w:tc>
          <w:tcPr>
            <w:tcW w:w="559" w:type="dxa"/>
            <w:tcBorders>
              <w:top w:val="nil" w:sz="6" w:space="0" w:color="auto"/>
              <w:left w:val="nil" w:sz="6" w:space="0" w:color="auto"/>
              <w:bottom w:val="nil" w:sz="6" w:space="0" w:color="auto"/>
              <w:right w:val="single" w:sz="4" w:space="0" w:color="000000"/>
            </w:tcBorders>
          </w:tcPr>
          <w:p>
            <w:pPr/>
          </w:p>
        </w:tc>
      </w:tr>
      <w:tr>
        <w:trPr>
          <w:trHeight w:val="167" w:hRule="exact"/>
        </w:trPr>
        <w:tc>
          <w:tcPr>
            <w:tcW w:w="1335" w:type="dxa"/>
            <w:gridSpan w:val="2"/>
            <w:vMerge/>
            <w:tcBorders>
              <w:left w:val="single" w:sz="4" w:space="0" w:color="000000"/>
              <w:bottom w:val="single" w:sz="4" w:space="0" w:color="000000"/>
              <w:right w:val="single" w:sz="4" w:space="0" w:color="000000"/>
            </w:tcBorders>
            <w:shd w:val="clear" w:color="auto" w:fill="D2D2D2"/>
          </w:tcPr>
          <w:p>
            <w:pPr/>
          </w:p>
        </w:tc>
        <w:tc>
          <w:tcPr>
            <w:tcW w:w="807" w:type="dxa"/>
            <w:vMerge/>
            <w:tcBorders>
              <w:left w:val="single" w:sz="9" w:space="0" w:color="D2D2D2"/>
              <w:bottom w:val="single" w:sz="4" w:space="0" w:color="000000"/>
              <w:right w:val="single" w:sz="9" w:space="0" w:color="D2D2D2"/>
            </w:tcBorders>
          </w:tcPr>
          <w:p>
            <w:pPr/>
          </w:p>
        </w:tc>
        <w:tc>
          <w:tcPr>
            <w:tcW w:w="1439" w:type="dxa"/>
            <w:gridSpan w:val="3"/>
            <w:vMerge/>
            <w:tcBorders>
              <w:left w:val="single" w:sz="4" w:space="0" w:color="000000"/>
              <w:bottom w:val="single" w:sz="4" w:space="0" w:color="000000"/>
              <w:right w:val="single" w:sz="4" w:space="0" w:color="000000"/>
            </w:tcBorders>
            <w:shd w:val="clear" w:color="auto" w:fill="D2D2D2"/>
          </w:tcPr>
          <w:p>
            <w:pPr/>
          </w:p>
        </w:tc>
        <w:tc>
          <w:tcPr>
            <w:tcW w:w="1218" w:type="dxa"/>
            <w:gridSpan w:val="2"/>
            <w:vMerge/>
            <w:tcBorders>
              <w:left w:val="single" w:sz="9" w:space="0" w:color="D2D2D2"/>
              <w:bottom w:val="single" w:sz="4" w:space="0" w:color="000000"/>
              <w:right w:val="single" w:sz="9" w:space="0" w:color="D2D2D2"/>
            </w:tcBorders>
          </w:tcPr>
          <w:p>
            <w:pPr/>
          </w:p>
        </w:tc>
        <w:tc>
          <w:tcPr>
            <w:tcW w:w="1306"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087" w:type="dxa"/>
            <w:gridSpan w:val="2"/>
            <w:vMerge/>
            <w:tcBorders>
              <w:left w:val="single" w:sz="10" w:space="0" w:color="D2D2D2"/>
              <w:bottom w:val="single" w:sz="4" w:space="0" w:color="000000"/>
              <w:right w:val="single" w:sz="13" w:space="0" w:color="D2D2D2"/>
            </w:tcBorders>
          </w:tcPr>
          <w:p>
            <w:pPr/>
          </w:p>
        </w:tc>
        <w:tc>
          <w:tcPr>
            <w:tcW w:w="1311" w:type="dxa"/>
            <w:gridSpan w:val="2"/>
            <w:vMerge/>
            <w:tcBorders>
              <w:left w:val="single" w:sz="4" w:space="0" w:color="000000"/>
              <w:bottom w:val="single" w:sz="4" w:space="0" w:color="000000"/>
              <w:right w:val="single" w:sz="4" w:space="0" w:color="000000"/>
            </w:tcBorders>
            <w:shd w:val="clear" w:color="auto" w:fill="D2D2D2"/>
          </w:tcPr>
          <w:p>
            <w:pPr/>
          </w:p>
        </w:tc>
        <w:tc>
          <w:tcPr>
            <w:tcW w:w="508" w:type="dxa"/>
            <w:vMerge/>
            <w:tcBorders>
              <w:left w:val="single" w:sz="13" w:space="0" w:color="D2D2D2"/>
              <w:bottom w:val="single" w:sz="4" w:space="0" w:color="000000"/>
              <w:right w:val="nil" w:sz="6" w:space="0" w:color="auto"/>
            </w:tcBorders>
          </w:tcPr>
          <w:p>
            <w:pPr/>
          </w:p>
        </w:tc>
        <w:tc>
          <w:tcPr>
            <w:tcW w:w="559" w:type="dxa"/>
            <w:tcBorders>
              <w:top w:val="nil" w:sz="6" w:space="0" w:color="auto"/>
              <w:left w:val="nil" w:sz="6" w:space="0" w:color="auto"/>
              <w:bottom w:val="single" w:sz="4" w:space="0" w:color="000000"/>
              <w:right w:val="single" w:sz="4" w:space="0" w:color="000000"/>
            </w:tcBorders>
          </w:tcPr>
          <w:p>
            <w:pPr/>
          </w:p>
        </w:tc>
      </w:tr>
      <w:tr>
        <w:trPr>
          <w:trHeight w:val="391" w:hRule="exact"/>
        </w:trPr>
        <w:tc>
          <w:tcPr>
            <w:tcW w:w="9571" w:type="dxa"/>
            <w:gridSpan w:val="1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left="3062"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146" w:hRule="exact"/>
        </w:trPr>
        <w:tc>
          <w:tcPr>
            <w:tcW w:w="994" w:type="dxa"/>
            <w:vMerge w:val="restart"/>
            <w:tcBorders>
              <w:top w:val="single" w:sz="4" w:space="0" w:color="000000"/>
              <w:left w:val="single" w:sz="4" w:space="0" w:color="000000"/>
              <w:right w:val="single" w:sz="4" w:space="0" w:color="000000"/>
            </w:tcBorders>
            <w:shd w:val="clear" w:color="auto" w:fill="D2D2D2"/>
          </w:tcPr>
          <w:p>
            <w:pPr/>
          </w:p>
        </w:tc>
        <w:tc>
          <w:tcPr>
            <w:tcW w:w="1416" w:type="dxa"/>
            <w:gridSpan w:val="3"/>
            <w:vMerge w:val="restart"/>
            <w:tcBorders>
              <w:top w:val="single" w:sz="4" w:space="0" w:color="000000"/>
              <w:left w:val="single" w:sz="4" w:space="0" w:color="000000"/>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40" w:right="41"/>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99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40" w:right="4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219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7"/>
              <w:ind w:left="46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76" w:hRule="exact"/>
        </w:trPr>
        <w:tc>
          <w:tcPr>
            <w:tcW w:w="994" w:type="dxa"/>
            <w:vMerge/>
            <w:tcBorders>
              <w:left w:val="single" w:sz="4" w:space="0" w:color="000000"/>
              <w:bottom w:val="nil" w:sz="6" w:space="0" w:color="auto"/>
              <w:right w:val="single" w:sz="4" w:space="0" w:color="000000"/>
            </w:tcBorders>
            <w:shd w:val="clear" w:color="auto" w:fill="D2D2D2"/>
          </w:tcPr>
          <w:p>
            <w:pPr/>
          </w:p>
        </w:tc>
        <w:tc>
          <w:tcPr>
            <w:tcW w:w="1416" w:type="dxa"/>
            <w:gridSpan w:val="3"/>
            <w:vMerge/>
            <w:tcBorders>
              <w:left w:val="single" w:sz="4" w:space="0" w:color="000000"/>
              <w:bottom w:val="nil" w:sz="6" w:space="0" w:color="auto"/>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360" w:lineRule="auto" w:before="51"/>
              <w:ind w:left="170" w:right="167"/>
              <w:jc w:val="left"/>
              <w:rPr>
                <w:rFonts w:ascii="宋体" w:hAnsi="宋体" w:cs="宋体" w:eastAsia="宋体" w:hint="default"/>
                <w:sz w:val="18"/>
                <w:szCs w:val="18"/>
              </w:rPr>
            </w:pPr>
            <w:r>
              <w:rPr>
                <w:rFonts w:ascii="宋体" w:hAnsi="宋体" w:cs="宋体" w:eastAsia="宋体" w:hint="default"/>
                <w:sz w:val="18"/>
                <w:szCs w:val="18"/>
              </w:rPr>
              <w:t>持股 比例</w:t>
            </w:r>
          </w:p>
        </w:tc>
        <w:tc>
          <w:tcPr>
            <w:tcW w:w="1277"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60" w:lineRule="auto" w:before="51"/>
              <w:ind w:left="272" w:right="273"/>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991"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1"/>
              <w:ind w:left="40" w:right="38"/>
              <w:jc w:val="left"/>
              <w:rPr>
                <w:rFonts w:ascii="宋体" w:hAnsi="宋体" w:cs="宋体" w:eastAsia="宋体" w:hint="default"/>
                <w:sz w:val="18"/>
                <w:szCs w:val="18"/>
              </w:rPr>
            </w:pPr>
            <w:r>
              <w:rPr>
                <w:rFonts w:ascii="宋体" w:hAnsi="宋体" w:cs="宋体" w:eastAsia="宋体" w:hint="default"/>
                <w:sz w:val="18"/>
                <w:szCs w:val="18"/>
              </w:rPr>
              <w:t>报告期内增 减变动情况</w:t>
            </w:r>
          </w:p>
        </w:tc>
        <w:tc>
          <w:tcPr>
            <w:tcW w:w="992"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2198" w:type="dxa"/>
            <w:gridSpan w:val="3"/>
            <w:vMerge/>
            <w:tcBorders>
              <w:left w:val="single" w:sz="4" w:space="0" w:color="000000"/>
              <w:right w:val="single" w:sz="4" w:space="0" w:color="000000"/>
            </w:tcBorders>
            <w:shd w:val="clear" w:color="auto" w:fill="D2D2D2"/>
          </w:tcPr>
          <w:p>
            <w:pPr/>
          </w:p>
        </w:tc>
      </w:tr>
      <w:tr>
        <w:trPr>
          <w:trHeight w:val="140" w:hRule="exact"/>
        </w:trPr>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6" w:type="dxa"/>
            <w:gridSpan w:val="3"/>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3"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09" w:type="dxa"/>
            <w:vMerge/>
            <w:tcBorders>
              <w:left w:val="single" w:sz="4" w:space="0" w:color="000000"/>
              <w:right w:val="single" w:sz="4" w:space="0" w:color="000000"/>
            </w:tcBorders>
            <w:shd w:val="clear" w:color="auto" w:fill="D2D2D2"/>
          </w:tcPr>
          <w:p>
            <w:pPr/>
          </w:p>
        </w:tc>
        <w:tc>
          <w:tcPr>
            <w:tcW w:w="1277"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2198" w:type="dxa"/>
            <w:gridSpan w:val="3"/>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994" w:type="dxa"/>
            <w:vMerge/>
            <w:tcBorders>
              <w:left w:val="single" w:sz="4" w:space="0" w:color="000000"/>
              <w:bottom w:val="nil" w:sz="6" w:space="0" w:color="auto"/>
              <w:right w:val="single" w:sz="4" w:space="0" w:color="000000"/>
            </w:tcBorders>
            <w:shd w:val="clear" w:color="auto" w:fill="D2D2D2"/>
          </w:tcPr>
          <w:p>
            <w:pPr/>
          </w:p>
        </w:tc>
        <w:tc>
          <w:tcPr>
            <w:tcW w:w="1416" w:type="dxa"/>
            <w:gridSpan w:val="3"/>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277" w:type="dxa"/>
            <w:gridSpan w:val="2"/>
            <w:vMerge/>
            <w:tcBorders>
              <w:left w:val="single" w:sz="4" w:space="0" w:color="000000"/>
              <w:right w:val="single" w:sz="4" w:space="0" w:color="000000"/>
            </w:tcBorders>
            <w:shd w:val="clear" w:color="auto" w:fill="D2D2D2"/>
          </w:tcPr>
          <w:p>
            <w:pPr/>
          </w:p>
        </w:tc>
        <w:tc>
          <w:tcPr>
            <w:tcW w:w="991" w:type="dxa"/>
            <w:gridSpan w:val="2"/>
            <w:vMerge/>
            <w:tcBorders>
              <w:left w:val="single" w:sz="4" w:space="0" w:color="000000"/>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11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20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0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7"/>
              <w:ind w:left="351"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76" w:hRule="exact"/>
        </w:trPr>
        <w:tc>
          <w:tcPr>
            <w:tcW w:w="994" w:type="dxa"/>
            <w:vMerge w:val="restart"/>
            <w:tcBorders>
              <w:top w:val="nil" w:sz="6" w:space="0" w:color="auto"/>
              <w:left w:val="single" w:sz="4" w:space="0" w:color="000000"/>
              <w:right w:val="single" w:sz="4" w:space="0" w:color="000000"/>
            </w:tcBorders>
            <w:shd w:val="clear" w:color="auto" w:fill="D2D2D2"/>
          </w:tcPr>
          <w:p>
            <w:pPr/>
          </w:p>
        </w:tc>
        <w:tc>
          <w:tcPr>
            <w:tcW w:w="1416" w:type="dxa"/>
            <w:gridSpan w:val="3"/>
            <w:vMerge w:val="restart"/>
            <w:tcBorders>
              <w:top w:val="nil" w:sz="6" w:space="0" w:color="auto"/>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277" w:type="dxa"/>
            <w:gridSpan w:val="2"/>
            <w:vMerge/>
            <w:tcBorders>
              <w:left w:val="single" w:sz="4" w:space="0" w:color="000000"/>
              <w:bottom w:val="nil" w:sz="6" w:space="0" w:color="auto"/>
              <w:right w:val="single" w:sz="4" w:space="0" w:color="000000"/>
            </w:tcBorders>
            <w:shd w:val="clear" w:color="auto" w:fill="D2D2D2"/>
          </w:tcPr>
          <w:p>
            <w:pPr/>
          </w:p>
        </w:tc>
        <w:tc>
          <w:tcPr>
            <w:tcW w:w="991" w:type="dxa"/>
            <w:gridSpan w:val="2"/>
            <w:vMerge/>
            <w:tcBorders>
              <w:left w:val="single" w:sz="4" w:space="0" w:color="000000"/>
              <w:bottom w:val="nil" w:sz="6" w:space="0" w:color="auto"/>
              <w:right w:val="single" w:sz="4" w:space="0" w:color="000000"/>
            </w:tcBorders>
            <w:shd w:val="clear" w:color="auto" w:fill="D2D2D2"/>
          </w:tcPr>
          <w:p>
            <w:pPr/>
          </w:p>
        </w:tc>
        <w:tc>
          <w:tcPr>
            <w:tcW w:w="992" w:type="dxa"/>
            <w:gridSpan w:val="2"/>
            <w:vMerge/>
            <w:tcBorders>
              <w:left w:val="single" w:sz="4" w:space="0" w:color="000000"/>
              <w:right w:val="single" w:sz="4" w:space="0" w:color="000000"/>
            </w:tcBorders>
            <w:shd w:val="clear" w:color="auto" w:fill="D2D2D2"/>
          </w:tcPr>
          <w:p>
            <w:pPr/>
          </w:p>
        </w:tc>
        <w:tc>
          <w:tcPr>
            <w:tcW w:w="993" w:type="dxa"/>
            <w:gridSpan w:val="2"/>
            <w:vMerge/>
            <w:tcBorders>
              <w:left w:val="single" w:sz="4" w:space="0" w:color="000000"/>
              <w:right w:val="single" w:sz="4" w:space="0" w:color="000000"/>
            </w:tcBorders>
            <w:shd w:val="clear" w:color="auto" w:fill="D2D2D2"/>
          </w:tcPr>
          <w:p>
            <w:pPr/>
          </w:p>
        </w:tc>
        <w:tc>
          <w:tcPr>
            <w:tcW w:w="1131" w:type="dxa"/>
            <w:vMerge/>
            <w:tcBorders>
              <w:left w:val="single" w:sz="4" w:space="0" w:color="000000"/>
              <w:right w:val="single" w:sz="4" w:space="0" w:color="000000"/>
            </w:tcBorders>
            <w:shd w:val="clear" w:color="auto" w:fill="D2D2D2"/>
          </w:tcPr>
          <w:p>
            <w:pPr/>
          </w:p>
        </w:tc>
        <w:tc>
          <w:tcPr>
            <w:tcW w:w="1068" w:type="dxa"/>
            <w:gridSpan w:val="2"/>
            <w:vMerge/>
            <w:tcBorders>
              <w:left w:val="single" w:sz="4" w:space="0" w:color="000000"/>
              <w:right w:val="single" w:sz="4" w:space="0" w:color="000000"/>
            </w:tcBorders>
            <w:shd w:val="clear" w:color="auto" w:fill="D2D2D2"/>
          </w:tcPr>
          <w:p>
            <w:pPr/>
          </w:p>
        </w:tc>
      </w:tr>
      <w:tr>
        <w:trPr>
          <w:trHeight w:val="140" w:hRule="exact"/>
        </w:trPr>
        <w:tc>
          <w:tcPr>
            <w:tcW w:w="994" w:type="dxa"/>
            <w:vMerge/>
            <w:tcBorders>
              <w:left w:val="single" w:sz="4" w:space="0" w:color="000000"/>
              <w:bottom w:val="single" w:sz="4" w:space="0" w:color="000000"/>
              <w:right w:val="single" w:sz="4" w:space="0" w:color="000000"/>
            </w:tcBorders>
            <w:shd w:val="clear" w:color="auto" w:fill="D2D2D2"/>
          </w:tcPr>
          <w:p>
            <w:pPr/>
          </w:p>
        </w:tc>
        <w:tc>
          <w:tcPr>
            <w:tcW w:w="1416" w:type="dxa"/>
            <w:gridSpan w:val="3"/>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gridSpan w:val="2"/>
            <w:vMerge/>
            <w:tcBorders>
              <w:left w:val="single" w:sz="4" w:space="0" w:color="000000"/>
              <w:bottom w:val="single" w:sz="4" w:space="0" w:color="000000"/>
              <w:right w:val="single" w:sz="4" w:space="0" w:color="000000"/>
            </w:tcBorders>
            <w:shd w:val="clear" w:color="auto" w:fill="D2D2D2"/>
          </w:tcPr>
          <w:p>
            <w:pPr/>
          </w:p>
        </w:tc>
        <w:tc>
          <w:tcPr>
            <w:tcW w:w="993" w:type="dxa"/>
            <w:gridSpan w:val="2"/>
            <w:vMerge/>
            <w:tcBorders>
              <w:left w:val="single" w:sz="4" w:space="0" w:color="000000"/>
              <w:bottom w:val="single" w:sz="4" w:space="0" w:color="000000"/>
              <w:right w:val="single" w:sz="4" w:space="0" w:color="000000"/>
            </w:tcBorders>
            <w:shd w:val="clear" w:color="auto" w:fill="D2D2D2"/>
          </w:tcPr>
          <w:p>
            <w:pPr/>
          </w:p>
        </w:tc>
        <w:tc>
          <w:tcPr>
            <w:tcW w:w="1131" w:type="dxa"/>
            <w:vMerge/>
            <w:tcBorders>
              <w:left w:val="single" w:sz="4" w:space="0" w:color="000000"/>
              <w:bottom w:val="single" w:sz="4" w:space="0" w:color="000000"/>
              <w:right w:val="single" w:sz="4" w:space="0" w:color="000000"/>
            </w:tcBorders>
            <w:shd w:val="clear" w:color="auto" w:fill="D2D2D2"/>
          </w:tcPr>
          <w:p>
            <w:pPr/>
          </w:p>
        </w:tc>
        <w:tc>
          <w:tcPr>
            <w:tcW w:w="1068" w:type="dxa"/>
            <w:gridSpan w:val="2"/>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37.50%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3" w:right="0"/>
              <w:jc w:val="left"/>
              <w:rPr>
                <w:rFonts w:ascii="Times New Roman" w:hAnsi="Times New Roman" w:cs="Times New Roman" w:eastAsia="Times New Roman" w:hint="default"/>
                <w:sz w:val="18"/>
                <w:szCs w:val="18"/>
              </w:rPr>
            </w:pPr>
            <w:r>
              <w:rPr>
                <w:rFonts w:ascii="Times New Roman"/>
                <w:sz w:val="18"/>
              </w:rPr>
              <w:t>60,750,000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8" w:right="0"/>
              <w:jc w:val="left"/>
              <w:rPr>
                <w:rFonts w:ascii="Times New Roman" w:hAnsi="Times New Roman" w:cs="Times New Roman" w:eastAsia="Times New Roman" w:hint="default"/>
                <w:sz w:val="18"/>
                <w:szCs w:val="18"/>
              </w:rPr>
            </w:pPr>
            <w:r>
              <w:rPr>
                <w:rFonts w:ascii="Times New Roman"/>
                <w:sz w:val="18"/>
              </w:rPr>
              <w:t>20,250,000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8" w:right="0"/>
              <w:jc w:val="left"/>
              <w:rPr>
                <w:rFonts w:ascii="Times New Roman" w:hAnsi="Times New Roman" w:cs="Times New Roman" w:eastAsia="Times New Roman" w:hint="default"/>
                <w:sz w:val="18"/>
                <w:szCs w:val="18"/>
              </w:rPr>
            </w:pPr>
            <w:r>
              <w:rPr>
                <w:rFonts w:ascii="Times New Roman"/>
                <w:sz w:val="18"/>
              </w:rPr>
              <w:t>60,750,000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31" w:type="dxa"/>
            <w:tcBorders>
              <w:top w:val="single" w:sz="48" w:space="0" w:color="D2D2D2"/>
              <w:left w:val="single" w:sz="4" w:space="0" w:color="000000"/>
              <w:bottom w:val="single" w:sz="4" w:space="0" w:color="000000"/>
              <w:right w:val="single" w:sz="4" w:space="0" w:color="000000"/>
            </w:tcBorders>
          </w:tcPr>
          <w:p>
            <w:pPr>
              <w:pStyle w:val="TableParagraph"/>
              <w:spacing w:line="233" w:lineRule="exact"/>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8" w:space="0" w:color="D2D2D2"/>
              <w:left w:val="single" w:sz="4" w:space="0" w:color="000000"/>
              <w:bottom w:val="single" w:sz="4" w:space="0" w:color="000000"/>
              <w:right w:val="single" w:sz="4" w:space="0" w:color="000000"/>
            </w:tcBorders>
          </w:tcPr>
          <w:p>
            <w:pPr>
              <w:pStyle w:val="TableParagraph"/>
              <w:spacing w:line="240" w:lineRule="auto" w:before="37"/>
              <w:ind w:left="224" w:right="0"/>
              <w:jc w:val="left"/>
              <w:rPr>
                <w:rFonts w:ascii="Times New Roman" w:hAnsi="Times New Roman" w:cs="Times New Roman" w:eastAsia="Times New Roman" w:hint="default"/>
                <w:sz w:val="18"/>
                <w:szCs w:val="18"/>
              </w:rPr>
            </w:pPr>
            <w:r>
              <w:rPr>
                <w:rFonts w:ascii="Times New Roman"/>
                <w:sz w:val="18"/>
              </w:rPr>
              <w:t>22,000,000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橙色动力</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12.50%</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3" w:right="0"/>
              <w:jc w:val="left"/>
              <w:rPr>
                <w:rFonts w:ascii="Times New Roman" w:hAnsi="Times New Roman" w:cs="Times New Roman" w:eastAsia="Times New Roman" w:hint="default"/>
                <w:sz w:val="18"/>
                <w:szCs w:val="18"/>
              </w:rPr>
            </w:pPr>
            <w:r>
              <w:rPr>
                <w:rFonts w:ascii="Times New Roman"/>
                <w:sz w:val="18"/>
              </w:rPr>
              <w:t>20,250,000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7" w:right="0"/>
              <w:jc w:val="left"/>
              <w:rPr>
                <w:rFonts w:ascii="Times New Roman" w:hAnsi="Times New Roman" w:cs="Times New Roman" w:eastAsia="Times New Roman" w:hint="default"/>
                <w:sz w:val="18"/>
                <w:szCs w:val="18"/>
              </w:rPr>
            </w:pPr>
            <w:r>
              <w:rPr>
                <w:rFonts w:ascii="Times New Roman"/>
                <w:sz w:val="18"/>
              </w:rPr>
              <w:t>6,750,000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8" w:right="0"/>
              <w:jc w:val="left"/>
              <w:rPr>
                <w:rFonts w:ascii="Times New Roman" w:hAnsi="Times New Roman" w:cs="Times New Roman" w:eastAsia="Times New Roman" w:hint="default"/>
                <w:sz w:val="18"/>
                <w:szCs w:val="18"/>
              </w:rPr>
            </w:pPr>
            <w:r>
              <w:rPr>
                <w:rFonts w:ascii="Times New Roman"/>
                <w:sz w:val="18"/>
              </w:rPr>
              <w:t>20,250,000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4" w:right="0"/>
              <w:jc w:val="left"/>
              <w:rPr>
                <w:rFonts w:ascii="Times New Roman" w:hAnsi="Times New Roman" w:cs="Times New Roman" w:eastAsia="Times New Roman" w:hint="default"/>
                <w:sz w:val="18"/>
                <w:szCs w:val="18"/>
              </w:rPr>
            </w:pPr>
            <w:r>
              <w:rPr>
                <w:rFonts w:ascii="Times New Roman"/>
                <w:sz w:val="18"/>
              </w:rPr>
              <w:t>20,250,000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伟岸仲合</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3"/>
                <w:sz w:val="18"/>
              </w:rPr>
              <w:t>11.11%</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3" w:right="0"/>
              <w:jc w:val="left"/>
              <w:rPr>
                <w:rFonts w:ascii="Times New Roman" w:hAnsi="Times New Roman" w:cs="Times New Roman" w:eastAsia="Times New Roman" w:hint="default"/>
                <w:sz w:val="18"/>
                <w:szCs w:val="18"/>
              </w:rPr>
            </w:pPr>
            <w:r>
              <w:rPr>
                <w:rFonts w:ascii="Times New Roman"/>
                <w:sz w:val="18"/>
              </w:rPr>
              <w:t>18,000,000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7" w:right="0"/>
              <w:jc w:val="left"/>
              <w:rPr>
                <w:rFonts w:ascii="Times New Roman" w:hAnsi="Times New Roman" w:cs="Times New Roman" w:eastAsia="Times New Roman" w:hint="default"/>
                <w:sz w:val="18"/>
                <w:szCs w:val="18"/>
              </w:rPr>
            </w:pPr>
            <w:r>
              <w:rPr>
                <w:rFonts w:ascii="Times New Roman"/>
                <w:sz w:val="18"/>
              </w:rPr>
              <w:t>6,000,000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8" w:right="0"/>
              <w:jc w:val="left"/>
              <w:rPr>
                <w:rFonts w:ascii="Times New Roman" w:hAnsi="Times New Roman" w:cs="Times New Roman" w:eastAsia="Times New Roman" w:hint="default"/>
                <w:sz w:val="18"/>
                <w:szCs w:val="18"/>
              </w:rPr>
            </w:pPr>
            <w:r>
              <w:rPr>
                <w:rFonts w:ascii="Times New Roman"/>
                <w:sz w:val="18"/>
              </w:rPr>
              <w:t>18,000,000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0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4" w:right="0"/>
              <w:jc w:val="left"/>
              <w:rPr>
                <w:rFonts w:ascii="Times New Roman" w:hAnsi="Times New Roman" w:cs="Times New Roman" w:eastAsia="Times New Roman" w:hint="default"/>
                <w:sz w:val="18"/>
                <w:szCs w:val="18"/>
              </w:rPr>
            </w:pPr>
            <w:r>
              <w:rPr>
                <w:rFonts w:ascii="Times New Roman"/>
                <w:sz w:val="18"/>
              </w:rPr>
              <w:t>14,295,000</w:t>
            </w: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金凤银凰</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10.14%</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33" w:right="0"/>
              <w:jc w:val="left"/>
              <w:rPr>
                <w:rFonts w:ascii="Times New Roman" w:hAnsi="Times New Roman" w:cs="Times New Roman" w:eastAsia="Times New Roman" w:hint="default"/>
                <w:sz w:val="18"/>
                <w:szCs w:val="18"/>
              </w:rPr>
            </w:pPr>
            <w:r>
              <w:rPr>
                <w:rFonts w:ascii="Times New Roman"/>
                <w:sz w:val="18"/>
              </w:rPr>
              <w:t>16,425,000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8" w:right="0"/>
              <w:jc w:val="left"/>
              <w:rPr>
                <w:rFonts w:ascii="Times New Roman" w:hAnsi="Times New Roman" w:cs="Times New Roman" w:eastAsia="Times New Roman" w:hint="default"/>
                <w:sz w:val="18"/>
                <w:szCs w:val="18"/>
              </w:rPr>
            </w:pPr>
            <w:r>
              <w:rPr>
                <w:rFonts w:ascii="Times New Roman"/>
                <w:sz w:val="18"/>
              </w:rPr>
              <w:t>5,475,000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48" w:right="0"/>
              <w:jc w:val="left"/>
              <w:rPr>
                <w:rFonts w:ascii="Times New Roman" w:hAnsi="Times New Roman" w:cs="Times New Roman" w:eastAsia="Times New Roman" w:hint="default"/>
                <w:sz w:val="18"/>
                <w:szCs w:val="18"/>
              </w:rPr>
            </w:pPr>
            <w:r>
              <w:rPr>
                <w:rFonts w:ascii="Times New Roman"/>
                <w:sz w:val="18"/>
              </w:rPr>
              <w:t>16,425,000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BBDO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亚太</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境外法人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2.82%</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3" w:right="0"/>
              <w:jc w:val="left"/>
              <w:rPr>
                <w:rFonts w:ascii="Times New Roman" w:hAnsi="Times New Roman" w:cs="Times New Roman" w:eastAsia="Times New Roman" w:hint="default"/>
                <w:sz w:val="18"/>
                <w:szCs w:val="18"/>
              </w:rPr>
            </w:pPr>
            <w:r>
              <w:rPr>
                <w:rFonts w:ascii="Times New Roman"/>
                <w:sz w:val="18"/>
              </w:rPr>
              <w:t>4,575,075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4" w:right="0"/>
              <w:jc w:val="left"/>
              <w:rPr>
                <w:rFonts w:ascii="Times New Roman" w:hAnsi="Times New Roman" w:cs="Times New Roman" w:eastAsia="Times New Roman" w:hint="default"/>
                <w:sz w:val="18"/>
                <w:szCs w:val="18"/>
              </w:rPr>
            </w:pPr>
            <w:r>
              <w:rPr>
                <w:rFonts w:ascii="Times New Roman"/>
                <w:sz w:val="18"/>
              </w:rPr>
              <w:t>525,075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8" w:right="0"/>
              <w:jc w:val="left"/>
              <w:rPr>
                <w:rFonts w:ascii="Times New Roman" w:hAnsi="Times New Roman" w:cs="Times New Roman" w:eastAsia="Times New Roman" w:hint="default"/>
                <w:sz w:val="18"/>
                <w:szCs w:val="18"/>
              </w:rPr>
            </w:pPr>
            <w:r>
              <w:rPr>
                <w:rFonts w:ascii="Times New Roman"/>
                <w:sz w:val="18"/>
              </w:rPr>
              <w:t>4,575,075</w:t>
            </w:r>
          </w:p>
        </w:tc>
        <w:tc>
          <w:tcPr>
            <w:tcW w:w="1131"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1.02%</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23" w:right="0"/>
              <w:jc w:val="left"/>
              <w:rPr>
                <w:rFonts w:ascii="Times New Roman" w:hAnsi="Times New Roman" w:cs="Times New Roman" w:eastAsia="Times New Roman" w:hint="default"/>
                <w:sz w:val="18"/>
                <w:szCs w:val="18"/>
              </w:rPr>
            </w:pPr>
            <w:r>
              <w:rPr>
                <w:rFonts w:ascii="Times New Roman"/>
                <w:sz w:val="18"/>
              </w:rPr>
              <w:t>1,650,075</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8" w:right="0"/>
              <w:jc w:val="left"/>
              <w:rPr>
                <w:rFonts w:ascii="Times New Roman" w:hAnsi="Times New Roman" w:cs="Times New Roman" w:eastAsia="Times New Roman" w:hint="default"/>
                <w:sz w:val="18"/>
                <w:szCs w:val="18"/>
              </w:rPr>
            </w:pPr>
            <w:r>
              <w:rPr>
                <w:rFonts w:ascii="Times New Roman"/>
                <w:sz w:val="18"/>
              </w:rPr>
              <w:t>1,650,075</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8" w:right="0"/>
              <w:jc w:val="left"/>
              <w:rPr>
                <w:rFonts w:ascii="Times New Roman" w:hAnsi="Times New Roman" w:cs="Times New Roman" w:eastAsia="Times New Roman" w:hint="default"/>
                <w:sz w:val="18"/>
                <w:szCs w:val="18"/>
              </w:rPr>
            </w:pPr>
            <w:r>
              <w:rPr>
                <w:rFonts w:ascii="Times New Roman"/>
                <w:sz w:val="18"/>
              </w:rPr>
              <w:t>1,237,555</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4" w:right="0"/>
              <w:jc w:val="left"/>
              <w:rPr>
                <w:rFonts w:ascii="Times New Roman" w:hAnsi="Times New Roman" w:cs="Times New Roman" w:eastAsia="Times New Roman" w:hint="default"/>
                <w:sz w:val="18"/>
                <w:szCs w:val="18"/>
              </w:rPr>
            </w:pPr>
            <w:r>
              <w:rPr>
                <w:rFonts w:ascii="Times New Roman"/>
                <w:sz w:val="18"/>
              </w:rPr>
              <w:t>412,520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于连水</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0.17%</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9" w:right="0"/>
              <w:jc w:val="left"/>
              <w:rPr>
                <w:rFonts w:ascii="Times New Roman" w:hAnsi="Times New Roman" w:cs="Times New Roman" w:eastAsia="Times New Roman" w:hint="default"/>
                <w:sz w:val="18"/>
                <w:szCs w:val="18"/>
              </w:rPr>
            </w:pPr>
            <w:r>
              <w:rPr>
                <w:rFonts w:ascii="Times New Roman"/>
                <w:sz w:val="18"/>
              </w:rPr>
              <w:t>274,400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4" w:right="0"/>
              <w:jc w:val="left"/>
              <w:rPr>
                <w:rFonts w:ascii="Times New Roman" w:hAnsi="Times New Roman" w:cs="Times New Roman" w:eastAsia="Times New Roman" w:hint="default"/>
                <w:sz w:val="18"/>
                <w:szCs w:val="18"/>
              </w:rPr>
            </w:pPr>
            <w:r>
              <w:rPr>
                <w:rFonts w:ascii="Times New Roman"/>
                <w:sz w:val="18"/>
              </w:rPr>
              <w:t>274,400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4" w:right="0"/>
              <w:jc w:val="left"/>
              <w:rPr>
                <w:rFonts w:ascii="Times New Roman" w:hAnsi="Times New Roman" w:cs="Times New Roman" w:eastAsia="Times New Roman" w:hint="default"/>
                <w:sz w:val="18"/>
                <w:szCs w:val="18"/>
              </w:rPr>
            </w:pPr>
            <w:r>
              <w:rPr>
                <w:rFonts w:ascii="Times New Roman"/>
                <w:sz w:val="18"/>
              </w:rPr>
              <w:t>274,400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刘丹</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0.16%</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9" w:right="0"/>
              <w:jc w:val="left"/>
              <w:rPr>
                <w:rFonts w:ascii="Times New Roman" w:hAnsi="Times New Roman" w:cs="Times New Roman" w:eastAsia="Times New Roman" w:hint="default"/>
                <w:sz w:val="18"/>
                <w:szCs w:val="18"/>
              </w:rPr>
            </w:pPr>
            <w:r>
              <w:rPr>
                <w:rFonts w:ascii="Times New Roman"/>
                <w:sz w:val="18"/>
              </w:rPr>
              <w:t>259,200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4" w:right="0"/>
              <w:jc w:val="left"/>
              <w:rPr>
                <w:rFonts w:ascii="Times New Roman" w:hAnsi="Times New Roman" w:cs="Times New Roman" w:eastAsia="Times New Roman" w:hint="default"/>
                <w:sz w:val="18"/>
                <w:szCs w:val="18"/>
              </w:rPr>
            </w:pPr>
            <w:r>
              <w:rPr>
                <w:rFonts w:ascii="Times New Roman"/>
                <w:sz w:val="18"/>
              </w:rPr>
              <w:t>259,200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4" w:right="0"/>
              <w:jc w:val="left"/>
              <w:rPr>
                <w:rFonts w:ascii="Times New Roman" w:hAnsi="Times New Roman" w:cs="Times New Roman" w:eastAsia="Times New Roman" w:hint="default"/>
                <w:sz w:val="18"/>
                <w:szCs w:val="18"/>
              </w:rPr>
            </w:pPr>
            <w:r>
              <w:rPr>
                <w:rFonts w:ascii="Times New Roman"/>
                <w:sz w:val="18"/>
              </w:rPr>
              <w:t>259,200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韩忠祥</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0.13%</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9" w:right="0"/>
              <w:jc w:val="left"/>
              <w:rPr>
                <w:rFonts w:ascii="Times New Roman" w:hAnsi="Times New Roman" w:cs="Times New Roman" w:eastAsia="Times New Roman" w:hint="default"/>
                <w:sz w:val="18"/>
                <w:szCs w:val="18"/>
              </w:rPr>
            </w:pPr>
            <w:r>
              <w:rPr>
                <w:rFonts w:ascii="Times New Roman"/>
                <w:sz w:val="18"/>
              </w:rPr>
              <w:t>205,000</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4" w:right="0"/>
              <w:jc w:val="left"/>
              <w:rPr>
                <w:rFonts w:ascii="Times New Roman" w:hAnsi="Times New Roman" w:cs="Times New Roman" w:eastAsia="Times New Roman" w:hint="default"/>
                <w:sz w:val="18"/>
                <w:szCs w:val="18"/>
              </w:rPr>
            </w:pPr>
            <w:r>
              <w:rPr>
                <w:rFonts w:ascii="Times New Roman"/>
                <w:sz w:val="18"/>
              </w:rPr>
              <w:t>205,000</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4" w:right="0"/>
              <w:jc w:val="left"/>
              <w:rPr>
                <w:rFonts w:ascii="Times New Roman" w:hAnsi="Times New Roman" w:cs="Times New Roman" w:eastAsia="Times New Roman" w:hint="default"/>
                <w:sz w:val="18"/>
                <w:szCs w:val="18"/>
              </w:rPr>
            </w:pPr>
            <w:r>
              <w:rPr>
                <w:rFonts w:ascii="Times New Roman"/>
                <w:sz w:val="18"/>
              </w:rPr>
              <w:t>205,000</w:t>
            </w:r>
          </w:p>
        </w:tc>
        <w:tc>
          <w:tcPr>
            <w:tcW w:w="1131"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毛立洪</w:t>
            </w:r>
          </w:p>
        </w:tc>
        <w:tc>
          <w:tcPr>
            <w:tcW w:w="1416"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0.11%</w:t>
            </w:r>
          </w:p>
        </w:tc>
        <w:tc>
          <w:tcPr>
            <w:tcW w:w="127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59" w:right="0"/>
              <w:jc w:val="left"/>
              <w:rPr>
                <w:rFonts w:ascii="Times New Roman" w:hAnsi="Times New Roman" w:cs="Times New Roman" w:eastAsia="Times New Roman" w:hint="default"/>
                <w:sz w:val="18"/>
                <w:szCs w:val="18"/>
              </w:rPr>
            </w:pPr>
            <w:r>
              <w:rPr>
                <w:rFonts w:ascii="Times New Roman"/>
                <w:sz w:val="18"/>
              </w:rPr>
              <w:t>184,923</w:t>
            </w:r>
          </w:p>
        </w:tc>
        <w:tc>
          <w:tcPr>
            <w:tcW w:w="9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4" w:right="0"/>
              <w:jc w:val="left"/>
              <w:rPr>
                <w:rFonts w:ascii="Times New Roman" w:hAnsi="Times New Roman" w:cs="Times New Roman" w:eastAsia="Times New Roman" w:hint="default"/>
                <w:sz w:val="18"/>
                <w:szCs w:val="18"/>
              </w:rPr>
            </w:pPr>
            <w:r>
              <w:rPr>
                <w:rFonts w:ascii="Times New Roman"/>
                <w:sz w:val="18"/>
              </w:rPr>
              <w:t>184,923</w:t>
            </w:r>
          </w:p>
        </w:tc>
        <w:tc>
          <w:tcPr>
            <w:tcW w:w="99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Times New Roman" w:hAnsi="Times New Roman" w:cs="Times New Roman" w:eastAsia="Times New Roman" w:hint="default"/>
                <w:sz w:val="18"/>
                <w:szCs w:val="18"/>
              </w:rPr>
            </w:pPr>
            <w:r>
              <w:rPr>
                <w:rFonts w:ascii="Times New Roman"/>
                <w:sz w:val="18"/>
              </w:rPr>
              <w:t>0</w:t>
            </w:r>
          </w:p>
        </w:tc>
        <w:tc>
          <w:tcPr>
            <w:tcW w:w="993"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74" w:right="0"/>
              <w:jc w:val="left"/>
              <w:rPr>
                <w:rFonts w:ascii="Times New Roman" w:hAnsi="Times New Roman" w:cs="Times New Roman" w:eastAsia="Times New Roman" w:hint="default"/>
                <w:sz w:val="18"/>
                <w:szCs w:val="18"/>
              </w:rPr>
            </w:pPr>
            <w:r>
              <w:rPr>
                <w:rFonts w:ascii="Times New Roman"/>
                <w:sz w:val="18"/>
              </w:rPr>
              <w:t>184,923</w:t>
            </w:r>
          </w:p>
        </w:tc>
        <w:tc>
          <w:tcPr>
            <w:tcW w:w="1131" w:type="dxa"/>
            <w:tcBorders>
              <w:top w:val="single" w:sz="4" w:space="0" w:color="000000"/>
              <w:left w:val="single" w:sz="4" w:space="0" w:color="000000"/>
              <w:bottom w:val="single" w:sz="4" w:space="0" w:color="000000"/>
              <w:right w:val="single" w:sz="4" w:space="0" w:color="000000"/>
            </w:tcBorders>
          </w:tcPr>
          <w:p>
            <w:pPr/>
          </w:p>
        </w:tc>
        <w:tc>
          <w:tcPr>
            <w:tcW w:w="1068" w:type="dxa"/>
            <w:gridSpan w:val="2"/>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4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35"/>
              <w:jc w:val="left"/>
              <w:rPr>
                <w:rFonts w:ascii="宋体" w:hAnsi="宋体" w:cs="宋体" w:eastAsia="宋体" w:hint="default"/>
                <w:sz w:val="18"/>
                <w:szCs w:val="18"/>
              </w:rPr>
            </w:pPr>
            <w:r>
              <w:rPr>
                <w:rFonts w:ascii="宋体" w:hAnsi="宋体" w:cs="宋体" w:eastAsia="宋体" w:hint="default"/>
                <w:sz w:val="18"/>
                <w:szCs w:val="18"/>
              </w:rPr>
              <w:t>战略投资者或一般法人因配售 新股成为前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名股东的情况</w:t>
            </w: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（如有</w:t>
            </w:r>
            <w:r>
              <w:rPr>
                <w:rFonts w:ascii="宋体" w:hAnsi="宋体" w:cs="宋体" w:eastAsia="宋体" w:hint="default"/>
                <w:spacing w:val="-90"/>
                <w:sz w:val="18"/>
                <w:szCs w:val="18"/>
              </w:rPr>
              <w:t>）</w:t>
            </w:r>
            <w:r>
              <w:rPr>
                <w:rFonts w:ascii="宋体" w:hAnsi="宋体" w:cs="宋体" w:eastAsia="宋体" w:hint="default"/>
                <w:sz w:val="18"/>
                <w:szCs w:val="18"/>
              </w:rPr>
              <w:t>（参见注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7161"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3910" w:hRule="exact"/>
        </w:trPr>
        <w:tc>
          <w:tcPr>
            <w:tcW w:w="2410"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8"/>
                <w:szCs w:val="18"/>
              </w:rPr>
            </w:pPr>
          </w:p>
          <w:p>
            <w:pPr>
              <w:pStyle w:val="TableParagraph"/>
              <w:spacing w:line="316" w:lineRule="auto"/>
              <w:ind w:left="22" w:right="35"/>
              <w:jc w:val="left"/>
              <w:rPr>
                <w:rFonts w:ascii="宋体" w:hAnsi="宋体" w:cs="宋体" w:eastAsia="宋体" w:hint="default"/>
                <w:sz w:val="18"/>
                <w:szCs w:val="18"/>
              </w:rPr>
            </w:pPr>
            <w:r>
              <w:rPr>
                <w:rFonts w:ascii="宋体" w:hAnsi="宋体" w:cs="宋体" w:eastAsia="宋体" w:hint="default"/>
                <w:sz w:val="18"/>
                <w:szCs w:val="18"/>
              </w:rPr>
              <w:t>上述股东关联关系或一致行动 的说明</w:t>
            </w:r>
          </w:p>
        </w:tc>
        <w:tc>
          <w:tcPr>
            <w:tcW w:w="7161" w:type="dxa"/>
            <w:gridSpan w:val="1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302" w:lineRule="auto"/>
              <w:ind w:left="23" w:right="19"/>
              <w:jc w:val="left"/>
              <w:rPr>
                <w:rFonts w:ascii="宋体" w:hAnsi="宋体" w:cs="宋体" w:eastAsia="宋体" w:hint="default"/>
                <w:sz w:val="18"/>
                <w:szCs w:val="18"/>
              </w:rPr>
            </w:pPr>
            <w:r>
              <w:rPr>
                <w:rFonts w:ascii="宋体" w:hAnsi="宋体" w:cs="宋体" w:eastAsia="宋体" w:hint="default"/>
                <w:spacing w:val="-2"/>
                <w:sz w:val="18"/>
                <w:szCs w:val="18"/>
              </w:rPr>
              <w:t>张秀兵、万丽莉夫妇持有公司控股股东宣亚投资</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100.00%</w:t>
            </w:r>
            <w:r>
              <w:rPr>
                <w:rFonts w:ascii="宋体" w:hAnsi="宋体" w:cs="宋体" w:eastAsia="宋体" w:hint="default"/>
                <w:spacing w:val="-2"/>
                <w:sz w:val="18"/>
                <w:szCs w:val="18"/>
              </w:rPr>
              <w:t>的股权，通过宣亚投资间接持有公</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37.50%</w:t>
            </w:r>
            <w:r>
              <w:rPr>
                <w:rFonts w:ascii="宋体" w:hAnsi="宋体" w:cs="宋体" w:eastAsia="宋体" w:hint="default"/>
                <w:sz w:val="18"/>
                <w:szCs w:val="18"/>
              </w:rPr>
              <w:t>的股权，系公司实际控制人。张秀兵先生直接持有公司股份</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1,650,075</w:t>
            </w:r>
            <w:r>
              <w:rPr>
                <w:rFonts w:ascii="Times New Roman" w:hAnsi="Times New Roman" w:cs="Times New Roman" w:eastAsia="Times New Roman" w:hint="default"/>
                <w:spacing w:val="-14"/>
                <w:sz w:val="18"/>
                <w:szCs w:val="18"/>
              </w:rPr>
              <w:t> </w:t>
            </w:r>
            <w:r>
              <w:rPr>
                <w:rFonts w:ascii="宋体" w:hAnsi="宋体" w:cs="宋体" w:eastAsia="宋体" w:hint="default"/>
                <w:spacing w:val="-5"/>
                <w:sz w:val="18"/>
                <w:szCs w:val="18"/>
              </w:rPr>
              <w:t>股，占公司</w:t>
            </w:r>
            <w:r>
              <w:rPr>
                <w:rFonts w:ascii="宋体" w:hAnsi="宋体" w:cs="宋体" w:eastAsia="宋体" w:hint="default"/>
                <w:sz w:val="18"/>
                <w:szCs w:val="18"/>
              </w:rPr>
              <w:t> 总股本的</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1.02%</w:t>
            </w:r>
            <w:r>
              <w:rPr>
                <w:rFonts w:ascii="宋体" w:hAnsi="宋体" w:cs="宋体" w:eastAsia="宋体" w:hint="default"/>
                <w:spacing w:val="-3"/>
                <w:sz w:val="18"/>
                <w:szCs w:val="18"/>
              </w:rPr>
              <w:t>，其中</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1,237,555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股为高管锁定股，</w:t>
            </w:r>
            <w:r>
              <w:rPr>
                <w:rFonts w:ascii="Times New Roman" w:hAnsi="Times New Roman" w:cs="Times New Roman" w:eastAsia="Times New Roman" w:hint="default"/>
                <w:sz w:val="18"/>
                <w:szCs w:val="18"/>
              </w:rPr>
              <w:t>412,520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股为无限售流通股；通过宣亚投 资间接持有公司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33.75%</w:t>
            </w:r>
            <w:r>
              <w:rPr>
                <w:rFonts w:ascii="宋体" w:hAnsi="宋体" w:cs="宋体" w:eastAsia="宋体" w:hint="default"/>
                <w:sz w:val="18"/>
                <w:szCs w:val="18"/>
              </w:rPr>
              <w:t>的股权；通过橙色动力间接持有公司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0.41%</w:t>
            </w:r>
            <w:r>
              <w:rPr>
                <w:rFonts w:ascii="宋体" w:hAnsi="宋体" w:cs="宋体" w:eastAsia="宋体" w:hint="default"/>
                <w:sz w:val="18"/>
                <w:szCs w:val="18"/>
              </w:rPr>
              <w:t>的股权。公司实际控制 人与上述其他股东之间不存在关联关系，也不存在一致行动。其中伟岸仲合执行事务合伙 人张伟先生除了持有伟岸仲合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75.00%</w:t>
            </w:r>
            <w:r>
              <w:rPr>
                <w:rFonts w:ascii="宋体" w:hAnsi="宋体" w:cs="宋体" w:eastAsia="宋体" w:hint="default"/>
                <w:sz w:val="18"/>
                <w:szCs w:val="18"/>
              </w:rPr>
              <w:t>的财产份额以外，还同时作为有限合伙人持有金凤银 凰</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13.70%</w:t>
            </w:r>
            <w:r>
              <w:rPr>
                <w:rFonts w:ascii="宋体" w:hAnsi="宋体" w:cs="宋体" w:eastAsia="宋体" w:hint="default"/>
                <w:sz w:val="18"/>
                <w:szCs w:val="18"/>
              </w:rPr>
              <w:t>的财产份额。橙色动力为公司员工持股平台。除此之外，公司未知前</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1"/>
                <w:sz w:val="18"/>
                <w:szCs w:val="18"/>
              </w:rPr>
              <w:t> </w:t>
            </w:r>
            <w:r>
              <w:rPr>
                <w:rFonts w:ascii="宋体" w:hAnsi="宋体" w:cs="宋体" w:eastAsia="宋体" w:hint="default"/>
                <w:sz w:val="18"/>
                <w:szCs w:val="18"/>
              </w:rPr>
              <w:t>名其他股 东之间是否存在关联关系。</w:t>
            </w:r>
          </w:p>
        </w:tc>
      </w:tr>
    </w:tbl>
    <w:p>
      <w:pPr>
        <w:spacing w:after="0" w:line="302"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410"/>
        <w:gridCol w:w="4963"/>
        <w:gridCol w:w="1136"/>
        <w:gridCol w:w="1062"/>
      </w:tblGrid>
      <w:tr>
        <w:trPr>
          <w:trHeight w:val="616" w:hRule="exact"/>
        </w:trPr>
        <w:tc>
          <w:tcPr>
            <w:tcW w:w="957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58"/>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名无限售条件股东持股情况</w:t>
            </w:r>
          </w:p>
        </w:tc>
      </w:tr>
      <w:tr>
        <w:trPr>
          <w:trHeight w:val="401" w:hRule="exact"/>
        </w:trPr>
        <w:tc>
          <w:tcPr>
            <w:tcW w:w="241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9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1126"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19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2" w:hRule="exact"/>
        </w:trPr>
        <w:tc>
          <w:tcPr>
            <w:tcW w:w="2410" w:type="dxa"/>
            <w:vMerge/>
            <w:tcBorders>
              <w:left w:val="single" w:sz="4" w:space="0" w:color="000000"/>
              <w:bottom w:val="single" w:sz="4" w:space="0" w:color="000000"/>
              <w:right w:val="single" w:sz="4" w:space="0" w:color="000000"/>
            </w:tcBorders>
            <w:shd w:val="clear" w:color="auto" w:fill="D2D2D2"/>
          </w:tcPr>
          <w:p>
            <w:pPr/>
          </w:p>
        </w:tc>
        <w:tc>
          <w:tcPr>
            <w:tcW w:w="4963" w:type="dxa"/>
            <w:vMerge/>
            <w:tcBorders>
              <w:left w:val="single" w:sz="4" w:space="0" w:color="000000"/>
              <w:bottom w:val="single" w:sz="4" w:space="0" w:color="000000"/>
              <w:right w:val="single" w:sz="4" w:space="0" w:color="000000"/>
            </w:tcBorders>
            <w:shd w:val="clear" w:color="auto" w:fill="D2D2D2"/>
          </w:tcPr>
          <w:p>
            <w:pP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BBDO</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亚太</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4,575,075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4,575,075</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412,520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412,520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于连水</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274,400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274,400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刘丹</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259,200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259,200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韩忠祥</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205,000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205,000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毛立洪</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184,923</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184,923</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蔡晓叶</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176,050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176,050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黄鹏</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167,250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167,250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蒋利彬</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167,200</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167,200</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利兴强</w:t>
            </w:r>
          </w:p>
        </w:tc>
        <w:tc>
          <w:tcPr>
            <w:tcW w:w="49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162,355</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162,355</w:t>
            </w:r>
          </w:p>
        </w:tc>
      </w:tr>
      <w:tr>
        <w:trPr>
          <w:trHeight w:val="2274"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名无限售流通股股东之</w:t>
            </w:r>
          </w:p>
          <w:p>
            <w:pPr>
              <w:pStyle w:val="TableParagraph"/>
              <w:spacing w:line="240" w:lineRule="auto" w:before="61"/>
              <w:ind w:left="22" w:right="0"/>
              <w:jc w:val="left"/>
              <w:rPr>
                <w:rFonts w:ascii="宋体" w:hAnsi="宋体" w:cs="宋体" w:eastAsia="宋体" w:hint="default"/>
                <w:sz w:val="18"/>
                <w:szCs w:val="18"/>
              </w:rPr>
            </w:pPr>
            <w:r>
              <w:rPr>
                <w:rFonts w:ascii="宋体" w:hAnsi="宋体" w:cs="宋体" w:eastAsia="宋体" w:hint="default"/>
                <w:sz w:val="18"/>
                <w:szCs w:val="18"/>
              </w:rPr>
              <w:t>间</w:t>
            </w:r>
            <w:r>
              <w:rPr>
                <w:rFonts w:ascii="宋体" w:hAnsi="宋体" w:cs="宋体" w:eastAsia="宋体" w:hint="default"/>
                <w:spacing w:val="-76"/>
                <w:sz w:val="18"/>
                <w:szCs w:val="18"/>
              </w:rPr>
              <w:t>，</w:t>
            </w:r>
            <w:r>
              <w:rPr>
                <w:rFonts w:ascii="宋体" w:hAnsi="宋体" w:cs="宋体" w:eastAsia="宋体" w:hint="default"/>
                <w:sz w:val="18"/>
                <w:szCs w:val="18"/>
              </w:rPr>
              <w:t>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w:t>
            </w:r>
          </w:p>
          <w:p>
            <w:pPr>
              <w:pStyle w:val="TableParagraph"/>
              <w:spacing w:line="302" w:lineRule="auto" w:before="63"/>
              <w:ind w:left="22" w:right="125"/>
              <w:jc w:val="left"/>
              <w:rPr>
                <w:rFonts w:ascii="宋体" w:hAnsi="宋体" w:cs="宋体" w:eastAsia="宋体" w:hint="default"/>
                <w:sz w:val="18"/>
                <w:szCs w:val="18"/>
              </w:rPr>
            </w:pPr>
            <w:r>
              <w:rPr>
                <w:rFonts w:ascii="宋体" w:hAnsi="宋体" w:cs="宋体" w:eastAsia="宋体" w:hint="default"/>
                <w:sz w:val="18"/>
                <w:szCs w:val="18"/>
              </w:rPr>
              <w:t>股东和前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名股东之间关联 关系或一致行动的说明</w:t>
            </w:r>
          </w:p>
        </w:tc>
        <w:tc>
          <w:tcPr>
            <w:tcW w:w="7161"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3" w:right="20"/>
              <w:jc w:val="both"/>
              <w:rPr>
                <w:rFonts w:ascii="宋体" w:hAnsi="宋体" w:cs="宋体" w:eastAsia="宋体" w:hint="default"/>
                <w:sz w:val="18"/>
                <w:szCs w:val="18"/>
              </w:rPr>
            </w:pPr>
            <w:r>
              <w:rPr>
                <w:rFonts w:ascii="宋体" w:hAnsi="宋体" w:cs="宋体" w:eastAsia="宋体" w:hint="default"/>
                <w:spacing w:val="-2"/>
                <w:sz w:val="18"/>
                <w:szCs w:val="18"/>
              </w:rPr>
              <w:t>张秀兵、万丽莉夫妇持有公司控股股东宣亚投资</w:t>
            </w:r>
            <w:r>
              <w:rPr>
                <w:rFonts w:ascii="宋体" w:hAnsi="宋体" w:cs="宋体" w:eastAsia="宋体" w:hint="default"/>
                <w:spacing w:val="-35"/>
                <w:sz w:val="18"/>
                <w:szCs w:val="18"/>
              </w:rPr>
              <w:t> </w:t>
            </w:r>
            <w:r>
              <w:rPr>
                <w:rFonts w:ascii="Times New Roman" w:hAnsi="Times New Roman" w:cs="Times New Roman" w:eastAsia="Times New Roman" w:hint="default"/>
                <w:spacing w:val="-2"/>
                <w:sz w:val="18"/>
                <w:szCs w:val="18"/>
              </w:rPr>
              <w:t>100.00%</w:t>
            </w:r>
            <w:r>
              <w:rPr>
                <w:rFonts w:ascii="宋体" w:hAnsi="宋体" w:cs="宋体" w:eastAsia="宋体" w:hint="default"/>
                <w:spacing w:val="-2"/>
                <w:sz w:val="18"/>
                <w:szCs w:val="18"/>
              </w:rPr>
              <w:t>的股权，通过宣亚投资间接持有公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r>
              <w:rPr>
                <w:rFonts w:ascii="宋体" w:hAnsi="宋体" w:cs="宋体" w:eastAsia="宋体" w:hint="default"/>
                <w:spacing w:val="-59"/>
                <w:sz w:val="18"/>
                <w:szCs w:val="18"/>
              </w:rPr>
              <w:t> </w:t>
            </w:r>
            <w:r>
              <w:rPr>
                <w:rFonts w:ascii="Times New Roman" w:hAnsi="Times New Roman" w:cs="Times New Roman" w:eastAsia="Times New Roman" w:hint="default"/>
                <w:sz w:val="18"/>
                <w:szCs w:val="18"/>
              </w:rPr>
              <w:t>37.50%</w:t>
            </w:r>
            <w:r>
              <w:rPr>
                <w:rFonts w:ascii="宋体" w:hAnsi="宋体" w:cs="宋体" w:eastAsia="宋体" w:hint="default"/>
                <w:sz w:val="18"/>
                <w:szCs w:val="18"/>
              </w:rPr>
              <w:t>的股权，系公司实际控制人。张秀兵先生直接持有公司股份</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1,650,075</w:t>
            </w:r>
            <w:r>
              <w:rPr>
                <w:rFonts w:ascii="Times New Roman" w:hAnsi="Times New Roman" w:cs="Times New Roman" w:eastAsia="Times New Roman" w:hint="default"/>
                <w:spacing w:val="-14"/>
                <w:sz w:val="18"/>
                <w:szCs w:val="18"/>
              </w:rPr>
              <w:t> </w:t>
            </w:r>
            <w:r>
              <w:rPr>
                <w:rFonts w:ascii="宋体" w:hAnsi="宋体" w:cs="宋体" w:eastAsia="宋体" w:hint="default"/>
                <w:spacing w:val="-5"/>
                <w:sz w:val="18"/>
                <w:szCs w:val="18"/>
              </w:rPr>
              <w:t>股，占公司</w:t>
            </w:r>
            <w:r>
              <w:rPr>
                <w:rFonts w:ascii="宋体" w:hAnsi="宋体" w:cs="宋体" w:eastAsia="宋体" w:hint="default"/>
                <w:sz w:val="18"/>
                <w:szCs w:val="18"/>
              </w:rPr>
              <w:t> 总股本的</w:t>
            </w:r>
            <w:r>
              <w:rPr>
                <w:rFonts w:ascii="宋体" w:hAnsi="宋体" w:cs="宋体" w:eastAsia="宋体" w:hint="default"/>
                <w:spacing w:val="-56"/>
                <w:sz w:val="18"/>
                <w:szCs w:val="18"/>
              </w:rPr>
              <w:t> </w:t>
            </w:r>
            <w:r>
              <w:rPr>
                <w:rFonts w:ascii="Times New Roman" w:hAnsi="Times New Roman" w:cs="Times New Roman" w:eastAsia="Times New Roman" w:hint="default"/>
                <w:spacing w:val="-3"/>
                <w:sz w:val="18"/>
                <w:szCs w:val="18"/>
              </w:rPr>
              <w:t>1.02%</w:t>
            </w:r>
            <w:r>
              <w:rPr>
                <w:rFonts w:ascii="宋体" w:hAnsi="宋体" w:cs="宋体" w:eastAsia="宋体" w:hint="default"/>
                <w:spacing w:val="-3"/>
                <w:sz w:val="18"/>
                <w:szCs w:val="18"/>
              </w:rPr>
              <w:t>，其中</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1,237,555</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股为高管锁定股，</w:t>
            </w:r>
            <w:r>
              <w:rPr>
                <w:rFonts w:ascii="Times New Roman" w:hAnsi="Times New Roman" w:cs="Times New Roman" w:eastAsia="Times New Roman" w:hint="default"/>
                <w:sz w:val="18"/>
                <w:szCs w:val="18"/>
              </w:rPr>
              <w:t>412,520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股为无限售流通股；通过宣亚投 资间接持有公司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33.75%</w:t>
            </w:r>
            <w:r>
              <w:rPr>
                <w:rFonts w:ascii="宋体" w:hAnsi="宋体" w:cs="宋体" w:eastAsia="宋体" w:hint="default"/>
                <w:sz w:val="18"/>
                <w:szCs w:val="18"/>
              </w:rPr>
              <w:t>的股权；通过橙色动力间接持有公司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0.41%</w:t>
            </w:r>
            <w:r>
              <w:rPr>
                <w:rFonts w:ascii="宋体" w:hAnsi="宋体" w:cs="宋体" w:eastAsia="宋体" w:hint="default"/>
                <w:sz w:val="18"/>
                <w:szCs w:val="18"/>
              </w:rPr>
              <w:t>的股权。公司实际控制 人与上述其他股东之间不存在关联关系，也不存在一致行动。除此之外，公司未知前</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名</w:t>
            </w:r>
          </w:p>
          <w:p>
            <w:pPr>
              <w:pStyle w:val="TableParagraph"/>
              <w:spacing w:line="302" w:lineRule="auto" w:before="13"/>
              <w:ind w:left="23" w:right="104"/>
              <w:jc w:val="both"/>
              <w:rPr>
                <w:rFonts w:ascii="宋体" w:hAnsi="宋体" w:cs="宋体" w:eastAsia="宋体" w:hint="default"/>
                <w:sz w:val="18"/>
                <w:szCs w:val="18"/>
              </w:rPr>
            </w:pPr>
            <w:r>
              <w:rPr>
                <w:rFonts w:ascii="宋体" w:hAnsi="宋体" w:cs="宋体" w:eastAsia="宋体" w:hint="default"/>
                <w:sz w:val="18"/>
                <w:szCs w:val="18"/>
              </w:rPr>
              <w:t>其他无限售流通股股东之间，以及前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名其他无限售流通股和前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名其他股东之间是否 存在关联关系。</w:t>
            </w:r>
          </w:p>
        </w:tc>
      </w:tr>
      <w:tr>
        <w:trPr>
          <w:trHeight w:val="1651"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35"/>
              <w:jc w:val="left"/>
              <w:rPr>
                <w:rFonts w:ascii="宋体" w:hAnsi="宋体" w:cs="宋体" w:eastAsia="宋体" w:hint="default"/>
                <w:sz w:val="18"/>
                <w:szCs w:val="18"/>
              </w:rPr>
            </w:pPr>
            <w:r>
              <w:rPr>
                <w:rFonts w:ascii="宋体" w:hAnsi="宋体" w:cs="宋体" w:eastAsia="宋体" w:hint="default"/>
                <w:sz w:val="18"/>
                <w:szCs w:val="18"/>
              </w:rPr>
              <w:t>参与融资融券业务股东情况说 </w:t>
            </w:r>
            <w:r>
              <w:rPr>
                <w:rFonts w:ascii="宋体" w:hAnsi="宋体" w:cs="宋体" w:eastAsia="宋体" w:hint="default"/>
                <w:spacing w:val="-10"/>
                <w:sz w:val="18"/>
                <w:szCs w:val="18"/>
              </w:rPr>
              <w:t>明（如有）（参见注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p>
        </w:tc>
        <w:tc>
          <w:tcPr>
            <w:tcW w:w="716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股东韩忠祥通过国融证券股份有限公司客户信用交易担保证券账户持有数量</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205,000</w:t>
            </w:r>
            <w:r>
              <w:rPr>
                <w:rFonts w:ascii="Times New Roman" w:hAnsi="Times New Roman" w:cs="Times New Roman" w:eastAsia="Times New Roman" w:hint="default"/>
                <w:spacing w:val="-1"/>
                <w:sz w:val="18"/>
                <w:szCs w:val="18"/>
              </w:rPr>
              <w:t> </w:t>
            </w:r>
            <w:r>
              <w:rPr>
                <w:rFonts w:ascii="宋体" w:hAnsi="宋体" w:cs="宋体" w:eastAsia="宋体" w:hint="default"/>
                <w:spacing w:val="-17"/>
                <w:sz w:val="18"/>
                <w:szCs w:val="18"/>
              </w:rPr>
              <w:t>股，实</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际合计持有</w:t>
            </w:r>
            <w:r>
              <w:rPr>
                <w:rFonts w:ascii="宋体" w:hAnsi="宋体" w:cs="宋体" w:eastAsia="宋体" w:hint="default"/>
                <w:spacing w:val="-73"/>
                <w:sz w:val="18"/>
                <w:szCs w:val="18"/>
              </w:rPr>
              <w:t> </w:t>
            </w:r>
            <w:r>
              <w:rPr>
                <w:rFonts w:ascii="Times New Roman" w:hAnsi="Times New Roman" w:cs="Times New Roman" w:eastAsia="Times New Roman" w:hint="default"/>
                <w:sz w:val="18"/>
                <w:szCs w:val="18"/>
              </w:rPr>
              <w:t>205,000</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股；股东蒋利彬通过中信建投证券股份有限公司客户信用交易担保证券</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账户持有数量</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167,000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股，通过普通证券账户持有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股，实际合计持有</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167,200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股；股东</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利兴强通过安信证券股份有限公司客户信用交易担保证券账户持有数量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162,355</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股，实际合</w:t>
            </w:r>
          </w:p>
          <w:p>
            <w:pPr>
              <w:pStyle w:val="TableParagraph"/>
              <w:spacing w:line="240" w:lineRule="auto" w:before="64"/>
              <w:ind w:left="23" w:right="0"/>
              <w:jc w:val="left"/>
              <w:rPr>
                <w:rFonts w:ascii="宋体" w:hAnsi="宋体" w:cs="宋体" w:eastAsia="宋体" w:hint="default"/>
                <w:sz w:val="18"/>
                <w:szCs w:val="18"/>
              </w:rPr>
            </w:pPr>
            <w:r>
              <w:rPr>
                <w:rFonts w:ascii="宋体" w:hAnsi="宋体" w:cs="宋体" w:eastAsia="宋体" w:hint="default"/>
                <w:sz w:val="18"/>
                <w:szCs w:val="18"/>
              </w:rPr>
              <w:t>计持有</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162,355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bl>
    <w:p>
      <w:pPr>
        <w:pStyle w:val="BodyText"/>
        <w:spacing w:line="240" w:lineRule="auto" w:before="51"/>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名无限售条件普通股股东在报告期内是否进行约定购回交易</w:t>
      </w:r>
    </w:p>
    <w:p>
      <w:pPr>
        <w:pStyle w:val="BodyText"/>
        <w:spacing w:line="240" w:lineRule="auto" w:before="102"/>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pStyle w:val="BodyText"/>
        <w:spacing w:line="240" w:lineRule="auto" w:before="103"/>
        <w:ind w:right="0"/>
        <w:jc w:val="left"/>
      </w:pPr>
      <w:r>
        <w:rPr/>
        <w:t>公司前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名普通股股东、前</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名无限售条件普通股股东在报告期内未进行约定购回交易。</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公司控股股东情况" w:id="114"/>
      <w:bookmarkEnd w:id="114"/>
      <w:r>
        <w:rPr>
          <w:b w:val="0"/>
          <w:bCs w:val="0"/>
        </w:rPr>
      </w:r>
      <w:r>
        <w:rPr>
          <w:rFonts w:ascii="Times New Roman" w:hAnsi="Times New Roman" w:cs="Times New Roman" w:eastAsia="Times New Roman" w:hint="default"/>
        </w:rPr>
        <w:t>2</w:t>
      </w:r>
      <w:r>
        <w:rPr/>
        <w:t>、公司控股股东情况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592"/>
        <w:jc w:val="left"/>
      </w:pPr>
      <w:r>
        <w:rPr/>
        <w:t>控股股东性质：自然人控股 控股股东类型：法人</w:t>
      </w:r>
    </w:p>
    <w:tbl>
      <w:tblPr>
        <w:tblW w:w="0" w:type="auto"/>
        <w:jc w:val="left"/>
        <w:tblInd w:w="149" w:type="dxa"/>
        <w:tblLayout w:type="fixed"/>
        <w:tblCellMar>
          <w:top w:w="0" w:type="dxa"/>
          <w:left w:w="0" w:type="dxa"/>
          <w:bottom w:w="0" w:type="dxa"/>
          <w:right w:w="0" w:type="dxa"/>
        </w:tblCellMar>
        <w:tblLook w:val="01E0"/>
      </w:tblPr>
      <w:tblGrid>
        <w:gridCol w:w="2836"/>
        <w:gridCol w:w="1418"/>
        <w:gridCol w:w="1843"/>
        <w:gridCol w:w="1842"/>
        <w:gridCol w:w="1630"/>
      </w:tblGrid>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872"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433" w:right="47" w:hanging="386"/>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 负责人</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5"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9"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402" w:hRule="exact"/>
        </w:trPr>
        <w:tc>
          <w:tcPr>
            <w:tcW w:w="28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8"/>
              <w:jc w:val="center"/>
              <w:rPr>
                <w:rFonts w:ascii="Times New Roman" w:hAnsi="Times New Roman" w:cs="Times New Roman" w:eastAsia="Times New Roman" w:hint="default"/>
                <w:sz w:val="18"/>
                <w:szCs w:val="18"/>
              </w:rPr>
            </w:pPr>
            <w:r>
              <w:rPr>
                <w:rFonts w:ascii="Times New Roman"/>
                <w:sz w:val="18"/>
              </w:rPr>
              <w:t>91110105799040854K</w:t>
            </w:r>
          </w:p>
        </w:tc>
        <w:tc>
          <w:tcPr>
            <w:tcW w:w="16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对外投资</w:t>
            </w:r>
          </w:p>
        </w:tc>
      </w:tr>
      <w:tr>
        <w:trPr>
          <w:trHeight w:val="714" w:hRule="exact"/>
        </w:trPr>
        <w:tc>
          <w:tcPr>
            <w:tcW w:w="28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控股股东报告期内控股和参股的其 他境内外上市公司的股权情况</w:t>
            </w:r>
          </w:p>
        </w:tc>
        <w:tc>
          <w:tcPr>
            <w:tcW w:w="6733"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13"/>
        <w:rPr>
          <w:rFonts w:ascii="宋体" w:hAnsi="宋体" w:cs="宋体" w:eastAsia="宋体" w:hint="default"/>
          <w:sz w:val="21"/>
          <w:szCs w:val="21"/>
        </w:rPr>
      </w:pPr>
    </w:p>
    <w:p>
      <w:pPr>
        <w:pStyle w:val="BodyText"/>
        <w:spacing w:line="240" w:lineRule="auto" w:before="44"/>
        <w:ind w:right="0"/>
        <w:jc w:val="left"/>
      </w:pPr>
      <w:r>
        <w:rPr/>
        <w:t>控股股东报告期内变更</w:t>
      </w:r>
    </w:p>
    <w:p>
      <w:pPr>
        <w:pStyle w:val="BodyText"/>
        <w:spacing w:line="340" w:lineRule="auto" w:before="116"/>
        <w:ind w:right="76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公司报告期控股股东未发生变更。</w:t>
      </w:r>
    </w:p>
    <w:p>
      <w:pPr>
        <w:spacing w:line="240" w:lineRule="auto" w:before="13"/>
        <w:rPr>
          <w:rFonts w:ascii="宋体" w:hAnsi="宋体" w:cs="宋体" w:eastAsia="宋体" w:hint="default"/>
          <w:sz w:val="20"/>
          <w:szCs w:val="20"/>
        </w:rPr>
      </w:pPr>
    </w:p>
    <w:p>
      <w:pPr>
        <w:pStyle w:val="Heading4"/>
        <w:spacing w:line="240" w:lineRule="auto"/>
        <w:ind w:right="0"/>
        <w:jc w:val="left"/>
        <w:rPr>
          <w:b w:val="0"/>
          <w:bCs w:val="0"/>
        </w:rPr>
      </w:pPr>
      <w:bookmarkStart w:name="3、公司实际控制人及其一致行动人" w:id="115"/>
      <w:bookmarkEnd w:id="115"/>
      <w:r>
        <w:rPr>
          <w:b w:val="0"/>
          <w:bCs w:val="0"/>
        </w:rPr>
      </w:r>
      <w:r>
        <w:rPr>
          <w:rFonts w:ascii="Times New Roman" w:hAnsi="Times New Roman" w:cs="Times New Roman" w:eastAsia="Times New Roman" w:hint="default"/>
        </w:rPr>
        <w:t>3</w:t>
      </w:r>
      <w:r>
        <w:rPr/>
        <w:t>、公司实际控制人及其一致行动人</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8412"/>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5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2"/>
              <w:ind w:left="740" w:right="379" w:hanging="360"/>
              <w:jc w:val="left"/>
              <w:rPr>
                <w:rFonts w:ascii="宋体" w:hAnsi="宋体" w:cs="宋体" w:eastAsia="宋体" w:hint="default"/>
                <w:sz w:val="18"/>
                <w:szCs w:val="18"/>
              </w:rPr>
            </w:pPr>
            <w:r>
              <w:rPr>
                <w:rFonts w:ascii="宋体" w:hAnsi="宋体" w:cs="宋体" w:eastAsia="宋体" w:hint="default"/>
                <w:sz w:val="18"/>
                <w:szCs w:val="18"/>
              </w:rPr>
              <w:t>是否取得其他国家或 地区居留权</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万丽莉</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张秀兵系公司董事长；万丽莉系公司董事、宣亚美国财务经理。</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22" w:right="107"/>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 市公司情况</w:t>
            </w:r>
          </w:p>
        </w:tc>
        <w:tc>
          <w:tcPr>
            <w:tcW w:w="7177"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bl>
    <w:p>
      <w:pPr>
        <w:pStyle w:val="BodyText"/>
        <w:spacing w:line="240" w:lineRule="auto" w:before="68"/>
        <w:ind w:right="0"/>
        <w:jc w:val="left"/>
      </w:pPr>
      <w:r>
        <w:rPr/>
        <w:t>实际控制人报告期内变更</w:t>
      </w:r>
    </w:p>
    <w:p>
      <w:pPr>
        <w:pStyle w:val="BodyText"/>
        <w:spacing w:line="348" w:lineRule="auto" w:before="117"/>
        <w:ind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公司报告期实际控制人未发生变更。 公司与实际控制人之间的产权及控制关系的方框图</w:t>
      </w:r>
    </w:p>
    <w:p>
      <w:pPr>
        <w:spacing w:line="240" w:lineRule="auto" w:before="9"/>
        <w:rPr>
          <w:rFonts w:ascii="宋体" w:hAnsi="宋体" w:cs="宋体" w:eastAsia="宋体" w:hint="default"/>
          <w:sz w:val="23"/>
          <w:szCs w:val="23"/>
        </w:rPr>
      </w:pPr>
    </w:p>
    <w:p>
      <w:pPr>
        <w:spacing w:line="5050" w:lineRule="exact"/>
        <w:ind w:left="1682" w:right="0" w:firstLine="0"/>
        <w:rPr>
          <w:rFonts w:ascii="宋体" w:hAnsi="宋体" w:cs="宋体" w:eastAsia="宋体" w:hint="default"/>
          <w:sz w:val="20"/>
          <w:szCs w:val="20"/>
        </w:rPr>
      </w:pPr>
      <w:r>
        <w:rPr>
          <w:rFonts w:ascii="宋体" w:hAnsi="宋体" w:cs="宋体" w:eastAsia="宋体" w:hint="default"/>
          <w:position w:val="-100"/>
          <w:sz w:val="20"/>
          <w:szCs w:val="20"/>
        </w:rPr>
        <w:drawing>
          <wp:inline distT="0" distB="0" distL="0" distR="0">
            <wp:extent cx="4178329" cy="3207067"/>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22" cstate="print"/>
                    <a:stretch>
                      <a:fillRect/>
                    </a:stretch>
                  </pic:blipFill>
                  <pic:spPr>
                    <a:xfrm>
                      <a:off x="0" y="0"/>
                      <a:ext cx="4178329" cy="3207067"/>
                    </a:xfrm>
                    <a:prstGeom prst="rect">
                      <a:avLst/>
                    </a:prstGeom>
                  </pic:spPr>
                </pic:pic>
              </a:graphicData>
            </a:graphic>
          </wp:inline>
        </w:drawing>
      </w:r>
      <w:r>
        <w:rPr>
          <w:rFonts w:ascii="宋体" w:hAnsi="宋体" w:cs="宋体" w:eastAsia="宋体" w:hint="default"/>
          <w:position w:val="-100"/>
          <w:sz w:val="20"/>
          <w:szCs w:val="20"/>
        </w:rPr>
      </w:r>
    </w:p>
    <w:p>
      <w:pPr>
        <w:spacing w:line="240" w:lineRule="auto" w:before="0"/>
        <w:rPr>
          <w:rFonts w:ascii="宋体" w:hAnsi="宋体" w:cs="宋体" w:eastAsia="宋体" w:hint="default"/>
          <w:sz w:val="26"/>
          <w:szCs w:val="26"/>
        </w:rPr>
      </w:pPr>
    </w:p>
    <w:p>
      <w:pPr>
        <w:pStyle w:val="BodyText"/>
        <w:spacing w:line="240" w:lineRule="auto"/>
        <w:ind w:right="0"/>
        <w:jc w:val="left"/>
      </w:pPr>
      <w:r>
        <w:rPr/>
        <w:t>实际控制人通过信托或其他资产管理方式控制公司</w:t>
      </w:r>
    </w:p>
    <w:p>
      <w:pPr>
        <w:spacing w:line="240" w:lineRule="auto" w:before="2"/>
        <w:rPr>
          <w:rFonts w:ascii="宋体" w:hAnsi="宋体" w:cs="宋体" w:eastAsia="宋体" w:hint="default"/>
          <w:sz w:val="21"/>
          <w:szCs w:val="21"/>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4、其他持股在10%以上的法人股东" w:id="116"/>
      <w:bookmarkEnd w:id="116"/>
      <w:r>
        <w:rPr>
          <w:b w:val="0"/>
          <w:bCs w:val="0"/>
        </w:rPr>
      </w:r>
      <w:r>
        <w:rPr>
          <w:rFonts w:ascii="Times New Roman" w:hAnsi="Times New Roman" w:cs="Times New Roman" w:eastAsia="Times New Roman" w:hint="default"/>
        </w:rPr>
        <w:t>4</w:t>
      </w:r>
      <w:r>
        <w:rPr/>
        <w:t>、其他持股在</w:t>
      </w:r>
      <w:r>
        <w:rPr>
          <w:spacing w:val="-57"/>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844"/>
        <w:gridCol w:w="1985"/>
        <w:gridCol w:w="1979"/>
        <w:gridCol w:w="1637"/>
        <w:gridCol w:w="2124"/>
      </w:tblGrid>
      <w:tr>
        <w:trPr>
          <w:trHeight w:val="402" w:hRule="exact"/>
        </w:trPr>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5"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1" w:right="0"/>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w:t>
            </w:r>
            <w:r>
              <w:rPr>
                <w:rFonts w:ascii="宋体" w:hAnsi="宋体" w:cs="宋体" w:eastAsia="宋体" w:hint="default"/>
                <w:sz w:val="18"/>
                <w:szCs w:val="18"/>
              </w:rPr>
              <w:t>单位负责人</w:t>
            </w:r>
          </w:p>
        </w:tc>
        <w:tc>
          <w:tcPr>
            <w:tcW w:w="1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23"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5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7" w:right="0"/>
              <w:jc w:val="left"/>
              <w:rPr>
                <w:rFonts w:ascii="宋体" w:hAnsi="宋体" w:cs="宋体" w:eastAsia="宋体" w:hint="default"/>
                <w:sz w:val="18"/>
                <w:szCs w:val="18"/>
              </w:rPr>
            </w:pPr>
            <w:r>
              <w:rPr>
                <w:rFonts w:ascii="宋体" w:hAnsi="宋体" w:cs="宋体" w:eastAsia="宋体" w:hint="default"/>
                <w:sz w:val="18"/>
                <w:szCs w:val="18"/>
              </w:rPr>
              <w:t>主要经营业务或管理活动</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橙色动力</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宾卫</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1,557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对外投资</w:t>
            </w:r>
          </w:p>
        </w:tc>
      </w:tr>
      <w:tr>
        <w:trPr>
          <w:trHeight w:val="402"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伟岸仲合</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张伟</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4,230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对外投资</w:t>
            </w:r>
          </w:p>
        </w:tc>
      </w:tr>
      <w:tr>
        <w:trPr>
          <w:trHeight w:val="403" w:hRule="exact"/>
        </w:trPr>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金凤银凰</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吴浩</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3,860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对外投资</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控股股东、实际控制人、重组方及其他承诺主体股份限制减持情况" w:id="117"/>
      <w:bookmarkEnd w:id="117"/>
      <w:r>
        <w:rPr>
          <w:b w:val="0"/>
          <w:bCs w:val="0"/>
        </w:rPr>
      </w:r>
      <w:r>
        <w:rPr>
          <w:rFonts w:ascii="Times New Roman" w:hAnsi="Times New Roman" w:cs="Times New Roman" w:eastAsia="Times New Roman" w:hint="default"/>
        </w:rPr>
        <w:t>5</w:t>
      </w:r>
      <w:r>
        <w:rPr/>
        <w:t>、控股股东、实际控制人、重组方及其他承诺主体股份限制减持情况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286" w:right="0"/>
        <w:jc w:val="left"/>
        <w:rPr>
          <w:b w:val="0"/>
          <w:bCs w:val="0"/>
        </w:rPr>
      </w:pPr>
      <w:bookmarkStart w:name="第七节 优先股相关情况" w:id="118"/>
      <w:bookmarkEnd w:id="118"/>
      <w:r>
        <w:rPr>
          <w:b w:val="0"/>
          <w:bCs w:val="0"/>
        </w:rPr>
      </w:r>
      <w:bookmarkStart w:name="_bookmark6" w:id="119"/>
      <w:bookmarkEnd w:id="119"/>
      <w:r>
        <w:rPr>
          <w:b w:val="0"/>
          <w:bCs w:val="0"/>
        </w:rPr>
      </w:r>
      <w:r>
        <w:rPr/>
        <w:t>第七节</w:t>
      </w:r>
      <w:r>
        <w:rPr>
          <w:spacing w:val="-8"/>
        </w:rPr>
        <w:t> </w:t>
      </w:r>
      <w:r>
        <w:rPr/>
        <w:t>优先股相关情况</w:t>
      </w:r>
      <w:r>
        <w:rPr>
          <w:b w:val="0"/>
          <w:bCs w:val="0"/>
        </w:rPr>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19"/>
          <w:szCs w:val="19"/>
        </w:rPr>
      </w:pPr>
    </w:p>
    <w:p>
      <w:pPr>
        <w:pStyle w:val="BodyText"/>
        <w:spacing w:line="338" w:lineRule="auto" w:before="44"/>
        <w:ind w:right="85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报告期公司不存在优先股。</w:t>
      </w:r>
    </w:p>
    <w:p>
      <w:pPr>
        <w:spacing w:after="0" w:line="338"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1960" w:right="0"/>
        <w:jc w:val="left"/>
        <w:rPr>
          <w:b w:val="0"/>
          <w:bCs w:val="0"/>
        </w:rPr>
      </w:pPr>
      <w:bookmarkStart w:name="第八节 董事、监事、高级管理人员和员工情况" w:id="120"/>
      <w:bookmarkEnd w:id="120"/>
      <w:r>
        <w:rPr>
          <w:b w:val="0"/>
          <w:bCs w:val="0"/>
        </w:rPr>
      </w:r>
      <w:bookmarkStart w:name="_bookmark7" w:id="121"/>
      <w:bookmarkEnd w:id="121"/>
      <w:r>
        <w:rPr>
          <w:b w:val="0"/>
          <w:bCs w:val="0"/>
        </w:rPr>
      </w:r>
      <w:r>
        <w:rPr/>
        <w:t>第八节</w:t>
      </w:r>
      <w:r>
        <w:rPr>
          <w:spacing w:val="-16"/>
        </w:rPr>
        <w:t> </w:t>
      </w:r>
      <w:r>
        <w:rPr/>
        <w:t>董事、监事、高级管理人员和员工情况</w:t>
      </w:r>
      <w:r>
        <w:rPr>
          <w:b w:val="0"/>
          <w:bCs w:val="0"/>
        </w:rPr>
      </w:r>
    </w:p>
    <w:p>
      <w:pPr>
        <w:spacing w:line="240" w:lineRule="auto" w:before="12"/>
        <w:rPr>
          <w:rFonts w:ascii="宋体" w:hAnsi="宋体" w:cs="宋体" w:eastAsia="宋体" w:hint="default"/>
          <w:b/>
          <w:bCs/>
          <w:sz w:val="38"/>
          <w:szCs w:val="38"/>
        </w:rPr>
      </w:pPr>
    </w:p>
    <w:p>
      <w:pPr>
        <w:pStyle w:val="Heading2"/>
        <w:spacing w:line="240" w:lineRule="auto"/>
        <w:ind w:left="434" w:right="0"/>
        <w:jc w:val="left"/>
        <w:rPr>
          <w:b w:val="0"/>
          <w:bCs w:val="0"/>
        </w:rPr>
      </w:pPr>
      <w:bookmarkStart w:name="一、董事、监事和高级管理人员持股变动" w:id="122"/>
      <w:bookmarkEnd w:id="122"/>
      <w:r>
        <w:rPr>
          <w:b w:val="0"/>
          <w:bCs w:val="0"/>
        </w:rPr>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13" w:type="dxa"/>
        <w:tblLayout w:type="fixed"/>
        <w:tblCellMar>
          <w:top w:w="0" w:type="dxa"/>
          <w:left w:w="0" w:type="dxa"/>
          <w:bottom w:w="0" w:type="dxa"/>
          <w:right w:w="0" w:type="dxa"/>
        </w:tblCellMar>
        <w:tblLook w:val="01E0"/>
      </w:tblPr>
      <w:tblGrid>
        <w:gridCol w:w="856"/>
        <w:gridCol w:w="856"/>
        <w:gridCol w:w="854"/>
        <w:gridCol w:w="475"/>
        <w:gridCol w:w="457"/>
        <w:gridCol w:w="1635"/>
        <w:gridCol w:w="1562"/>
        <w:gridCol w:w="566"/>
        <w:gridCol w:w="852"/>
        <w:gridCol w:w="566"/>
        <w:gridCol w:w="734"/>
        <w:gridCol w:w="856"/>
      </w:tblGrid>
      <w:tr>
        <w:trPr>
          <w:trHeight w:val="1649"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43"/>
              <w:jc w:val="right"/>
              <w:rPr>
                <w:rFonts w:ascii="宋体" w:hAnsi="宋体" w:cs="宋体" w:eastAsia="宋体" w:hint="default"/>
                <w:sz w:val="18"/>
                <w:szCs w:val="18"/>
              </w:rPr>
            </w:pPr>
            <w:r>
              <w:rPr>
                <w:rFonts w:ascii="宋体" w:hAnsi="宋体" w:cs="宋体" w:eastAsia="宋体" w:hint="default"/>
                <w:sz w:val="18"/>
                <w:szCs w:val="18"/>
              </w:rPr>
              <w:t>姓名</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42"/>
              <w:jc w:val="right"/>
              <w:rPr>
                <w:rFonts w:ascii="宋体" w:hAnsi="宋体" w:cs="宋体" w:eastAsia="宋体" w:hint="default"/>
                <w:sz w:val="18"/>
                <w:szCs w:val="18"/>
              </w:rPr>
            </w:pPr>
            <w:r>
              <w:rPr>
                <w:rFonts w:ascii="宋体" w:hAnsi="宋体" w:cs="宋体" w:eastAsia="宋体" w:hint="default"/>
                <w:sz w:val="18"/>
                <w:szCs w:val="18"/>
              </w:rPr>
              <w:t>年龄</w:t>
            </w: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期初 持股 数</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61"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98" w:right="96"/>
              <w:jc w:val="both"/>
              <w:rPr>
                <w:rFonts w:ascii="宋体" w:hAnsi="宋体" w:cs="宋体" w:eastAsia="宋体" w:hint="default"/>
                <w:sz w:val="18"/>
                <w:szCs w:val="18"/>
              </w:rPr>
            </w:pPr>
            <w:r>
              <w:rPr>
                <w:rFonts w:ascii="宋体" w:hAnsi="宋体" w:cs="宋体" w:eastAsia="宋体" w:hint="default"/>
                <w:sz w:val="18"/>
                <w:szCs w:val="18"/>
              </w:rPr>
              <w:t>本期 减持 股份 数量</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91" w:right="91"/>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1"/>
                <w:szCs w:val="21"/>
              </w:rPr>
            </w:pPr>
          </w:p>
          <w:p>
            <w:pPr>
              <w:pStyle w:val="TableParagraph"/>
              <w:spacing w:line="316" w:lineRule="auto"/>
              <w:ind w:left="62" w:right="6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718"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张秀兵</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52</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00" w:right="0"/>
              <w:jc w:val="left"/>
              <w:rPr>
                <w:rFonts w:ascii="Times New Roman" w:hAnsi="Times New Roman" w:cs="Times New Roman" w:eastAsia="Times New Roman" w:hint="default"/>
                <w:sz w:val="18"/>
                <w:szCs w:val="18"/>
              </w:rPr>
            </w:pPr>
            <w:r>
              <w:rPr>
                <w:rFonts w:ascii="Times New Roman"/>
                <w:sz w:val="18"/>
              </w:rPr>
              <w:t>1,100,050</w:t>
            </w:r>
          </w:p>
        </w:tc>
        <w:tc>
          <w:tcPr>
            <w:tcW w:w="56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left="116" w:right="0"/>
              <w:jc w:val="left"/>
              <w:rPr>
                <w:rFonts w:ascii="Times New Roman" w:hAnsi="Times New Roman" w:cs="Times New Roman" w:eastAsia="Times New Roman" w:hint="default"/>
                <w:sz w:val="18"/>
                <w:szCs w:val="18"/>
              </w:rPr>
            </w:pPr>
            <w:r>
              <w:rPr>
                <w:rFonts w:ascii="Times New Roman"/>
                <w:sz w:val="18"/>
              </w:rPr>
              <w:t>550,025</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1,650,075</w:t>
            </w:r>
          </w:p>
        </w:tc>
      </w:tr>
      <w:tr>
        <w:trPr>
          <w:trHeight w:val="1650"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宾  卫</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1"/>
              <w:jc w:val="left"/>
              <w:rPr>
                <w:rFonts w:ascii="宋体" w:hAnsi="宋体" w:cs="宋体" w:eastAsia="宋体" w:hint="default"/>
                <w:sz w:val="18"/>
                <w:szCs w:val="18"/>
              </w:rPr>
            </w:pPr>
            <w:r>
              <w:rPr>
                <w:rFonts w:ascii="宋体" w:hAnsi="宋体" w:cs="宋体" w:eastAsia="宋体" w:hint="default"/>
                <w:sz w:val="18"/>
                <w:szCs w:val="18"/>
              </w:rPr>
              <w:t>董事、董 事会秘 书、财务 总监、副 总裁</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万丽莉</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0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闫贵忠</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5"/>
                <w:szCs w:val="15"/>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8"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何骁军</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48</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0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张顺和</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66</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方  军</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56</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8"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王正鹏</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0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徐轶尊</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43</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5"/>
                <w:szCs w:val="15"/>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闫贵忠</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51</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黄  硕</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34</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8"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于伟杰</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4"/>
              <w:ind w:left="22" w:right="101"/>
              <w:jc w:val="left"/>
              <w:rPr>
                <w:rFonts w:ascii="宋体" w:hAnsi="宋体" w:cs="宋体" w:eastAsia="宋体" w:hint="default"/>
                <w:sz w:val="18"/>
                <w:szCs w:val="18"/>
              </w:rPr>
            </w:pPr>
            <w:r>
              <w:rPr>
                <w:rFonts w:ascii="宋体" w:hAnsi="宋体" w:cs="宋体" w:eastAsia="宋体" w:hint="default"/>
                <w:sz w:val="18"/>
                <w:szCs w:val="18"/>
              </w:rPr>
              <w:t>监事会主 席</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6"/>
                <w:szCs w:val="16"/>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8"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81"/>
              <w:jc w:val="right"/>
              <w:rPr>
                <w:rFonts w:ascii="宋体" w:hAnsi="宋体" w:cs="宋体" w:eastAsia="宋体" w:hint="default"/>
                <w:sz w:val="18"/>
                <w:szCs w:val="18"/>
              </w:rPr>
            </w:pPr>
            <w:r>
              <w:rPr>
                <w:rFonts w:ascii="宋体" w:hAnsi="宋体" w:cs="宋体" w:eastAsia="宋体" w:hint="default"/>
                <w:sz w:val="18"/>
                <w:szCs w:val="18"/>
              </w:rPr>
              <w:t>张  伟</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40</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700" w:right="0"/>
        </w:sectPr>
      </w:pPr>
    </w:p>
    <w:p>
      <w:pPr>
        <w:spacing w:line="240" w:lineRule="auto" w:before="6"/>
        <w:rPr>
          <w:rFonts w:ascii="宋体" w:hAnsi="宋体" w:cs="宋体" w:eastAsia="宋体" w:hint="default"/>
          <w:b/>
          <w:bCs/>
          <w:sz w:val="24"/>
          <w:szCs w:val="24"/>
        </w:rPr>
      </w:pPr>
    </w:p>
    <w:tbl>
      <w:tblPr>
        <w:tblW w:w="0" w:type="auto"/>
        <w:jc w:val="left"/>
        <w:tblInd w:w="113" w:type="dxa"/>
        <w:tblLayout w:type="fixed"/>
        <w:tblCellMar>
          <w:top w:w="0" w:type="dxa"/>
          <w:left w:w="0" w:type="dxa"/>
          <w:bottom w:w="0" w:type="dxa"/>
          <w:right w:w="0" w:type="dxa"/>
        </w:tblCellMar>
        <w:tblLook w:val="01E0"/>
      </w:tblPr>
      <w:tblGrid>
        <w:gridCol w:w="856"/>
        <w:gridCol w:w="856"/>
        <w:gridCol w:w="854"/>
        <w:gridCol w:w="475"/>
        <w:gridCol w:w="457"/>
        <w:gridCol w:w="1635"/>
        <w:gridCol w:w="1562"/>
        <w:gridCol w:w="566"/>
        <w:gridCol w:w="852"/>
        <w:gridCol w:w="566"/>
        <w:gridCol w:w="734"/>
        <w:gridCol w:w="856"/>
      </w:tblGrid>
      <w:tr>
        <w:trPr>
          <w:trHeight w:val="1650"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24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42"/>
              <w:jc w:val="right"/>
              <w:rPr>
                <w:rFonts w:ascii="宋体" w:hAnsi="宋体" w:cs="宋体" w:eastAsia="宋体" w:hint="default"/>
                <w:sz w:val="18"/>
                <w:szCs w:val="18"/>
              </w:rPr>
            </w:pPr>
            <w:r>
              <w:rPr>
                <w:rFonts w:ascii="宋体" w:hAnsi="宋体" w:cs="宋体" w:eastAsia="宋体" w:hint="default"/>
                <w:sz w:val="18"/>
                <w:szCs w:val="18"/>
              </w:rPr>
              <w:t>年龄</w:t>
            </w: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任期起始日期</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任期终止日期</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期初 持股 数</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61" w:right="59"/>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5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98" w:right="96"/>
              <w:jc w:val="both"/>
              <w:rPr>
                <w:rFonts w:ascii="宋体" w:hAnsi="宋体" w:cs="宋体" w:eastAsia="宋体" w:hint="default"/>
                <w:sz w:val="18"/>
                <w:szCs w:val="18"/>
              </w:rPr>
            </w:pPr>
            <w:r>
              <w:rPr>
                <w:rFonts w:ascii="宋体" w:hAnsi="宋体" w:cs="宋体" w:eastAsia="宋体" w:hint="default"/>
                <w:sz w:val="18"/>
                <w:szCs w:val="18"/>
              </w:rPr>
              <w:t>本期 减持 股份 数量</w:t>
            </w:r>
          </w:p>
          <w:p>
            <w:pPr>
              <w:pStyle w:val="TableParagraph"/>
              <w:spacing w:line="240" w:lineRule="auto" w:before="20"/>
              <w:ind w:left="22" w:right="0"/>
              <w:jc w:val="both"/>
              <w:rPr>
                <w:rFonts w:ascii="宋体" w:hAnsi="宋体" w:cs="宋体" w:eastAsia="宋体" w:hint="default"/>
                <w:sz w:val="18"/>
                <w:szCs w:val="18"/>
              </w:rPr>
            </w:pPr>
            <w:r>
              <w:rPr>
                <w:rFonts w:ascii="宋体" w:hAnsi="宋体" w:cs="宋体" w:eastAsia="宋体" w:hint="default"/>
                <w:sz w:val="18"/>
                <w:szCs w:val="18"/>
              </w:rPr>
              <w:t>（股）</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8"/>
              <w:ind w:left="91" w:right="91"/>
              <w:jc w:val="left"/>
              <w:rPr>
                <w:rFonts w:ascii="宋体" w:hAnsi="宋体" w:cs="宋体" w:eastAsia="宋体" w:hint="default"/>
                <w:sz w:val="18"/>
                <w:szCs w:val="18"/>
              </w:rPr>
            </w:pPr>
            <w:r>
              <w:rPr>
                <w:rFonts w:ascii="宋体" w:hAnsi="宋体" w:cs="宋体" w:eastAsia="宋体" w:hint="default"/>
                <w:sz w:val="18"/>
                <w:szCs w:val="18"/>
              </w:rPr>
              <w:t>其他增 减变动</w:t>
            </w:r>
          </w:p>
          <w:p>
            <w:pPr>
              <w:pStyle w:val="TableParagraph"/>
              <w:spacing w:line="240" w:lineRule="auto" w:before="20"/>
              <w:ind w:left="91"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319" w:lineRule="auto"/>
              <w:ind w:left="62" w:right="61"/>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02"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  桢</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股东监事</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37</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李弘扬</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38</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邬  涛</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01"/>
              <w:jc w:val="left"/>
              <w:rPr>
                <w:rFonts w:ascii="宋体" w:hAnsi="宋体" w:cs="宋体" w:eastAsia="宋体" w:hint="default"/>
                <w:sz w:val="18"/>
                <w:szCs w:val="18"/>
              </w:rPr>
            </w:pPr>
            <w:r>
              <w:rPr>
                <w:rFonts w:ascii="宋体" w:hAnsi="宋体" w:cs="宋体" w:eastAsia="宋体" w:hint="default"/>
                <w:sz w:val="18"/>
                <w:szCs w:val="18"/>
              </w:rPr>
              <w:t>首席执行 </w:t>
            </w:r>
            <w:r>
              <w:rPr>
                <w:rFonts w:ascii="宋体" w:hAnsi="宋体" w:cs="宋体" w:eastAsia="宋体" w:hint="default"/>
                <w:spacing w:val="-3"/>
                <w:sz w:val="18"/>
                <w:szCs w:val="18"/>
              </w:rPr>
              <w:t>官（总裁</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196" w:lineRule="exact"/>
              <w:ind w:left="22" w:right="0"/>
              <w:jc w:val="left"/>
              <w:rPr>
                <w:rFonts w:ascii="宋体" w:hAnsi="宋体" w:cs="宋体" w:eastAsia="宋体" w:hint="default"/>
                <w:sz w:val="18"/>
                <w:szCs w:val="18"/>
              </w:rPr>
            </w:pPr>
            <w:r>
              <w:rPr>
                <w:rFonts w:ascii="宋体" w:hAnsi="宋体" w:cs="宋体" w:eastAsia="宋体" w:hint="default"/>
                <w:sz w:val="18"/>
                <w:szCs w:val="18"/>
              </w:rPr>
              <w:t>现任</w:t>
            </w:r>
          </w:p>
          <w:p>
            <w:pPr>
              <w:pStyle w:val="TableParagraph"/>
              <w:spacing w:line="196"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2"/>
              <w:ind w:right="0"/>
              <w:jc w:val="left"/>
              <w:rPr>
                <w:rFonts w:ascii="宋体" w:hAnsi="宋体" w:cs="宋体" w:eastAsia="宋体" w:hint="default"/>
                <w:b/>
                <w:bCs/>
                <w:sz w:val="11"/>
                <w:szCs w:val="11"/>
              </w:rPr>
            </w:pPr>
          </w:p>
          <w:p>
            <w:pPr>
              <w:pStyle w:val="TableParagraph"/>
              <w:spacing w:line="558" w:lineRule="exact"/>
              <w:ind w:right="-38"/>
              <w:jc w:val="left"/>
              <w:rPr>
                <w:rFonts w:ascii="宋体" w:hAnsi="宋体" w:cs="宋体" w:eastAsia="宋体" w:hint="default"/>
                <w:sz w:val="20"/>
                <w:szCs w:val="20"/>
              </w:rPr>
            </w:pPr>
            <w:r>
              <w:rPr>
                <w:rFonts w:ascii="宋体" w:hAnsi="宋体" w:cs="宋体" w:eastAsia="宋体" w:hint="default"/>
                <w:position w:val="-10"/>
                <w:sz w:val="20"/>
                <w:szCs w:val="20"/>
              </w:rPr>
              <w:pict>
                <v:group style="width:42.25pt;height:27.95pt;mso-position-horizontal-relative:char;mso-position-vertical-relative:line" coordorigin="0,0" coordsize="845,559">
                  <v:group style="position:absolute;left:11;top:11;width:2;height:392" coordorigin="11,11" coordsize="2,392">
                    <v:shape style="position:absolute;left:11;top:11;width:2;height:392" coordorigin="11,11" coordsize="0,392" path="m11,11l11,403e" filled="false" stroked="true" strokeweight="1.140pt" strokecolor="#ffffff">
                      <v:path arrowok="t"/>
                    </v:shape>
                  </v:group>
                  <v:group style="position:absolute;left:0;top:403;width:845;height:156" coordorigin="0,403" coordsize="845,156">
                    <v:shape style="position:absolute;left:0;top:403;width:845;height:156" coordorigin="0,403" coordsize="845,156" path="m0,559l845,559,845,403,0,403,0,559xe" filled="true" fillcolor="#ffffff" stroked="false">
                      <v:path arrowok="t"/>
                      <v:fill type="solid"/>
                    </v:shape>
                  </v:group>
                  <v:group style="position:absolute;left:23;top:11;width:800;height:392" coordorigin="23,11" coordsize="800,392">
                    <v:shape style="position:absolute;left:23;top:11;width:800;height:392" coordorigin="23,11" coordsize="800,392" path="m23,403l822,403,822,11,23,11,23,403xe" filled="true" fillcolor="#ffffff" stroked="false">
                      <v:path arrowok="t"/>
                      <v:fill type="solid"/>
                    </v:shape>
                  </v:group>
                </v:group>
              </w:pict>
            </w:r>
            <w:r>
              <w:rPr>
                <w:rFonts w:ascii="宋体" w:hAnsi="宋体" w:cs="宋体" w:eastAsia="宋体" w:hint="default"/>
                <w:position w:val="-10"/>
                <w:sz w:val="20"/>
                <w:szCs w:val="20"/>
              </w:rPr>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10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right="28"/>
              <w:jc w:val="center"/>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8"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  妍</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41</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吴卫华</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42</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宋体" w:hAnsi="宋体" w:cs="宋体" w:eastAsia="宋体" w:hint="default"/>
                <w:b/>
                <w:bCs/>
                <w:sz w:val="16"/>
                <w:szCs w:val="16"/>
              </w:rPr>
            </w:pPr>
          </w:p>
          <w:p>
            <w:pPr>
              <w:pStyle w:val="TableParagraph"/>
              <w:spacing w:line="240" w:lineRule="auto"/>
              <w:ind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03" w:hRule="exact"/>
        </w:trPr>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宣正元</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49</w:t>
            </w:r>
          </w:p>
        </w:tc>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9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right="2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6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Times New Roman" w:hAnsi="Times New Roman" w:cs="Times New Roman" w:eastAsia="Times New Roman" w:hint="default"/>
                <w:sz w:val="18"/>
                <w:szCs w:val="18"/>
              </w:rPr>
            </w:pPr>
            <w:r>
              <w:rPr>
                <w:rFonts w:ascii="Times New Roman"/>
                <w:sz w:val="18"/>
              </w:rPr>
              <w:t>1,100,050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 w:right="0"/>
              <w:jc w:val="left"/>
              <w:rPr>
                <w:rFonts w:ascii="Times New Roman" w:hAnsi="Times New Roman" w:cs="Times New Roman" w:eastAsia="Times New Roman" w:hint="default"/>
                <w:sz w:val="18"/>
                <w:szCs w:val="18"/>
              </w:rPr>
            </w:pPr>
            <w:r>
              <w:rPr>
                <w:rFonts w:ascii="Times New Roman"/>
                <w:sz w:val="18"/>
              </w:rPr>
              <w:t>550,025</w:t>
            </w:r>
          </w:p>
        </w:tc>
        <w:tc>
          <w:tcPr>
            <w:tcW w:w="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1,650,075</w:t>
            </w:r>
          </w:p>
        </w:tc>
      </w:tr>
    </w:tbl>
    <w:p>
      <w:pPr>
        <w:spacing w:line="240" w:lineRule="auto" w:before="2"/>
        <w:rPr>
          <w:rFonts w:ascii="宋体" w:hAnsi="宋体" w:cs="宋体" w:eastAsia="宋体" w:hint="default"/>
          <w:b/>
          <w:bCs/>
          <w:sz w:val="18"/>
          <w:szCs w:val="18"/>
        </w:rPr>
      </w:pPr>
    </w:p>
    <w:p>
      <w:pPr>
        <w:pStyle w:val="Heading2"/>
        <w:spacing w:line="240" w:lineRule="auto" w:before="26"/>
        <w:ind w:left="434" w:right="0"/>
        <w:jc w:val="left"/>
        <w:rPr>
          <w:b w:val="0"/>
          <w:bCs w:val="0"/>
        </w:rPr>
      </w:pPr>
      <w:bookmarkStart w:name="二、公司董事、监事、高级管理人员变动情况" w:id="123"/>
      <w:bookmarkEnd w:id="123"/>
      <w:r>
        <w:rPr>
          <w:b w:val="0"/>
          <w:bCs w:val="0"/>
        </w:rPr>
      </w:r>
      <w:r>
        <w:rPr/>
        <w:t>二、公司董事、监事、高级管理人员变动情况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34"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BodyText"/>
        <w:spacing w:line="240" w:lineRule="auto" w:before="44"/>
        <w:ind w:left="0" w:right="785"/>
        <w:jc w:val="right"/>
      </w:pPr>
      <w:r>
        <w:rPr/>
        <w:pict>
          <v:shape style="position:absolute;margin-left:42.240002pt;margin-top:-61.178257pt;width:511.15pt;height:324.25pt;mso-position-horizontal-relative:page;mso-position-vertical-relative:paragraph;z-index:16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136"/>
                    <w:gridCol w:w="1277"/>
                    <w:gridCol w:w="1134"/>
                    <w:gridCol w:w="1701"/>
                    <w:gridCol w:w="4961"/>
                  </w:tblGrid>
                  <w:tr>
                    <w:trPr>
                      <w:trHeight w:val="401"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何骁军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张顺和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闫贵忠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原任公司监事会主席</w:t>
                        </w:r>
                        <w:r>
                          <w:rPr>
                            <w:rFonts w:ascii="宋体" w:hAnsi="宋体" w:cs="宋体" w:eastAsia="宋体" w:hint="default"/>
                            <w:spacing w:val="-90"/>
                            <w:sz w:val="18"/>
                            <w:szCs w:val="18"/>
                          </w:rPr>
                          <w:t>，</w:t>
                        </w:r>
                        <w:r>
                          <w:rPr>
                            <w:rFonts w:ascii="宋体" w:hAnsi="宋体" w:cs="宋体" w:eastAsia="宋体" w:hint="default"/>
                            <w:sz w:val="18"/>
                            <w:szCs w:val="18"/>
                          </w:rPr>
                          <w:t>于</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r>
                          <w:rPr>
                            <w:rFonts w:ascii="宋体" w:hAnsi="宋体" w:cs="宋体" w:eastAsia="宋体" w:hint="default"/>
                            <w:spacing w:val="1"/>
                            <w:sz w:val="18"/>
                            <w:szCs w:val="18"/>
                          </w:rPr>
                          <w:t>辞</w:t>
                        </w:r>
                        <w:r>
                          <w:rPr>
                            <w:rFonts w:ascii="宋体" w:hAnsi="宋体" w:cs="宋体" w:eastAsia="宋体" w:hint="default"/>
                            <w:sz w:val="18"/>
                            <w:szCs w:val="18"/>
                          </w:rPr>
                          <w:t>去监事会主席职务</w:t>
                        </w: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方  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w:t>
                        </w: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闫贵忠</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主动辞职</w:t>
                        </w: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  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22"/>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2"/>
                            <w:sz w:val="18"/>
                            <w:szCs w:val="18"/>
                          </w:rPr>
                          <w:t> </w:t>
                        </w:r>
                        <w:r>
                          <w:rPr>
                            <w:rFonts w:ascii="宋体" w:hAnsi="宋体" w:cs="宋体" w:eastAsia="宋体" w:hint="default"/>
                            <w:spacing w:val="-5"/>
                            <w:sz w:val="18"/>
                            <w:szCs w:val="18"/>
                          </w:rPr>
                          <w:t>日，公司第四届监事会第一次会议审议通过，原</w:t>
                        </w:r>
                        <w:r>
                          <w:rPr>
                            <w:rFonts w:ascii="宋体" w:hAnsi="宋体" w:cs="宋体" w:eastAsia="宋体" w:hint="default"/>
                            <w:sz w:val="18"/>
                            <w:szCs w:val="18"/>
                          </w:rPr>
                          <w:t> 任公司监事。</w:t>
                        </w: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黄  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主动辞职</w:t>
                        </w:r>
                      </w:p>
                    </w:tc>
                  </w:tr>
                  <w:tr>
                    <w:trPr>
                      <w:trHeight w:val="1026"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4" w:right="0"/>
                          <w:jc w:val="left"/>
                          <w:rPr>
                            <w:rFonts w:ascii="宋体" w:hAnsi="宋体" w:cs="宋体" w:eastAsia="宋体" w:hint="default"/>
                            <w:sz w:val="18"/>
                            <w:szCs w:val="18"/>
                          </w:rPr>
                        </w:pPr>
                        <w:r>
                          <w:rPr>
                            <w:rFonts w:ascii="宋体" w:hAnsi="宋体" w:cs="宋体" w:eastAsia="宋体" w:hint="default"/>
                            <w:sz w:val="18"/>
                            <w:szCs w:val="18"/>
                          </w:rPr>
                          <w:t>于伟杰</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年第一次职工代表大会选举其为</w:t>
                        </w:r>
                      </w:p>
                      <w:p>
                        <w:pPr>
                          <w:pStyle w:val="TableParagraph"/>
                          <w:spacing w:line="302" w:lineRule="auto" w:before="61"/>
                          <w:ind w:left="22" w:right="22"/>
                          <w:jc w:val="left"/>
                          <w:rPr>
                            <w:rFonts w:ascii="宋体" w:hAnsi="宋体" w:cs="宋体" w:eastAsia="宋体" w:hint="default"/>
                            <w:sz w:val="18"/>
                            <w:szCs w:val="18"/>
                          </w:rPr>
                        </w:pPr>
                        <w:r>
                          <w:rPr>
                            <w:rFonts w:ascii="宋体" w:hAnsi="宋体" w:cs="宋体" w:eastAsia="宋体" w:hint="default"/>
                            <w:spacing w:val="-5"/>
                            <w:sz w:val="18"/>
                            <w:szCs w:val="18"/>
                          </w:rPr>
                          <w:t>职工代表监事；</w:t>
                        </w:r>
                        <w:r>
                          <w:rPr>
                            <w:rFonts w:ascii="Times New Roman" w:hAnsi="Times New Roman" w:cs="Times New Roman" w:eastAsia="Times New Roman" w:hint="default"/>
                            <w:spacing w:val="-5"/>
                            <w:sz w:val="18"/>
                            <w:szCs w:val="18"/>
                          </w:rPr>
                          <w:t>2019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日，公司第四届监事会第十一次</w:t>
                        </w:r>
                        <w:r>
                          <w:rPr>
                            <w:rFonts w:ascii="宋体" w:hAnsi="宋体" w:cs="宋体" w:eastAsia="宋体" w:hint="default"/>
                            <w:sz w:val="18"/>
                            <w:szCs w:val="18"/>
                          </w:rPr>
                          <w:t> 会议选举其为监事会主席。</w:t>
                        </w: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王  桢</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r>
                          <w:rPr>
                            <w:rFonts w:ascii="宋体" w:hAnsi="宋体" w:cs="宋体" w:eastAsia="宋体" w:hint="default"/>
                            <w:spacing w:val="-90"/>
                            <w:sz w:val="18"/>
                            <w:szCs w:val="18"/>
                          </w:rPr>
                          <w:t>，</w:t>
                        </w:r>
                        <w:r>
                          <w:rPr>
                            <w:rFonts w:ascii="宋体" w:hAnsi="宋体" w:cs="宋体" w:eastAsia="宋体" w:hint="default"/>
                            <w:sz w:val="18"/>
                            <w:szCs w:val="18"/>
                          </w:rPr>
                          <w:t>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w:t>
                        </w: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4" w:right="0"/>
                          <w:jc w:val="left"/>
                          <w:rPr>
                            <w:rFonts w:ascii="宋体" w:hAnsi="宋体" w:cs="宋体" w:eastAsia="宋体" w:hint="default"/>
                            <w:sz w:val="18"/>
                            <w:szCs w:val="18"/>
                          </w:rPr>
                        </w:pPr>
                        <w:r>
                          <w:rPr>
                            <w:rFonts w:ascii="宋体" w:hAnsi="宋体" w:cs="宋体" w:eastAsia="宋体" w:hint="default"/>
                            <w:sz w:val="18"/>
                            <w:szCs w:val="18"/>
                          </w:rPr>
                          <w:t>刘  妍</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吴卫华</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403"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宣正元</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bl>
                <w:p>
                  <w:pPr/>
                </w:p>
              </w:txbxContent>
            </v:textbox>
            <w10:wrap type="none"/>
          </v:shape>
        </w:pict>
      </w:r>
      <w:r>
        <w:rPr/>
        <w:t>，</w:t>
      </w:r>
    </w:p>
    <w:p>
      <w:pPr>
        <w:pStyle w:val="BodyText"/>
        <w:spacing w:line="240" w:lineRule="auto" w:before="76"/>
        <w:ind w:left="0" w:right="785"/>
        <w:jc w:val="right"/>
      </w:pPr>
      <w:r>
        <w:rPr/>
        <w:t>。</w:t>
      </w:r>
    </w:p>
    <w:p>
      <w:pPr>
        <w:spacing w:line="240" w:lineRule="auto" w:before="4"/>
        <w:rPr>
          <w:rFonts w:ascii="宋体" w:hAnsi="宋体" w:cs="宋体" w:eastAsia="宋体" w:hint="default"/>
          <w:sz w:val="9"/>
          <w:szCs w:val="9"/>
        </w:rPr>
      </w:pPr>
    </w:p>
    <w:p>
      <w:pPr>
        <w:pStyle w:val="BodyText"/>
        <w:spacing w:line="240" w:lineRule="auto" w:before="44"/>
        <w:ind w:left="0" w:right="785"/>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3"/>
          <w:szCs w:val="23"/>
        </w:rPr>
      </w:pPr>
    </w:p>
    <w:p>
      <w:pPr>
        <w:pStyle w:val="BodyText"/>
        <w:spacing w:line="240" w:lineRule="auto" w:before="44"/>
        <w:ind w:left="0" w:right="785"/>
        <w:jc w:val="right"/>
      </w:pPr>
      <w:r>
        <w:rPr/>
        <w:t>。</w:t>
      </w:r>
    </w:p>
    <w:p>
      <w:pPr>
        <w:spacing w:after="0" w:line="240" w:lineRule="auto"/>
        <w:jc w:val="right"/>
        <w:sectPr>
          <w:pgSz w:w="11910" w:h="16840"/>
          <w:pgMar w:header="877" w:footer="979" w:top="1100" w:bottom="1160" w:left="700" w:right="0"/>
        </w:sectPr>
      </w:pPr>
    </w:p>
    <w:p>
      <w:pPr>
        <w:spacing w:line="240" w:lineRule="auto" w:before="6"/>
        <w:rPr>
          <w:rFonts w:ascii="宋体" w:hAnsi="宋体" w:cs="宋体" w:eastAsia="宋体" w:hint="default"/>
          <w:sz w:val="24"/>
          <w:szCs w:val="24"/>
        </w:rPr>
      </w:pPr>
    </w:p>
    <w:tbl>
      <w:tblPr>
        <w:tblW w:w="0" w:type="auto"/>
        <w:jc w:val="left"/>
        <w:tblInd w:w="104" w:type="dxa"/>
        <w:tblLayout w:type="fixed"/>
        <w:tblCellMar>
          <w:top w:w="0" w:type="dxa"/>
          <w:left w:w="0" w:type="dxa"/>
          <w:bottom w:w="0" w:type="dxa"/>
          <w:right w:w="0" w:type="dxa"/>
        </w:tblCellMar>
        <w:tblLook w:val="01E0"/>
      </w:tblPr>
      <w:tblGrid>
        <w:gridCol w:w="1136"/>
        <w:gridCol w:w="1277"/>
        <w:gridCol w:w="1134"/>
        <w:gridCol w:w="1701"/>
        <w:gridCol w:w="4961"/>
      </w:tblGrid>
      <w:tr>
        <w:trPr>
          <w:trHeight w:val="402" w:hRule="exact"/>
        </w:trPr>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类型</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6"/>
                <w:sz w:val="18"/>
                <w:szCs w:val="18"/>
              </w:rPr>
              <w:t>首席执行官（总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日，公司第三届董事会第一次会议审议通过。</w:t>
            </w: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6"/>
                <w:sz w:val="18"/>
                <w:szCs w:val="18"/>
              </w:rPr>
              <w:t>首席执行官（总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主动辞职</w:t>
            </w:r>
          </w:p>
        </w:tc>
      </w:tr>
      <w:tr>
        <w:trPr>
          <w:trHeight w:val="402"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李弘扬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主动辞职</w:t>
            </w:r>
          </w:p>
        </w:tc>
      </w:tr>
      <w:tr>
        <w:trPr>
          <w:trHeight w:val="714" w:hRule="exact"/>
        </w:trPr>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邬  涛</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6"/>
                <w:sz w:val="18"/>
                <w:szCs w:val="18"/>
              </w:rPr>
              <w:t>首席执行官（总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7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4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日，公司第三届董事会第六次会议审议通过。</w:t>
            </w:r>
          </w:p>
        </w:tc>
      </w:tr>
    </w:tbl>
    <w:p>
      <w:pPr>
        <w:spacing w:line="240" w:lineRule="auto" w:before="2"/>
        <w:rPr>
          <w:rFonts w:ascii="宋体" w:hAnsi="宋体" w:cs="宋体" w:eastAsia="宋体" w:hint="default"/>
          <w:sz w:val="18"/>
          <w:szCs w:val="18"/>
        </w:rPr>
      </w:pPr>
    </w:p>
    <w:p>
      <w:pPr>
        <w:pStyle w:val="Heading2"/>
        <w:spacing w:line="240" w:lineRule="auto" w:before="26"/>
        <w:ind w:left="394" w:right="0"/>
        <w:jc w:val="both"/>
        <w:rPr>
          <w:b w:val="0"/>
          <w:bCs w:val="0"/>
        </w:rPr>
      </w:pPr>
      <w:bookmarkStart w:name="三、任职情况" w:id="124"/>
      <w:bookmarkEnd w:id="124"/>
      <w:r>
        <w:rPr>
          <w:b w:val="0"/>
          <w:bCs w:val="0"/>
        </w:rPr>
      </w: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94" w:right="0"/>
        <w:jc w:val="both"/>
      </w:pPr>
      <w:r>
        <w:rPr/>
        <w:t>公司现任董事、监事、高级管理人员专业背景、主要工作经历以及目前在公司的主要职责</w:t>
      </w:r>
    </w:p>
    <w:p>
      <w:pPr>
        <w:spacing w:line="512" w:lineRule="exact" w:before="76"/>
        <w:ind w:left="755" w:right="1118" w:hanging="362"/>
        <w:jc w:val="left"/>
        <w:rPr>
          <w:rFonts w:ascii="宋体" w:hAnsi="宋体" w:cs="宋体" w:eastAsia="宋体" w:hint="default"/>
          <w:sz w:val="18"/>
          <w:szCs w:val="18"/>
        </w:rPr>
      </w:pPr>
      <w:r>
        <w:rPr>
          <w:rFonts w:ascii="宋体" w:hAnsi="宋体" w:cs="宋体" w:eastAsia="宋体" w:hint="default"/>
          <w:b/>
          <w:bCs/>
          <w:sz w:val="18"/>
          <w:szCs w:val="18"/>
        </w:rPr>
        <w:t>（一）公司董事会成员简历如下：</w:t>
      </w:r>
      <w:r>
        <w:rPr>
          <w:rFonts w:ascii="宋体" w:hAnsi="宋体" w:cs="宋体" w:eastAsia="宋体" w:hint="default"/>
          <w:b/>
          <w:bCs/>
          <w:w w:val="99"/>
          <w:sz w:val="18"/>
          <w:szCs w:val="18"/>
        </w:rPr>
        <w:t> </w:t>
      </w:r>
      <w:r>
        <w:rPr>
          <w:rFonts w:ascii="宋体" w:hAnsi="宋体" w:cs="宋体" w:eastAsia="宋体" w:hint="default"/>
          <w:b/>
          <w:bCs/>
          <w:sz w:val="18"/>
          <w:szCs w:val="18"/>
        </w:rPr>
        <w:t>张秀兵：</w:t>
      </w:r>
      <w:r>
        <w:rPr>
          <w:rFonts w:ascii="宋体" w:hAnsi="宋体" w:cs="宋体" w:eastAsia="宋体" w:hint="default"/>
          <w:sz w:val="18"/>
          <w:szCs w:val="18"/>
        </w:rPr>
        <w:t>男，</w:t>
      </w:r>
      <w:r>
        <w:rPr>
          <w:rFonts w:ascii="Times New Roman" w:hAnsi="Times New Roman" w:cs="Times New Roman" w:eastAsia="Times New Roman" w:hint="default"/>
          <w:sz w:val="18"/>
          <w:szCs w:val="18"/>
        </w:rPr>
        <w:t>1966</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月出生，中国国籍，有美国永久居留权，本科学历。</w:t>
      </w:r>
      <w:r>
        <w:rPr>
          <w:rFonts w:ascii="Times New Roman" w:hAnsi="Times New Roman" w:cs="Times New Roman" w:eastAsia="Times New Roman" w:hint="default"/>
          <w:sz w:val="18"/>
          <w:szCs w:val="18"/>
        </w:rPr>
        <w:t>1991</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月至</w:t>
      </w:r>
      <w:r>
        <w:rPr>
          <w:rFonts w:ascii="Times New Roman" w:hAnsi="Times New Roman" w:cs="Times New Roman" w:eastAsia="Times New Roman" w:hint="default"/>
          <w:sz w:val="18"/>
          <w:szCs w:val="18"/>
        </w:rPr>
        <w:t>1994</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月，担任河北省武安县</w:t>
      </w:r>
    </w:p>
    <w:p>
      <w:pPr>
        <w:pStyle w:val="BodyText"/>
        <w:spacing w:line="300" w:lineRule="auto"/>
        <w:ind w:left="394" w:right="1042"/>
        <w:jc w:val="both"/>
      </w:pPr>
      <w:r>
        <w:rPr>
          <w:spacing w:val="-2"/>
        </w:rPr>
        <w:t>第一中学英语教师；</w:t>
      </w:r>
      <w:r>
        <w:rPr>
          <w:rFonts w:ascii="Times New Roman" w:hAnsi="Times New Roman" w:cs="Times New Roman" w:eastAsia="Times New Roman" w:hint="default"/>
          <w:spacing w:val="-2"/>
        </w:rPr>
        <w:t>1994</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4</w:t>
      </w:r>
      <w:r>
        <w:rPr>
          <w:spacing w:val="-2"/>
        </w:rPr>
        <w:t>月，担任北京博能信息咨询公司部门经理；</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5</w:t>
      </w:r>
      <w:r>
        <w:rPr>
          <w:spacing w:val="-2"/>
        </w:rPr>
        <w:t>月至</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6</w:t>
      </w:r>
      <w:r>
        <w:rPr>
          <w:spacing w:val="-2"/>
        </w:rPr>
        <w:t>月，担任北京迪思</w:t>
      </w:r>
      <w:r>
        <w:rPr>
          <w:spacing w:val="-45"/>
        </w:rPr>
        <w:t> </w:t>
      </w:r>
      <w:r>
        <w:rPr>
          <w:spacing w:val="-45"/>
        </w:rPr>
      </w:r>
      <w:r>
        <w:rPr>
          <w:spacing w:val="-2"/>
        </w:rPr>
        <w:t>信息咨询公司总经理；</w:t>
      </w:r>
      <w:r>
        <w:rPr>
          <w:rFonts w:ascii="Times New Roman" w:hAnsi="Times New Roman" w:cs="Times New Roman" w:eastAsia="Times New Roman" w:hint="default"/>
          <w:spacing w:val="-2"/>
        </w:rPr>
        <w:t>1999</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w:t>
      </w:r>
      <w:r>
        <w:rPr>
          <w:spacing w:val="-2"/>
        </w:rPr>
        <w:t>月，担任北京宣亚智杰公关顾问公司总经理；</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3</w:t>
      </w:r>
      <w:r>
        <w:rPr>
          <w:spacing w:val="-2"/>
        </w:rPr>
        <w:t>月担任宣亚国</w:t>
      </w:r>
      <w:r>
        <w:rPr>
          <w:spacing w:val="-46"/>
        </w:rPr>
        <w:t> </w:t>
      </w:r>
      <w:r>
        <w:rPr>
          <w:spacing w:val="-5"/>
        </w:rPr>
        <w:t>际品牌管理（北京）股份有限公司董事长、总经理；</w:t>
      </w:r>
      <w:r>
        <w:rPr>
          <w:rFonts w:ascii="Times New Roman" w:hAnsi="Times New Roman" w:cs="Times New Roman" w:eastAsia="Times New Roman" w:hint="default"/>
          <w:spacing w:val="-5"/>
        </w:rPr>
        <w:t>2007</w:t>
      </w:r>
      <w:r>
        <w:rPr>
          <w:spacing w:val="-5"/>
        </w:rPr>
        <w:t>年</w:t>
      </w:r>
      <w:r>
        <w:rPr>
          <w:rFonts w:ascii="Times New Roman" w:hAnsi="Times New Roman" w:cs="Times New Roman" w:eastAsia="Times New Roman" w:hint="default"/>
          <w:spacing w:val="-5"/>
        </w:rPr>
        <w:t>2</w:t>
      </w:r>
      <w:r>
        <w:rPr>
          <w:spacing w:val="-5"/>
        </w:rPr>
        <w:t>月至今任北京宣亚国际投资有限公司执行董事，</w:t>
      </w:r>
      <w:r>
        <w:rPr>
          <w:rFonts w:ascii="Times New Roman" w:hAnsi="Times New Roman" w:cs="Times New Roman" w:eastAsia="Times New Roman" w:hint="default"/>
          <w:spacing w:val="-5"/>
        </w:rPr>
        <w:t>2007</w:t>
      </w:r>
      <w:r>
        <w:rPr>
          <w:spacing w:val="-5"/>
        </w:rPr>
        <w:t>年</w:t>
      </w:r>
      <w:r>
        <w:rPr>
          <w:rFonts w:ascii="Times New Roman" w:hAnsi="Times New Roman" w:cs="Times New Roman" w:eastAsia="Times New Roman" w:hint="default"/>
          <w:spacing w:val="-5"/>
        </w:rPr>
        <w:t>2</w:t>
      </w:r>
      <w:r>
        <w:rPr>
          <w:spacing w:val="-5"/>
        </w:rPr>
        <w:t>月至</w:t>
      </w:r>
      <w:r>
        <w:rPr>
          <w:rFonts w:ascii="Times New Roman" w:hAnsi="Times New Roman" w:cs="Times New Roman" w:eastAsia="Times New Roman" w:hint="default"/>
          <w:spacing w:val="-5"/>
        </w:rPr>
        <w:t>2018</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2"/>
        </w:rPr>
        <w:t>年</w:t>
      </w:r>
      <w:r>
        <w:rPr>
          <w:rFonts w:ascii="Times New Roman" w:hAnsi="Times New Roman" w:cs="Times New Roman" w:eastAsia="Times New Roman" w:hint="default"/>
          <w:spacing w:val="-2"/>
        </w:rPr>
        <w:t>3</w:t>
      </w:r>
      <w:r>
        <w:rPr>
          <w:spacing w:val="-2"/>
        </w:rPr>
        <w:t>月任北京宣亚国际投资有限公司总经理；</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6</w:t>
      </w:r>
      <w:r>
        <w:rPr>
          <w:spacing w:val="-2"/>
        </w:rPr>
        <w:t>月至今任北京精彩时光投资有限公司总经理、执行董事；</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11</w:t>
      </w:r>
      <w:r>
        <w:rPr>
          <w:spacing w:val="-2"/>
        </w:rPr>
        <w:t>月至</w:t>
      </w:r>
      <w:r>
        <w:rPr>
          <w:spacing w:val="-54"/>
        </w:rPr>
        <w:t> </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月任北京宣亚国际数字技术有限公司总经理、执行董事；</w:t>
      </w:r>
      <w:r>
        <w:rPr>
          <w:rFonts w:ascii="Times New Roman" w:hAnsi="Times New Roman" w:cs="Times New Roman" w:eastAsia="Times New Roman" w:hint="default"/>
          <w:spacing w:val="-3"/>
        </w:rPr>
        <w:t>2018</w:t>
      </w:r>
      <w:r>
        <w:rPr>
          <w:spacing w:val="-3"/>
        </w:rPr>
        <w:t>年</w:t>
      </w:r>
      <w:r>
        <w:rPr>
          <w:rFonts w:ascii="Times New Roman" w:hAnsi="Times New Roman" w:cs="Times New Roman" w:eastAsia="Times New Roman" w:hint="default"/>
          <w:spacing w:val="-3"/>
        </w:rPr>
        <w:t>9</w:t>
      </w:r>
      <w:r>
        <w:rPr>
          <w:spacing w:val="-3"/>
        </w:rPr>
        <w:t>月至今任北京宣亚国际数字技术有限公司执行董事；</w:t>
      </w:r>
    </w:p>
    <w:p>
      <w:pPr>
        <w:pStyle w:val="BodyText"/>
        <w:spacing w:line="302" w:lineRule="auto" w:before="13"/>
        <w:ind w:left="394" w:right="1139"/>
        <w:jc w:val="both"/>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月至今任宣亚国际品牌管理（湖南）有限公司董事；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4</w:t>
      </w:r>
      <w:r>
        <w:rPr/>
        <w:t>月起至今任宣亚国际品牌管理（北京）股份有限公司 董事长；</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月任宣亚国际品牌管理（北京）股份有限公司首席执行官（总裁）。</w:t>
      </w:r>
    </w:p>
    <w:p>
      <w:pPr>
        <w:pStyle w:val="BodyText"/>
        <w:spacing w:line="300" w:lineRule="auto" w:before="49"/>
        <w:ind w:left="394" w:right="1129" w:firstLine="361"/>
        <w:jc w:val="both"/>
      </w:pPr>
      <w:r>
        <w:rPr>
          <w:rFonts w:ascii="宋体" w:hAnsi="宋体" w:cs="宋体" w:eastAsia="宋体" w:hint="default"/>
          <w:b/>
          <w:bCs/>
          <w:spacing w:val="-2"/>
        </w:rPr>
        <w:t>万丽莉：</w:t>
      </w:r>
      <w:r>
        <w:rPr>
          <w:spacing w:val="-2"/>
        </w:rPr>
        <w:t>女，</w:t>
      </w:r>
      <w:r>
        <w:rPr>
          <w:rFonts w:ascii="Times New Roman" w:hAnsi="Times New Roman" w:cs="Times New Roman" w:eastAsia="Times New Roman" w:hint="default"/>
          <w:spacing w:val="-2"/>
        </w:rPr>
        <w:t>1976</w:t>
      </w:r>
      <w:r>
        <w:rPr>
          <w:spacing w:val="-2"/>
        </w:rPr>
        <w:t>年</w:t>
      </w:r>
      <w:r>
        <w:rPr>
          <w:rFonts w:ascii="Times New Roman" w:hAnsi="Times New Roman" w:cs="Times New Roman" w:eastAsia="Times New Roman" w:hint="default"/>
          <w:spacing w:val="-2"/>
        </w:rPr>
        <w:t>11</w:t>
      </w:r>
      <w:r>
        <w:rPr>
          <w:spacing w:val="-2"/>
        </w:rPr>
        <w:t>月出生，中国国籍，有美国永久居留权，本科学历。</w:t>
      </w:r>
      <w:r>
        <w:rPr>
          <w:rFonts w:ascii="Times New Roman" w:hAnsi="Times New Roman" w:cs="Times New Roman" w:eastAsia="Times New Roman" w:hint="default"/>
          <w:spacing w:val="-2"/>
        </w:rPr>
        <w:t>1998</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7</w:t>
      </w:r>
      <w:r>
        <w:rPr>
          <w:spacing w:val="-2"/>
        </w:rPr>
        <w:t>月，担任德加拉集团经</w:t>
      </w:r>
      <w:r>
        <w:rPr/>
        <w:t> 理助理；</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月，担任北京宣亚智杰公关顾问有限公司项目经理；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8</w:t>
      </w:r>
      <w:r>
        <w:rPr/>
        <w:t>月至</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12</w:t>
      </w:r>
      <w:r>
        <w:rPr/>
        <w:t>月担任北京宣亚国 </w:t>
      </w:r>
      <w:r>
        <w:rPr>
          <w:spacing w:val="-2"/>
        </w:rPr>
        <w:t>际投资有限公司行政经理；</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2</w:t>
      </w:r>
      <w:r>
        <w:rPr>
          <w:spacing w:val="-2"/>
        </w:rPr>
        <w:t>月至今担任北京宣亚国际投资有限公司监事；</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月至今担任宣亚国际品牌管理（北</w:t>
      </w:r>
      <w:r>
        <w:rPr>
          <w:spacing w:val="-56"/>
        </w:rPr>
        <w:t> </w:t>
      </w:r>
      <w:r>
        <w:rPr>
          <w:spacing w:val="-56"/>
        </w:rPr>
      </w:r>
      <w:r>
        <w:rPr/>
        <w:t>京）股份有限公司董事；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月至今同时担任宣亚国际有限公司财务经理。</w:t>
      </w:r>
    </w:p>
    <w:p>
      <w:pPr>
        <w:pStyle w:val="BodyText"/>
        <w:spacing w:line="302" w:lineRule="auto" w:before="51"/>
        <w:ind w:left="394" w:right="1041" w:firstLine="361"/>
        <w:jc w:val="left"/>
      </w:pPr>
      <w:r>
        <w:rPr>
          <w:rFonts w:ascii="宋体" w:hAnsi="宋体" w:cs="宋体" w:eastAsia="宋体" w:hint="default"/>
          <w:b/>
          <w:bCs/>
        </w:rPr>
        <w:t>宾卫：</w:t>
      </w:r>
      <w:r>
        <w:rPr/>
        <w:t>女，</w:t>
      </w:r>
      <w:r>
        <w:rPr>
          <w:rFonts w:ascii="Times New Roman" w:hAnsi="Times New Roman" w:cs="Times New Roman" w:eastAsia="Times New Roman" w:hint="default"/>
        </w:rPr>
        <w:t>1969</w:t>
      </w:r>
      <w:r>
        <w:rPr/>
        <w:t>年</w:t>
      </w:r>
      <w:r>
        <w:rPr>
          <w:rFonts w:ascii="Times New Roman" w:hAnsi="Times New Roman" w:cs="Times New Roman" w:eastAsia="Times New Roman" w:hint="default"/>
        </w:rPr>
        <w:t>6</w:t>
      </w:r>
      <w:r>
        <w:rPr/>
        <w:t>月出生，中国国籍，无境外永久居留权，本科学历，中国注册会计师、美国注册管理会计师。</w:t>
      </w:r>
      <w:r>
        <w:rPr>
          <w:rFonts w:ascii="Times New Roman" w:hAnsi="Times New Roman" w:cs="Times New Roman" w:eastAsia="Times New Roman" w:hint="default"/>
        </w:rPr>
        <w:t>1991 </w:t>
      </w:r>
      <w:r>
        <w:rPr>
          <w:spacing w:val="-3"/>
        </w:rPr>
        <w:t>年</w:t>
      </w:r>
      <w:r>
        <w:rPr>
          <w:rFonts w:ascii="Times New Roman" w:hAnsi="Times New Roman" w:cs="Times New Roman" w:eastAsia="Times New Roman" w:hint="default"/>
          <w:spacing w:val="-3"/>
        </w:rPr>
        <w:t>8</w:t>
      </w:r>
      <w:r>
        <w:rPr>
          <w:spacing w:val="-3"/>
        </w:rPr>
        <w:t>月至</w:t>
      </w:r>
      <w:r>
        <w:rPr>
          <w:rFonts w:ascii="Times New Roman" w:hAnsi="Times New Roman" w:cs="Times New Roman" w:eastAsia="Times New Roman" w:hint="default"/>
          <w:spacing w:val="-3"/>
        </w:rPr>
        <w:t>1996</w:t>
      </w:r>
      <w:r>
        <w:rPr>
          <w:spacing w:val="-3"/>
        </w:rPr>
        <w:t>年</w:t>
      </w:r>
      <w:r>
        <w:rPr>
          <w:rFonts w:ascii="Times New Roman" w:hAnsi="Times New Roman" w:cs="Times New Roman" w:eastAsia="Times New Roman" w:hint="default"/>
          <w:spacing w:val="-3"/>
        </w:rPr>
        <w:t>5</w:t>
      </w:r>
      <w:r>
        <w:rPr>
          <w:spacing w:val="-3"/>
        </w:rPr>
        <w:t>月，担任北京有色金属研究总院助理工程师；</w:t>
      </w:r>
      <w:r>
        <w:rPr>
          <w:rFonts w:ascii="Times New Roman" w:hAnsi="Times New Roman" w:cs="Times New Roman" w:eastAsia="Times New Roman" w:hint="default"/>
          <w:spacing w:val="-3"/>
        </w:rPr>
        <w:t>1996</w:t>
      </w:r>
      <w:r>
        <w:rPr>
          <w:spacing w:val="-3"/>
        </w:rPr>
        <w:t>年</w:t>
      </w:r>
      <w:r>
        <w:rPr>
          <w:rFonts w:ascii="Times New Roman" w:hAnsi="Times New Roman" w:cs="Times New Roman" w:eastAsia="Times New Roman" w:hint="default"/>
          <w:spacing w:val="-3"/>
        </w:rPr>
        <w:t>6</w:t>
      </w:r>
      <w:r>
        <w:rPr>
          <w:spacing w:val="-3"/>
        </w:rPr>
        <w:t>月至</w:t>
      </w:r>
      <w:r>
        <w:rPr>
          <w:rFonts w:ascii="Times New Roman" w:hAnsi="Times New Roman" w:cs="Times New Roman" w:eastAsia="Times New Roman" w:hint="default"/>
          <w:spacing w:val="-3"/>
        </w:rPr>
        <w:t>1996</w:t>
      </w:r>
      <w:r>
        <w:rPr>
          <w:spacing w:val="-3"/>
        </w:rPr>
        <w:t>年</w:t>
      </w:r>
      <w:r>
        <w:rPr>
          <w:rFonts w:ascii="Times New Roman" w:hAnsi="Times New Roman" w:cs="Times New Roman" w:eastAsia="Times New Roman" w:hint="default"/>
          <w:spacing w:val="-3"/>
        </w:rPr>
        <w:t>9</w:t>
      </w:r>
      <w:r>
        <w:rPr>
          <w:spacing w:val="-3"/>
        </w:rPr>
        <w:t>月，担任北京富士彩色设备有限公司会计；</w:t>
      </w:r>
      <w:r>
        <w:rPr>
          <w:spacing w:val="-75"/>
        </w:rPr>
        <w:t> </w:t>
      </w:r>
      <w:r>
        <w:rPr>
          <w:spacing w:val="-75"/>
        </w:rPr>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3</w:t>
      </w:r>
      <w:r>
        <w:rPr/>
        <w:t>月，担任爱德曼国际公关（中国）有限公司会计主管；</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9 </w:t>
      </w:r>
      <w:r>
        <w:rPr/>
        <w:t>月，担任万博宣伟国际公关（中国）有限公司会计主管；</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12</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月，先后担任北京宣亚智慧广告有限公司助 理财务顾问、财务经理；</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7</w:t>
      </w:r>
      <w:r>
        <w:rPr/>
        <w:t>月，先后担任北京品推宝移动科技有限公司财务经理、财务总监；</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 </w:t>
      </w:r>
      <w:r>
        <w:rPr>
          <w:spacing w:val="-2"/>
        </w:rPr>
        <w:t>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w:t>
      </w:r>
      <w:r>
        <w:rPr>
          <w:spacing w:val="-2"/>
        </w:rPr>
        <w:t>月，担任宣亚国际品牌管理（北京）股份有限公司财务总监；</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月至今担任宣亚国际品牌管理（北京）股份</w:t>
      </w:r>
      <w:r>
        <w:rPr>
          <w:spacing w:val="-57"/>
        </w:rPr>
        <w:t> </w:t>
      </w:r>
      <w:r>
        <w:rPr>
          <w:spacing w:val="-57"/>
        </w:rPr>
      </w:r>
      <w:r>
        <w:rPr>
          <w:spacing w:val="-2"/>
        </w:rPr>
        <w:t>有限公司董事、董事会秘书、财务总监、宣亚国际品牌管理（湖南）有限公司董事、珠海宣亚互动数字营销有限公司执行董</w:t>
      </w:r>
      <w:r>
        <w:rPr>
          <w:spacing w:val="-68"/>
        </w:rPr>
        <w:t> </w:t>
      </w:r>
      <w:r>
        <w:rPr>
          <w:spacing w:val="-68"/>
        </w:rPr>
      </w:r>
      <w:r>
        <w:rPr>
          <w:spacing w:val="-2"/>
        </w:rPr>
        <w:t>事；</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月担任广州宣亚品牌管理有限公司执行董事。</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9</w:t>
      </w:r>
      <w:r>
        <w:rPr>
          <w:spacing w:val="-2"/>
        </w:rPr>
        <w:t>月至今兼任宣亚国际品牌管理（北京）股份</w:t>
      </w:r>
      <w:r>
        <w:rPr>
          <w:spacing w:val="-49"/>
        </w:rPr>
        <w:t> </w:t>
      </w:r>
      <w:r>
        <w:rPr>
          <w:spacing w:val="-49"/>
        </w:rPr>
      </w:r>
      <w:r>
        <w:rPr/>
        <w:t>有限公司副总裁。</w:t>
      </w:r>
    </w:p>
    <w:p>
      <w:pPr>
        <w:pStyle w:val="BodyText"/>
        <w:spacing w:line="300" w:lineRule="auto" w:before="69"/>
        <w:ind w:left="394" w:right="1130" w:firstLine="361"/>
        <w:jc w:val="both"/>
      </w:pPr>
      <w:r>
        <w:rPr>
          <w:rFonts w:ascii="宋体" w:hAnsi="宋体" w:cs="宋体" w:eastAsia="宋体" w:hint="default"/>
          <w:b/>
          <w:bCs/>
        </w:rPr>
        <w:t>闫贵忠：</w:t>
      </w:r>
      <w:r>
        <w:rPr/>
        <w:t>男，</w:t>
      </w:r>
      <w:r>
        <w:rPr>
          <w:rFonts w:ascii="Times New Roman" w:hAnsi="Times New Roman" w:cs="Times New Roman" w:eastAsia="Times New Roman" w:hint="default"/>
        </w:rPr>
        <w:t>1967</w:t>
      </w:r>
      <w:r>
        <w:rPr/>
        <w:t>年</w:t>
      </w:r>
      <w:r>
        <w:rPr>
          <w:rFonts w:ascii="Times New Roman" w:hAnsi="Times New Roman" w:cs="Times New Roman" w:eastAsia="Times New Roman" w:hint="default"/>
        </w:rPr>
        <w:t>9</w:t>
      </w:r>
      <w:r>
        <w:rPr/>
        <w:t>月出生，中国国籍，无境外永久居留权，本科学历。</w:t>
      </w:r>
      <w:r>
        <w:rPr>
          <w:rFonts w:ascii="Times New Roman" w:hAnsi="Times New Roman" w:cs="Times New Roman" w:eastAsia="Times New Roman" w:hint="default"/>
        </w:rPr>
        <w:t>1991</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2000</w:t>
      </w:r>
      <w:r>
        <w:rPr/>
        <w:t>年</w:t>
      </w:r>
      <w:r>
        <w:rPr>
          <w:rFonts w:ascii="Times New Roman" w:hAnsi="Times New Roman" w:cs="Times New Roman" w:eastAsia="Times New Roman" w:hint="default"/>
        </w:rPr>
        <w:t>7</w:t>
      </w:r>
      <w:r>
        <w:rPr/>
        <w:t>月，担任河北省阳原一 </w:t>
      </w:r>
      <w:r>
        <w:rPr>
          <w:spacing w:val="-2"/>
        </w:rPr>
        <w:t>中教师；</w:t>
      </w:r>
      <w:r>
        <w:rPr>
          <w:rFonts w:ascii="Times New Roman" w:hAnsi="Times New Roman" w:cs="Times New Roman" w:eastAsia="Times New Roman" w:hint="default"/>
          <w:spacing w:val="-2"/>
        </w:rPr>
        <w:t>2000</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w:t>
      </w:r>
      <w:r>
        <w:rPr>
          <w:spacing w:val="-2"/>
        </w:rPr>
        <w:t>月，担任北京宣亚智杰公关顾问公司财务经理；</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3</w:t>
      </w:r>
      <w:r>
        <w:rPr>
          <w:spacing w:val="-2"/>
        </w:rPr>
        <w:t>月，担任北京品推宝移动</w:t>
      </w:r>
      <w:r>
        <w:rPr>
          <w:spacing w:val="-45"/>
        </w:rPr>
        <w:t> </w:t>
      </w:r>
      <w:r>
        <w:rPr>
          <w:spacing w:val="-45"/>
        </w:rPr>
      </w:r>
      <w:r>
        <w:rPr>
          <w:spacing w:val="-2"/>
        </w:rPr>
        <w:t>科技有限公司采购部经理；</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2</w:t>
      </w:r>
      <w:r>
        <w:rPr>
          <w:spacing w:val="-2"/>
        </w:rPr>
        <w:t>月、</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月，担任宣亚国际品牌管理（北京）股份有限公司</w:t>
      </w:r>
      <w:r>
        <w:rPr>
          <w:spacing w:val="-46"/>
        </w:rPr>
        <w:t> </w:t>
      </w:r>
      <w:r>
        <w:rPr>
          <w:spacing w:val="-46"/>
        </w:rPr>
      </w:r>
      <w:r>
        <w:rPr/>
        <w:t>内审部主任；</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日，担任宣亚国际品牌管理（北京）股份有限公司监事；</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 </w:t>
      </w:r>
      <w:r>
        <w:rPr>
          <w:spacing w:val="-3"/>
        </w:rPr>
        <w:t>日，担任宣亚国际品牌管理（北京）股份有限公司监事会主席；</w:t>
      </w:r>
      <w:r>
        <w:rPr>
          <w:rFonts w:ascii="Times New Roman" w:hAnsi="Times New Roman" w:cs="Times New Roman" w:eastAsia="Times New Roman" w:hint="default"/>
          <w:spacing w:val="-3"/>
        </w:rPr>
        <w:t>2014</w:t>
      </w:r>
      <w:r>
        <w:rPr>
          <w:spacing w:val="-3"/>
        </w:rPr>
        <w:t>年</w:t>
      </w:r>
      <w:r>
        <w:rPr>
          <w:rFonts w:ascii="Times New Roman" w:hAnsi="Times New Roman" w:cs="Times New Roman" w:eastAsia="Times New Roman" w:hint="default"/>
          <w:spacing w:val="-3"/>
        </w:rPr>
        <w:t>9</w:t>
      </w:r>
      <w:r>
        <w:rPr>
          <w:spacing w:val="-3"/>
        </w:rPr>
        <w:t>月至今兼任北京新兵连文化传媒有限公司监事；</w:t>
      </w:r>
      <w:r>
        <w:rPr>
          <w:rFonts w:ascii="Times New Roman" w:hAnsi="Times New Roman" w:cs="Times New Roman" w:eastAsia="Times New Roman" w:hint="default"/>
          <w:spacing w:val="-3"/>
        </w:rPr>
        <w:t>2015</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42"/>
        </w:rPr>
      </w:r>
      <w:r>
        <w:rPr>
          <w:spacing w:val="-2"/>
        </w:rPr>
        <w:t>年</w:t>
      </w:r>
      <w:r>
        <w:rPr>
          <w:rFonts w:ascii="Times New Roman" w:hAnsi="Times New Roman" w:cs="Times New Roman" w:eastAsia="Times New Roman" w:hint="default"/>
          <w:spacing w:val="-2"/>
        </w:rPr>
        <w:t>4</w:t>
      </w:r>
      <w:r>
        <w:rPr>
          <w:spacing w:val="-2"/>
        </w:rPr>
        <w:t>月至今兼任北京宣亚国际品牌咨询有限公司监事；</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5</w:t>
      </w:r>
      <w:r>
        <w:rPr>
          <w:spacing w:val="-2"/>
        </w:rPr>
        <w:t>月至今兼任北京品推宝移动科技有限公司监事、秦皇岛宣亚公</w:t>
      </w:r>
      <w:r>
        <w:rPr>
          <w:spacing w:val="-57"/>
        </w:rPr>
        <w:t> </w:t>
      </w:r>
      <w:r>
        <w:rPr>
          <w:spacing w:val="-57"/>
        </w:rPr>
      </w:r>
      <w:r>
        <w:rPr>
          <w:spacing w:val="-2"/>
        </w:rPr>
        <w:t>共关系顾问有限公司监事；</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10</w:t>
      </w:r>
      <w:r>
        <w:rPr>
          <w:spacing w:val="-2"/>
        </w:rPr>
        <w:t>月至今兼任北京威维体育文化有限公司监事；</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2</w:t>
      </w:r>
      <w:r>
        <w:rPr>
          <w:spacing w:val="-2"/>
        </w:rPr>
        <w:t>月至</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8</w:t>
      </w:r>
      <w:r>
        <w:rPr>
          <w:spacing w:val="-2"/>
        </w:rPr>
        <w:t>月，担任宣亚国际品</w:t>
      </w:r>
    </w:p>
    <w:p>
      <w:pPr>
        <w:spacing w:after="0" w:line="300" w:lineRule="auto"/>
        <w:jc w:val="both"/>
        <w:sectPr>
          <w:pgSz w:w="11910" w:h="16840"/>
          <w:pgMar w:header="877" w:footer="979" w:top="1100" w:bottom="1160" w:left="740" w:right="0"/>
        </w:sectPr>
      </w:pPr>
    </w:p>
    <w:p>
      <w:pPr>
        <w:spacing w:line="240" w:lineRule="auto" w:before="12"/>
        <w:rPr>
          <w:rFonts w:ascii="宋体" w:hAnsi="宋体" w:cs="宋体" w:eastAsia="宋体" w:hint="default"/>
          <w:sz w:val="21"/>
          <w:szCs w:val="21"/>
        </w:rPr>
      </w:pPr>
    </w:p>
    <w:p>
      <w:pPr>
        <w:pStyle w:val="BodyText"/>
        <w:spacing w:line="302" w:lineRule="auto" w:before="44"/>
        <w:ind w:right="1139"/>
        <w:jc w:val="both"/>
      </w:pPr>
      <w:r>
        <w:rPr/>
        <w:t>牌管理（北京）股份有限公司董事长办公室主任；</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月至今担任宣亚国际品牌管理（北京）股份有限公司董事；</w:t>
      </w:r>
      <w:r>
        <w:rPr>
          <w:rFonts w:ascii="Times New Roman" w:hAnsi="Times New Roman" w:cs="Times New Roman" w:eastAsia="Times New Roman" w:hint="default"/>
        </w:rPr>
        <w:t>2018 </w:t>
      </w:r>
      <w:r>
        <w:rPr/>
        <w:t>年</w:t>
      </w:r>
      <w:r>
        <w:rPr>
          <w:rFonts w:ascii="Times New Roman" w:hAnsi="Times New Roman" w:cs="Times New Roman" w:eastAsia="Times New Roman" w:hint="default"/>
        </w:rPr>
        <w:t>9</w:t>
      </w:r>
      <w:r>
        <w:rPr/>
        <w:t>月至今担任北京宣亚国际投资有限公司办公室主任。</w:t>
      </w:r>
    </w:p>
    <w:p>
      <w:pPr>
        <w:pStyle w:val="BodyText"/>
        <w:spacing w:line="302" w:lineRule="auto" w:before="49"/>
        <w:ind w:right="1116" w:firstLine="361"/>
        <w:jc w:val="left"/>
      </w:pPr>
      <w:r>
        <w:rPr>
          <w:rFonts w:ascii="宋体" w:hAnsi="宋体" w:cs="宋体" w:eastAsia="宋体" w:hint="default"/>
          <w:b/>
          <w:bCs/>
        </w:rPr>
        <w:t>方军：</w:t>
      </w:r>
      <w:r>
        <w:rPr/>
        <w:t>男，</w:t>
      </w:r>
      <w:r>
        <w:rPr>
          <w:rFonts w:ascii="Times New Roman" w:hAnsi="Times New Roman" w:cs="Times New Roman" w:eastAsia="Times New Roman" w:hint="default"/>
        </w:rPr>
        <w:t>1962 </w:t>
      </w:r>
      <w:r>
        <w:rPr/>
        <w:t>年 </w:t>
      </w:r>
      <w:r>
        <w:rPr>
          <w:rFonts w:ascii="Times New Roman" w:hAnsi="Times New Roman" w:cs="Times New Roman" w:eastAsia="Times New Roman" w:hint="default"/>
        </w:rPr>
        <w:t>2</w:t>
      </w:r>
      <w:r>
        <w:rPr>
          <w:rFonts w:ascii="Times New Roman" w:hAnsi="Times New Roman" w:cs="Times New Roman" w:eastAsia="Times New Roman" w:hint="default"/>
          <w:spacing w:val="3"/>
        </w:rPr>
        <w:t> </w:t>
      </w:r>
      <w:r>
        <w:rPr/>
        <w:t>月出生，中国国籍，无境外永久居留权。上海财经大学会计学专业本科毕业，杭州电子科技大学 </w:t>
      </w:r>
      <w:r>
        <w:rPr>
          <w:spacing w:val="-2"/>
        </w:rPr>
        <w:t>管理工程学专业硕士研究生毕业获硕士学位，高级会计师，中国注册会计师。曾在中国电子器件工业总公司、中华人民共和</w:t>
      </w:r>
      <w:r>
        <w:rPr>
          <w:spacing w:val="-66"/>
        </w:rPr>
        <w:t> </w:t>
      </w:r>
      <w:r>
        <w:rPr>
          <w:spacing w:val="-66"/>
        </w:rPr>
      </w:r>
      <w:r>
        <w:rPr/>
        <w:t>国电子工业部部经济调节司工作，</w:t>
      </w:r>
      <w:r>
        <w:rPr>
          <w:rFonts w:ascii="Times New Roman" w:hAnsi="Times New Roman" w:cs="Times New Roman" w:eastAsia="Times New Roman" w:hint="default"/>
        </w:rPr>
        <w:t>1988 </w:t>
      </w:r>
      <w:r>
        <w:rPr/>
        <w:t>年 </w:t>
      </w:r>
      <w:r>
        <w:rPr>
          <w:rFonts w:ascii="Times New Roman" w:hAnsi="Times New Roman" w:cs="Times New Roman" w:eastAsia="Times New Roman" w:hint="default"/>
        </w:rPr>
        <w:t>12</w:t>
      </w:r>
      <w:r>
        <w:rPr>
          <w:rFonts w:ascii="Times New Roman" w:hAnsi="Times New Roman" w:cs="Times New Roman" w:eastAsia="Times New Roman" w:hint="default"/>
          <w:spacing w:val="-11"/>
        </w:rPr>
        <w:t> </w:t>
      </w:r>
      <w:r>
        <w:rPr/>
        <w:t>月起，进入中国信息信托投资公司、中国电子财务有限责任公司工作，先后 担任人民币业务部经理、计划财务部经理、副总会计师兼部门经理、政策研究部总经理等职，</w:t>
      </w:r>
      <w:r>
        <w:rPr>
          <w:rFonts w:ascii="Times New Roman" w:hAnsi="Times New Roman" w:cs="Times New Roman" w:eastAsia="Times New Roman" w:hint="default"/>
        </w:rPr>
        <w:t>2003 </w:t>
      </w:r>
      <w:r>
        <w:rPr/>
        <w:t>年 </w:t>
      </w:r>
      <w:r>
        <w:rPr>
          <w:rFonts w:ascii="Times New Roman" w:hAnsi="Times New Roman" w:cs="Times New Roman" w:eastAsia="Times New Roman" w:hint="default"/>
        </w:rPr>
        <w:t>10</w:t>
      </w:r>
      <w:r>
        <w:rPr>
          <w:rFonts w:ascii="Times New Roman" w:hAnsi="Times New Roman" w:cs="Times New Roman" w:eastAsia="Times New Roman" w:hint="default"/>
          <w:spacing w:val="-9"/>
        </w:rPr>
        <w:t> </w:t>
      </w:r>
      <w:r>
        <w:rPr/>
        <w:t>月任深圳桑达电 子集团有限公司财务总监，监事会主席等职，</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月任中国软件与技术服务股份有限公司财务总监；</w:t>
      </w:r>
      <w:r>
        <w:rPr>
          <w:rFonts w:ascii="Times New Roman" w:hAnsi="Times New Roman" w:cs="Times New Roman" w:eastAsia="Times New Roman" w:hint="default"/>
        </w:rPr>
        <w:t>2010 </w:t>
      </w:r>
      <w:r>
        <w:rPr/>
        <w:t>年</w:t>
      </w:r>
      <w:r>
        <w:rPr>
          <w:rFonts w:ascii="Times New Roman" w:hAnsi="Times New Roman" w:cs="Times New Roman" w:eastAsia="Times New Roman" w:hint="default"/>
        </w:rPr>
        <w:t>11</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月任北京中软融鑫计算机系统工程有限公司董事长；</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12</w:t>
      </w:r>
      <w:r>
        <w:rPr/>
        <w:t>月至今任中国注册会计师协会审计准则委员 会委员；</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w:t>
      </w:r>
      <w:r>
        <w:rPr/>
        <w:t>月至今任北京上市公司协会财务总监工作委员会副主任；</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月任杭州中软安人网络通信 </w:t>
      </w:r>
      <w:r>
        <w:rPr>
          <w:spacing w:val="-2"/>
        </w:rPr>
        <w:t>股份有限公司董事长；</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4</w:t>
      </w:r>
      <w:r>
        <w:rPr>
          <w:spacing w:val="-2"/>
        </w:rPr>
        <w:t>月至今任中标软件有限公司董事；</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月至今任宣亚国际品牌管理（北京）股份有限公司</w:t>
      </w:r>
      <w:r>
        <w:rPr>
          <w:spacing w:val="-54"/>
        </w:rPr>
        <w:t> </w:t>
      </w:r>
      <w:r>
        <w:rPr>
          <w:spacing w:val="-54"/>
        </w:rPr>
      </w:r>
      <w:r>
        <w:rPr/>
        <w:t>独立董事；</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月至今任中共中国长城科技集团股份有限公司纪委书记、党委委员。</w:t>
      </w:r>
    </w:p>
    <w:p>
      <w:pPr>
        <w:pStyle w:val="BodyText"/>
        <w:spacing w:line="300" w:lineRule="auto" w:before="50"/>
        <w:ind w:right="1038" w:firstLine="361"/>
        <w:jc w:val="left"/>
      </w:pPr>
      <w:r>
        <w:rPr>
          <w:rFonts w:ascii="宋体" w:hAnsi="宋体" w:cs="宋体" w:eastAsia="宋体" w:hint="default"/>
          <w:b/>
          <w:bCs/>
        </w:rPr>
        <w:t>王正鹏：</w:t>
      </w:r>
      <w:r>
        <w:rPr/>
        <w:t>男，</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8</w:t>
      </w:r>
      <w:r>
        <w:rPr/>
        <w:t>月出生，中国国籍，无境外永久居留权，硕士学历。</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7</w:t>
      </w:r>
      <w:r>
        <w:rPr/>
        <w:t>月至</w:t>
      </w:r>
      <w:r>
        <w:rPr>
          <w:rFonts w:ascii="Times New Roman" w:hAnsi="Times New Roman" w:cs="Times New Roman" w:eastAsia="Times New Roman" w:hint="default"/>
        </w:rPr>
        <w:t>1998</w:t>
      </w:r>
      <w:r>
        <w:rPr/>
        <w:t>年</w:t>
      </w:r>
      <w:r>
        <w:rPr>
          <w:spacing w:val="-19"/>
        </w:rPr>
        <w:t> </w:t>
      </w:r>
      <w:r>
        <w:rPr>
          <w:rFonts w:ascii="Times New Roman" w:hAnsi="Times New Roman" w:cs="Times New Roman" w:eastAsia="Times New Roman" w:hint="default"/>
        </w:rPr>
        <w:t>10</w:t>
      </w:r>
      <w:r>
        <w:rPr/>
        <w:t>月，担任国家进出口 商品检验局内刊《中国商检报》要闻部编辑、记者；</w:t>
      </w:r>
      <w:r>
        <w:rPr>
          <w:rFonts w:ascii="Times New Roman" w:hAnsi="Times New Roman" w:cs="Times New Roman" w:eastAsia="Times New Roman" w:hint="default"/>
        </w:rPr>
        <w:t>1998</w:t>
      </w:r>
      <w:r>
        <w:rPr/>
        <w:t>年</w:t>
      </w:r>
      <w:r>
        <w:rPr>
          <w:rFonts w:ascii="Times New Roman" w:hAnsi="Times New Roman" w:cs="Times New Roman" w:eastAsia="Times New Roman" w:hint="default"/>
        </w:rPr>
        <w:t>10</w:t>
      </w:r>
      <w:r>
        <w:rPr/>
        <w:t>月至</w:t>
      </w:r>
      <w:r>
        <w:rPr>
          <w:spacing w:val="-47"/>
        </w:rPr>
        <w:t> </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月，先后担任北京晨报经济部记者、编辑、经济 部主任、财经新闻中心主任；</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月，在北京奥组委新闻中心任舆情研究工作人员；</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10 </w:t>
      </w:r>
      <w:r>
        <w:rPr>
          <w:spacing w:val="-2"/>
        </w:rPr>
        <w:t>月，担任和讯网财经新闻中心总监；</w:t>
      </w:r>
      <w:r>
        <w:rPr>
          <w:rFonts w:ascii="Times New Roman" w:hAnsi="Times New Roman" w:cs="Times New Roman" w:eastAsia="Times New Roman" w:hint="default"/>
          <w:spacing w:val="-2"/>
        </w:rPr>
        <w:t>2009</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月，担任香港</w:t>
      </w:r>
      <w:r>
        <w:rPr>
          <w:rFonts w:ascii="Times New Roman" w:hAnsi="Times New Roman" w:cs="Times New Roman" w:eastAsia="Times New Roman" w:hint="default"/>
          <w:spacing w:val="-2"/>
        </w:rPr>
        <w:t>WISERS</w:t>
      </w:r>
      <w:r>
        <w:rPr>
          <w:spacing w:val="-2"/>
        </w:rPr>
        <w:t>公司（中文新闻数据库）中国区内容总监；</w:t>
      </w:r>
      <w:r>
        <w:rPr>
          <w:spacing w:val="-79"/>
        </w:rPr>
        <w:t> </w:t>
      </w:r>
      <w:r>
        <w:rPr>
          <w:spacing w:val="-79"/>
        </w:rPr>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10</w:t>
      </w:r>
      <w:r>
        <w:rPr>
          <w:spacing w:val="-3"/>
        </w:rPr>
        <w:t>月至</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10</w:t>
      </w:r>
      <w:r>
        <w:rPr>
          <w:spacing w:val="-3"/>
        </w:rPr>
        <w:t>月先后担任和讯网财经传播事业部总经理、和讯网总编辑；</w:t>
      </w:r>
      <w:r>
        <w:rPr>
          <w:rFonts w:ascii="Times New Roman" w:hAnsi="Times New Roman" w:cs="Times New Roman" w:eastAsia="Times New Roman" w:hint="default"/>
          <w:spacing w:val="-3"/>
        </w:rPr>
        <w:t>2016</w:t>
      </w:r>
      <w:r>
        <w:rPr>
          <w:spacing w:val="-3"/>
        </w:rPr>
        <w:t>年</w:t>
      </w:r>
      <w:r>
        <w:rPr>
          <w:rFonts w:ascii="Times New Roman" w:hAnsi="Times New Roman" w:cs="Times New Roman" w:eastAsia="Times New Roman" w:hint="default"/>
          <w:spacing w:val="-3"/>
        </w:rPr>
        <w:t>10</w:t>
      </w:r>
      <w:r>
        <w:rPr>
          <w:spacing w:val="-3"/>
        </w:rPr>
        <w:t>月至今担任</w:t>
      </w:r>
      <w:r>
        <w:rPr>
          <w:rFonts w:ascii="Times New Roman" w:hAnsi="Times New Roman" w:cs="Times New Roman" w:eastAsia="Times New Roman" w:hint="default"/>
          <w:spacing w:val="-3"/>
        </w:rPr>
        <w:t>Business </w:t>
      </w:r>
      <w:r>
        <w:rPr>
          <w:rFonts w:ascii="Times New Roman" w:hAnsi="Times New Roman" w:cs="Times New Roman" w:eastAsia="Times New Roman" w:hint="default"/>
        </w:rPr>
        <w:t>Asia Arab TV</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rFonts w:ascii="Times New Roman" w:hAnsi="Times New Roman" w:cs="Times New Roman" w:eastAsia="Times New Roman" w:hint="default"/>
        </w:rPr>
        <w:t>Ltd</w:t>
      </w:r>
      <w:r>
        <w:rPr/>
        <w:t>首席执行官、执行董事；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1</w:t>
      </w:r>
      <w:r>
        <w:rPr/>
        <w:t>月至今担任宣亚国际品牌管理（北京）股份有限公司独立董事；</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8</w:t>
      </w:r>
      <w:r>
        <w:rPr/>
        <w:t>月至今担任上 海和讯聚信资产管理有限公司董事长；</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6</w:t>
      </w:r>
      <w:r>
        <w:rPr/>
        <w:t>月至今担任和讯保险经纪有限公司董事长。</w:t>
      </w:r>
    </w:p>
    <w:p>
      <w:pPr>
        <w:pStyle w:val="BodyText"/>
        <w:spacing w:line="300" w:lineRule="auto" w:before="51"/>
        <w:ind w:right="1130" w:firstLine="361"/>
        <w:jc w:val="both"/>
      </w:pPr>
      <w:r>
        <w:rPr>
          <w:rFonts w:ascii="宋体" w:hAnsi="宋体" w:cs="宋体" w:eastAsia="宋体" w:hint="default"/>
          <w:b/>
          <w:bCs/>
        </w:rPr>
        <w:t>徐轶尊：</w:t>
      </w:r>
      <w:r>
        <w:rPr/>
        <w:t>男，</w:t>
      </w:r>
      <w:r>
        <w:rPr>
          <w:rFonts w:ascii="Times New Roman" w:hAnsi="Times New Roman" w:cs="Times New Roman" w:eastAsia="Times New Roman" w:hint="default"/>
        </w:rPr>
        <w:t>1975</w:t>
      </w:r>
      <w:r>
        <w:rPr/>
        <w:t>年</w:t>
      </w:r>
      <w:r>
        <w:rPr>
          <w:rFonts w:ascii="Times New Roman" w:hAnsi="Times New Roman" w:cs="Times New Roman" w:eastAsia="Times New Roman" w:hint="default"/>
        </w:rPr>
        <w:t>4</w:t>
      </w:r>
      <w:r>
        <w:rPr/>
        <w:t>月出生，中国国籍，无境外永久居留权，博士学历。</w:t>
      </w:r>
      <w:r>
        <w:rPr>
          <w:rFonts w:ascii="Times New Roman" w:hAnsi="Times New Roman" w:cs="Times New Roman" w:eastAsia="Times New Roman" w:hint="default"/>
        </w:rPr>
        <w:t>1996</w:t>
      </w:r>
      <w:r>
        <w:rPr/>
        <w:t>年</w:t>
      </w:r>
      <w:r>
        <w:rPr>
          <w:rFonts w:ascii="Times New Roman" w:hAnsi="Times New Roman" w:cs="Times New Roman" w:eastAsia="Times New Roman" w:hint="default"/>
        </w:rPr>
        <w:t>1</w:t>
      </w:r>
      <w:r>
        <w:rPr/>
        <w:t>月至</w:t>
      </w:r>
      <w:r>
        <w:rPr>
          <w:rFonts w:ascii="Times New Roman" w:hAnsi="Times New Roman" w:cs="Times New Roman" w:eastAsia="Times New Roman" w:hint="default"/>
        </w:rPr>
        <w:t>1997</w:t>
      </w:r>
      <w:r>
        <w:rPr/>
        <w:t>年</w:t>
      </w:r>
      <w:r>
        <w:rPr>
          <w:rFonts w:ascii="Times New Roman" w:hAnsi="Times New Roman" w:cs="Times New Roman" w:eastAsia="Times New Roman" w:hint="default"/>
        </w:rPr>
        <w:t>8</w:t>
      </w:r>
      <w:r>
        <w:rPr/>
        <w:t>月，担任中央电视台经 </w:t>
      </w:r>
      <w:r>
        <w:rPr>
          <w:spacing w:val="-2"/>
        </w:rPr>
        <w:t>济部商务电视编导；</w:t>
      </w:r>
      <w:r>
        <w:rPr>
          <w:rFonts w:ascii="Times New Roman" w:hAnsi="Times New Roman" w:cs="Times New Roman" w:eastAsia="Times New Roman" w:hint="default"/>
          <w:spacing w:val="-2"/>
        </w:rPr>
        <w:t>2001</w:t>
      </w:r>
      <w:r>
        <w:rPr>
          <w:spacing w:val="-2"/>
        </w:rPr>
        <w:t>年</w:t>
      </w:r>
      <w:r>
        <w:rPr>
          <w:rFonts w:ascii="Times New Roman" w:hAnsi="Times New Roman" w:cs="Times New Roman" w:eastAsia="Times New Roman" w:hint="default"/>
          <w:spacing w:val="-2"/>
        </w:rPr>
        <w:t>10</w:t>
      </w:r>
      <w:r>
        <w:rPr>
          <w:spacing w:val="-2"/>
        </w:rPr>
        <w:t>月至</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10</w:t>
      </w:r>
      <w:r>
        <w:rPr>
          <w:spacing w:val="-2"/>
        </w:rPr>
        <w:t>月，担任雅宝吉利电子商务中国有限公司首席执行官；</w:t>
      </w:r>
      <w:r>
        <w:rPr>
          <w:rFonts w:ascii="Times New Roman" w:hAnsi="Times New Roman" w:cs="Times New Roman" w:eastAsia="Times New Roman" w:hint="default"/>
          <w:spacing w:val="-2"/>
        </w:rPr>
        <w:t>2003</w:t>
      </w:r>
      <w:r>
        <w:rPr>
          <w:spacing w:val="-2"/>
        </w:rPr>
        <w:t>年</w:t>
      </w:r>
      <w:r>
        <w:rPr>
          <w:rFonts w:ascii="Times New Roman" w:hAnsi="Times New Roman" w:cs="Times New Roman" w:eastAsia="Times New Roman" w:hint="default"/>
          <w:spacing w:val="-2"/>
        </w:rPr>
        <w:t>11</w:t>
      </w:r>
      <w:r>
        <w:rPr>
          <w:spacing w:val="-2"/>
        </w:rPr>
        <w:t>月至今担任北京</w:t>
      </w:r>
      <w:r>
        <w:rPr>
          <w:spacing w:val="-47"/>
        </w:rPr>
        <w:t> </w:t>
      </w:r>
      <w:r>
        <w:rPr>
          <w:spacing w:val="-2"/>
        </w:rPr>
        <w:t>均衡博弈信息技术研究院学术委员会主席；</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月至今担任宣亚国际品牌管理（北京）股份有限公司独立董事；</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4</w:t>
      </w:r>
      <w:r>
        <w:rPr>
          <w:rFonts w:ascii="Times New Roman" w:hAnsi="Times New Roman" w:cs="Times New Roman" w:eastAsia="Times New Roman" w:hint="default"/>
          <w:spacing w:val="-11"/>
        </w:rPr>
        <w:t> </w:t>
      </w:r>
      <w:r>
        <w:rPr/>
        <w:t>月至今担任北京均衡博弈城市规划咨询有限公司监事。</w:t>
      </w:r>
    </w:p>
    <w:p>
      <w:pPr>
        <w:spacing w:line="357" w:lineRule="auto" w:before="71"/>
        <w:ind w:left="515" w:right="0" w:firstLine="0"/>
        <w:jc w:val="left"/>
        <w:rPr>
          <w:rFonts w:ascii="宋体" w:hAnsi="宋体" w:cs="宋体" w:eastAsia="宋体" w:hint="default"/>
          <w:sz w:val="18"/>
          <w:szCs w:val="18"/>
        </w:rPr>
      </w:pPr>
      <w:r>
        <w:rPr>
          <w:rFonts w:ascii="宋体" w:hAnsi="宋体" w:cs="宋体" w:eastAsia="宋体" w:hint="default"/>
          <w:b/>
          <w:bCs/>
          <w:sz w:val="18"/>
          <w:szCs w:val="18"/>
        </w:rPr>
        <w:t>（二）公司监事会成员简历如下：</w:t>
      </w:r>
      <w:r>
        <w:rPr>
          <w:rFonts w:ascii="宋体" w:hAnsi="宋体" w:cs="宋体" w:eastAsia="宋体" w:hint="default"/>
          <w:b/>
          <w:bCs/>
          <w:w w:val="99"/>
          <w:sz w:val="18"/>
          <w:szCs w:val="18"/>
        </w:rPr>
        <w:t> </w:t>
      </w:r>
      <w:r>
        <w:rPr>
          <w:rFonts w:ascii="宋体" w:hAnsi="宋体" w:cs="宋体" w:eastAsia="宋体" w:hint="default"/>
          <w:b/>
          <w:bCs/>
          <w:spacing w:val="-2"/>
          <w:sz w:val="18"/>
          <w:szCs w:val="18"/>
        </w:rPr>
        <w:t>于伟杰：</w:t>
      </w:r>
      <w:r>
        <w:rPr>
          <w:rFonts w:ascii="宋体" w:hAnsi="宋体" w:cs="宋体" w:eastAsia="宋体" w:hint="default"/>
          <w:spacing w:val="-2"/>
          <w:sz w:val="18"/>
          <w:szCs w:val="18"/>
        </w:rPr>
        <w:t>男，</w:t>
      </w:r>
      <w:r>
        <w:rPr>
          <w:rFonts w:ascii="Times New Roman" w:hAnsi="Times New Roman" w:cs="Times New Roman" w:eastAsia="Times New Roman" w:hint="default"/>
          <w:spacing w:val="-2"/>
          <w:sz w:val="18"/>
          <w:szCs w:val="18"/>
        </w:rPr>
        <w:t>1977</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月出生，中国国籍，无境外永久居留权，本科学历。</w:t>
      </w:r>
      <w:r>
        <w:rPr>
          <w:rFonts w:ascii="Times New Roman" w:hAnsi="Times New Roman" w:cs="Times New Roman" w:eastAsia="Times New Roman" w:hint="default"/>
          <w:spacing w:val="-2"/>
          <w:sz w:val="18"/>
          <w:szCs w:val="18"/>
        </w:rPr>
        <w:t>1995</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月至</w:t>
      </w:r>
      <w:r>
        <w:rPr>
          <w:rFonts w:ascii="Times New Roman" w:hAnsi="Times New Roman" w:cs="Times New Roman" w:eastAsia="Times New Roman" w:hint="default"/>
          <w:spacing w:val="-2"/>
          <w:sz w:val="18"/>
          <w:szCs w:val="18"/>
        </w:rPr>
        <w:t>2003</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月在中国人民解放军</w:t>
      </w:r>
    </w:p>
    <w:p>
      <w:pPr>
        <w:pStyle w:val="BodyText"/>
        <w:spacing w:line="214" w:lineRule="exact"/>
        <w:ind w:right="0"/>
        <w:jc w:val="both"/>
        <w:rPr>
          <w:rFonts w:ascii="Times New Roman" w:hAnsi="Times New Roman" w:cs="Times New Roman" w:eastAsia="Times New Roman" w:hint="default"/>
        </w:rPr>
      </w:pPr>
      <w:r>
        <w:rPr>
          <w:rFonts w:ascii="Times New Roman" w:hAnsi="Times New Roman" w:cs="Times New Roman" w:eastAsia="Times New Roman" w:hint="default"/>
        </w:rPr>
        <w:t>71770</w:t>
      </w:r>
      <w:r>
        <w:rPr/>
        <w:t>部队服役；</w:t>
      </w:r>
      <w:r>
        <w:rPr>
          <w:rFonts w:ascii="Times New Roman" w:hAnsi="Times New Roman" w:cs="Times New Roman" w:eastAsia="Times New Roman" w:hint="default"/>
        </w:rPr>
        <w:t>2004</w:t>
      </w:r>
      <w:r>
        <w:rPr/>
        <w:t>年</w:t>
      </w:r>
      <w:r>
        <w:rPr>
          <w:rFonts w:ascii="Times New Roman" w:hAnsi="Times New Roman" w:cs="Times New Roman" w:eastAsia="Times New Roman" w:hint="default"/>
        </w:rPr>
        <w:t>10</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7</w:t>
      </w:r>
      <w:r>
        <w:rPr/>
        <w:t>月任香港外运华源船务有限公司北京代表处总经理私人助理；</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月至</w:t>
      </w:r>
      <w:r>
        <w:rPr>
          <w:rFonts w:ascii="Times New Roman" w:hAnsi="Times New Roman" w:cs="Times New Roman" w:eastAsia="Times New Roman" w:hint="default"/>
        </w:rPr>
        <w:t>2015</w:t>
      </w:r>
      <w:r>
        <w:rPr/>
        <w:t>年</w:t>
      </w:r>
      <w:r>
        <w:rPr>
          <w:rFonts w:ascii="Times New Roman" w:hAnsi="Times New Roman" w:cs="Times New Roman" w:eastAsia="Times New Roman" w:hint="default"/>
        </w:rPr>
        <w:t>7</w:t>
      </w:r>
    </w:p>
    <w:p>
      <w:pPr>
        <w:pStyle w:val="BodyText"/>
        <w:spacing w:line="300" w:lineRule="auto" w:before="63"/>
        <w:ind w:right="1130"/>
        <w:jc w:val="both"/>
      </w:pPr>
      <w:r>
        <w:rPr>
          <w:spacing w:val="-2"/>
        </w:rPr>
        <w:t>月任北京宣亚培恩国际公关顾问有限公司（现北京品推宝移动科技有限公司）董事长办公室文员；</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3</w:t>
      </w:r>
      <w:r>
        <w:rPr>
          <w:spacing w:val="-2"/>
        </w:rPr>
        <w:t>月任</w:t>
      </w:r>
      <w:r>
        <w:rPr>
          <w:spacing w:val="-56"/>
        </w:rPr>
        <w:t> </w:t>
      </w:r>
      <w:r>
        <w:rPr>
          <w:spacing w:val="-2"/>
        </w:rPr>
        <w:t>宣亚国际品牌管理（北京）股份有限公司董事长办公室文员；</w:t>
      </w:r>
      <w:r>
        <w:rPr>
          <w:rFonts w:ascii="Times New Roman" w:hAnsi="Times New Roman" w:cs="Times New Roman" w:eastAsia="Times New Roman" w:hint="default"/>
          <w:spacing w:val="-2"/>
        </w:rPr>
        <w:t>2017</w:t>
      </w:r>
      <w:r>
        <w:rPr>
          <w:spacing w:val="-2"/>
        </w:rPr>
        <w:t>年</w:t>
      </w:r>
      <w:r>
        <w:rPr>
          <w:rFonts w:ascii="Times New Roman" w:hAnsi="Times New Roman" w:cs="Times New Roman" w:eastAsia="Times New Roman" w:hint="default"/>
          <w:spacing w:val="-2"/>
        </w:rPr>
        <w:t>4</w:t>
      </w:r>
      <w:r>
        <w:rPr>
          <w:spacing w:val="-2"/>
        </w:rPr>
        <w:t>月至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月任北京宣亚国际投资有限公司办公室文</w:t>
      </w:r>
      <w:r>
        <w:rPr>
          <w:spacing w:val="-55"/>
        </w:rPr>
        <w:t> </w:t>
      </w:r>
      <w:r>
        <w:rPr>
          <w:spacing w:val="-2"/>
        </w:rPr>
        <w:t>员；</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月至今任宣亚国际品牌管理（北京）股份有限公司董事长办公室文员；</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15</w:t>
      </w:r>
      <w:r>
        <w:rPr>
          <w:spacing w:val="-2"/>
        </w:rPr>
        <w:t>日至今任宣亚国际品牌管理</w:t>
      </w:r>
    </w:p>
    <w:p>
      <w:pPr>
        <w:pStyle w:val="BodyText"/>
        <w:spacing w:line="302" w:lineRule="auto" w:before="13"/>
        <w:ind w:right="1139"/>
        <w:jc w:val="both"/>
      </w:pPr>
      <w:r>
        <w:rPr/>
        <w:t>（北京）股份有限公司职工代表监事；</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21</w:t>
      </w:r>
      <w:r>
        <w:rPr/>
        <w:t>日至今任宣亚国际品牌管理（北京）股份有限公司监事会主席、内审部 主任。</w:t>
      </w:r>
    </w:p>
    <w:p>
      <w:pPr>
        <w:pStyle w:val="BodyText"/>
        <w:spacing w:line="300" w:lineRule="auto" w:before="68"/>
        <w:ind w:right="1130" w:firstLine="361"/>
        <w:jc w:val="both"/>
      </w:pPr>
      <w:r>
        <w:rPr>
          <w:rFonts w:ascii="宋体" w:hAnsi="宋体" w:cs="宋体" w:eastAsia="宋体" w:hint="default"/>
          <w:b/>
          <w:bCs/>
          <w:spacing w:val="-2"/>
        </w:rPr>
        <w:t>王桢：</w:t>
      </w:r>
      <w:r>
        <w:rPr>
          <w:spacing w:val="-2"/>
        </w:rPr>
        <w:t>女，</w:t>
      </w:r>
      <w:r>
        <w:rPr>
          <w:rFonts w:ascii="Times New Roman" w:hAnsi="Times New Roman" w:cs="Times New Roman" w:eastAsia="Times New Roman" w:hint="default"/>
          <w:spacing w:val="-2"/>
        </w:rPr>
        <w:t>1981</w:t>
      </w:r>
      <w:r>
        <w:rPr>
          <w:spacing w:val="-2"/>
        </w:rPr>
        <w:t>年</w:t>
      </w:r>
      <w:r>
        <w:rPr>
          <w:rFonts w:ascii="Times New Roman" w:hAnsi="Times New Roman" w:cs="Times New Roman" w:eastAsia="Times New Roman" w:hint="default"/>
          <w:spacing w:val="-2"/>
        </w:rPr>
        <w:t>11</w:t>
      </w:r>
      <w:r>
        <w:rPr>
          <w:spacing w:val="-2"/>
        </w:rPr>
        <w:t>月出生，中国国籍，无境外永久居留权，本科学历。</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12</w:t>
      </w:r>
      <w:r>
        <w:rPr>
          <w:spacing w:val="-2"/>
        </w:rPr>
        <w:t>月至</w:t>
      </w:r>
      <w:r>
        <w:rPr>
          <w:spacing w:val="9"/>
        </w:rPr>
        <w:t> </w:t>
      </w:r>
      <w:r>
        <w:rPr>
          <w:rFonts w:ascii="Times New Roman" w:hAnsi="Times New Roman" w:cs="Times New Roman" w:eastAsia="Times New Roman" w:hint="default"/>
          <w:spacing w:val="-1"/>
        </w:rPr>
        <w:t>2005</w:t>
      </w:r>
      <w:r>
        <w:rPr>
          <w:spacing w:val="-1"/>
        </w:rPr>
        <w:t>年</w:t>
      </w:r>
      <w:r>
        <w:rPr>
          <w:rFonts w:ascii="Times New Roman" w:hAnsi="Times New Roman" w:cs="Times New Roman" w:eastAsia="Times New Roman" w:hint="default"/>
          <w:spacing w:val="-1"/>
        </w:rPr>
        <w:t>4</w:t>
      </w:r>
      <w:r>
        <w:rPr>
          <w:spacing w:val="-1"/>
        </w:rPr>
        <w:t>月，担任乔治国际传播</w:t>
      </w:r>
      <w:r>
        <w:rPr/>
        <w:t> 技术（北京）有限公司客户主管；</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3</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8</w:t>
      </w:r>
      <w:r>
        <w:rPr/>
        <w:t>月担任秦皇岛宣亚广告有限公司北京分公 </w:t>
      </w:r>
      <w:r>
        <w:rPr>
          <w:spacing w:val="-2"/>
        </w:rPr>
        <w:t>司客户主管；</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9</w:t>
      </w:r>
      <w:r>
        <w:rPr>
          <w:spacing w:val="-2"/>
        </w:rPr>
        <w:t>月至</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2</w:t>
      </w:r>
      <w:r>
        <w:rPr>
          <w:spacing w:val="-2"/>
        </w:rPr>
        <w:t>月历任宣亚国际品牌管理（北京）股份有限公司客户主管、人事主管、高级人事主管、助</w:t>
      </w:r>
      <w:r>
        <w:rPr>
          <w:spacing w:val="-57"/>
        </w:rPr>
        <w:t> </w:t>
      </w:r>
      <w:r>
        <w:rPr>
          <w:spacing w:val="-57"/>
        </w:rPr>
      </w:r>
      <w:r>
        <w:rPr>
          <w:spacing w:val="-2"/>
        </w:rPr>
        <w:t>理人事行政经理、人事行政经理；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2</w:t>
      </w:r>
      <w:r>
        <w:rPr>
          <w:spacing w:val="-2"/>
        </w:rPr>
        <w:t>月至今担任东方伟视网络科技（北京）有限公司监事；</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3</w:t>
      </w:r>
      <w:r>
        <w:rPr>
          <w:spacing w:val="-2"/>
        </w:rPr>
        <w:t>月</w:t>
      </w:r>
      <w:r>
        <w:rPr>
          <w:rFonts w:ascii="Times New Roman" w:hAnsi="Times New Roman" w:cs="Times New Roman" w:eastAsia="Times New Roman" w:hint="default"/>
          <w:spacing w:val="-2"/>
        </w:rPr>
        <w:t>12</w:t>
      </w:r>
      <w:r>
        <w:rPr>
          <w:spacing w:val="-2"/>
        </w:rPr>
        <w:t>日至今担任宣</w:t>
      </w:r>
      <w:r>
        <w:rPr>
          <w:spacing w:val="-53"/>
        </w:rPr>
        <w:t> </w:t>
      </w:r>
      <w:r>
        <w:rPr/>
        <w:t>亚国际品牌管理（北京）股份有限公司监事；</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月至今任北京品推宝移动科技有限公司人事行政经理。</w:t>
      </w:r>
    </w:p>
    <w:p>
      <w:pPr>
        <w:pStyle w:val="BodyText"/>
        <w:spacing w:line="300" w:lineRule="auto" w:before="51"/>
        <w:ind w:right="1130" w:firstLine="361"/>
        <w:jc w:val="both"/>
      </w:pPr>
      <w:r>
        <w:rPr>
          <w:rFonts w:ascii="宋体" w:hAnsi="宋体" w:cs="宋体" w:eastAsia="宋体" w:hint="default"/>
          <w:b/>
          <w:bCs/>
          <w:spacing w:val="-2"/>
        </w:rPr>
        <w:t>张伟：</w:t>
      </w:r>
      <w:r>
        <w:rPr>
          <w:spacing w:val="-2"/>
        </w:rPr>
        <w:t>男，</w:t>
      </w:r>
      <w:r>
        <w:rPr>
          <w:rFonts w:ascii="Times New Roman" w:hAnsi="Times New Roman" w:cs="Times New Roman" w:eastAsia="Times New Roman" w:hint="default"/>
          <w:spacing w:val="-2"/>
        </w:rPr>
        <w:t>1978</w:t>
      </w:r>
      <w:r>
        <w:rPr>
          <w:spacing w:val="-2"/>
        </w:rPr>
        <w:t>年</w:t>
      </w:r>
      <w:r>
        <w:rPr>
          <w:rFonts w:ascii="Times New Roman" w:hAnsi="Times New Roman" w:cs="Times New Roman" w:eastAsia="Times New Roman" w:hint="default"/>
          <w:spacing w:val="-2"/>
        </w:rPr>
        <w:t>12</w:t>
      </w:r>
      <w:r>
        <w:rPr>
          <w:spacing w:val="-2"/>
        </w:rPr>
        <w:t>月出生，中国国籍，无境外永久居留权，本科学历。</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7</w:t>
      </w:r>
      <w:r>
        <w:rPr>
          <w:spacing w:val="-2"/>
        </w:rPr>
        <w:t>月，就职于北京欧亚互动</w:t>
      </w:r>
      <w:r>
        <w:rPr/>
        <w:t> </w:t>
      </w:r>
      <w:r>
        <w:rPr>
          <w:spacing w:val="-2"/>
        </w:rPr>
        <w:t>数码有限公司，开发部经理；</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8</w:t>
      </w:r>
      <w:r>
        <w:rPr>
          <w:spacing w:val="-2"/>
        </w:rPr>
        <w:t>月至今任宣亚国际品牌管理（北京）股份有限公司软件开发项目经理；</w:t>
      </w:r>
      <w:r>
        <w:rPr>
          <w:rFonts w:ascii="Times New Roman" w:hAnsi="Times New Roman" w:cs="Times New Roman" w:eastAsia="Times New Roman" w:hint="default"/>
          <w:spacing w:val="-2"/>
        </w:rPr>
        <w:t>2016</w:t>
      </w:r>
      <w:r>
        <w:rPr>
          <w:spacing w:val="-2"/>
        </w:rPr>
        <w:t>年</w:t>
      </w:r>
      <w:r>
        <w:rPr>
          <w:rFonts w:ascii="Times New Roman" w:hAnsi="Times New Roman" w:cs="Times New Roman" w:eastAsia="Times New Roman" w:hint="default"/>
          <w:spacing w:val="-2"/>
        </w:rPr>
        <w:t>3</w:t>
      </w:r>
      <w:r>
        <w:rPr>
          <w:spacing w:val="-2"/>
        </w:rPr>
        <w:t>月至今</w:t>
      </w:r>
      <w:r>
        <w:rPr>
          <w:spacing w:val="-54"/>
        </w:rPr>
        <w:t> </w:t>
      </w:r>
      <w:r>
        <w:rPr/>
        <w:t>任宣亚国际品牌管理（北京）股份有限公司监事。</w:t>
      </w:r>
    </w:p>
    <w:p>
      <w:pPr>
        <w:spacing w:line="357" w:lineRule="auto" w:before="72"/>
        <w:ind w:left="515" w:right="1117" w:firstLine="0"/>
        <w:jc w:val="left"/>
        <w:rPr>
          <w:rFonts w:ascii="宋体" w:hAnsi="宋体" w:cs="宋体" w:eastAsia="宋体" w:hint="default"/>
          <w:sz w:val="18"/>
          <w:szCs w:val="18"/>
        </w:rPr>
      </w:pPr>
      <w:r>
        <w:rPr>
          <w:rFonts w:ascii="宋体" w:hAnsi="宋体" w:cs="宋体" w:eastAsia="宋体" w:hint="default"/>
          <w:b/>
          <w:bCs/>
          <w:sz w:val="18"/>
          <w:szCs w:val="18"/>
        </w:rPr>
        <w:t>（三）公司高级管理人员简历如下：</w:t>
      </w:r>
      <w:r>
        <w:rPr>
          <w:rFonts w:ascii="宋体" w:hAnsi="宋体" w:cs="宋体" w:eastAsia="宋体" w:hint="default"/>
          <w:b/>
          <w:bCs/>
          <w:w w:val="99"/>
          <w:sz w:val="18"/>
          <w:szCs w:val="18"/>
        </w:rPr>
        <w:t> </w:t>
      </w:r>
      <w:r>
        <w:rPr>
          <w:rFonts w:ascii="宋体" w:hAnsi="宋体" w:cs="宋体" w:eastAsia="宋体" w:hint="default"/>
          <w:b/>
          <w:bCs/>
          <w:spacing w:val="-2"/>
          <w:sz w:val="18"/>
          <w:szCs w:val="18"/>
        </w:rPr>
        <w:t>邬涛：</w:t>
      </w:r>
      <w:r>
        <w:rPr>
          <w:rFonts w:ascii="宋体" w:hAnsi="宋体" w:cs="宋体" w:eastAsia="宋体" w:hint="default"/>
          <w:spacing w:val="-2"/>
          <w:sz w:val="18"/>
          <w:szCs w:val="18"/>
        </w:rPr>
        <w:t>男，</w:t>
      </w:r>
      <w:r>
        <w:rPr>
          <w:rFonts w:ascii="Times New Roman" w:hAnsi="Times New Roman" w:cs="Times New Roman" w:eastAsia="Times New Roman" w:hint="default"/>
          <w:spacing w:val="-2"/>
          <w:sz w:val="18"/>
          <w:szCs w:val="18"/>
        </w:rPr>
        <w:t>1977</w:t>
      </w:r>
      <w:r>
        <w:rPr>
          <w:rFonts w:ascii="宋体" w:hAnsi="宋体" w:cs="宋体" w:eastAsia="宋体" w:hint="default"/>
          <w:spacing w:val="-2"/>
          <w:sz w:val="18"/>
          <w:szCs w:val="18"/>
        </w:rPr>
        <w:t>年出生，中国国籍，无境外永久居留权。北京大学中文系文学学士。</w:t>
      </w:r>
      <w:r>
        <w:rPr>
          <w:rFonts w:ascii="Times New Roman" w:hAnsi="Times New Roman" w:cs="Times New Roman" w:eastAsia="Times New Roman" w:hint="default"/>
          <w:spacing w:val="-2"/>
          <w:sz w:val="18"/>
          <w:szCs w:val="18"/>
        </w:rPr>
        <w:t>2003</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4"/>
          <w:sz w:val="18"/>
          <w:szCs w:val="18"/>
        </w:rPr>
        <w:t> </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11</w:t>
      </w:r>
      <w:r>
        <w:rPr>
          <w:rFonts w:ascii="宋体" w:hAnsi="宋体" w:cs="宋体" w:eastAsia="宋体" w:hint="default"/>
          <w:spacing w:val="-1"/>
          <w:sz w:val="18"/>
          <w:szCs w:val="18"/>
        </w:rPr>
        <w:t>月至</w:t>
      </w:r>
      <w:r>
        <w:rPr>
          <w:rFonts w:ascii="Times New Roman" w:hAnsi="Times New Roman" w:cs="Times New Roman" w:eastAsia="Times New Roman" w:hint="default"/>
          <w:spacing w:val="-1"/>
          <w:sz w:val="18"/>
          <w:szCs w:val="18"/>
        </w:rPr>
        <w:t>2005</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月任北京宣</w:t>
      </w:r>
    </w:p>
    <w:p>
      <w:pPr>
        <w:pStyle w:val="BodyText"/>
        <w:spacing w:line="214" w:lineRule="exact"/>
        <w:ind w:right="0"/>
        <w:jc w:val="both"/>
      </w:pPr>
      <w:r>
        <w:rPr/>
        <w:t>亚智杰公关顾问有限公司广州分公司助理客户经理</w:t>
      </w:r>
      <w:r>
        <w:rPr>
          <w:spacing w:val="-81"/>
        </w:rPr>
        <w:t>；</w:t>
      </w:r>
      <w:r>
        <w:rPr>
          <w:rFonts w:ascii="Times New Roman" w:hAnsi="Times New Roman" w:cs="Times New Roman" w:eastAsia="Times New Roman" w:hint="default"/>
        </w:rPr>
        <w:t>2005</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4</w:t>
      </w:r>
      <w:r>
        <w:rPr/>
        <w:t>月任北京博诚智杰公关咨询有限公司广州分公司客</w:t>
      </w:r>
    </w:p>
    <w:p>
      <w:pPr>
        <w:pStyle w:val="BodyText"/>
        <w:spacing w:line="300" w:lineRule="auto" w:before="63"/>
        <w:ind w:right="1139"/>
        <w:jc w:val="both"/>
      </w:pPr>
      <w:r>
        <w:rPr/>
        <w:t>户经理；</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4</w:t>
      </w:r>
      <w:r>
        <w:rPr/>
        <w:t>月任秦皇岛公关公司广州分公司副总经理；</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月任广州旗智企业管理咨询 有限公司总经理；</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5</w:t>
      </w:r>
      <w:r>
        <w:rPr/>
        <w:t>月任宣亚国际广州分公司总经理；</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7</w:t>
      </w:r>
      <w:r>
        <w:rPr/>
        <w:t>月至今任广州宣亚品牌管理有限公司总经</w:t>
      </w:r>
    </w:p>
    <w:p>
      <w:pPr>
        <w:spacing w:after="0" w:line="300" w:lineRule="auto"/>
        <w:jc w:val="both"/>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right="1139"/>
        <w:jc w:val="both"/>
      </w:pPr>
      <w:r>
        <w:rPr/>
        <w:t>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月至今兼任广州宣亚品牌管理有限公司执行董事；</w:t>
      </w:r>
      <w:r>
        <w:rPr>
          <w:rFonts w:ascii="Times New Roman" w:hAnsi="Times New Roman" w:cs="Times New Roman" w:eastAsia="Times New Roman" w:hint="default"/>
        </w:rPr>
        <w:t>2016</w:t>
      </w:r>
      <w:r>
        <w:rPr/>
        <w:t>年</w:t>
      </w:r>
      <w:r>
        <w:rPr>
          <w:rFonts w:ascii="Times New Roman" w:hAnsi="Times New Roman" w:cs="Times New Roman" w:eastAsia="Times New Roman" w:hint="default"/>
        </w:rPr>
        <w:t>5</w:t>
      </w:r>
      <w:r>
        <w:rPr/>
        <w:t>月至今任北京爱特康医疗科技有限公司董事；</w:t>
      </w:r>
      <w:r>
        <w:rPr>
          <w:rFonts w:ascii="Times New Roman" w:hAnsi="Times New Roman" w:cs="Times New Roman" w:eastAsia="Times New Roman" w:hint="default"/>
        </w:rPr>
        <w:t>2017 </w:t>
      </w:r>
      <w:r>
        <w:rPr/>
        <w:t>年</w:t>
      </w:r>
      <w:r>
        <w:rPr>
          <w:rFonts w:ascii="Times New Roman" w:hAnsi="Times New Roman" w:cs="Times New Roman" w:eastAsia="Times New Roman" w:hint="default"/>
        </w:rPr>
        <w:t>6</w:t>
      </w:r>
      <w:r>
        <w:rPr/>
        <w:t>月至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月任宣亚国际品牌管理（北京）股份有限公司副总裁；</w:t>
      </w:r>
      <w:r>
        <w:rPr>
          <w:rFonts w:ascii="Times New Roman" w:hAnsi="Times New Roman" w:cs="Times New Roman" w:eastAsia="Times New Roman" w:hint="default"/>
        </w:rPr>
        <w:t>2017</w:t>
      </w:r>
      <w:r>
        <w:rPr/>
        <w:t>年</w:t>
      </w:r>
      <w:r>
        <w:rPr>
          <w:rFonts w:ascii="Times New Roman" w:hAnsi="Times New Roman" w:cs="Times New Roman" w:eastAsia="Times New Roman" w:hint="default"/>
        </w:rPr>
        <w:t>6</w:t>
      </w:r>
      <w:r>
        <w:rPr/>
        <w:t>月至今兼任北京宣亚国际品牌咨询有限公司 执行董事及总经理；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9</w:t>
      </w:r>
      <w:r>
        <w:rPr/>
        <w:t>月至今任宣亚国际品牌管理（北京）股份有限公司首席执行官（总裁）、北京品推宝移动科技 有限公司执行董事、经理；</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10</w:t>
      </w:r>
      <w:r>
        <w:rPr/>
        <w:t>月至今任宣亚国际品牌管理（湖南）有限公司董事。</w:t>
      </w:r>
    </w:p>
    <w:p>
      <w:pPr>
        <w:pStyle w:val="BodyText"/>
        <w:spacing w:line="360" w:lineRule="auto" w:before="53"/>
        <w:ind w:right="4989" w:firstLine="361"/>
        <w:jc w:val="left"/>
      </w:pPr>
      <w:r>
        <w:rPr>
          <w:rFonts w:ascii="宋体" w:hAnsi="宋体" w:cs="宋体" w:eastAsia="宋体" w:hint="default"/>
          <w:b/>
          <w:bCs/>
        </w:rPr>
        <w:t>宾卫：</w:t>
      </w:r>
      <w:r>
        <w:rPr/>
        <w:t>副总裁、董事会秘书、财务总监，参见前述董事会成员简历。 在股东单位任职情况</w:t>
      </w:r>
    </w:p>
    <w:p>
      <w:pPr>
        <w:pStyle w:val="BodyText"/>
        <w:spacing w:line="240" w:lineRule="auto" w:before="26"/>
        <w:ind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02"/>
        <w:gridCol w:w="1351"/>
        <w:gridCol w:w="2126"/>
        <w:gridCol w:w="1973"/>
        <w:gridCol w:w="1330"/>
        <w:gridCol w:w="1588"/>
      </w:tblGrid>
      <w:tr>
        <w:trPr>
          <w:trHeight w:val="713"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57" w:right="0"/>
              <w:jc w:val="left"/>
              <w:rPr>
                <w:rFonts w:ascii="宋体" w:hAnsi="宋体" w:cs="宋体" w:eastAsia="宋体" w:hint="default"/>
                <w:sz w:val="18"/>
                <w:szCs w:val="18"/>
              </w:rPr>
            </w:pPr>
            <w:r>
              <w:rPr>
                <w:rFonts w:ascii="宋体" w:hAnsi="宋体" w:cs="宋体" w:eastAsia="宋体" w:hint="default"/>
                <w:sz w:val="18"/>
                <w:szCs w:val="18"/>
              </w:rPr>
              <w:t>在股东单位担任的职务</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39"/>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8" w:right="67" w:hanging="270"/>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2"/>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万丽莉</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2"/>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宾  卫</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橙色动力</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执行事务合伙人</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闫贵忠</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宣亚投资</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办公室主任</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4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0"/>
        <w:jc w:val="left"/>
      </w:pPr>
      <w:r>
        <w:rPr/>
        <w:t>在其他单位任职情况</w:t>
      </w:r>
    </w:p>
    <w:p>
      <w:pPr>
        <w:pStyle w:val="BodyText"/>
        <w:spacing w:line="240" w:lineRule="auto" w:before="116"/>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02"/>
        <w:gridCol w:w="1634"/>
        <w:gridCol w:w="1842"/>
        <w:gridCol w:w="1973"/>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825" w:right="105" w:hanging="720"/>
              <w:jc w:val="left"/>
              <w:rPr>
                <w:rFonts w:ascii="宋体" w:hAnsi="宋体" w:cs="宋体" w:eastAsia="宋体" w:hint="default"/>
                <w:sz w:val="18"/>
                <w:szCs w:val="18"/>
              </w:rPr>
            </w:pPr>
            <w:r>
              <w:rPr>
                <w:rFonts w:ascii="宋体" w:hAnsi="宋体" w:cs="宋体" w:eastAsia="宋体" w:hint="default"/>
                <w:sz w:val="18"/>
                <w:szCs w:val="18"/>
              </w:rPr>
              <w:t>在其他单位担任的职 务</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9"/>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精彩时光</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2"/>
              <w:jc w:val="righ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宣亚数字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67"/>
              <w:jc w:val="righ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4"/>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宣亚湖南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万丽莉</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宣亚美国</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财务经理</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宾  卫</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宣亚湖南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宾  卫</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珠海宣亚</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闫贵忠</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新兵连公司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闫贵忠</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品推宝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闫贵忠</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品牌咨询</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闫贵忠</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秦皇岛公关公司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闫贵忠</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威维体育</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方  军</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中国长城科技集团 股份有限公司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纪委书记、党委委员</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  军</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中标软件有限公司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2"/>
              <w:jc w:val="righ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王正鹏</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199"/>
              <w:jc w:val="left"/>
              <w:rPr>
                <w:rFonts w:ascii="Times New Roman" w:hAnsi="Times New Roman" w:cs="Times New Roman" w:eastAsia="Times New Roman" w:hint="default"/>
                <w:sz w:val="18"/>
                <w:szCs w:val="18"/>
              </w:rPr>
            </w:pPr>
            <w:r>
              <w:rPr>
                <w:rFonts w:ascii="Times New Roman"/>
                <w:sz w:val="18"/>
              </w:rPr>
              <w:t>Business Asia</w:t>
            </w:r>
            <w:r>
              <w:rPr>
                <w:rFonts w:ascii="Times New Roman"/>
                <w:spacing w:val="-22"/>
                <w:sz w:val="18"/>
              </w:rPr>
              <w:t> </w:t>
            </w:r>
            <w:r>
              <w:rPr>
                <w:rFonts w:ascii="Times New Roman"/>
                <w:sz w:val="18"/>
              </w:rPr>
              <w:t>Arab</w:t>
            </w:r>
            <w:r>
              <w:rPr>
                <w:rFonts w:ascii="Times New Roman"/>
                <w:w w:val="99"/>
                <w:sz w:val="18"/>
              </w:rPr>
              <w:t> </w:t>
            </w:r>
            <w:r>
              <w:rPr>
                <w:rFonts w:ascii="Times New Roman"/>
                <w:sz w:val="18"/>
              </w:rPr>
              <w:t>TV</w:t>
            </w:r>
            <w:r>
              <w:rPr>
                <w:rFonts w:ascii="Times New Roman"/>
                <w:spacing w:val="-4"/>
                <w:sz w:val="18"/>
              </w:rPr>
              <w:t> </w:t>
            </w:r>
            <w:r>
              <w:rPr>
                <w:rFonts w:ascii="Times New Roman"/>
                <w:sz w:val="18"/>
              </w:rPr>
              <w:t>Ltd</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首席执行官、执行董事</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王正鹏</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和讯保险经纪有限 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王正鹏</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上海和讯聚信资产 管理有限公司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202"/>
        <w:gridCol w:w="1634"/>
        <w:gridCol w:w="1842"/>
        <w:gridCol w:w="1973"/>
        <w:gridCol w:w="1324"/>
        <w:gridCol w:w="1594"/>
      </w:tblGrid>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1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8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25" w:right="105" w:hanging="720"/>
              <w:jc w:val="left"/>
              <w:rPr>
                <w:rFonts w:ascii="宋体" w:hAnsi="宋体" w:cs="宋体" w:eastAsia="宋体" w:hint="default"/>
                <w:sz w:val="18"/>
                <w:szCs w:val="18"/>
              </w:rPr>
            </w:pPr>
            <w:r>
              <w:rPr>
                <w:rFonts w:ascii="宋体" w:hAnsi="宋体" w:cs="宋体" w:eastAsia="宋体" w:hint="default"/>
                <w:sz w:val="18"/>
                <w:szCs w:val="18"/>
              </w:rPr>
              <w:t>在其他单位担任的职 务</w:t>
            </w:r>
          </w:p>
        </w:tc>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9"/>
              <w:jc w:val="right"/>
              <w:rPr>
                <w:rFonts w:ascii="宋体" w:hAnsi="宋体" w:cs="宋体" w:eastAsia="宋体" w:hint="default"/>
                <w:sz w:val="18"/>
                <w:szCs w:val="18"/>
              </w:rPr>
            </w:pPr>
            <w:r>
              <w:rPr>
                <w:rFonts w:ascii="宋体" w:hAnsi="宋体" w:cs="宋体" w:eastAsia="宋体" w:hint="default"/>
                <w:sz w:val="18"/>
                <w:szCs w:val="18"/>
              </w:rPr>
              <w:t>任期起始日期</w:t>
            </w:r>
          </w:p>
        </w:tc>
        <w:tc>
          <w:tcPr>
            <w:tcW w:w="1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16"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2" w:right="71" w:hanging="270"/>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1026"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徐轶尊</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both"/>
              <w:rPr>
                <w:rFonts w:ascii="宋体" w:hAnsi="宋体" w:cs="宋体" w:eastAsia="宋体" w:hint="default"/>
                <w:sz w:val="18"/>
                <w:szCs w:val="18"/>
              </w:rPr>
            </w:pPr>
            <w:r>
              <w:rPr>
                <w:rFonts w:ascii="宋体" w:hAnsi="宋体" w:cs="宋体" w:eastAsia="宋体" w:hint="default"/>
                <w:sz w:val="18"/>
                <w:szCs w:val="18"/>
              </w:rPr>
              <w:t>北京均衡博弈信息 技术研究院学术委 员会</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主席</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461"/>
              <w:jc w:val="righ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徐轶尊</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北京均衡博弈城市 规划咨询有限公司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  桢</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东方伟视网络科技</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王  桢</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北京品推宝移动科 技有限公司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人事行政经理</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邬  涛</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品推宝</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执行董事、经理</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邬  涛</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宣亚湖南</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4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邬  涛</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61"/>
              <w:jc w:val="left"/>
              <w:rPr>
                <w:rFonts w:ascii="宋体" w:hAnsi="宋体" w:cs="宋体" w:eastAsia="宋体" w:hint="default"/>
                <w:sz w:val="18"/>
                <w:szCs w:val="18"/>
              </w:rPr>
            </w:pPr>
            <w:r>
              <w:rPr>
                <w:rFonts w:ascii="宋体" w:hAnsi="宋体" w:cs="宋体" w:eastAsia="宋体" w:hint="default"/>
                <w:sz w:val="18"/>
                <w:szCs w:val="18"/>
              </w:rPr>
              <w:t>北京爱特康医疗科 技有限公司</w:t>
            </w:r>
          </w:p>
        </w:tc>
        <w:tc>
          <w:tcPr>
            <w:tcW w:w="1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9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52"/>
              <w:jc w:val="right"/>
              <w:rPr>
                <w:rFonts w:ascii="宋体" w:hAnsi="宋体" w:cs="宋体" w:eastAsia="宋体" w:hint="default"/>
                <w:sz w:val="18"/>
                <w:szCs w:val="18"/>
              </w:rPr>
            </w:pPr>
            <w:r>
              <w:rPr>
                <w:rFonts w:ascii="Times New Roman" w:hAnsi="Times New Roman" w:cs="Times New Roman" w:eastAsia="Times New Roman" w:hint="default"/>
                <w:sz w:val="18"/>
                <w:szCs w:val="18"/>
              </w:rPr>
              <w:t>2016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7"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0"/>
        <w:jc w:val="left"/>
      </w:pPr>
      <w:r>
        <w:rPr/>
        <w:t>公司现任及报告期内离任董事、监事和高级管理人员近三年证券监管机构处罚的情况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董事、监事、高级管理人员报酬情况" w:id="125"/>
      <w:bookmarkEnd w:id="125"/>
      <w:r>
        <w:rPr>
          <w:b w:val="0"/>
          <w:bCs w:val="0"/>
        </w:rPr>
      </w: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right="0"/>
        <w:jc w:val="left"/>
      </w:pPr>
      <w:r>
        <w:rPr/>
        <w:t>董事、监事、高级管理人员报酬的决策程序、确定依据、实际支付情况 董事、监事、高级管理人员报酬的决策程序：公司独立董事津贴由董事会提议后交股东大会审议通过后实施。 </w:t>
      </w:r>
      <w:r>
        <w:rPr>
          <w:spacing w:val="-2"/>
        </w:rPr>
        <w:t>董事、监事、高级管理人员报酬确定依据：在公司领取薪酬的董事、监事、高级管理人员的薪酬和绩效考核方案根据公司薪</w:t>
      </w:r>
    </w:p>
    <w:p>
      <w:pPr>
        <w:pStyle w:val="BodyText"/>
        <w:spacing w:line="338" w:lineRule="auto" w:before="2"/>
        <w:ind w:right="1752"/>
        <w:jc w:val="left"/>
      </w:pPr>
      <w:r>
        <w:rPr/>
        <w:t>酬体系和绩效考核体系实施。公司董事、监事无特殊津贴。 董事、监事和高级管理人员报酬的实际支付情况：报告期内，公司已向董事、监事和高级管理人员全额支付薪酬。 公司报告期内董事、监事和高级管理人员报酬情况</w:t>
      </w:r>
    </w:p>
    <w:p>
      <w:pPr>
        <w:pStyle w:val="BodyText"/>
        <w:spacing w:line="240" w:lineRule="auto" w:before="43"/>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70"/>
        <w:gridCol w:w="1750"/>
        <w:gridCol w:w="1134"/>
        <w:gridCol w:w="1217"/>
        <w:gridCol w:w="1368"/>
        <w:gridCol w:w="1367"/>
        <w:gridCol w:w="1367"/>
      </w:tblGrid>
      <w:tr>
        <w:trPr>
          <w:trHeight w:val="713"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55.57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万丽莉</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85.89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宾  卫</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95"/>
              <w:jc w:val="left"/>
              <w:rPr>
                <w:rFonts w:ascii="宋体" w:hAnsi="宋体" w:cs="宋体" w:eastAsia="宋体" w:hint="default"/>
                <w:sz w:val="18"/>
                <w:szCs w:val="18"/>
              </w:rPr>
            </w:pPr>
            <w:r>
              <w:rPr>
                <w:rFonts w:ascii="宋体" w:hAnsi="宋体" w:cs="宋体" w:eastAsia="宋体" w:hint="default"/>
                <w:sz w:val="18"/>
                <w:szCs w:val="18"/>
              </w:rPr>
              <w:t>董事、董事会秘书、 财务总监、副总裁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153.94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闫贵忠</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29.60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何骁军</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张顺和</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0.95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方  军</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1370"/>
        <w:gridCol w:w="1750"/>
        <w:gridCol w:w="1134"/>
        <w:gridCol w:w="1217"/>
        <w:gridCol w:w="1368"/>
        <w:gridCol w:w="1367"/>
        <w:gridCol w:w="1367"/>
      </w:tblGrid>
      <w:tr>
        <w:trPr>
          <w:trHeight w:val="714"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98"/>
              <w:jc w:val="right"/>
              <w:rPr>
                <w:rFonts w:ascii="宋体" w:hAnsi="宋体" w:cs="宋体" w:eastAsia="宋体" w:hint="default"/>
                <w:sz w:val="18"/>
                <w:szCs w:val="18"/>
              </w:rPr>
            </w:pPr>
            <w:r>
              <w:rPr>
                <w:rFonts w:ascii="宋体" w:hAnsi="宋体" w:cs="宋体" w:eastAsia="宋体" w:hint="default"/>
                <w:sz w:val="18"/>
                <w:szCs w:val="18"/>
              </w:rPr>
              <w:t>姓名</w:t>
            </w: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8" w:right="47" w:hanging="181"/>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7"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王正鹏</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徐轶尊</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  硕</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28.16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  桢</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股东监事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21.06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  伟</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职工监事</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邬  涛</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首席执行官（总裁）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127.44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李弘扬</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89.03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  妍</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吴卫华</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宣正元</w:t>
            </w:r>
          </w:p>
        </w:tc>
        <w:tc>
          <w:tcPr>
            <w:tcW w:w="17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98"/>
              <w:jc w:val="right"/>
              <w:rPr>
                <w:rFonts w:ascii="宋体" w:hAnsi="宋体" w:cs="宋体" w:eastAsia="宋体" w:hint="default"/>
                <w:sz w:val="18"/>
                <w:szCs w:val="18"/>
              </w:rPr>
            </w:pPr>
            <w:r>
              <w:rPr>
                <w:rFonts w:ascii="宋体" w:hAnsi="宋体" w:cs="宋体" w:eastAsia="宋体" w:hint="default"/>
                <w:sz w:val="18"/>
                <w:szCs w:val="18"/>
              </w:rPr>
              <w:t>合计</w:t>
            </w:r>
          </w:p>
        </w:tc>
        <w:tc>
          <w:tcPr>
            <w:tcW w:w="17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715.63</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t>公司董事、高级管理人员报告期内被授予的股权激励情况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23"/>
          <w:szCs w:val="23"/>
        </w:rPr>
      </w:pPr>
    </w:p>
    <w:p>
      <w:pPr>
        <w:pStyle w:val="Heading2"/>
        <w:spacing w:line="240" w:lineRule="auto"/>
        <w:ind w:right="0"/>
        <w:jc w:val="left"/>
        <w:rPr>
          <w:b w:val="0"/>
          <w:bCs w:val="0"/>
        </w:rPr>
      </w:pPr>
      <w:bookmarkStart w:name="五、公司员工情况" w:id="126"/>
      <w:bookmarkEnd w:id="126"/>
      <w:r>
        <w:rPr>
          <w:b w:val="0"/>
          <w:bCs w:val="0"/>
        </w:rPr>
      </w:r>
      <w:r>
        <w:rPr/>
        <w:t>五、公司员工情况</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员工数量、专业构成及教育程度" w:id="127"/>
      <w:bookmarkEnd w:id="127"/>
      <w:r>
        <w:rPr>
          <w:b w:val="0"/>
          <w:bCs w:val="0"/>
        </w:rPr>
      </w:r>
      <w:r>
        <w:rPr>
          <w:rFonts w:ascii="Times New Roman" w:hAnsi="Times New Roman" w:cs="Times New Roman" w:eastAsia="Times New Roman" w:hint="default"/>
        </w:rPr>
        <w:t>1</w:t>
      </w:r>
      <w:r>
        <w:rPr/>
        <w:t>、员工数量、专业构成及教育程度</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79"/>
        <w:gridCol w:w="4790"/>
      </w:tblGrid>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39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7"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4" w:right="0"/>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1582"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客户服务管理人员</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审计部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采购部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证券部</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总裁室</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4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9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本科及以上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214</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中专</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257</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薪酬政策" w:id="128"/>
      <w:bookmarkEnd w:id="128"/>
      <w:r>
        <w:rPr>
          <w:b w:val="0"/>
          <w:bCs w:val="0"/>
        </w:rPr>
      </w:r>
      <w:r>
        <w:rPr>
          <w:rFonts w:ascii="Times New Roman" w:hAnsi="Times New Roman" w:cs="Times New Roman" w:eastAsia="Times New Roman" w:hint="default"/>
        </w:rPr>
        <w:t>2</w:t>
      </w:r>
      <w:r>
        <w:rPr/>
        <w:t>、薪酬政策</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jc w:val="left"/>
      </w:pPr>
      <w:r>
        <w:rPr>
          <w:spacing w:val="-2"/>
        </w:rPr>
        <w:t>公司的薪酬体系，强调按</w:t>
      </w:r>
      <w:r>
        <w:rPr>
          <w:rFonts w:ascii="Times New Roman" w:hAnsi="Times New Roman" w:cs="Times New Roman" w:eastAsia="Times New Roman" w:hint="default"/>
          <w:spacing w:val="-2"/>
        </w:rPr>
        <w:t>“</w:t>
      </w:r>
      <w:r>
        <w:rPr>
          <w:spacing w:val="-2"/>
        </w:rPr>
        <w:t>价值分配</w:t>
      </w:r>
      <w:r>
        <w:rPr>
          <w:rFonts w:ascii="Times New Roman" w:hAnsi="Times New Roman" w:cs="Times New Roman" w:eastAsia="Times New Roman" w:hint="default"/>
          <w:spacing w:val="-2"/>
        </w:rPr>
        <w:t>”</w:t>
      </w:r>
      <w:r>
        <w:rPr>
          <w:spacing w:val="-2"/>
        </w:rPr>
        <w:t>的基本原则，对能够并愿意创造价值的人员给予更多的回报，同时对乐于突破、能够创</w:t>
      </w:r>
      <w:r>
        <w:rPr>
          <w:spacing w:val="-44"/>
        </w:rPr>
        <w:t> </w:t>
      </w:r>
      <w:r>
        <w:rPr>
          <w:spacing w:val="-44"/>
        </w:rPr>
      </w:r>
      <w:r>
        <w:rPr/>
        <w:t>新、勇于承担、拥抱变化、乐于协作的人才重点给予奖励。</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3、培训计划" w:id="129"/>
      <w:bookmarkEnd w:id="129"/>
      <w:r>
        <w:rPr>
          <w:b w:val="0"/>
          <w:bCs w:val="0"/>
        </w:rPr>
      </w:r>
      <w:r>
        <w:rPr>
          <w:rFonts w:ascii="Times New Roman" w:hAnsi="Times New Roman" w:cs="Times New Roman" w:eastAsia="Times New Roman"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4"/>
        </w:rPr>
        <w:t>公司培训以适合为本，使企业发展现状、企业需求与员工当前需求相结合。培训计划归为企业文化渗透类、职业素养类、</w:t>
      </w:r>
      <w:r>
        <w:rPr/>
        <w:t> 业务技能类、</w:t>
      </w:r>
      <w:r>
        <w:rPr>
          <w:rFonts w:ascii="Times New Roman" w:hAnsi="Times New Roman" w:cs="Times New Roman" w:eastAsia="Times New Roman" w:hint="default"/>
        </w:rPr>
        <w:t>MARTECH</w:t>
      </w:r>
      <w:r>
        <w:rPr/>
        <w:t>营销类。</w:t>
      </w:r>
    </w:p>
    <w:p>
      <w:pPr>
        <w:pStyle w:val="BodyText"/>
        <w:spacing w:line="300" w:lineRule="auto"/>
        <w:ind w:left="514" w:right="4812"/>
        <w:jc w:val="left"/>
      </w:pPr>
      <w:r>
        <w:rPr/>
        <w:t>（</w:t>
      </w:r>
      <w:r>
        <w:rPr>
          <w:rFonts w:ascii="Times New Roman" w:hAnsi="Times New Roman" w:cs="Times New Roman" w:eastAsia="Times New Roman" w:hint="default"/>
        </w:rPr>
        <w:t>1</w:t>
      </w:r>
      <w:r>
        <w:rPr/>
        <w:t>）企业文化渗透类、职业素养类 培训要点：企业文化、企业价值观、企业理念、战略目标及实现进展。</w:t>
      </w:r>
    </w:p>
    <w:p>
      <w:pPr>
        <w:pStyle w:val="BodyText"/>
        <w:spacing w:line="309" w:lineRule="auto" w:before="31"/>
        <w:ind w:left="514" w:right="1032"/>
        <w:jc w:val="left"/>
      </w:pPr>
      <w:r>
        <w:rPr/>
        <w:t>（</w:t>
      </w:r>
      <w:r>
        <w:rPr>
          <w:rFonts w:ascii="Times New Roman" w:hAnsi="Times New Roman" w:cs="Times New Roman" w:eastAsia="Times New Roman" w:hint="default"/>
        </w:rPr>
        <w:t>2</w:t>
      </w:r>
      <w:r>
        <w:rPr/>
        <w:t>）业务技能类 专业技能的需求分为管理技能及工作技能。按需求层次主要有四种，即核心人才、管理人员、业务专业人员、新员工。 </w:t>
      </w:r>
      <w:r>
        <w:rPr>
          <w:rFonts w:ascii="Times New Roman" w:hAnsi="Times New Roman" w:cs="Times New Roman" w:eastAsia="Times New Roman" w:hint="default"/>
        </w:rPr>
        <w:t>A.</w:t>
      </w:r>
      <w:r>
        <w:rPr/>
        <w:t>核心人才</w:t>
      </w:r>
    </w:p>
    <w:p>
      <w:pPr>
        <w:pStyle w:val="BodyText"/>
        <w:spacing w:line="240" w:lineRule="auto" w:before="5"/>
        <w:ind w:left="514" w:right="0"/>
        <w:jc w:val="left"/>
      </w:pPr>
      <w:r>
        <w:rPr/>
        <w:t>培训要点：强调战略性思维、领导能力、竞争战术、业务能力。</w:t>
      </w:r>
    </w:p>
    <w:p>
      <w:pPr>
        <w:pStyle w:val="BodyText"/>
        <w:spacing w:line="309" w:lineRule="auto" w:before="76"/>
        <w:ind w:left="514" w:right="3012"/>
        <w:jc w:val="left"/>
      </w:pPr>
      <w:r>
        <w:rPr>
          <w:rFonts w:ascii="Times New Roman" w:hAnsi="Times New Roman" w:cs="Times New Roman" w:eastAsia="Times New Roman" w:hint="default"/>
        </w:rPr>
        <w:t>B.</w:t>
      </w:r>
      <w:r>
        <w:rPr/>
        <w:t>中层管理人员 培训要点：强调创造思维、组织、协调、跨部门联合、管理能力、专业性技能的提高及运用。 </w:t>
      </w:r>
      <w:r>
        <w:rPr>
          <w:rFonts w:ascii="Times New Roman" w:hAnsi="Times New Roman" w:cs="Times New Roman" w:eastAsia="Times New Roman" w:hint="default"/>
        </w:rPr>
        <w:t>C.</w:t>
      </w:r>
      <w:r>
        <w:rPr/>
        <w:t>专业人员</w:t>
      </w:r>
    </w:p>
    <w:p>
      <w:pPr>
        <w:pStyle w:val="BodyText"/>
        <w:spacing w:line="316" w:lineRule="auto" w:before="5"/>
        <w:ind w:right="0" w:firstLine="360"/>
        <w:jc w:val="left"/>
      </w:pPr>
      <w:r>
        <w:rPr>
          <w:spacing w:val="-2"/>
        </w:rPr>
        <w:t>培训要点：强调解决问题、处理问题的思维角度及深度、沟通能力、合作能力、关注企业内外部的客户满意度、对企业</w:t>
      </w:r>
      <w:r>
        <w:rPr/>
        <w:t> 文化的认同及忠诚。对某些单一业务技能强化训练。</w:t>
      </w:r>
    </w:p>
    <w:p>
      <w:pPr>
        <w:pStyle w:val="BodyText"/>
        <w:spacing w:line="300" w:lineRule="auto" w:before="19"/>
        <w:ind w:left="514" w:right="2832"/>
        <w:jc w:val="left"/>
      </w:pPr>
      <w:r>
        <w:rPr>
          <w:rFonts w:ascii="Times New Roman" w:hAnsi="Times New Roman" w:cs="Times New Roman" w:eastAsia="Times New Roman" w:hint="default"/>
        </w:rPr>
        <w:t>D.</w:t>
      </w:r>
      <w:r>
        <w:rPr/>
        <w:t>新员工 培训要点：熟悉、了解、认同公司，对企业文化、管理制度、工作流程、组织业务范围的培训。</w:t>
      </w:r>
    </w:p>
    <w:p>
      <w:pPr>
        <w:pStyle w:val="BodyText"/>
        <w:spacing w:line="300" w:lineRule="auto" w:before="31"/>
        <w:ind w:left="514" w:right="4832"/>
        <w:jc w:val="left"/>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MARTECH</w:t>
      </w:r>
      <w:r>
        <w:rPr/>
        <w:t>营销类 培训要点：学习掌握基于</w:t>
      </w:r>
      <w:r>
        <w:rPr>
          <w:rFonts w:ascii="Times New Roman" w:hAnsi="Times New Roman" w:cs="Times New Roman" w:eastAsia="Times New Roman" w:hint="default"/>
        </w:rPr>
        <w:t>MARTECH</w:t>
      </w:r>
      <w:r>
        <w:rPr/>
        <w:t>、互联网技术等营销思路及技能。</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4、劳务外包情况" w:id="130"/>
      <w:bookmarkEnd w:id="130"/>
      <w:r>
        <w:rPr>
          <w:b w:val="0"/>
          <w:bCs w:val="0"/>
        </w:rPr>
      </w:r>
      <w:r>
        <w:rPr>
          <w:rFonts w:ascii="Times New Roman" w:hAnsi="Times New Roman" w:cs="Times New Roman" w:eastAsia="Times New Roman"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right="1257"/>
        <w:jc w:val="center"/>
        <w:rPr>
          <w:b w:val="0"/>
          <w:bCs w:val="0"/>
        </w:rPr>
      </w:pPr>
      <w:bookmarkStart w:name="第九节 公司治理" w:id="131"/>
      <w:bookmarkEnd w:id="131"/>
      <w:r>
        <w:rPr>
          <w:b w:val="0"/>
          <w:bCs w:val="0"/>
        </w:rPr>
      </w:r>
      <w:bookmarkStart w:name="_bookmark8" w:id="132"/>
      <w:bookmarkEnd w:id="132"/>
      <w:r>
        <w:rPr>
          <w:b w:val="0"/>
          <w:bCs w:val="0"/>
        </w:rPr>
      </w:r>
      <w:r>
        <w:rPr/>
        <w:t>第九节</w:t>
      </w:r>
      <w:r>
        <w:rPr>
          <w:spacing w:val="-5"/>
        </w:rPr>
        <w:t> </w:t>
      </w:r>
      <w:r>
        <w:rPr/>
        <w:t>公司治理</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both"/>
        <w:rPr>
          <w:b w:val="0"/>
          <w:bCs w:val="0"/>
        </w:rPr>
      </w:pPr>
      <w:bookmarkStart w:name="一、公司治理的基本状况" w:id="133"/>
      <w:bookmarkEnd w:id="133"/>
      <w:r>
        <w:rPr>
          <w:b w:val="0"/>
          <w:bCs w:val="0"/>
        </w:rPr>
      </w: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032" w:firstLine="360"/>
        <w:jc w:val="left"/>
      </w:pPr>
      <w:r>
        <w:rPr/>
        <w:t>根据《公司法》、《证券法》、《深圳证券交易所创业板上市公司规范运作指引》等法律、法规和规范性文件的规定， </w:t>
      </w:r>
      <w:r>
        <w:rPr>
          <w:spacing w:val="-2"/>
        </w:rPr>
        <w:t>本公司建立了由股东大会、董事会、监事会和高级管理人员组成的公司治理架构，形成了权力机构、决策机构、监督机构和</w:t>
      </w:r>
      <w:r>
        <w:rPr>
          <w:spacing w:val="-66"/>
        </w:rPr>
        <w:t> </w:t>
      </w:r>
      <w:r>
        <w:rPr>
          <w:spacing w:val="-66"/>
        </w:rPr>
      </w:r>
      <w:r>
        <w:rPr/>
        <w:t>管理层之间权责明确、运作规范的相互协调和相互制衡机制。</w:t>
      </w:r>
    </w:p>
    <w:p>
      <w:pPr>
        <w:pStyle w:val="BodyText"/>
        <w:spacing w:line="300" w:lineRule="auto" w:before="19"/>
        <w:ind w:right="0" w:firstLine="360"/>
        <w:jc w:val="left"/>
      </w:pPr>
      <w:r>
        <w:rPr>
          <w:spacing w:val="-2"/>
        </w:rPr>
        <w:t>股份公司设立之初，公司未聘请独立董事。为提升公司治理水平，</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1</w:t>
      </w:r>
      <w:r>
        <w:rPr>
          <w:spacing w:val="-2"/>
        </w:rPr>
        <w:t>月，公司聘请了</w:t>
      </w:r>
      <w:r>
        <w:rPr>
          <w:rFonts w:ascii="Times New Roman" w:hAnsi="Times New Roman" w:cs="Times New Roman" w:eastAsia="Times New Roman" w:hint="default"/>
          <w:spacing w:val="-2"/>
        </w:rPr>
        <w:t>3</w:t>
      </w:r>
      <w:r>
        <w:rPr>
          <w:spacing w:val="-2"/>
        </w:rPr>
        <w:t>名独立董事，参与公司重大</w:t>
      </w:r>
      <w:r>
        <w:rPr/>
        <w:t> 决策，在公司法人治理结构的完善与规范化运作等方面发挥了积极的作用。</w:t>
      </w:r>
    </w:p>
    <w:p>
      <w:pPr>
        <w:pStyle w:val="BodyText"/>
        <w:spacing w:line="240" w:lineRule="auto" w:before="31"/>
        <w:ind w:left="514" w:right="0"/>
        <w:jc w:val="left"/>
      </w:pPr>
      <w:r>
        <w:rPr>
          <w:spacing w:val="-4"/>
        </w:rPr>
        <w:t>根据相关法律、法规及规范性文件的规定，本公司制定了《公司章程》、《股东大会议事规则》、《董事会议事规则》、</w:t>
      </w:r>
    </w:p>
    <w:p>
      <w:pPr>
        <w:pStyle w:val="BodyText"/>
        <w:spacing w:line="316" w:lineRule="auto" w:before="76"/>
        <w:ind w:right="1131"/>
        <w:jc w:val="both"/>
      </w:pPr>
      <w:r>
        <w:rPr>
          <w:spacing w:val="-2"/>
        </w:rPr>
        <w:t>《监事会议事规则》、《总经理工作细则》、《独立董事工作制度》、《董事会秘书工作制度》等规章制度，为公司治理的</w:t>
      </w:r>
      <w:r>
        <w:rPr>
          <w:spacing w:val="-71"/>
        </w:rPr>
        <w:t> </w:t>
      </w:r>
      <w:r>
        <w:rPr>
          <w:spacing w:val="-71"/>
        </w:rPr>
      </w:r>
      <w:r>
        <w:rPr>
          <w:spacing w:val="-2"/>
        </w:rPr>
        <w:t>规范化运行进一步提供了制度保证。公司董事会设立了审计委员会、提名委员会、薪酬与考核委员会、战略委员会四个专门</w:t>
      </w:r>
      <w:r>
        <w:rPr>
          <w:spacing w:val="-66"/>
        </w:rPr>
        <w:t> </w:t>
      </w:r>
      <w:r>
        <w:rPr>
          <w:spacing w:val="-66"/>
        </w:rPr>
      </w:r>
      <w:r>
        <w:rPr/>
        <w:t>委员会，并制订了相应的议事规则，明确了权责和决策程序。</w:t>
      </w:r>
    </w:p>
    <w:p>
      <w:pPr>
        <w:pStyle w:val="BodyText"/>
        <w:spacing w:line="240" w:lineRule="auto" w:before="19"/>
        <w:ind w:left="514" w:right="0"/>
        <w:jc w:val="left"/>
      </w:pPr>
      <w:r>
        <w:rPr/>
        <w:t>报告期，公司已建立了完善的法人治理结构，各项规章制度已建立健全，并得到有效执行。</w:t>
      </w:r>
    </w:p>
    <w:p>
      <w:pPr>
        <w:pStyle w:val="BodyText"/>
        <w:spacing w:line="316" w:lineRule="auto" w:before="76"/>
        <w:ind w:left="514" w:right="0" w:firstLine="1"/>
        <w:jc w:val="left"/>
      </w:pPr>
      <w:r>
        <w:rPr>
          <w:rFonts w:ascii="宋体" w:hAnsi="宋体" w:cs="宋体" w:eastAsia="宋体" w:hint="default"/>
          <w:b/>
          <w:bCs/>
        </w:rPr>
        <w:t>（一）股东大会</w:t>
      </w:r>
      <w:r>
        <w:rPr>
          <w:rFonts w:ascii="宋体" w:hAnsi="宋体" w:cs="宋体" w:eastAsia="宋体" w:hint="default"/>
          <w:b/>
          <w:bCs/>
          <w:w w:val="99"/>
        </w:rPr>
        <w:t> </w:t>
      </w:r>
      <w:r>
        <w:rPr>
          <w:spacing w:val="-2"/>
        </w:rPr>
        <w:t>报告期，公司股东依法履行股东义务、行使股东权利。历次股东大会的召集、召开、表决程序合法，决议合法有效，会</w:t>
      </w:r>
    </w:p>
    <w:p>
      <w:pPr>
        <w:pStyle w:val="BodyText"/>
        <w:spacing w:line="240" w:lineRule="auto" w:before="19"/>
        <w:ind w:right="0"/>
        <w:jc w:val="both"/>
      </w:pPr>
      <w:r>
        <w:rPr/>
        <w:t>议记录规范。不存在董事会或高级管理人员违反《公司法》及其他规定行使职权的情形。</w:t>
      </w:r>
    </w:p>
    <w:p>
      <w:pPr>
        <w:pStyle w:val="BodyText"/>
        <w:spacing w:line="316" w:lineRule="auto" w:before="76"/>
        <w:ind w:left="514" w:right="1032" w:firstLine="1"/>
        <w:jc w:val="left"/>
      </w:pPr>
      <w:r>
        <w:rPr>
          <w:rFonts w:ascii="宋体" w:hAnsi="宋体" w:cs="宋体" w:eastAsia="宋体" w:hint="default"/>
          <w:b/>
          <w:bCs/>
        </w:rPr>
        <w:t>（二）董事会</w:t>
      </w:r>
      <w:r>
        <w:rPr>
          <w:rFonts w:ascii="宋体" w:hAnsi="宋体" w:cs="宋体" w:eastAsia="宋体" w:hint="default"/>
          <w:b/>
          <w:bCs/>
          <w:w w:val="99"/>
        </w:rPr>
        <w:t> </w:t>
      </w:r>
      <w:r>
        <w:rPr>
          <w:spacing w:val="-4"/>
        </w:rPr>
        <w:t>报告期，公司历次董事会会议严格按照《公司章程》规定的职权范围对公司各项事务进行了讨论决策，并形成有效决议。</w:t>
      </w:r>
    </w:p>
    <w:p>
      <w:pPr>
        <w:pStyle w:val="BodyText"/>
        <w:spacing w:line="240" w:lineRule="auto" w:before="19"/>
        <w:ind w:right="0"/>
        <w:jc w:val="both"/>
      </w:pPr>
      <w:r>
        <w:rPr>
          <w:spacing w:val="-4"/>
        </w:rPr>
        <w:t>历次会议通知、召开、表决方式符合《公司法》和《公司章程》的规定，会议记录完整规范。董事会依法履行了《公司法》、</w:t>
      </w:r>
    </w:p>
    <w:p>
      <w:pPr>
        <w:pStyle w:val="BodyText"/>
        <w:spacing w:line="240" w:lineRule="auto" w:before="77"/>
        <w:ind w:right="0"/>
        <w:jc w:val="both"/>
      </w:pPr>
      <w:r>
        <w:rPr/>
        <w:t>《公司章程》赋予的权利和义务，董事会制度运行良好，不存在违反相关法律、法规行使职权的行为。</w:t>
      </w:r>
    </w:p>
    <w:p>
      <w:pPr>
        <w:pStyle w:val="BodyText"/>
        <w:spacing w:line="316" w:lineRule="auto" w:before="76"/>
        <w:ind w:left="514" w:right="1118" w:firstLine="1"/>
        <w:jc w:val="left"/>
      </w:pPr>
      <w:r>
        <w:rPr>
          <w:rFonts w:ascii="宋体" w:hAnsi="宋体" w:cs="宋体" w:eastAsia="宋体" w:hint="default"/>
          <w:b/>
          <w:bCs/>
        </w:rPr>
        <w:t>（三）监事会</w:t>
      </w:r>
      <w:r>
        <w:rPr>
          <w:rFonts w:ascii="宋体" w:hAnsi="宋体" w:cs="宋体" w:eastAsia="宋体" w:hint="default"/>
          <w:b/>
          <w:bCs/>
          <w:w w:val="99"/>
        </w:rPr>
        <w:t> </w:t>
      </w:r>
      <w:r>
        <w:rPr>
          <w:spacing w:val="-2"/>
        </w:rPr>
        <w:t>报告期，公司历次监事会会议的召集、提案、出席、议事、表决、决议及会议记录均按照《公司法》、《公司章程》的</w:t>
      </w:r>
    </w:p>
    <w:p>
      <w:pPr>
        <w:pStyle w:val="BodyText"/>
        <w:spacing w:line="316" w:lineRule="auto" w:before="19"/>
        <w:ind w:right="1130"/>
        <w:jc w:val="both"/>
      </w:pPr>
      <w:r>
        <w:rPr>
          <w:spacing w:val="-2"/>
        </w:rPr>
        <w:t>要求规范运作，对公司财务状况、董事会运作情况、董事及高级管理人员履职行为情况、公司主要管理制度的制订与执行和</w:t>
      </w:r>
      <w:r>
        <w:rPr>
          <w:spacing w:val="-66"/>
        </w:rPr>
        <w:t> </w:t>
      </w:r>
      <w:r>
        <w:rPr>
          <w:spacing w:val="-66"/>
        </w:rPr>
      </w:r>
      <w:r>
        <w:rPr/>
        <w:t>公司对外投资项目等重大事宜实施了有效监督，不存在违反相关法律、法规行使职权的行为。</w:t>
      </w:r>
    </w:p>
    <w:p>
      <w:pPr>
        <w:pStyle w:val="BodyText"/>
        <w:spacing w:line="316" w:lineRule="auto" w:before="19"/>
        <w:ind w:left="514" w:right="0" w:firstLine="1"/>
        <w:jc w:val="left"/>
      </w:pPr>
      <w:r>
        <w:rPr>
          <w:rFonts w:ascii="宋体" w:hAnsi="宋体" w:cs="宋体" w:eastAsia="宋体" w:hint="default"/>
          <w:b/>
          <w:bCs/>
        </w:rPr>
        <w:t>（四）独立董事制度</w:t>
      </w:r>
      <w:r>
        <w:rPr>
          <w:rFonts w:ascii="宋体" w:hAnsi="宋体" w:cs="宋体" w:eastAsia="宋体" w:hint="default"/>
          <w:b/>
          <w:bCs/>
          <w:w w:val="99"/>
        </w:rPr>
        <w:t> </w:t>
      </w:r>
      <w:r>
        <w:rPr>
          <w:spacing w:val="-2"/>
        </w:rPr>
        <w:t>为进一步完善公司的法人治理结构及公司董事会结构，促进公司的规范运作，</w:t>
      </w:r>
      <w:r>
        <w:rPr>
          <w:rFonts w:ascii="Times New Roman" w:hAnsi="Times New Roman" w:cs="Times New Roman" w:eastAsia="Times New Roman" w:hint="default"/>
          <w:spacing w:val="-2"/>
        </w:rPr>
        <w:t>2015</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3</w:t>
      </w:r>
      <w:r>
        <w:rPr>
          <w:spacing w:val="-2"/>
        </w:rPr>
        <w:t>日，公司召开</w:t>
      </w:r>
      <w:r>
        <w:rPr>
          <w:rFonts w:ascii="Times New Roman" w:hAnsi="Times New Roman" w:cs="Times New Roman" w:eastAsia="Times New Roman" w:hint="default"/>
          <w:spacing w:val="-2"/>
        </w:rPr>
        <w:t>2015</w:t>
      </w:r>
      <w:r>
        <w:rPr>
          <w:spacing w:val="-2"/>
        </w:rPr>
        <w:t>年第二次临</w:t>
      </w:r>
    </w:p>
    <w:p>
      <w:pPr>
        <w:pStyle w:val="BodyText"/>
        <w:spacing w:line="309" w:lineRule="auto"/>
        <w:ind w:right="1130"/>
        <w:jc w:val="both"/>
      </w:pPr>
      <w:r>
        <w:rPr/>
        <w:t>时股东大会，审议通过了《独立董事工作制度》。</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12</w:t>
      </w:r>
      <w:r>
        <w:rPr/>
        <w:t>日，公司</w:t>
      </w:r>
      <w:r>
        <w:rPr>
          <w:rFonts w:ascii="Times New Roman" w:hAnsi="Times New Roman" w:cs="Times New Roman" w:eastAsia="Times New Roman" w:hint="default"/>
        </w:rPr>
        <w:t>2018</w:t>
      </w:r>
      <w:r>
        <w:rPr/>
        <w:t>年第一次临时股东大会审议通过了《关于董事</w:t>
      </w:r>
      <w:r>
        <w:rPr>
          <w:spacing w:val="-82"/>
        </w:rPr>
        <w:t> </w:t>
      </w:r>
      <w:r>
        <w:rPr>
          <w:spacing w:val="-82"/>
        </w:rPr>
      </w:r>
      <w:r>
        <w:rPr>
          <w:spacing w:val="-2"/>
        </w:rPr>
        <w:t>会换届选举暨提名第三届董事会独立董事候选人的议案》，选举方军、王正鹏和徐轶尊为公司第三届董事会独立董事，其中</w:t>
      </w:r>
      <w:r>
        <w:rPr>
          <w:spacing w:val="-66"/>
        </w:rPr>
        <w:t> </w:t>
      </w:r>
      <w:r>
        <w:rPr>
          <w:spacing w:val="-66"/>
        </w:rPr>
      </w:r>
      <w:r>
        <w:rPr/>
        <w:t>方军为会计专业人士。</w:t>
      </w:r>
    </w:p>
    <w:p>
      <w:pPr>
        <w:pStyle w:val="BodyText"/>
        <w:spacing w:line="316" w:lineRule="auto" w:before="24"/>
        <w:ind w:right="1132" w:firstLine="360"/>
        <w:jc w:val="both"/>
      </w:pPr>
      <w:r>
        <w:rPr>
          <w:spacing w:val="-2"/>
        </w:rPr>
        <w:t>自独立董事聘任以来，本公司独立董事严格依据有关法律、法规、《公司章程》及《独立董事工作制度》的规定，独立</w:t>
      </w:r>
      <w:r>
        <w:rPr/>
        <w:t> </w:t>
      </w:r>
      <w:r>
        <w:rPr>
          <w:spacing w:val="-2"/>
        </w:rPr>
        <w:t>履职、勤勉尽责，及时了解公司经营、积极参与公司决策，在公司重大决策、法人治理结构的完善与规范化运作等方面发挥</w:t>
      </w:r>
      <w:r>
        <w:rPr>
          <w:spacing w:val="-66"/>
        </w:rPr>
        <w:t> </w:t>
      </w:r>
      <w:r>
        <w:rPr>
          <w:spacing w:val="-66"/>
        </w:rPr>
      </w:r>
      <w:r>
        <w:rPr/>
        <w:t>了积极的作用。</w:t>
      </w:r>
    </w:p>
    <w:p>
      <w:pPr>
        <w:pStyle w:val="BodyText"/>
        <w:spacing w:line="316" w:lineRule="auto" w:before="19"/>
        <w:ind w:left="514" w:right="0" w:firstLine="1"/>
        <w:jc w:val="left"/>
        <w:rPr>
          <w:rFonts w:ascii="Times New Roman" w:hAnsi="Times New Roman" w:cs="Times New Roman" w:eastAsia="Times New Roman" w:hint="default"/>
        </w:rPr>
      </w:pPr>
      <w:r>
        <w:rPr>
          <w:rFonts w:ascii="宋体" w:hAnsi="宋体" w:cs="宋体" w:eastAsia="宋体" w:hint="default"/>
          <w:b/>
          <w:bCs/>
        </w:rPr>
        <w:t>（五）董事会秘书制度</w:t>
      </w:r>
      <w:r>
        <w:rPr>
          <w:rFonts w:ascii="宋体" w:hAnsi="宋体" w:cs="宋体" w:eastAsia="宋体" w:hint="default"/>
          <w:b/>
          <w:bCs/>
          <w:w w:val="99"/>
        </w:rPr>
        <w:t> </w:t>
      </w:r>
      <w:r>
        <w:rPr/>
        <w:t>公司制定了《董事会秘书工作细则》，经公司第一届董事会第一次会议决议，由宾卫女士担任公司董事会秘书；</w:t>
      </w:r>
      <w:r>
        <w:rPr>
          <w:rFonts w:ascii="Times New Roman" w:hAnsi="Times New Roman" w:cs="Times New Roman" w:eastAsia="Times New Roman" w:hint="default"/>
        </w:rPr>
        <w:t>2018</w:t>
      </w:r>
    </w:p>
    <w:p>
      <w:pPr>
        <w:pStyle w:val="BodyText"/>
        <w:spacing w:line="314" w:lineRule="auto"/>
        <w:ind w:right="1131"/>
        <w:jc w:val="both"/>
      </w:pP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日，经公司第三届董事会第一次会议决议，续聘宾卫女士担任公司董事会秘书。自董事会秘书聘任以来，严格依据</w:t>
      </w:r>
      <w:r>
        <w:rPr>
          <w:spacing w:val="-83"/>
        </w:rPr>
        <w:t> </w:t>
      </w:r>
      <w:r>
        <w:rPr>
          <w:spacing w:val="-83"/>
        </w:rPr>
      </w:r>
      <w:r>
        <w:rPr>
          <w:spacing w:val="-2"/>
        </w:rPr>
        <w:t>有关法律、法规、《公司章程》和《董事会秘书工作细则》的规定，积极负责筹备并出席了历次股东大会、董事会，确保了</w:t>
      </w:r>
      <w:r>
        <w:rPr>
          <w:spacing w:val="-69"/>
        </w:rPr>
        <w:t> </w:t>
      </w:r>
      <w:r>
        <w:rPr>
          <w:spacing w:val="-69"/>
        </w:rPr>
      </w:r>
      <w:r>
        <w:rPr>
          <w:spacing w:val="-2"/>
        </w:rPr>
        <w:t>公司董事会和股东大会依法召开、依法行使职权；历次股东大会、董事会召开前，董事会秘书均及时为股东、董事提供会议</w:t>
      </w:r>
      <w:r>
        <w:rPr>
          <w:spacing w:val="-66"/>
        </w:rPr>
        <w:t> </w:t>
      </w:r>
      <w:r>
        <w:rPr>
          <w:spacing w:val="-66"/>
        </w:rPr>
      </w:r>
      <w:r>
        <w:rPr>
          <w:spacing w:val="-2"/>
        </w:rPr>
        <w:t>材料、会议通知等相关文件，较好地履行了相关职责。董事会秘书在公司法人治理结构的完善、与监管部门和股东的沟通协</w:t>
      </w:r>
      <w:r>
        <w:rPr>
          <w:spacing w:val="-66"/>
        </w:rPr>
        <w:t> </w:t>
      </w:r>
      <w:r>
        <w:rPr>
          <w:spacing w:val="-66"/>
        </w:rPr>
      </w:r>
      <w:r>
        <w:rPr/>
        <w:t>调、管理制度的制定等方面亦发挥了重大作用。</w:t>
      </w:r>
    </w:p>
    <w:p>
      <w:pPr>
        <w:pStyle w:val="Heading5"/>
        <w:spacing w:line="240" w:lineRule="auto" w:before="20"/>
        <w:ind w:right="0"/>
        <w:jc w:val="left"/>
        <w:rPr>
          <w:b w:val="0"/>
          <w:bCs w:val="0"/>
        </w:rPr>
      </w:pPr>
      <w:r>
        <w:rPr/>
        <w:t>（六）董事会专门委员会</w:t>
      </w:r>
      <w:r>
        <w:rPr>
          <w:b w:val="0"/>
          <w:bCs w:val="0"/>
        </w:rPr>
      </w:r>
    </w:p>
    <w:p>
      <w:pPr>
        <w:pStyle w:val="BodyText"/>
        <w:spacing w:line="240" w:lineRule="auto" w:before="76"/>
        <w:ind w:left="514" w:right="0"/>
        <w:jc w:val="left"/>
      </w:pPr>
      <w:r>
        <w:rPr>
          <w:rFonts w:ascii="Times New Roman" w:hAnsi="Times New Roman" w:cs="Times New Roman" w:eastAsia="Times New Roman" w:hint="default"/>
        </w:rPr>
        <w:t>2015</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18</w:t>
      </w:r>
      <w:r>
        <w:rPr/>
        <w:t>日，公司第一届董事会第五次会议审议通过了《关于董事会设立战略、审计、薪酬与考核、提名委员会的</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9" w:lineRule="auto" w:before="44"/>
        <w:ind w:right="1130"/>
        <w:jc w:val="both"/>
      </w:pPr>
      <w:r>
        <w:rPr/>
        <w:t>议案》，经</w:t>
      </w:r>
      <w:r>
        <w:rPr>
          <w:rFonts w:ascii="Times New Roman" w:hAnsi="Times New Roman" w:cs="Times New Roman" w:eastAsia="Times New Roman" w:hint="default"/>
        </w:rPr>
        <w:t>2015</w:t>
      </w:r>
      <w:r>
        <w:rPr/>
        <w:t>年第</w:t>
      </w:r>
      <w:r>
        <w:rPr>
          <w:rFonts w:ascii="Times New Roman" w:hAnsi="Times New Roman" w:cs="Times New Roman" w:eastAsia="Times New Roman" w:hint="default"/>
        </w:rPr>
        <w:t>2</w:t>
      </w:r>
      <w:r>
        <w:rPr/>
        <w:t>次临时股东大会决议，公司董事会决定下设战略委员会、审计委员会、提名委员会、薪酬与考核委员</w:t>
      </w:r>
      <w:r>
        <w:rPr>
          <w:spacing w:val="-82"/>
        </w:rPr>
        <w:t> </w:t>
      </w:r>
      <w:r>
        <w:rPr>
          <w:spacing w:val="-82"/>
        </w:rPr>
      </w:r>
      <w:r>
        <w:rPr>
          <w:spacing w:val="-2"/>
        </w:rPr>
        <w:t>会四个专门委员会。专门委员会是董事会下设的专门工作机构，对董事会负责，在董事会授权下开展工作，为董事会的决策</w:t>
      </w:r>
      <w:r>
        <w:rPr>
          <w:spacing w:val="-66"/>
        </w:rPr>
        <w:t> </w:t>
      </w:r>
      <w:r>
        <w:rPr>
          <w:spacing w:val="-66"/>
        </w:rPr>
      </w:r>
      <w:r>
        <w:rPr/>
        <w:t>提供咨询意见，并向董事会提交工作报告。</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19</w:t>
      </w:r>
      <w:r>
        <w:rPr/>
        <w:t>日，公司第三届董事会第一次会议审议通过了《关于选举第三届董</w:t>
      </w:r>
      <w:r>
        <w:rPr>
          <w:spacing w:val="-83"/>
        </w:rPr>
        <w:t> </w:t>
      </w:r>
      <w:r>
        <w:rPr>
          <w:spacing w:val="-83"/>
        </w:rPr>
      </w:r>
      <w:r>
        <w:rPr>
          <w:spacing w:val="-2"/>
        </w:rPr>
        <w:t>事会审计委员会委员的议案》、《关于选举第三届董事会审计委员会委员的议案》、《关于选举第三届董事会战略委员会委</w:t>
      </w:r>
      <w:r>
        <w:rPr>
          <w:spacing w:val="-68"/>
        </w:rPr>
        <w:t> </w:t>
      </w:r>
      <w:r>
        <w:rPr>
          <w:spacing w:val="-68"/>
        </w:rPr>
      </w:r>
      <w:r>
        <w:rPr/>
        <w:t>员的议案》、《关于选举第三届董事会提名委员会委员的议案》。</w:t>
      </w:r>
    </w:p>
    <w:p>
      <w:pPr>
        <w:spacing w:line="240" w:lineRule="auto" w:before="9"/>
        <w:rPr>
          <w:rFonts w:ascii="宋体" w:hAnsi="宋体" w:cs="宋体" w:eastAsia="宋体" w:hint="default"/>
          <w:sz w:val="25"/>
          <w:szCs w:val="25"/>
        </w:rPr>
      </w:pPr>
    </w:p>
    <w:p>
      <w:pPr>
        <w:pStyle w:val="BodyText"/>
        <w:spacing w:line="240" w:lineRule="auto"/>
        <w:ind w:left="514" w:right="0"/>
        <w:jc w:val="left"/>
      </w:pPr>
      <w:r>
        <w:rPr>
          <w:rFonts w:ascii="Times New Roman" w:hAnsi="Times New Roman" w:cs="Times New Roman" w:eastAsia="Times New Roman" w:hint="default"/>
        </w:rPr>
        <w:t>2018</w:t>
      </w:r>
      <w:r>
        <w:rPr/>
        <w:t>年度董事会各专门委员会现任委员名单如下：</w:t>
      </w:r>
    </w:p>
    <w:p>
      <w:pPr>
        <w:spacing w:line="240" w:lineRule="auto" w:before="13"/>
        <w:rPr>
          <w:rFonts w:ascii="宋体" w:hAnsi="宋体" w:cs="宋体" w:eastAsia="宋体" w:hint="default"/>
          <w:sz w:val="3"/>
          <w:szCs w:val="3"/>
        </w:rPr>
      </w:pPr>
    </w:p>
    <w:tbl>
      <w:tblPr>
        <w:tblW w:w="0" w:type="auto"/>
        <w:jc w:val="left"/>
        <w:tblInd w:w="146" w:type="dxa"/>
        <w:tblLayout w:type="fixed"/>
        <w:tblCellMar>
          <w:top w:w="0" w:type="dxa"/>
          <w:left w:w="0" w:type="dxa"/>
          <w:bottom w:w="0" w:type="dxa"/>
          <w:right w:w="0" w:type="dxa"/>
        </w:tblCellMar>
        <w:tblLook w:val="01E0"/>
      </w:tblPr>
      <w:tblGrid>
        <w:gridCol w:w="3510"/>
        <w:gridCol w:w="3118"/>
        <w:gridCol w:w="2963"/>
      </w:tblGrid>
      <w:tr>
        <w:trPr>
          <w:trHeight w:val="347" w:hRule="exact"/>
        </w:trPr>
        <w:tc>
          <w:tcPr>
            <w:tcW w:w="3510"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359"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3118"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right="1010"/>
              <w:jc w:val="right"/>
              <w:rPr>
                <w:rFonts w:ascii="宋体" w:hAnsi="宋体" w:cs="宋体" w:eastAsia="宋体" w:hint="default"/>
                <w:sz w:val="18"/>
                <w:szCs w:val="18"/>
              </w:rPr>
            </w:pPr>
            <w:r>
              <w:rPr>
                <w:rFonts w:ascii="宋体" w:hAnsi="宋体" w:cs="宋体" w:eastAsia="宋体" w:hint="default"/>
                <w:sz w:val="18"/>
                <w:szCs w:val="18"/>
              </w:rPr>
              <w:t>主任委员</w:t>
            </w:r>
          </w:p>
        </w:tc>
        <w:tc>
          <w:tcPr>
            <w:tcW w:w="2963" w:type="dxa"/>
            <w:tcBorders>
              <w:top w:val="single" w:sz="6" w:space="0" w:color="000000"/>
              <w:left w:val="single" w:sz="6" w:space="0" w:color="000000"/>
              <w:bottom w:val="single" w:sz="6" w:space="0" w:color="000000"/>
              <w:right w:val="single" w:sz="6" w:space="0" w:color="000000"/>
            </w:tcBorders>
            <w:shd w:val="clear" w:color="auto" w:fill="BEBEBE"/>
          </w:tcPr>
          <w:p>
            <w:pPr>
              <w:pStyle w:val="TableParagraph"/>
              <w:spacing w:line="240" w:lineRule="auto" w:before="21"/>
              <w:ind w:left="359" w:right="0"/>
              <w:jc w:val="center"/>
              <w:rPr>
                <w:rFonts w:ascii="宋体" w:hAnsi="宋体" w:cs="宋体" w:eastAsia="宋体" w:hint="default"/>
                <w:sz w:val="18"/>
                <w:szCs w:val="18"/>
              </w:rPr>
            </w:pPr>
            <w:r>
              <w:rPr>
                <w:rFonts w:ascii="宋体" w:hAnsi="宋体" w:cs="宋体" w:eastAsia="宋体" w:hint="default"/>
                <w:sz w:val="18"/>
                <w:szCs w:val="18"/>
              </w:rPr>
              <w:t>委员</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9" w:right="0"/>
              <w:jc w:val="center"/>
              <w:rPr>
                <w:rFonts w:ascii="宋体" w:hAnsi="宋体" w:cs="宋体" w:eastAsia="宋体" w:hint="default"/>
                <w:sz w:val="18"/>
                <w:szCs w:val="18"/>
              </w:rPr>
            </w:pPr>
            <w:r>
              <w:rPr>
                <w:rFonts w:ascii="宋体" w:hAnsi="宋体" w:cs="宋体" w:eastAsia="宋体" w:hint="default"/>
                <w:sz w:val="18"/>
                <w:szCs w:val="18"/>
              </w:rPr>
              <w:t>战略委员会</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100"/>
              <w:jc w:val="right"/>
              <w:rPr>
                <w:rFonts w:ascii="宋体" w:hAnsi="宋体" w:cs="宋体" w:eastAsia="宋体" w:hint="default"/>
                <w:sz w:val="18"/>
                <w:szCs w:val="18"/>
              </w:rPr>
            </w:pPr>
            <w:r>
              <w:rPr>
                <w:rFonts w:ascii="宋体" w:hAnsi="宋体" w:cs="宋体" w:eastAsia="宋体" w:hint="default"/>
                <w:sz w:val="18"/>
                <w:szCs w:val="18"/>
              </w:rPr>
              <w:t>张秀兵</w:t>
            </w:r>
          </w:p>
        </w:tc>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62"/>
              <w:jc w:val="right"/>
              <w:rPr>
                <w:rFonts w:ascii="宋体" w:hAnsi="宋体" w:cs="宋体" w:eastAsia="宋体" w:hint="default"/>
                <w:sz w:val="18"/>
                <w:szCs w:val="18"/>
              </w:rPr>
            </w:pPr>
            <w:r>
              <w:rPr>
                <w:rFonts w:ascii="宋体" w:hAnsi="宋体" w:cs="宋体" w:eastAsia="宋体" w:hint="default"/>
                <w:sz w:val="18"/>
                <w:szCs w:val="18"/>
              </w:rPr>
              <w:t>徐轶尊、王正鹏</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9" w:right="0"/>
              <w:jc w:val="center"/>
              <w:rPr>
                <w:rFonts w:ascii="宋体" w:hAnsi="宋体" w:cs="宋体" w:eastAsia="宋体" w:hint="default"/>
                <w:sz w:val="18"/>
                <w:szCs w:val="18"/>
              </w:rPr>
            </w:pPr>
            <w:r>
              <w:rPr>
                <w:rFonts w:ascii="宋体" w:hAnsi="宋体" w:cs="宋体" w:eastAsia="宋体" w:hint="default"/>
                <w:sz w:val="18"/>
                <w:szCs w:val="18"/>
              </w:rPr>
              <w:t>提名委员会</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100"/>
              <w:jc w:val="right"/>
              <w:rPr>
                <w:rFonts w:ascii="宋体" w:hAnsi="宋体" w:cs="宋体" w:eastAsia="宋体" w:hint="default"/>
                <w:sz w:val="18"/>
                <w:szCs w:val="18"/>
              </w:rPr>
            </w:pPr>
            <w:r>
              <w:rPr>
                <w:rFonts w:ascii="宋体" w:hAnsi="宋体" w:cs="宋体" w:eastAsia="宋体" w:hint="default"/>
                <w:sz w:val="18"/>
                <w:szCs w:val="18"/>
              </w:rPr>
              <w:t>王正鹏</w:t>
            </w:r>
          </w:p>
        </w:tc>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62"/>
              <w:jc w:val="right"/>
              <w:rPr>
                <w:rFonts w:ascii="宋体" w:hAnsi="宋体" w:cs="宋体" w:eastAsia="宋体" w:hint="default"/>
                <w:sz w:val="18"/>
                <w:szCs w:val="18"/>
              </w:rPr>
            </w:pPr>
            <w:r>
              <w:rPr>
                <w:rFonts w:ascii="宋体" w:hAnsi="宋体" w:cs="宋体" w:eastAsia="宋体" w:hint="default"/>
                <w:sz w:val="18"/>
                <w:szCs w:val="18"/>
              </w:rPr>
              <w:t>张秀兵、徐轶尊</w:t>
            </w:r>
          </w:p>
        </w:tc>
      </w:tr>
      <w:tr>
        <w:trPr>
          <w:trHeight w:val="348"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9" w:right="0"/>
              <w:jc w:val="center"/>
              <w:rPr>
                <w:rFonts w:ascii="宋体" w:hAnsi="宋体" w:cs="宋体" w:eastAsia="宋体" w:hint="default"/>
                <w:sz w:val="18"/>
                <w:szCs w:val="18"/>
              </w:rPr>
            </w:pPr>
            <w:r>
              <w:rPr>
                <w:rFonts w:ascii="宋体" w:hAnsi="宋体" w:cs="宋体" w:eastAsia="宋体" w:hint="default"/>
                <w:sz w:val="18"/>
                <w:szCs w:val="18"/>
              </w:rPr>
              <w:t>审计委员会</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8" w:right="0"/>
              <w:jc w:val="center"/>
              <w:rPr>
                <w:rFonts w:ascii="宋体" w:hAnsi="宋体" w:cs="宋体" w:eastAsia="宋体" w:hint="default"/>
                <w:sz w:val="18"/>
                <w:szCs w:val="18"/>
              </w:rPr>
            </w:pPr>
            <w:r>
              <w:rPr>
                <w:rFonts w:ascii="宋体" w:hAnsi="宋体" w:cs="宋体" w:eastAsia="宋体" w:hint="default"/>
                <w:sz w:val="18"/>
                <w:szCs w:val="18"/>
              </w:rPr>
              <w:t>方军</w:t>
            </w:r>
          </w:p>
        </w:tc>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62"/>
              <w:jc w:val="right"/>
              <w:rPr>
                <w:rFonts w:ascii="宋体" w:hAnsi="宋体" w:cs="宋体" w:eastAsia="宋体" w:hint="default"/>
                <w:sz w:val="18"/>
                <w:szCs w:val="18"/>
              </w:rPr>
            </w:pPr>
            <w:r>
              <w:rPr>
                <w:rFonts w:ascii="宋体" w:hAnsi="宋体" w:cs="宋体" w:eastAsia="宋体" w:hint="default"/>
                <w:sz w:val="18"/>
                <w:szCs w:val="18"/>
              </w:rPr>
              <w:t>闫贵忠、王正鹏</w:t>
            </w:r>
          </w:p>
        </w:tc>
      </w:tr>
      <w:tr>
        <w:trPr>
          <w:trHeight w:val="347" w:hRule="exact"/>
        </w:trPr>
        <w:tc>
          <w:tcPr>
            <w:tcW w:w="35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9" w:right="0"/>
              <w:jc w:val="center"/>
              <w:rPr>
                <w:rFonts w:ascii="宋体" w:hAnsi="宋体" w:cs="宋体" w:eastAsia="宋体" w:hint="default"/>
                <w:sz w:val="18"/>
                <w:szCs w:val="18"/>
              </w:rPr>
            </w:pPr>
            <w:r>
              <w:rPr>
                <w:rFonts w:ascii="宋体" w:hAnsi="宋体" w:cs="宋体" w:eastAsia="宋体" w:hint="default"/>
                <w:sz w:val="18"/>
                <w:szCs w:val="18"/>
              </w:rPr>
              <w:t>薪酬与考核委员会</w:t>
            </w:r>
          </w:p>
        </w:tc>
        <w:tc>
          <w:tcPr>
            <w:tcW w:w="31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58" w:right="0"/>
              <w:jc w:val="center"/>
              <w:rPr>
                <w:rFonts w:ascii="宋体" w:hAnsi="宋体" w:cs="宋体" w:eastAsia="宋体" w:hint="default"/>
                <w:sz w:val="18"/>
                <w:szCs w:val="18"/>
              </w:rPr>
            </w:pPr>
            <w:r>
              <w:rPr>
                <w:rFonts w:ascii="宋体" w:hAnsi="宋体" w:cs="宋体" w:eastAsia="宋体" w:hint="default"/>
                <w:sz w:val="18"/>
                <w:szCs w:val="18"/>
              </w:rPr>
              <w:t>方军</w:t>
            </w:r>
          </w:p>
        </w:tc>
        <w:tc>
          <w:tcPr>
            <w:tcW w:w="29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752"/>
              <w:jc w:val="right"/>
              <w:rPr>
                <w:rFonts w:ascii="宋体" w:hAnsi="宋体" w:cs="宋体" w:eastAsia="宋体" w:hint="default"/>
                <w:sz w:val="18"/>
                <w:szCs w:val="18"/>
              </w:rPr>
            </w:pPr>
            <w:r>
              <w:rPr>
                <w:rFonts w:ascii="宋体" w:hAnsi="宋体" w:cs="宋体" w:eastAsia="宋体" w:hint="default"/>
                <w:sz w:val="18"/>
                <w:szCs w:val="18"/>
              </w:rPr>
              <w:t>宾卫、王正鹏</w:t>
            </w:r>
          </w:p>
        </w:tc>
      </w:tr>
    </w:tbl>
    <w:p>
      <w:pPr>
        <w:pStyle w:val="BodyText"/>
        <w:spacing w:line="360" w:lineRule="auto" w:before="10"/>
        <w:ind w:right="3552" w:firstLine="360"/>
        <w:jc w:val="left"/>
      </w:pPr>
      <w:r>
        <w:rPr/>
        <w:t>董事会各专门委员会自设立以来，运行情况良好。 公司治理的实际状况与中国证监会发布的有关上市公司治理的规范性文件是否存在重大差异</w:t>
      </w:r>
    </w:p>
    <w:p>
      <w:pPr>
        <w:pStyle w:val="BodyText"/>
        <w:spacing w:line="338" w:lineRule="auto" w:before="27"/>
        <w:ind w:right="355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公司治理的实际状况与中国证监会发布的有关上市公司治理的规范性文件不存在重大差异。</w:t>
      </w:r>
    </w:p>
    <w:p>
      <w:pPr>
        <w:spacing w:line="240" w:lineRule="auto" w:before="6"/>
        <w:rPr>
          <w:rFonts w:ascii="宋体" w:hAnsi="宋体" w:cs="宋体" w:eastAsia="宋体" w:hint="default"/>
          <w:sz w:val="19"/>
          <w:szCs w:val="19"/>
        </w:rPr>
      </w:pPr>
    </w:p>
    <w:p>
      <w:pPr>
        <w:pStyle w:val="Heading2"/>
        <w:spacing w:line="240" w:lineRule="auto"/>
        <w:ind w:right="0"/>
        <w:jc w:val="both"/>
        <w:rPr>
          <w:b w:val="0"/>
          <w:bCs w:val="0"/>
        </w:rPr>
      </w:pPr>
      <w:bookmarkStart w:name="二、公司相对于控股股东在业务、人员、资产、机构、财务等方面的独立情况" w:id="134"/>
      <w:bookmarkEnd w:id="134"/>
      <w:r>
        <w:rPr>
          <w:b w:val="0"/>
          <w:bCs w:val="0"/>
        </w:rPr>
      </w:r>
      <w:r>
        <w:rPr/>
        <w:t>二、公司相对于控股股东在业务、人员、资产、机构、财务等方面的独立情况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2"/>
        </w:rPr>
        <w:t>公司自成立以来，按照《公司法》和《公司章程》规范运作，逐步建立健全公司法人治理结构，业务、人员、资产、机</w:t>
      </w:r>
      <w:r>
        <w:rPr/>
        <w:t> 构、财务等方面均独立运营，具有完整的业务体系和面向市场自主经营的能力。</w:t>
      </w:r>
    </w:p>
    <w:p>
      <w:pPr>
        <w:pStyle w:val="BodyText"/>
        <w:spacing w:line="300" w:lineRule="auto" w:before="19"/>
        <w:ind w:left="514" w:right="1118" w:firstLine="1"/>
        <w:jc w:val="left"/>
      </w:pPr>
      <w:r>
        <w:rPr>
          <w:rFonts w:ascii="Times New Roman" w:hAnsi="Times New Roman" w:cs="Times New Roman" w:eastAsia="Times New Roman" w:hint="default"/>
          <w:b/>
          <w:bCs/>
        </w:rPr>
        <w:t>1</w:t>
      </w:r>
      <w:r>
        <w:rPr>
          <w:rFonts w:ascii="宋体" w:hAnsi="宋体" w:cs="宋体" w:eastAsia="宋体" w:hint="default"/>
          <w:b/>
          <w:bCs/>
        </w:rPr>
        <w:t>．业务独立</w:t>
      </w:r>
      <w:r>
        <w:rPr>
          <w:rFonts w:ascii="宋体" w:hAnsi="宋体" w:cs="宋体" w:eastAsia="宋体" w:hint="default"/>
          <w:b/>
          <w:bCs/>
          <w:w w:val="99"/>
        </w:rPr>
        <w:t> </w:t>
      </w:r>
      <w:r>
        <w:rPr>
          <w:spacing w:val="-2"/>
        </w:rPr>
        <w:t>公司的业务完全独立于控股股东、实际控制人和实际控制人控制的其他企业，与其不存在同业竞争或显失公平的关联交</w:t>
      </w:r>
    </w:p>
    <w:p>
      <w:pPr>
        <w:pStyle w:val="BodyText"/>
        <w:spacing w:line="240" w:lineRule="auto" w:before="31"/>
        <w:ind w:right="0"/>
        <w:jc w:val="both"/>
      </w:pPr>
      <w:r>
        <w:rPr/>
        <w:t>易。同时，公司控股股东及实际控制人已向公司出具承诺函，承诺避免与公司发生同业竞争。</w:t>
      </w:r>
    </w:p>
    <w:p>
      <w:pPr>
        <w:pStyle w:val="BodyText"/>
        <w:spacing w:line="300" w:lineRule="auto" w:before="76"/>
        <w:ind w:left="514" w:right="1118" w:firstLine="1"/>
        <w:jc w:val="left"/>
      </w:pPr>
      <w:r>
        <w:rPr>
          <w:rFonts w:ascii="Times New Roman" w:hAnsi="Times New Roman" w:cs="Times New Roman" w:eastAsia="Times New Roman" w:hint="default"/>
          <w:b/>
          <w:bCs/>
        </w:rPr>
        <w:t>2</w:t>
      </w:r>
      <w:r>
        <w:rPr>
          <w:rFonts w:ascii="宋体" w:hAnsi="宋体" w:cs="宋体" w:eastAsia="宋体" w:hint="default"/>
          <w:b/>
          <w:bCs/>
        </w:rPr>
        <w:t>、人员独立</w:t>
      </w:r>
      <w:r>
        <w:rPr>
          <w:rFonts w:ascii="宋体" w:hAnsi="宋体" w:cs="宋体" w:eastAsia="宋体" w:hint="default"/>
          <w:b/>
          <w:bCs/>
          <w:w w:val="99"/>
        </w:rPr>
        <w:t> </w:t>
      </w:r>
      <w:r>
        <w:rPr>
          <w:spacing w:val="-2"/>
        </w:rPr>
        <w:t>公司董事、监事及高级管理人员均依《公司法》、《公司章程》等规定的合法程序选举或聘任，不存在超越董事会和股</w:t>
      </w:r>
    </w:p>
    <w:p>
      <w:pPr>
        <w:pStyle w:val="BodyText"/>
        <w:spacing w:line="316" w:lineRule="auto" w:before="31"/>
        <w:ind w:left="514" w:right="1032" w:hanging="360"/>
        <w:jc w:val="left"/>
      </w:pPr>
      <w:r>
        <w:rPr/>
        <w:t>东大会作出人事任免决定的情况。 公司总经理、副总经理、财务负责人、董事会秘书等高级管理人员均专职于公司工作并领取报酬，不存在在控股股东、</w:t>
      </w:r>
    </w:p>
    <w:p>
      <w:pPr>
        <w:pStyle w:val="BodyText"/>
        <w:spacing w:line="316" w:lineRule="auto" w:before="19"/>
        <w:ind w:right="0"/>
        <w:jc w:val="left"/>
      </w:pPr>
      <w:r>
        <w:rPr>
          <w:spacing w:val="-2"/>
        </w:rPr>
        <w:t>实际控制人及其控制的其他企业担任除董事、监事以外的其他职务或领薪的情况。公司财务人员不存在在控股股东、实际控</w:t>
      </w:r>
      <w:r>
        <w:rPr>
          <w:spacing w:val="-66"/>
        </w:rPr>
        <w:t> </w:t>
      </w:r>
      <w:r>
        <w:rPr>
          <w:spacing w:val="-66"/>
        </w:rPr>
      </w:r>
      <w:r>
        <w:rPr/>
        <w:t>制人及其控制的其他企业中兼职的情形。</w:t>
      </w:r>
    </w:p>
    <w:p>
      <w:pPr>
        <w:pStyle w:val="BodyText"/>
        <w:spacing w:line="300" w:lineRule="auto" w:before="19"/>
        <w:ind w:left="514" w:right="2652" w:firstLine="1"/>
        <w:jc w:val="left"/>
      </w:pPr>
      <w:r>
        <w:rPr>
          <w:rFonts w:ascii="Times New Roman" w:hAnsi="Times New Roman" w:cs="Times New Roman" w:eastAsia="Times New Roman" w:hint="default"/>
          <w:b/>
          <w:bCs/>
        </w:rPr>
        <w:t>3</w:t>
      </w:r>
      <w:r>
        <w:rPr>
          <w:rFonts w:ascii="宋体" w:hAnsi="宋体" w:cs="宋体" w:eastAsia="宋体" w:hint="default"/>
          <w:b/>
          <w:bCs/>
        </w:rPr>
        <w:t>、资产完整</w:t>
      </w:r>
      <w:r>
        <w:rPr>
          <w:rFonts w:ascii="宋体" w:hAnsi="宋体" w:cs="宋体" w:eastAsia="宋体" w:hint="default"/>
          <w:b/>
          <w:bCs/>
          <w:w w:val="99"/>
        </w:rPr>
        <w:t> </w:t>
      </w:r>
      <w:r>
        <w:rPr/>
        <w:t>公司拥有独立于发起人股东的生产经营场所，拥有独立完整的与经营有关的业务体系和相关资产。</w:t>
      </w:r>
    </w:p>
    <w:p>
      <w:pPr>
        <w:pStyle w:val="BodyText"/>
        <w:spacing w:line="316" w:lineRule="auto" w:before="31"/>
        <w:ind w:right="0" w:firstLine="360"/>
        <w:jc w:val="left"/>
      </w:pPr>
      <w:r>
        <w:rPr>
          <w:spacing w:val="-2"/>
        </w:rPr>
        <w:t>公司对所有资产拥有完全的控制和支配权，不存在资金、资产被控股股东、实际控制人及其控制的其他企业占用而损害</w:t>
      </w:r>
      <w:r>
        <w:rPr/>
        <w:t> 公司利益的情况，也不存在公司为股东和其他个人违规提供担保的情形。</w:t>
      </w:r>
    </w:p>
    <w:p>
      <w:pPr>
        <w:pStyle w:val="BodyText"/>
        <w:spacing w:line="300" w:lineRule="auto" w:before="19"/>
        <w:ind w:left="514" w:right="1118" w:firstLine="1"/>
        <w:jc w:val="left"/>
      </w:pPr>
      <w:r>
        <w:rPr>
          <w:rFonts w:ascii="Times New Roman" w:hAnsi="Times New Roman" w:cs="Times New Roman" w:eastAsia="Times New Roman" w:hint="default"/>
          <w:b/>
          <w:bCs/>
        </w:rPr>
        <w:t>4</w:t>
      </w:r>
      <w:r>
        <w:rPr>
          <w:rFonts w:ascii="宋体" w:hAnsi="宋体" w:cs="宋体" w:eastAsia="宋体" w:hint="default"/>
          <w:b/>
          <w:bCs/>
        </w:rPr>
        <w:t>、机构独立</w:t>
      </w:r>
      <w:r>
        <w:rPr>
          <w:rFonts w:ascii="宋体" w:hAnsi="宋体" w:cs="宋体" w:eastAsia="宋体" w:hint="default"/>
          <w:b/>
          <w:bCs/>
          <w:w w:val="99"/>
        </w:rPr>
        <w:t> </w:t>
      </w:r>
      <w:r>
        <w:rPr>
          <w:spacing w:val="-2"/>
        </w:rPr>
        <w:t>公司依照《公司法》等有关法律法规和《公司章程》建立了以股东大会为权力机构、董事会为决策机构、监事会为监督</w:t>
      </w:r>
    </w:p>
    <w:p>
      <w:pPr>
        <w:pStyle w:val="BodyText"/>
        <w:spacing w:line="316" w:lineRule="auto" w:before="31"/>
        <w:ind w:right="1133"/>
        <w:jc w:val="both"/>
      </w:pPr>
      <w:r>
        <w:rPr>
          <w:spacing w:val="-2"/>
        </w:rPr>
        <w:t>机构、经理层为执行机构的法人治理结构。公司拥有独立于控股股东和实际控制人的经营和办公场所，所有的组织机构均不</w:t>
      </w:r>
      <w:r>
        <w:rPr>
          <w:spacing w:val="-66"/>
        </w:rPr>
        <w:t> </w:t>
      </w:r>
      <w:r>
        <w:rPr>
          <w:spacing w:val="-66"/>
        </w:rPr>
      </w:r>
      <w:r>
        <w:rPr>
          <w:spacing w:val="-2"/>
        </w:rPr>
        <w:t>存在与控股股东、实际控制人及其控制的其他企业混合经营、合署办公的情况，机构设置和生产经营活动不存在受控股股东</w:t>
      </w:r>
      <w:r>
        <w:rPr>
          <w:spacing w:val="-66"/>
        </w:rPr>
        <w:t> </w:t>
      </w:r>
      <w:r>
        <w:rPr>
          <w:spacing w:val="-66"/>
        </w:rPr>
      </w:r>
      <w:r>
        <w:rPr/>
        <w:t>及其他单位或个人干预的情形。</w:t>
      </w:r>
    </w:p>
    <w:p>
      <w:pPr>
        <w:pStyle w:val="BodyText"/>
        <w:spacing w:line="300" w:lineRule="auto" w:before="19"/>
        <w:ind w:left="514" w:right="1118" w:firstLine="1"/>
        <w:jc w:val="left"/>
      </w:pPr>
      <w:r>
        <w:rPr>
          <w:rFonts w:ascii="Times New Roman" w:hAnsi="Times New Roman" w:cs="Times New Roman" w:eastAsia="Times New Roman" w:hint="default"/>
          <w:b/>
          <w:bCs/>
        </w:rPr>
        <w:t>5</w:t>
      </w:r>
      <w:r>
        <w:rPr>
          <w:rFonts w:ascii="宋体" w:hAnsi="宋体" w:cs="宋体" w:eastAsia="宋体" w:hint="default"/>
          <w:b/>
          <w:bCs/>
        </w:rPr>
        <w:t>、财务独立</w:t>
      </w:r>
      <w:r>
        <w:rPr>
          <w:rFonts w:ascii="宋体" w:hAnsi="宋体" w:cs="宋体" w:eastAsia="宋体" w:hint="default"/>
          <w:b/>
          <w:bCs/>
          <w:w w:val="99"/>
        </w:rPr>
        <w:t> </w:t>
      </w:r>
      <w:r>
        <w:rPr>
          <w:spacing w:val="-2"/>
        </w:rPr>
        <w:t>公司设有独立的财务部门。公司根据现行法律法规，结合公司实际，制定了财务管理制度，建立了独立完善的财务核算</w:t>
      </w:r>
    </w:p>
    <w:p>
      <w:pPr>
        <w:pStyle w:val="BodyText"/>
        <w:spacing w:line="316" w:lineRule="auto" w:before="31"/>
        <w:ind w:right="0"/>
        <w:jc w:val="left"/>
      </w:pPr>
      <w:r>
        <w:rPr>
          <w:spacing w:val="-2"/>
        </w:rPr>
        <w:t>体系。公司在银行开设了独立账户，独立支配自有资金和资产，公司独立对外签订合同，不存在与控股股东、实际控制人及</w:t>
      </w:r>
      <w:r>
        <w:rPr>
          <w:spacing w:val="-66"/>
        </w:rPr>
        <w:t> </w:t>
      </w:r>
      <w:r>
        <w:rPr>
          <w:spacing w:val="-66"/>
        </w:rPr>
      </w:r>
      <w:r>
        <w:rPr/>
        <w:t>其控制的其他企业共用银行账户的情形。公司作为独立的纳税人进行纳税申报及履行纳税义务。</w:t>
      </w:r>
    </w:p>
    <w:p>
      <w:pPr>
        <w:spacing w:after="0" w:line="316" w:lineRule="auto"/>
        <w:jc w:val="left"/>
        <w:sectPr>
          <w:pgSz w:w="11910" w:h="16840"/>
          <w:pgMar w:header="877" w:footer="979" w:top="1100" w:bottom="1160" w:left="980" w:right="0"/>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三、同业竞争情况" w:id="135"/>
      <w:bookmarkEnd w:id="135"/>
      <w:r>
        <w:rPr>
          <w:b w:val="0"/>
          <w:bCs w:val="0"/>
        </w:rPr>
      </w:r>
      <w:r>
        <w:rPr/>
        <w:t>三、同业竞争情况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四、报告期内召开的年度股东大会和临时股东大会的有关情况" w:id="136"/>
      <w:bookmarkEnd w:id="136"/>
      <w:r>
        <w:rPr>
          <w:b w:val="0"/>
          <w:bCs w:val="0"/>
        </w:rPr>
      </w: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本报告期股东大会情况" w:id="137"/>
      <w:bookmarkEnd w:id="137"/>
      <w:r>
        <w:rPr>
          <w:b w:val="0"/>
          <w:bCs w:val="0"/>
        </w:rPr>
      </w:r>
      <w:r>
        <w:rPr>
          <w:rFonts w:ascii="Times New Roman" w:hAnsi="Times New Roman" w:cs="Times New Roman" w:eastAsia="Times New Roman" w:hint="default"/>
        </w:rPr>
        <w:t>1</w:t>
      </w:r>
      <w:r>
        <w:rPr/>
        <w:t>、本报告期股东大会情况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68"/>
        <w:gridCol w:w="1276"/>
        <w:gridCol w:w="1241"/>
        <w:gridCol w:w="1594"/>
        <w:gridCol w:w="1594"/>
        <w:gridCol w:w="1595"/>
      </w:tblGrid>
      <w:tr>
        <w:trPr>
          <w:trHeight w:val="75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会议类型</w:t>
            </w:r>
          </w:p>
        </w:tc>
        <w:tc>
          <w:tcPr>
            <w:tcW w:w="12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2"/>
              <w:ind w:left="435" w:right="165" w:hanging="271"/>
              <w:jc w:val="left"/>
              <w:rPr>
                <w:rFonts w:ascii="宋体" w:hAnsi="宋体" w:cs="宋体" w:eastAsia="宋体" w:hint="default"/>
                <w:sz w:val="18"/>
                <w:szCs w:val="18"/>
              </w:rPr>
            </w:pPr>
            <w:r>
              <w:rPr>
                <w:rFonts w:ascii="宋体" w:hAnsi="宋体" w:cs="宋体" w:eastAsia="宋体" w:hint="default"/>
                <w:sz w:val="18"/>
                <w:szCs w:val="18"/>
              </w:rPr>
              <w:t>投资者参与 比例</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披露索引</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3"/>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8"/>
              <w:jc w:val="center"/>
              <w:rPr>
                <w:rFonts w:ascii="宋体" w:hAnsi="宋体" w:cs="宋体" w:eastAsia="宋体" w:hint="default"/>
                <w:sz w:val="18"/>
                <w:szCs w:val="18"/>
              </w:rPr>
            </w:pPr>
            <w:r>
              <w:rPr>
                <w:rFonts w:ascii="宋体" w:hAnsi="宋体" w:cs="宋体" w:eastAsia="宋体" w:hint="default"/>
                <w:sz w:val="18"/>
                <w:szCs w:val="18"/>
              </w:rPr>
              <w:t>年度股东大会</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3"/>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年第二次临时股东大会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51.02%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3"/>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51.28%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3"/>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年第四次临时股东大会</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38"/>
              <w:jc w:val="center"/>
              <w:rPr>
                <w:rFonts w:ascii="宋体" w:hAnsi="宋体" w:cs="宋体" w:eastAsia="宋体" w:hint="default"/>
                <w:sz w:val="18"/>
                <w:szCs w:val="18"/>
              </w:rPr>
            </w:pPr>
            <w:r>
              <w:rPr>
                <w:rFonts w:ascii="宋体" w:hAnsi="宋体" w:cs="宋体" w:eastAsia="宋体" w:hint="default"/>
                <w:sz w:val="18"/>
                <w:szCs w:val="18"/>
              </w:rPr>
              <w:t>临时股东大会</w:t>
            </w:r>
          </w:p>
        </w:tc>
        <w:tc>
          <w:tcPr>
            <w:tcW w:w="12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52"/>
              <w:jc w:val="center"/>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3"/>
              <w:jc w:val="center"/>
              <w:rPr>
                <w:rFonts w:ascii="Times New Roman" w:hAnsi="Times New Roman" w:cs="Times New Roman" w:eastAsia="Times New Roman" w:hint="default"/>
                <w:sz w:val="18"/>
                <w:szCs w:val="18"/>
              </w:rPr>
            </w:pPr>
            <w:hyperlink r:id="rId11">
              <w:r>
                <w:rPr>
                  <w:rFonts w:ascii="Times New Roman"/>
                  <w:sz w:val="18"/>
                </w:rPr>
                <w:t>www.cninfo.com.cn</w:t>
              </w:r>
            </w:hyperlink>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表决权恢复的优先股股东请求召开临时股东大会" w:id="138"/>
      <w:bookmarkEnd w:id="138"/>
      <w:r>
        <w:rPr>
          <w:b w:val="0"/>
          <w:bCs w:val="0"/>
        </w:rPr>
      </w:r>
      <w:r>
        <w:rPr>
          <w:rFonts w:ascii="Times New Roman" w:hAnsi="Times New Roman" w:cs="Times New Roman" w:eastAsia="Times New Roman" w:hint="default"/>
        </w:rPr>
        <w:t>2</w:t>
      </w:r>
      <w:r>
        <w:rPr/>
        <w:t>、表决权恢复的优先股股东请求召开临时股东大会</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0"/>
        <w:jc w:val="left"/>
        <w:rPr>
          <w:b w:val="0"/>
          <w:bCs w:val="0"/>
        </w:rPr>
      </w:pPr>
      <w:bookmarkStart w:name="五、报告期内独立董事履行职责的情况" w:id="139"/>
      <w:bookmarkEnd w:id="139"/>
      <w:r>
        <w:rPr>
          <w:b w:val="0"/>
          <w:bCs w:val="0"/>
        </w:rPr>
      </w: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独立董事出席董事会及股东大会的情况" w:id="140"/>
      <w:bookmarkEnd w:id="140"/>
      <w:r>
        <w:rPr>
          <w:b w:val="0"/>
          <w:bCs w:val="0"/>
        </w:rPr>
      </w: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168"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5"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9"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张顺和</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方军</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王正鹏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徐轶尊</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12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12</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w:t>
            </w:r>
          </w:p>
        </w:tc>
      </w:tr>
    </w:tbl>
    <w:p>
      <w:pPr>
        <w:pStyle w:val="BodyText"/>
        <w:spacing w:line="360" w:lineRule="auto" w:before="51"/>
        <w:ind w:right="8052"/>
        <w:jc w:val="left"/>
      </w:pPr>
      <w:r>
        <w:rPr/>
        <w:t>连续两次未亲自出席董事会的说明 不适用</w:t>
      </w:r>
    </w:p>
    <w:p>
      <w:pPr>
        <w:spacing w:line="240" w:lineRule="auto" w:before="11"/>
        <w:rPr>
          <w:rFonts w:ascii="宋体" w:hAnsi="宋体" w:cs="宋体" w:eastAsia="宋体" w:hint="default"/>
          <w:sz w:val="19"/>
          <w:szCs w:val="19"/>
        </w:rPr>
      </w:pPr>
    </w:p>
    <w:p>
      <w:pPr>
        <w:pStyle w:val="Heading4"/>
        <w:spacing w:line="240" w:lineRule="auto"/>
        <w:ind w:right="0"/>
        <w:jc w:val="left"/>
        <w:rPr>
          <w:b w:val="0"/>
          <w:bCs w:val="0"/>
        </w:rPr>
      </w:pPr>
      <w:bookmarkStart w:name="2、独立董事对公司有关事项提出异议的情况" w:id="141"/>
      <w:bookmarkEnd w:id="141"/>
      <w:r>
        <w:rPr>
          <w:b w:val="0"/>
          <w:bCs w:val="0"/>
        </w:rPr>
      </w: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38" w:lineRule="auto" w:before="117"/>
        <w:ind w:right="697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报告期内独立董事对公司有关事项未提出异议。</w:t>
      </w:r>
    </w:p>
    <w:p>
      <w:pPr>
        <w:spacing w:after="0" w:line="338"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p>
    <w:p>
      <w:pPr>
        <w:pStyle w:val="Heading4"/>
        <w:spacing w:line="240" w:lineRule="auto" w:before="35"/>
        <w:ind w:right="0"/>
        <w:jc w:val="left"/>
        <w:rPr>
          <w:b w:val="0"/>
          <w:bCs w:val="0"/>
        </w:rPr>
      </w:pPr>
      <w:bookmarkStart w:name="3、独立董事履行职责的其他说明" w:id="142"/>
      <w:bookmarkEnd w:id="142"/>
      <w:r>
        <w:rPr>
          <w:b w:val="0"/>
          <w:bCs w:val="0"/>
        </w:rPr>
      </w:r>
      <w:r>
        <w:rPr>
          <w:rFonts w:ascii="Times New Roman" w:hAnsi="Times New Roman" w:cs="Times New Roman" w:eastAsia="Times New Roman"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0" w:lineRule="auto" w:before="116"/>
        <w:ind w:right="67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独立董事对公司有关建议被采纳或未被采纳的说明</w:t>
      </w:r>
    </w:p>
    <w:p>
      <w:pPr>
        <w:pStyle w:val="BodyText"/>
        <w:spacing w:line="316" w:lineRule="auto" w:before="39"/>
        <w:ind w:right="0" w:firstLine="360"/>
        <w:jc w:val="left"/>
      </w:pPr>
      <w:r>
        <w:rPr>
          <w:spacing w:val="-2"/>
        </w:rPr>
        <w:t>报告期内，公司全体独立董事根据《公司法》、《证券法》、《关于在上市公司建立独立董事的指导意见》、《深圳证</w:t>
      </w:r>
      <w:r>
        <w:rPr/>
        <w:t> </w:t>
      </w:r>
      <w:r>
        <w:rPr>
          <w:spacing w:val="-2"/>
        </w:rPr>
        <w:t>券交易所股票上市规则》等法律、法规、行政规则及《公司章程》、《公司独立董事工作细则》等规章制度的相关要求，勤</w:t>
      </w:r>
      <w:r>
        <w:rPr>
          <w:spacing w:val="-68"/>
        </w:rPr>
        <w:t> </w:t>
      </w:r>
      <w:r>
        <w:rPr>
          <w:spacing w:val="-68"/>
        </w:rPr>
      </w:r>
      <w:r>
        <w:rPr>
          <w:spacing w:val="-4"/>
        </w:rPr>
        <w:t>勉尽责，积极出席公司董事会会议，对会议议案进行认真研究审议；积极与公司高管沟通，了解掌握公司各方面的经营信息，</w:t>
      </w:r>
      <w:r>
        <w:rPr>
          <w:spacing w:val="-46"/>
        </w:rPr>
        <w:t> </w:t>
      </w:r>
      <w:r>
        <w:rPr>
          <w:spacing w:val="-46"/>
        </w:rPr>
      </w:r>
      <w:r>
        <w:rPr>
          <w:spacing w:val="-2"/>
        </w:rPr>
        <w:t>并运用各自的专业知识就重大事项进行客观公正评价，并及时发表独立意见，充分发挥独立董事的作用，有效地提高董事会</w:t>
      </w:r>
      <w:r>
        <w:rPr>
          <w:spacing w:val="-66"/>
        </w:rPr>
        <w:t> </w:t>
      </w:r>
      <w:r>
        <w:rPr>
          <w:spacing w:val="-66"/>
        </w:rPr>
      </w:r>
      <w:r>
        <w:rPr/>
        <w:t>决策的科学性和规范性，切实维护公司和全体股东的合法权益。</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六、董事会下设专门委员会在报告期内履行职责情况" w:id="143"/>
      <w:bookmarkEnd w:id="143"/>
      <w:r>
        <w:rPr>
          <w:b w:val="0"/>
          <w:bCs w:val="0"/>
        </w:rPr>
      </w:r>
      <w:r>
        <w:rPr/>
        <w:t>六、董事会下设专门委员会在报告期内履行职责情况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31" w:firstLine="360"/>
        <w:jc w:val="both"/>
      </w:pPr>
      <w:r>
        <w:rPr>
          <w:spacing w:val="-2"/>
        </w:rPr>
        <w:t>公司董事会设审计、提名、战略、薪酬与考核等四个专业委员会，并制定了《董事会审计委员会议事规则》、《董事会</w:t>
      </w:r>
      <w:r>
        <w:rPr/>
        <w:t> </w:t>
      </w:r>
      <w:r>
        <w:rPr>
          <w:spacing w:val="-2"/>
        </w:rPr>
        <w:t>提名委员会议事规则》、《董事会战略委员会议事规则》、《董事会薪酬与考核委员会议事规则》，各委员会按照各自议事</w:t>
      </w:r>
      <w:r>
        <w:rPr>
          <w:spacing w:val="-67"/>
        </w:rPr>
        <w:t> </w:t>
      </w:r>
      <w:r>
        <w:rPr>
          <w:spacing w:val="-67"/>
        </w:rPr>
      </w:r>
      <w:r>
        <w:rPr>
          <w:spacing w:val="-2"/>
        </w:rPr>
        <w:t>规则，对公司运作过程中出现的各自专业领域事项积极审议，向董事会提供专业意见。报告期内，各专门委员会积极审议有</w:t>
      </w:r>
      <w:r>
        <w:rPr>
          <w:spacing w:val="-66"/>
        </w:rPr>
        <w:t> </w:t>
      </w:r>
      <w:r>
        <w:rPr>
          <w:spacing w:val="-66"/>
        </w:rPr>
      </w:r>
      <w:r>
        <w:rPr/>
        <w:t>关事项，提供的专业意见对董事会起到了有益的参考作用。</w:t>
      </w:r>
    </w:p>
    <w:p>
      <w:pPr>
        <w:pStyle w:val="BodyText"/>
        <w:spacing w:line="316" w:lineRule="auto" w:before="19"/>
        <w:ind w:right="1132" w:firstLine="360"/>
        <w:jc w:val="both"/>
      </w:pPr>
      <w:r>
        <w:rPr>
          <w:spacing w:val="-2"/>
        </w:rPr>
        <w:t>报告期内，审计委员会对公司的定期报告、财务管理制度、内部控制制度等事项进行讨论，并发表意见，对会计师事务</w:t>
      </w:r>
      <w:r>
        <w:rPr/>
        <w:t> </w:t>
      </w:r>
      <w:r>
        <w:rPr>
          <w:spacing w:val="-2"/>
        </w:rPr>
        <w:t>所审计工作进行督促情况，维护审计的独立性，督促和指导公司审计部门对公司财务管理运行情况进行定期和不定期的检查</w:t>
      </w:r>
      <w:r>
        <w:rPr>
          <w:spacing w:val="-64"/>
        </w:rPr>
        <w:t> </w:t>
      </w:r>
      <w:r>
        <w:rPr>
          <w:spacing w:val="-64"/>
        </w:rPr>
      </w:r>
      <w:r>
        <w:rPr/>
        <w:t>和评估，委员会认为公司内控制度体系符合法律、法规及《公司章程》的要求，适应当前公司实际情况的需要。</w:t>
      </w:r>
    </w:p>
    <w:p>
      <w:pPr>
        <w:pStyle w:val="BodyText"/>
        <w:spacing w:line="316" w:lineRule="auto" w:before="19"/>
        <w:ind w:left="514" w:right="0"/>
        <w:jc w:val="left"/>
      </w:pPr>
      <w:r>
        <w:rPr/>
        <w:t>提名委员会对独立董事候选人、高级管理人员候选人进行审议并向董事会提出建议。 </w:t>
      </w:r>
      <w:r>
        <w:rPr>
          <w:spacing w:val="-4"/>
        </w:rPr>
        <w:t>战略委员对公司的长期发展规划、经营目标、发展方针等进行研究并提出建议，并对重大投资方案和重大事项进行研究，</w:t>
      </w:r>
    </w:p>
    <w:p>
      <w:pPr>
        <w:pStyle w:val="BodyText"/>
        <w:spacing w:line="316" w:lineRule="auto" w:before="19"/>
        <w:ind w:left="514" w:right="0" w:hanging="360"/>
        <w:jc w:val="left"/>
      </w:pPr>
      <w:r>
        <w:rPr/>
        <w:t>向董事会提出建议。 </w:t>
      </w:r>
      <w:r>
        <w:rPr>
          <w:spacing w:val="-2"/>
        </w:rPr>
        <w:t>薪酬与考核委员对公司</w:t>
      </w:r>
      <w:r>
        <w:rPr>
          <w:rFonts w:ascii="Times New Roman" w:hAnsi="Times New Roman" w:cs="Times New Roman" w:eastAsia="Times New Roman" w:hint="default"/>
          <w:spacing w:val="-2"/>
        </w:rPr>
        <w:t>2018</w:t>
      </w:r>
      <w:r>
        <w:rPr>
          <w:spacing w:val="-2"/>
        </w:rPr>
        <w:t>年度董监高薪酬方案进行了审议并对董事、监事、高级管理人员薪酬进行评估与考核，根据</w:t>
      </w:r>
    </w:p>
    <w:p>
      <w:pPr>
        <w:pStyle w:val="BodyText"/>
        <w:spacing w:line="235" w:lineRule="exact"/>
        <w:ind w:right="0"/>
        <w:jc w:val="left"/>
      </w:pPr>
      <w:r>
        <w:rPr/>
        <w:t>公司整体经营业绩情况确定董事、高级管理人员的薪酬政策与方案。</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七、监事会工作情况" w:id="144"/>
      <w:bookmarkEnd w:id="144"/>
      <w:r>
        <w:rPr>
          <w:b w:val="0"/>
          <w:bCs w:val="0"/>
        </w:rPr>
      </w:r>
      <w:r>
        <w:rPr/>
        <w:t>七、监事会工作情况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38" w:lineRule="auto" w:before="117"/>
        <w:ind w:right="73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公司监事会对报告期内的监督事项无异议。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bookmarkStart w:name="八、高级管理人员的考评及激励情况" w:id="145"/>
      <w:bookmarkEnd w:id="145"/>
      <w:r>
        <w:rPr>
          <w:b w:val="0"/>
          <w:bCs w:val="0"/>
        </w:rPr>
      </w: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3" w:firstLine="360"/>
        <w:jc w:val="both"/>
      </w:pPr>
      <w:r>
        <w:rPr>
          <w:spacing w:val="-2"/>
        </w:rPr>
        <w:t>报告期内，公司已按照目标责任制管理办法对高级管理人员的工作能力、履职情况、责任目标完成情况等进行了考核和</w:t>
      </w:r>
      <w:r>
        <w:rPr/>
        <w:t> 评价，并已在年度绩效奖励的发放中予以体现。</w:t>
      </w:r>
    </w:p>
    <w:p>
      <w:pPr>
        <w:spacing w:line="240" w:lineRule="auto" w:before="10"/>
        <w:rPr>
          <w:rFonts w:ascii="宋体" w:hAnsi="宋体" w:cs="宋体" w:eastAsia="宋体" w:hint="default"/>
          <w:sz w:val="20"/>
          <w:szCs w:val="20"/>
        </w:rPr>
      </w:pPr>
    </w:p>
    <w:p>
      <w:pPr>
        <w:pStyle w:val="Heading2"/>
        <w:spacing w:line="240" w:lineRule="auto"/>
        <w:ind w:right="0"/>
        <w:jc w:val="left"/>
        <w:rPr>
          <w:b w:val="0"/>
          <w:bCs w:val="0"/>
        </w:rPr>
      </w:pPr>
      <w:bookmarkStart w:name="九、内部控制评价报告" w:id="146"/>
      <w:bookmarkEnd w:id="146"/>
      <w:r>
        <w:rPr>
          <w:b w:val="0"/>
          <w:bCs w:val="0"/>
        </w:rPr>
      </w: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报告期内发现的内部控制重大缺陷的具体情况" w:id="147"/>
      <w:bookmarkEnd w:id="147"/>
      <w:r>
        <w:rPr>
          <w:b w:val="0"/>
          <w:bCs w:val="0"/>
        </w:rPr>
      </w:r>
      <w:r>
        <w:rPr>
          <w:rFonts w:ascii="Times New Roman" w:hAnsi="Times New Roman" w:cs="Times New Roman" w:eastAsia="Times New Roman" w:hint="default"/>
        </w:rPr>
        <w:t>1</w:t>
      </w:r>
      <w:r>
        <w:rPr/>
        <w:t>、报告期内发现的内部控制重大缺陷的具体情况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100" w:bottom="1160" w:left="980" w:right="0"/>
        </w:sectPr>
      </w:pPr>
    </w:p>
    <w:p>
      <w:pPr>
        <w:spacing w:line="240" w:lineRule="auto" w:before="9"/>
        <w:rPr>
          <w:rFonts w:ascii="宋体" w:hAnsi="宋体" w:cs="宋体" w:eastAsia="宋体" w:hint="default"/>
          <w:sz w:val="20"/>
          <w:szCs w:val="20"/>
        </w:rPr>
      </w:pPr>
      <w:r>
        <w:rPr/>
        <w:pict>
          <v:shape style="position:absolute;margin-left:56.459999pt;margin-top:102.659981pt;width:479.2pt;height:664.6pt;mso-position-horizontal-relative:page;mso-position-vertical-relative:page;z-index:16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63"/>
                    <w:gridCol w:w="4267"/>
                    <w:gridCol w:w="3039"/>
                  </w:tblGrid>
                  <w:tr>
                    <w:trPr>
                      <w:trHeight w:val="714" w:hRule="exact"/>
                    </w:trPr>
                    <w:tc>
                      <w:tcPr>
                        <w:tcW w:w="2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内部控制评价报告全文披露 日期</w:t>
                        </w:r>
                      </w:p>
                    </w:tc>
                    <w:tc>
                      <w:tcPr>
                        <w:tcW w:w="730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714" w:hRule="exact"/>
                    </w:trPr>
                    <w:tc>
                      <w:tcPr>
                        <w:tcW w:w="2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8"/>
                          <w:jc w:val="left"/>
                          <w:rPr>
                            <w:rFonts w:ascii="宋体" w:hAnsi="宋体" w:cs="宋体" w:eastAsia="宋体" w:hint="default"/>
                            <w:sz w:val="18"/>
                            <w:szCs w:val="18"/>
                          </w:rPr>
                        </w:pPr>
                        <w:r>
                          <w:rPr>
                            <w:rFonts w:ascii="宋体" w:hAnsi="宋体" w:cs="宋体" w:eastAsia="宋体" w:hint="default"/>
                            <w:sz w:val="18"/>
                            <w:szCs w:val="18"/>
                          </w:rPr>
                          <w:t>内部控制评价报告全文披露 索引</w:t>
                        </w:r>
                      </w:p>
                    </w:tc>
                    <w:tc>
                      <w:tcPr>
                        <w:tcW w:w="730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r>
                    <w:trPr>
                      <w:trHeight w:val="1026" w:hRule="exact"/>
                    </w:trPr>
                    <w:tc>
                      <w:tcPr>
                        <w:tcW w:w="2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8"/>
                          <w:jc w:val="both"/>
                          <w:rPr>
                            <w:rFonts w:ascii="宋体" w:hAnsi="宋体" w:cs="宋体" w:eastAsia="宋体" w:hint="default"/>
                            <w:sz w:val="18"/>
                            <w:szCs w:val="18"/>
                          </w:rPr>
                        </w:pPr>
                        <w:r>
                          <w:rPr>
                            <w:rFonts w:ascii="宋体" w:hAnsi="宋体" w:cs="宋体" w:eastAsia="宋体" w:hint="default"/>
                            <w:sz w:val="18"/>
                            <w:szCs w:val="18"/>
                          </w:rPr>
                          <w:t>纳入评价范围单位资产总额 占公司合并财务报表资产总 额的比例</w:t>
                        </w:r>
                      </w:p>
                    </w:tc>
                    <w:tc>
                      <w:tcPr>
                        <w:tcW w:w="730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1026" w:hRule="exact"/>
                    </w:trPr>
                    <w:tc>
                      <w:tcPr>
                        <w:tcW w:w="2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68"/>
                          <w:jc w:val="both"/>
                          <w:rPr>
                            <w:rFonts w:ascii="宋体" w:hAnsi="宋体" w:cs="宋体" w:eastAsia="宋体" w:hint="default"/>
                            <w:sz w:val="18"/>
                            <w:szCs w:val="18"/>
                          </w:rPr>
                        </w:pPr>
                        <w:r>
                          <w:rPr>
                            <w:rFonts w:ascii="宋体" w:hAnsi="宋体" w:cs="宋体" w:eastAsia="宋体" w:hint="default"/>
                            <w:sz w:val="18"/>
                            <w:szCs w:val="18"/>
                          </w:rPr>
                          <w:t>纳入评价范围单位营业收入 占公司合并财务报表营业收 入的比例</w:t>
                        </w:r>
                      </w:p>
                    </w:tc>
                    <w:tc>
                      <w:tcPr>
                        <w:tcW w:w="7306"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r>
                  <w:tr>
                    <w:trPr>
                      <w:trHeight w:val="397" w:hRule="exact"/>
                    </w:trPr>
                    <w:tc>
                      <w:tcPr>
                        <w:tcW w:w="956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7" w:hRule="exact"/>
                    </w:trPr>
                    <w:tc>
                      <w:tcPr>
                        <w:tcW w:w="2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42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4"/>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30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010" w:hRule="exact"/>
                    </w:trPr>
                    <w:tc>
                      <w:tcPr>
                        <w:tcW w:w="2263"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7" w:type="dxa"/>
                        <w:vMerge w:val="restart"/>
                        <w:tcBorders>
                          <w:top w:val="single" w:sz="4" w:space="0" w:color="000000"/>
                          <w:left w:val="single" w:sz="9" w:space="0" w:color="D2D2D2"/>
                          <w:right w:val="single" w:sz="9" w:space="0" w:color="FFFFFF"/>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9" w:lineRule="auto"/>
                          <w:ind w:left="21" w:right="-29"/>
                          <w:jc w:val="left"/>
                          <w:rPr>
                            <w:rFonts w:ascii="宋体" w:hAnsi="宋体" w:cs="宋体" w:eastAsia="宋体" w:hint="default"/>
                            <w:sz w:val="18"/>
                            <w:szCs w:val="18"/>
                          </w:rPr>
                        </w:pPr>
                        <w:r>
                          <w:rPr>
                            <w:rFonts w:ascii="宋体" w:hAnsi="宋体" w:cs="宋体" w:eastAsia="宋体" w:hint="default"/>
                            <w:sz w:val="18"/>
                            <w:szCs w:val="18"/>
                          </w:rPr>
                          <w:t>①重大缺陷：单独缺陷或连同其他缺陷导致不能及时 防止或发现并纠正财务报告中的重大错报。出现下列 情形的，认定为重大缺陷：</w:t>
                        </w:r>
                        <w:r>
                          <w:rPr>
                            <w:rFonts w:ascii="Times New Roman" w:hAnsi="Times New Roman" w:cs="Times New Roman" w:eastAsia="Times New Roman" w:hint="default"/>
                            <w:sz w:val="18"/>
                            <w:szCs w:val="18"/>
                          </w:rPr>
                          <w:t>A</w:t>
                        </w:r>
                        <w:r>
                          <w:rPr>
                            <w:rFonts w:ascii="宋体" w:hAnsi="宋体" w:cs="宋体" w:eastAsia="宋体" w:hint="default"/>
                            <w:sz w:val="18"/>
                            <w:szCs w:val="18"/>
                          </w:rPr>
                          <w:t>）控制环境无效；</w:t>
                        </w:r>
                        <w:r>
                          <w:rPr>
                            <w:rFonts w:ascii="Times New Roman" w:hAnsi="Times New Roman" w:cs="Times New Roman" w:eastAsia="Times New Roman" w:hint="default"/>
                            <w:sz w:val="18"/>
                            <w:szCs w:val="18"/>
                          </w:rPr>
                          <w:t>B</w:t>
                        </w:r>
                        <w:r>
                          <w:rPr>
                            <w:rFonts w:ascii="宋体" w:hAnsi="宋体" w:cs="宋体" w:eastAsia="宋体" w:hint="default"/>
                            <w:sz w:val="18"/>
                            <w:szCs w:val="18"/>
                          </w:rPr>
                          <w:t>）公</w:t>
                        </w:r>
                        <w:r>
                          <w:rPr>
                            <w:rFonts w:ascii="宋体" w:hAnsi="宋体" w:cs="宋体" w:eastAsia="宋体" w:hint="default"/>
                            <w:spacing w:val="-4"/>
                            <w:sz w:val="18"/>
                            <w:szCs w:val="18"/>
                          </w:rPr>
                          <w:t> </w:t>
                        </w:r>
                        <w:r>
                          <w:rPr>
                            <w:rFonts w:ascii="宋体" w:hAnsi="宋体" w:cs="宋体" w:eastAsia="宋体" w:hint="default"/>
                            <w:sz w:val="18"/>
                            <w:szCs w:val="18"/>
                          </w:rPr>
                          <w:t>司董事、监事和高级管理人员舞弊并给企业造成重大</w:t>
                        </w:r>
                        <w:r>
                          <w:rPr>
                            <w:rFonts w:ascii="宋体" w:hAnsi="宋体" w:cs="宋体" w:eastAsia="宋体" w:hint="default"/>
                            <w:sz w:val="18"/>
                            <w:szCs w:val="18"/>
                          </w:rPr>
                          <w:t> </w:t>
                        </w:r>
                        <w:r>
                          <w:rPr>
                            <w:rFonts w:ascii="宋体" w:hAnsi="宋体" w:cs="宋体" w:eastAsia="宋体" w:hint="default"/>
                            <w:spacing w:val="-3"/>
                            <w:sz w:val="18"/>
                            <w:szCs w:val="18"/>
                          </w:rPr>
                          <w:t>损失和不利影响；</w:t>
                        </w:r>
                        <w:r>
                          <w:rPr>
                            <w:rFonts w:ascii="Times New Roman" w:hAnsi="Times New Roman" w:cs="Times New Roman" w:eastAsia="Times New Roman" w:hint="default"/>
                            <w:spacing w:val="-3"/>
                            <w:sz w:val="18"/>
                            <w:szCs w:val="18"/>
                          </w:rPr>
                          <w:t>C</w:t>
                        </w:r>
                        <w:r>
                          <w:rPr>
                            <w:rFonts w:ascii="宋体" w:hAnsi="宋体" w:cs="宋体" w:eastAsia="宋体" w:hint="default"/>
                            <w:spacing w:val="-3"/>
                            <w:sz w:val="18"/>
                            <w:szCs w:val="18"/>
                          </w:rPr>
                          <w:t>）外部审计发现当期财务报告存在</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4"/>
                            <w:sz w:val="18"/>
                            <w:szCs w:val="18"/>
                          </w:rPr>
                          <w:t>重大错报，公司未能首先发现错报；</w:t>
                        </w:r>
                        <w:r>
                          <w:rPr>
                            <w:rFonts w:ascii="Times New Roman" w:hAnsi="Times New Roman" w:cs="Times New Roman" w:eastAsia="Times New Roman" w:hint="default"/>
                            <w:spacing w:val="-4"/>
                            <w:sz w:val="18"/>
                            <w:szCs w:val="18"/>
                          </w:rPr>
                          <w:t>D</w:t>
                        </w:r>
                        <w:r>
                          <w:rPr>
                            <w:rFonts w:ascii="宋体" w:hAnsi="宋体" w:cs="宋体" w:eastAsia="宋体" w:hint="default"/>
                            <w:spacing w:val="-4"/>
                            <w:sz w:val="18"/>
                            <w:szCs w:val="18"/>
                          </w:rPr>
                          <w:t>）已经发现并报</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告给管理层的重大缺陷在合理的时间内未加改正；</w:t>
                        </w:r>
                        <w:r>
                          <w:rPr>
                            <w:rFonts w:ascii="Times New Roman" w:hAnsi="Times New Roman" w:cs="Times New Roman" w:eastAsia="Times New Roman" w:hint="default"/>
                            <w:sz w:val="18"/>
                            <w:szCs w:val="18"/>
                          </w:rPr>
                          <w:t>E</w:t>
                        </w:r>
                        <w:r>
                          <w:rPr>
                            <w:rFonts w:ascii="宋体" w:hAnsi="宋体" w:cs="宋体" w:eastAsia="宋体" w:hint="default"/>
                            <w:sz w:val="18"/>
                            <w:szCs w:val="18"/>
                          </w:rPr>
                          <w:t>） 公司审计委员会和公司内审部对内部控制的监督无 效。</w:t>
                        </w:r>
                      </w:p>
                      <w:p>
                        <w:pPr>
                          <w:pStyle w:val="TableParagraph"/>
                          <w:spacing w:line="309" w:lineRule="auto" w:before="62"/>
                          <w:ind w:left="21" w:right="27" w:firstLine="90"/>
                          <w:jc w:val="both"/>
                          <w:rPr>
                            <w:rFonts w:ascii="宋体" w:hAnsi="宋体" w:cs="宋体" w:eastAsia="宋体" w:hint="default"/>
                            <w:sz w:val="18"/>
                            <w:szCs w:val="18"/>
                          </w:rPr>
                        </w:pPr>
                        <w:r>
                          <w:rPr>
                            <w:rFonts w:ascii="宋体" w:hAnsi="宋体" w:cs="宋体" w:eastAsia="宋体" w:hint="default"/>
                            <w:spacing w:val="-2"/>
                            <w:sz w:val="18"/>
                            <w:szCs w:val="18"/>
                          </w:rPr>
                          <w:t>②重要缺陷：严重程度低于重大缺陷，但导致企业无</w:t>
                        </w:r>
                        <w:r>
                          <w:rPr>
                            <w:rFonts w:ascii="宋体" w:hAnsi="宋体" w:cs="宋体" w:eastAsia="宋体" w:hint="default"/>
                            <w:sz w:val="18"/>
                            <w:szCs w:val="18"/>
                          </w:rPr>
                          <w:t> 法及时防范或发现严重偏离整体控制目标的严重程度 依然重大，需引起管理关注。公司财务报告内部控制 </w:t>
                        </w:r>
                        <w:r>
                          <w:rPr>
                            <w:rFonts w:ascii="宋体" w:hAnsi="宋体" w:cs="宋体" w:eastAsia="宋体" w:hint="default"/>
                            <w:spacing w:val="-4"/>
                            <w:sz w:val="18"/>
                            <w:szCs w:val="18"/>
                          </w:rPr>
                          <w:t>重要缺陷的定性标准：</w:t>
                        </w:r>
                        <w:r>
                          <w:rPr>
                            <w:rFonts w:ascii="Times New Roman" w:hAnsi="Times New Roman" w:cs="Times New Roman" w:eastAsia="Times New Roman" w:hint="default"/>
                            <w:spacing w:val="-4"/>
                            <w:sz w:val="18"/>
                            <w:szCs w:val="18"/>
                          </w:rPr>
                          <w:t>A</w:t>
                        </w:r>
                        <w:r>
                          <w:rPr>
                            <w:rFonts w:ascii="宋体" w:hAnsi="宋体" w:cs="宋体" w:eastAsia="宋体" w:hint="default"/>
                            <w:spacing w:val="-4"/>
                            <w:sz w:val="18"/>
                            <w:szCs w:val="18"/>
                          </w:rPr>
                          <w:t>）未按公认会计准则选择和应</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3"/>
                            <w:sz w:val="18"/>
                            <w:szCs w:val="18"/>
                          </w:rPr>
                          <w:t>用会计政策；</w:t>
                        </w:r>
                        <w:r>
                          <w:rPr>
                            <w:rFonts w:ascii="Times New Roman" w:hAnsi="Times New Roman" w:cs="Times New Roman" w:eastAsia="Times New Roman" w:hint="default"/>
                            <w:spacing w:val="-3"/>
                            <w:sz w:val="18"/>
                            <w:szCs w:val="18"/>
                          </w:rPr>
                          <w:t>B</w:t>
                        </w:r>
                        <w:r>
                          <w:rPr>
                            <w:rFonts w:ascii="宋体" w:hAnsi="宋体" w:cs="宋体" w:eastAsia="宋体" w:hint="default"/>
                            <w:spacing w:val="-3"/>
                            <w:sz w:val="18"/>
                            <w:szCs w:val="18"/>
                          </w:rPr>
                          <w:t>）未建立防止舞弊和重要缺陷的制衡制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3"/>
                            <w:sz w:val="18"/>
                            <w:szCs w:val="18"/>
                          </w:rPr>
                          <w:t>度和控制措施；</w:t>
                        </w:r>
                        <w:r>
                          <w:rPr>
                            <w:rFonts w:ascii="Times New Roman" w:hAnsi="Times New Roman" w:cs="Times New Roman" w:eastAsia="Times New Roman" w:hint="default"/>
                            <w:spacing w:val="-3"/>
                            <w:sz w:val="18"/>
                            <w:szCs w:val="18"/>
                          </w:rPr>
                          <w:t>C</w:t>
                        </w:r>
                        <w:r>
                          <w:rPr>
                            <w:rFonts w:ascii="宋体" w:hAnsi="宋体" w:cs="宋体" w:eastAsia="宋体" w:hint="default"/>
                            <w:spacing w:val="-3"/>
                            <w:sz w:val="18"/>
                            <w:szCs w:val="18"/>
                          </w:rPr>
                          <w:t>）财务报告过程中出现单独或多项缺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陷，虽然未达到重要缺陷认定标准，但影响到财务报 告的真实、准确目标。</w:t>
                        </w:r>
                      </w:p>
                      <w:p>
                        <w:pPr>
                          <w:pStyle w:val="TableParagraph"/>
                          <w:spacing w:line="319" w:lineRule="auto" w:before="62"/>
                          <w:ind w:left="21" w:right="27" w:firstLine="90"/>
                          <w:jc w:val="left"/>
                          <w:rPr>
                            <w:rFonts w:ascii="宋体" w:hAnsi="宋体" w:cs="宋体" w:eastAsia="宋体" w:hint="default"/>
                            <w:sz w:val="18"/>
                            <w:szCs w:val="18"/>
                          </w:rPr>
                        </w:pPr>
                        <w:r>
                          <w:rPr>
                            <w:rFonts w:ascii="宋体" w:hAnsi="宋体" w:cs="宋体" w:eastAsia="宋体" w:hint="default"/>
                            <w:spacing w:val="-2"/>
                            <w:sz w:val="18"/>
                            <w:szCs w:val="18"/>
                          </w:rPr>
                          <w:t>③一般缺陷：未构成重大缺陷、重要缺陷标准的其他</w:t>
                        </w:r>
                        <w:r>
                          <w:rPr>
                            <w:rFonts w:ascii="宋体" w:hAnsi="宋体" w:cs="宋体" w:eastAsia="宋体" w:hint="default"/>
                            <w:sz w:val="18"/>
                            <w:szCs w:val="18"/>
                          </w:rPr>
                          <w:t> 内部控制缺陷。</w:t>
                        </w:r>
                      </w:p>
                    </w:tc>
                    <w:tc>
                      <w:tcPr>
                        <w:tcW w:w="3039" w:type="dxa"/>
                        <w:vMerge w:val="restart"/>
                        <w:tcBorders>
                          <w:top w:val="single" w:sz="4" w:space="0" w:color="000000"/>
                          <w:left w:val="single" w:sz="9" w:space="0" w:color="FFFFFF"/>
                          <w:right w:val="single" w:sz="4" w:space="0" w:color="000000"/>
                        </w:tcBorders>
                      </w:tcPr>
                      <w:p>
                        <w:pPr>
                          <w:pStyle w:val="TableParagraph"/>
                          <w:spacing w:line="304" w:lineRule="auto" w:before="51"/>
                          <w:ind w:left="4" w:right="17"/>
                          <w:jc w:val="left"/>
                          <w:rPr>
                            <w:rFonts w:ascii="宋体" w:hAnsi="宋体" w:cs="宋体" w:eastAsia="宋体" w:hint="default"/>
                            <w:sz w:val="18"/>
                            <w:szCs w:val="18"/>
                          </w:rPr>
                        </w:pPr>
                        <w:r>
                          <w:rPr>
                            <w:rFonts w:ascii="宋体" w:hAnsi="宋体" w:cs="宋体" w:eastAsia="宋体" w:hint="default"/>
                            <w:spacing w:val="-4"/>
                            <w:sz w:val="18"/>
                            <w:szCs w:val="18"/>
                          </w:rPr>
                          <w:t>①非财务报告内部控制重大缺陷。出现</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2"/>
                            <w:sz w:val="18"/>
                            <w:szCs w:val="18"/>
                          </w:rPr>
                          <w:t>下列情形的，认定为重大缺陷：</w:t>
                        </w: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）违</w:t>
                        </w:r>
                        <w:r>
                          <w:rPr>
                            <w:rFonts w:ascii="宋体" w:hAnsi="宋体" w:cs="宋体" w:eastAsia="宋体" w:hint="default"/>
                            <w:spacing w:val="-78"/>
                            <w:sz w:val="18"/>
                            <w:szCs w:val="18"/>
                          </w:rPr>
                          <w:t> </w:t>
                        </w:r>
                        <w:r>
                          <w:rPr>
                            <w:rFonts w:ascii="宋体" w:hAnsi="宋体" w:cs="宋体" w:eastAsia="宋体" w:hint="default"/>
                            <w:sz w:val="18"/>
                            <w:szCs w:val="18"/>
                          </w:rPr>
                          <w:t>反国家法律、法规或规范性文件；</w:t>
                        </w:r>
                        <w:r>
                          <w:rPr>
                            <w:rFonts w:ascii="Times New Roman" w:hAnsi="Times New Roman" w:cs="Times New Roman" w:eastAsia="Times New Roman" w:hint="default"/>
                            <w:sz w:val="18"/>
                            <w:szCs w:val="18"/>
                          </w:rPr>
                          <w:t>B</w:t>
                        </w:r>
                        <w:r>
                          <w:rPr>
                            <w:rFonts w:ascii="宋体" w:hAnsi="宋体" w:cs="宋体" w:eastAsia="宋体" w:hint="default"/>
                            <w:sz w:val="18"/>
                            <w:szCs w:val="18"/>
                          </w:rPr>
                          <w:t>） 决策程序不科学导致重大决策失误； </w:t>
                        </w:r>
                        <w:r>
                          <w:rPr>
                            <w:rFonts w:ascii="Times New Roman" w:hAnsi="Times New Roman" w:cs="Times New Roman" w:eastAsia="Times New Roman" w:hint="default"/>
                            <w:sz w:val="18"/>
                            <w:szCs w:val="18"/>
                          </w:rPr>
                          <w:t>C</w:t>
                        </w:r>
                        <w:r>
                          <w:rPr>
                            <w:rFonts w:ascii="宋体" w:hAnsi="宋体" w:cs="宋体" w:eastAsia="宋体" w:hint="default"/>
                            <w:sz w:val="18"/>
                            <w:szCs w:val="18"/>
                          </w:rPr>
                          <w:t>）重要业务制度性缺失或系统性失 效；</w:t>
                        </w:r>
                        <w:r>
                          <w:rPr>
                            <w:rFonts w:ascii="Times New Roman" w:hAnsi="Times New Roman" w:cs="Times New Roman" w:eastAsia="Times New Roman" w:hint="default"/>
                            <w:sz w:val="18"/>
                            <w:szCs w:val="18"/>
                          </w:rPr>
                          <w:t>D</w:t>
                        </w:r>
                        <w:r>
                          <w:rPr>
                            <w:rFonts w:ascii="宋体" w:hAnsi="宋体" w:cs="宋体" w:eastAsia="宋体" w:hint="default"/>
                            <w:sz w:val="18"/>
                            <w:szCs w:val="18"/>
                          </w:rPr>
                          <w:t>）重大或重要缺陷不能得到有效 整改；</w:t>
                        </w:r>
                        <w:r>
                          <w:rPr>
                            <w:rFonts w:ascii="Times New Roman" w:hAnsi="Times New Roman" w:cs="Times New Roman" w:eastAsia="Times New Roman" w:hint="default"/>
                            <w:sz w:val="18"/>
                            <w:szCs w:val="18"/>
                          </w:rPr>
                          <w:t>E</w:t>
                        </w:r>
                        <w:r>
                          <w:rPr>
                            <w:rFonts w:ascii="宋体" w:hAnsi="宋体" w:cs="宋体" w:eastAsia="宋体" w:hint="default"/>
                            <w:sz w:val="18"/>
                            <w:szCs w:val="18"/>
                          </w:rPr>
                          <w:t>）安全事故对公司造成重大负 面影响的情形；</w:t>
                        </w:r>
                        <w:r>
                          <w:rPr>
                            <w:rFonts w:ascii="Times New Roman" w:hAnsi="Times New Roman" w:cs="Times New Roman" w:eastAsia="Times New Roman" w:hint="default"/>
                            <w:sz w:val="18"/>
                            <w:szCs w:val="18"/>
                          </w:rPr>
                          <w:t>F</w:t>
                        </w:r>
                        <w:r>
                          <w:rPr>
                            <w:rFonts w:ascii="宋体" w:hAnsi="宋体" w:cs="宋体" w:eastAsia="宋体" w:hint="default"/>
                            <w:sz w:val="18"/>
                            <w:szCs w:val="18"/>
                          </w:rPr>
                          <w:t>）其他对公司产生重 大负面影响的情形。</w:t>
                        </w:r>
                      </w:p>
                      <w:p>
                        <w:pPr>
                          <w:pStyle w:val="TableParagraph"/>
                          <w:spacing w:line="307" w:lineRule="auto" w:before="66"/>
                          <w:ind w:left="4" w:right="6" w:firstLine="90"/>
                          <w:jc w:val="left"/>
                          <w:rPr>
                            <w:rFonts w:ascii="宋体" w:hAnsi="宋体" w:cs="宋体" w:eastAsia="宋体" w:hint="default"/>
                            <w:sz w:val="18"/>
                            <w:szCs w:val="18"/>
                          </w:rPr>
                        </w:pPr>
                        <w:r>
                          <w:rPr>
                            <w:rFonts w:ascii="宋体" w:hAnsi="宋体" w:cs="宋体" w:eastAsia="宋体" w:hint="default"/>
                            <w:sz w:val="18"/>
                            <w:szCs w:val="18"/>
                          </w:rPr>
                          <w:t>②非财务报告内部控制重要缺陷。出 现下列情形的，认定为重要缺陷：</w:t>
                        </w:r>
                        <w:r>
                          <w:rPr>
                            <w:rFonts w:ascii="Times New Roman" w:hAnsi="Times New Roman" w:cs="Times New Roman" w:eastAsia="Times New Roman" w:hint="default"/>
                            <w:sz w:val="18"/>
                            <w:szCs w:val="18"/>
                          </w:rPr>
                          <w:t>A</w:t>
                        </w:r>
                        <w:r>
                          <w:rPr>
                            <w:rFonts w:ascii="宋体" w:hAnsi="宋体" w:cs="宋体" w:eastAsia="宋体" w:hint="default"/>
                            <w:sz w:val="18"/>
                            <w:szCs w:val="18"/>
                          </w:rPr>
                          <w:t>） 重要业务制度或系统存在的缺陷；</w:t>
                        </w:r>
                        <w:r>
                          <w:rPr>
                            <w:rFonts w:ascii="Times New Roman" w:hAnsi="Times New Roman" w:cs="Times New Roman" w:eastAsia="Times New Roman" w:hint="default"/>
                            <w:sz w:val="18"/>
                            <w:szCs w:val="18"/>
                          </w:rPr>
                          <w:t>B</w:t>
                        </w:r>
                        <w:r>
                          <w:rPr>
                            <w:rFonts w:ascii="宋体" w:hAnsi="宋体" w:cs="宋体" w:eastAsia="宋体" w:hint="default"/>
                            <w:sz w:val="18"/>
                            <w:szCs w:val="18"/>
                          </w:rPr>
                          <w:t>） 内部控制内部监督发现的重要缺陷未 及时整改；</w:t>
                        </w:r>
                        <w:r>
                          <w:rPr>
                            <w:rFonts w:ascii="Times New Roman" w:hAnsi="Times New Roman" w:cs="Times New Roman" w:eastAsia="Times New Roman" w:hint="default"/>
                            <w:sz w:val="18"/>
                            <w:szCs w:val="18"/>
                          </w:rPr>
                          <w:t>C</w:t>
                        </w:r>
                        <w:r>
                          <w:rPr>
                            <w:rFonts w:ascii="宋体" w:hAnsi="宋体" w:cs="宋体" w:eastAsia="宋体" w:hint="default"/>
                            <w:sz w:val="18"/>
                            <w:szCs w:val="18"/>
                          </w:rPr>
                          <w:t>）其他对公司产生较大负 面影响的情形。</w:t>
                        </w:r>
                      </w:p>
                      <w:p>
                        <w:pPr>
                          <w:pStyle w:val="TableParagraph"/>
                          <w:spacing w:line="309" w:lineRule="auto" w:before="64"/>
                          <w:ind w:left="4" w:right="6" w:firstLine="90"/>
                          <w:jc w:val="left"/>
                          <w:rPr>
                            <w:rFonts w:ascii="宋体" w:hAnsi="宋体" w:cs="宋体" w:eastAsia="宋体" w:hint="default"/>
                            <w:sz w:val="18"/>
                            <w:szCs w:val="18"/>
                          </w:rPr>
                        </w:pPr>
                        <w:r>
                          <w:rPr>
                            <w:rFonts w:ascii="宋体" w:hAnsi="宋体" w:cs="宋体" w:eastAsia="宋体" w:hint="default"/>
                            <w:sz w:val="18"/>
                            <w:szCs w:val="18"/>
                          </w:rPr>
                          <w:t>③非财务报告内部控制一般缺陷。出 现下列情形的，认定为一般缺陷：</w:t>
                        </w:r>
                        <w:r>
                          <w:rPr>
                            <w:rFonts w:ascii="Times New Roman" w:hAnsi="Times New Roman" w:cs="Times New Roman" w:eastAsia="Times New Roman" w:hint="default"/>
                            <w:sz w:val="18"/>
                            <w:szCs w:val="18"/>
                          </w:rPr>
                          <w:t>A</w:t>
                        </w:r>
                        <w:r>
                          <w:rPr>
                            <w:rFonts w:ascii="宋体" w:hAnsi="宋体" w:cs="宋体" w:eastAsia="宋体" w:hint="default"/>
                            <w:sz w:val="18"/>
                            <w:szCs w:val="18"/>
                          </w:rPr>
                          <w:t>） </w:t>
                        </w:r>
                        <w:r>
                          <w:rPr>
                            <w:rFonts w:ascii="宋体" w:hAnsi="宋体" w:cs="宋体" w:eastAsia="宋体" w:hint="default"/>
                            <w:spacing w:val="-3"/>
                            <w:sz w:val="18"/>
                            <w:szCs w:val="18"/>
                          </w:rPr>
                          <w:t>一般业务制度或系统存在缺陷；</w:t>
                        </w:r>
                        <w:r>
                          <w:rPr>
                            <w:rFonts w:ascii="Times New Roman" w:hAnsi="Times New Roman" w:cs="Times New Roman" w:eastAsia="Times New Roman" w:hint="default"/>
                            <w:spacing w:val="-3"/>
                            <w:sz w:val="18"/>
                            <w:szCs w:val="18"/>
                          </w:rPr>
                          <w:t>B</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B</w:t>
                        </w:r>
                        <w:r>
                          <w:rPr>
                            <w:rFonts w:ascii="Times New Roman" w:hAnsi="Times New Roman" w:cs="Times New Roman" w:eastAsia="Times New Roman" w:hint="default"/>
                            <w:spacing w:val="-31"/>
                            <w:sz w:val="18"/>
                            <w:szCs w:val="18"/>
                          </w:rPr>
                          <w:t> </w:t>
                        </w:r>
                        <w:r>
                          <w:rPr>
                            <w:rFonts w:ascii="宋体" w:hAnsi="宋体" w:cs="宋体" w:eastAsia="宋体" w:hint="default"/>
                            <w:sz w:val="18"/>
                            <w:szCs w:val="18"/>
                          </w:rPr>
                          <w:t>内部控制内部监督发现的一般缺陷未 及时整改。</w:t>
                        </w:r>
                      </w:p>
                    </w:tc>
                  </w:tr>
                  <w:tr>
                    <w:trPr>
                      <w:trHeight w:val="391" w:hRule="exact"/>
                    </w:trPr>
                    <w:tc>
                      <w:tcPr>
                        <w:tcW w:w="22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4267" w:type="dxa"/>
                        <w:vMerge/>
                        <w:tcBorders>
                          <w:left w:val="single" w:sz="9" w:space="0" w:color="D2D2D2"/>
                          <w:right w:val="single" w:sz="9" w:space="0" w:color="FFFFFF"/>
                        </w:tcBorders>
                      </w:tcPr>
                      <w:p>
                        <w:pPr/>
                      </w:p>
                    </w:tc>
                    <w:tc>
                      <w:tcPr>
                        <w:tcW w:w="3039" w:type="dxa"/>
                        <w:vMerge/>
                        <w:tcBorders>
                          <w:left w:val="single" w:sz="9" w:space="0" w:color="FFFFFF"/>
                          <w:right w:val="single" w:sz="4" w:space="0" w:color="000000"/>
                        </w:tcBorders>
                      </w:tcPr>
                      <w:p>
                        <w:pPr/>
                      </w:p>
                    </w:tc>
                  </w:tr>
                  <w:tr>
                    <w:trPr>
                      <w:trHeight w:val="3010" w:hRule="exact"/>
                    </w:trPr>
                    <w:tc>
                      <w:tcPr>
                        <w:tcW w:w="2263" w:type="dxa"/>
                        <w:tcBorders>
                          <w:top w:val="nil" w:sz="6" w:space="0" w:color="auto"/>
                          <w:left w:val="single" w:sz="4" w:space="0" w:color="000000"/>
                          <w:bottom w:val="single" w:sz="4" w:space="0" w:color="000000"/>
                          <w:right w:val="single" w:sz="4" w:space="0" w:color="000000"/>
                        </w:tcBorders>
                        <w:shd w:val="clear" w:color="auto" w:fill="D2D2D2"/>
                      </w:tcPr>
                      <w:p>
                        <w:pPr/>
                      </w:p>
                    </w:tc>
                    <w:tc>
                      <w:tcPr>
                        <w:tcW w:w="4267" w:type="dxa"/>
                        <w:vMerge/>
                        <w:tcBorders>
                          <w:left w:val="single" w:sz="9" w:space="0" w:color="D2D2D2"/>
                          <w:bottom w:val="single" w:sz="4" w:space="0" w:color="000000"/>
                          <w:right w:val="single" w:sz="9" w:space="0" w:color="FFFFFF"/>
                        </w:tcBorders>
                      </w:tcPr>
                      <w:p>
                        <w:pPr/>
                      </w:p>
                    </w:tc>
                    <w:tc>
                      <w:tcPr>
                        <w:tcW w:w="3039" w:type="dxa"/>
                        <w:vMerge/>
                        <w:tcBorders>
                          <w:left w:val="single" w:sz="9" w:space="0" w:color="FFFFFF"/>
                          <w:bottom w:val="single" w:sz="4" w:space="0" w:color="000000"/>
                          <w:right w:val="single" w:sz="4" w:space="0" w:color="000000"/>
                        </w:tcBorders>
                      </w:tcPr>
                      <w:p>
                        <w:pPr/>
                      </w:p>
                    </w:tc>
                  </w:tr>
                  <w:tr>
                    <w:trPr>
                      <w:trHeight w:val="1097" w:hRule="exact"/>
                    </w:trPr>
                    <w:tc>
                      <w:tcPr>
                        <w:tcW w:w="2263"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7" w:type="dxa"/>
                        <w:vMerge w:val="restart"/>
                        <w:tcBorders>
                          <w:top w:val="single" w:sz="4" w:space="0" w:color="000000"/>
                          <w:left w:val="single" w:sz="9" w:space="0" w:color="D2D2D2"/>
                          <w:right w:val="single" w:sz="4" w:space="0" w:color="000000"/>
                        </w:tcBorders>
                      </w:tcPr>
                      <w:p>
                        <w:pPr>
                          <w:pStyle w:val="TableParagraph"/>
                          <w:spacing w:line="300" w:lineRule="auto" w:before="51"/>
                          <w:ind w:left="21" w:right="33"/>
                          <w:jc w:val="both"/>
                          <w:rPr>
                            <w:rFonts w:ascii="宋体" w:hAnsi="宋体" w:cs="宋体" w:eastAsia="宋体" w:hint="default"/>
                            <w:sz w:val="18"/>
                            <w:szCs w:val="18"/>
                          </w:rPr>
                        </w:pPr>
                        <w:r>
                          <w:rPr>
                            <w:rFonts w:ascii="宋体" w:hAnsi="宋体" w:cs="宋体" w:eastAsia="宋体" w:hint="default"/>
                            <w:sz w:val="18"/>
                            <w:szCs w:val="18"/>
                          </w:rPr>
                          <w:t>①符合下列条件之一的，可以认定为重大缺陷：项目</w:t>
                        </w:r>
                        <w:r>
                          <w:rPr>
                            <w:rFonts w:ascii="Times New Roman" w:hAnsi="Times New Roman" w:cs="Times New Roman" w:eastAsia="Times New Roman" w:hint="default"/>
                            <w:sz w:val="18"/>
                            <w:szCs w:val="18"/>
                          </w:rPr>
                          <w:t>- </w:t>
                        </w:r>
                        <w:r>
                          <w:rPr>
                            <w:rFonts w:ascii="宋体" w:hAnsi="宋体" w:cs="宋体" w:eastAsia="宋体" w:hint="default"/>
                            <w:spacing w:val="-3"/>
                            <w:sz w:val="18"/>
                            <w:szCs w:val="18"/>
                          </w:rPr>
                          <w:t>利润总额潜在错报，缺陷影响</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错报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利润总额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宋体" w:hAnsi="宋体" w:cs="宋体" w:eastAsia="宋体" w:hint="default"/>
                            <w:spacing w:val="-60"/>
                            <w:sz w:val="18"/>
                            <w:szCs w:val="18"/>
                          </w:rPr>
                          <w:t> </w:t>
                        </w:r>
                        <w:r>
                          <w:rPr>
                            <w:rFonts w:ascii="宋体" w:hAnsi="宋体" w:cs="宋体" w:eastAsia="宋体" w:hint="default"/>
                            <w:sz w:val="18"/>
                            <w:szCs w:val="18"/>
                          </w:rPr>
                          <w:t>项</w:t>
                        </w:r>
                        <w:r>
                          <w:rPr>
                            <w:rFonts w:ascii="宋体" w:hAnsi="宋体" w:cs="宋体" w:eastAsia="宋体" w:hint="default"/>
                            <w:sz w:val="18"/>
                            <w:szCs w:val="18"/>
                          </w:rPr>
                          <w:t> 目</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资产总额潜在错报，</w:t>
                        </w:r>
                        <w:r>
                          <w:rPr>
                            <w:rFonts w:ascii="宋体" w:hAnsi="宋体" w:cs="宋体" w:eastAsia="宋体" w:hint="default"/>
                            <w:spacing w:val="-1"/>
                            <w:sz w:val="18"/>
                            <w:szCs w:val="18"/>
                          </w:rPr>
                          <w:t> </w:t>
                        </w:r>
                        <w:r>
                          <w:rPr>
                            <w:rFonts w:ascii="宋体" w:hAnsi="宋体" w:cs="宋体" w:eastAsia="宋体" w:hint="default"/>
                            <w:sz w:val="18"/>
                            <w:szCs w:val="18"/>
                          </w:rPr>
                          <w:t>缺陷影响</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w:t>
                        </w:r>
                      </w:p>
                      <w:p>
                        <w:pPr>
                          <w:pStyle w:val="TableParagraph"/>
                          <w:spacing w:line="302" w:lineRule="auto" w:before="13"/>
                          <w:ind w:left="21" w:right="77"/>
                          <w:jc w:val="both"/>
                          <w:rPr>
                            <w:rFonts w:ascii="宋体" w:hAnsi="宋体" w:cs="宋体" w:eastAsia="宋体"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 项目</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营业收入潜在错报</w:t>
                        </w:r>
                        <w:r>
                          <w:rPr>
                            <w:rFonts w:ascii="宋体" w:hAnsi="宋体" w:cs="宋体" w:eastAsia="宋体" w:hint="default"/>
                            <w:spacing w:val="-1"/>
                            <w:sz w:val="18"/>
                            <w:szCs w:val="18"/>
                          </w:rPr>
                          <w:t> </w:t>
                        </w:r>
                        <w:r>
                          <w:rPr>
                            <w:rFonts w:ascii="宋体" w:hAnsi="宋体" w:cs="宋体" w:eastAsia="宋体" w:hint="default"/>
                            <w:sz w:val="18"/>
                            <w:szCs w:val="18"/>
                          </w:rPr>
                          <w:t>，缺陷影响</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r>
                          <w:rPr>
                            <w:rFonts w:ascii="Times New Roman" w:hAnsi="Times New Roman" w:cs="Times New Roman" w:eastAsia="Times New Roman" w:hint="default"/>
                            <w:sz w:val="18"/>
                            <w:szCs w:val="18"/>
                          </w:rPr>
                          <w:t>≥</w:t>
                        </w:r>
                        <w:r>
                          <w:rPr>
                            <w:rFonts w:ascii="宋体" w:hAnsi="宋体" w:cs="宋体" w:eastAsia="宋体" w:hint="default"/>
                            <w:sz w:val="18"/>
                            <w:szCs w:val="18"/>
                          </w:rPr>
                          <w:t>营 业收入总额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w:t>
                        </w:r>
                      </w:p>
                      <w:p>
                        <w:pPr>
                          <w:pStyle w:val="TableParagraph"/>
                          <w:spacing w:line="300" w:lineRule="auto" w:before="50"/>
                          <w:ind w:left="21" w:right="33"/>
                          <w:jc w:val="both"/>
                          <w:rPr>
                            <w:rFonts w:ascii="Times New Roman" w:hAnsi="Times New Roman" w:cs="Times New Roman" w:eastAsia="Times New Roman" w:hint="default"/>
                            <w:sz w:val="18"/>
                            <w:szCs w:val="18"/>
                          </w:rPr>
                        </w:pPr>
                        <w:r>
                          <w:rPr>
                            <w:rFonts w:ascii="宋体" w:hAnsi="宋体" w:cs="宋体" w:eastAsia="宋体" w:hint="default"/>
                            <w:sz w:val="18"/>
                            <w:szCs w:val="18"/>
                          </w:rPr>
                          <w:t>②符合下列条件之一的，可以认定为重要缺陷：项目</w:t>
                        </w:r>
                        <w:r>
                          <w:rPr>
                            <w:rFonts w:ascii="Times New Roman" w:hAnsi="Times New Roman" w:cs="Times New Roman" w:eastAsia="Times New Roman" w:hint="default"/>
                            <w:sz w:val="18"/>
                            <w:szCs w:val="18"/>
                          </w:rPr>
                          <w:t>- </w:t>
                        </w:r>
                        <w:r>
                          <w:rPr>
                            <w:rFonts w:ascii="宋体" w:hAnsi="宋体" w:cs="宋体" w:eastAsia="宋体" w:hint="default"/>
                            <w:sz w:val="18"/>
                            <w:szCs w:val="18"/>
                          </w:rPr>
                          <w:t>利润总额潜在错报， 缺陷影响</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z w:val="18"/>
                            <w:szCs w:val="18"/>
                          </w:rPr>
                          <w:t>≤</w:t>
                        </w:r>
                        <w:r>
                          <w:rPr>
                            <w:rFonts w:ascii="宋体" w:hAnsi="宋体" w:cs="宋体" w:eastAsia="宋体" w:hint="default"/>
                            <w:sz w:val="18"/>
                            <w:szCs w:val="18"/>
                          </w:rPr>
                          <w:t>错报＜ 利润总额 </w:t>
                        </w:r>
                        <w:r>
                          <w:rPr>
                            <w:rFonts w:ascii="Times New Roman" w:hAnsi="Times New Roman" w:cs="Times New Roman" w:eastAsia="Times New Roman" w:hint="default"/>
                            <w:sz w:val="18"/>
                            <w:szCs w:val="18"/>
                          </w:rPr>
                          <w:t>5%</w:t>
                        </w:r>
                        <w:r>
                          <w:rPr>
                            <w:rFonts w:ascii="宋体" w:hAnsi="宋体" w:cs="宋体" w:eastAsia="宋体" w:hint="default"/>
                            <w:sz w:val="18"/>
                            <w:szCs w:val="18"/>
                          </w:rPr>
                          <w:t>； 项目</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资产总额潜在错报，</w:t>
                        </w:r>
                        <w:r>
                          <w:rPr>
                            <w:rFonts w:ascii="宋体" w:hAnsi="宋体" w:cs="宋体" w:eastAsia="宋体" w:hint="default"/>
                            <w:spacing w:val="-46"/>
                            <w:sz w:val="18"/>
                            <w:szCs w:val="18"/>
                          </w:rPr>
                          <w:t> </w:t>
                        </w:r>
                        <w:r>
                          <w:rPr>
                            <w:rFonts w:ascii="宋体" w:hAnsi="宋体" w:cs="宋体" w:eastAsia="宋体" w:hint="default"/>
                            <w:sz w:val="18"/>
                            <w:szCs w:val="18"/>
                          </w:rPr>
                          <w:t>缺陷影响</w:t>
                        </w:r>
                        <w:r>
                          <w:rPr>
                            <w:rFonts w:ascii="Times New Roman" w:hAnsi="Times New Roman" w:cs="Times New Roman" w:eastAsia="Times New Roman" w:hint="default"/>
                            <w:sz w:val="18"/>
                            <w:szCs w:val="18"/>
                          </w:rPr>
                          <w:t>-</w:t>
                        </w:r>
                      </w:p>
                    </w:tc>
                    <w:tc>
                      <w:tcPr>
                        <w:tcW w:w="3039" w:type="dxa"/>
                        <w:vMerge w:val="restart"/>
                        <w:tcBorders>
                          <w:top w:val="single" w:sz="4" w:space="0" w:color="000000"/>
                          <w:left w:val="single" w:sz="4" w:space="0" w:color="000000"/>
                          <w:right w:val="single" w:sz="4" w:space="0" w:color="000000"/>
                        </w:tcBorders>
                      </w:tcPr>
                      <w:p>
                        <w:pPr>
                          <w:pStyle w:val="TableParagraph"/>
                          <w:spacing w:line="312" w:lineRule="auto" w:before="71"/>
                          <w:ind w:left="11" w:right="21"/>
                          <w:jc w:val="left"/>
                          <w:rPr>
                            <w:rFonts w:ascii="宋体" w:hAnsi="宋体" w:cs="宋体" w:eastAsia="宋体" w:hint="default"/>
                            <w:sz w:val="18"/>
                            <w:szCs w:val="18"/>
                          </w:rPr>
                        </w:pPr>
                        <w:r>
                          <w:rPr>
                            <w:rFonts w:ascii="宋体" w:hAnsi="宋体" w:cs="宋体" w:eastAsia="宋体" w:hint="default"/>
                            <w:spacing w:val="-4"/>
                            <w:sz w:val="18"/>
                            <w:szCs w:val="18"/>
                          </w:rPr>
                          <w:t>定量标准以营业收入、资产总额作为衡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量指标。内部控制缺陷可能导致或导致</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损失与利润表有关的，以营业收入指标</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衡量。如果该缺陷单独或连同其他缺陷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可能导致财务报告错报金额超过营业 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，则认定为重大缺陷；如果超 过营业收入的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但小于</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w:t>
                        </w:r>
                        <w:r>
                          <w:rPr>
                            <w:rFonts w:ascii="宋体" w:hAnsi="宋体" w:cs="宋体" w:eastAsia="宋体" w:hint="default"/>
                            <w:spacing w:val="-9"/>
                            <w:sz w:val="18"/>
                            <w:szCs w:val="18"/>
                          </w:rPr>
                          <w:t>，则为重</w:t>
                        </w:r>
                        <w:r>
                          <w:rPr>
                            <w:rFonts w:ascii="宋体" w:hAnsi="宋体" w:cs="宋体" w:eastAsia="宋体" w:hint="default"/>
                            <w:sz w:val="18"/>
                            <w:szCs w:val="18"/>
                          </w:rPr>
                          <w:t> 要缺陷；如果小于营业收入的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p>
                    </w:tc>
                  </w:tr>
                  <w:tr>
                    <w:trPr>
                      <w:trHeight w:val="393" w:hRule="exact"/>
                    </w:trPr>
                    <w:tc>
                      <w:tcPr>
                        <w:tcW w:w="22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4267" w:type="dxa"/>
                        <w:vMerge/>
                        <w:tcBorders>
                          <w:left w:val="single" w:sz="9" w:space="0" w:color="D2D2D2"/>
                          <w:right w:val="single" w:sz="4" w:space="0" w:color="000000"/>
                        </w:tcBorders>
                      </w:tcPr>
                      <w:p>
                        <w:pPr/>
                      </w:p>
                    </w:tc>
                    <w:tc>
                      <w:tcPr>
                        <w:tcW w:w="3039" w:type="dxa"/>
                        <w:vMerge/>
                        <w:tcBorders>
                          <w:left w:val="single" w:sz="4" w:space="0" w:color="000000"/>
                          <w:right w:val="single" w:sz="4" w:space="0" w:color="000000"/>
                        </w:tcBorders>
                      </w:tcPr>
                      <w:p>
                        <w:pPr/>
                      </w:p>
                    </w:tc>
                  </w:tr>
                  <w:tr>
                    <w:trPr>
                      <w:trHeight w:val="1097" w:hRule="exact"/>
                    </w:trPr>
                    <w:tc>
                      <w:tcPr>
                        <w:tcW w:w="2263" w:type="dxa"/>
                        <w:tcBorders>
                          <w:top w:val="nil" w:sz="6" w:space="0" w:color="auto"/>
                          <w:left w:val="single" w:sz="4" w:space="0" w:color="000000"/>
                          <w:bottom w:val="single" w:sz="4" w:space="0" w:color="000000"/>
                          <w:right w:val="single" w:sz="4" w:space="0" w:color="000000"/>
                        </w:tcBorders>
                        <w:shd w:val="clear" w:color="auto" w:fill="D2D2D2"/>
                      </w:tcPr>
                      <w:p>
                        <w:pPr/>
                      </w:p>
                    </w:tc>
                    <w:tc>
                      <w:tcPr>
                        <w:tcW w:w="4267" w:type="dxa"/>
                        <w:vMerge/>
                        <w:tcBorders>
                          <w:left w:val="single" w:sz="9" w:space="0" w:color="D2D2D2"/>
                          <w:bottom w:val="single" w:sz="4" w:space="0" w:color="000000"/>
                          <w:right w:val="single" w:sz="4" w:space="0" w:color="000000"/>
                        </w:tcBorders>
                      </w:tcPr>
                      <w:p>
                        <w:pPr/>
                      </w:p>
                    </w:tc>
                    <w:tc>
                      <w:tcPr>
                        <w:tcW w:w="3039" w:type="dxa"/>
                        <w:vMerge/>
                        <w:tcBorders>
                          <w:left w:val="single" w:sz="4" w:space="0" w:color="000000"/>
                          <w:bottom w:val="single" w:sz="4" w:space="0" w:color="000000"/>
                          <w:right w:val="single" w:sz="4" w:space="0" w:color="000000"/>
                        </w:tcBorders>
                      </w:tcPr>
                      <w:p>
                        <w:pPr/>
                      </w:p>
                    </w:tc>
                  </w:tr>
                </w:tbl>
                <w:p>
                  <w:pPr/>
                </w:p>
              </w:txbxContent>
            </v:textbox>
            <w10:wrap type="none"/>
          </v:shape>
        </w:pict>
      </w:r>
    </w:p>
    <w:p>
      <w:pPr>
        <w:pStyle w:val="Heading4"/>
        <w:spacing w:line="240" w:lineRule="auto" w:before="35"/>
        <w:ind w:right="0"/>
        <w:jc w:val="left"/>
        <w:rPr>
          <w:b w:val="0"/>
          <w:bCs w:val="0"/>
        </w:rPr>
      </w:pPr>
      <w:bookmarkStart w:name="2、内控自我评价报告" w:id="148"/>
      <w:bookmarkEnd w:id="148"/>
      <w:r>
        <w:rPr>
          <w:b w:val="0"/>
          <w:bCs w:val="0"/>
        </w:rPr>
      </w:r>
      <w:r>
        <w:rPr>
          <w:rFonts w:ascii="Times New Roman" w:hAnsi="Times New Roman" w:cs="Times New Roman" w:eastAsia="Times New Roman"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pStyle w:val="BodyText"/>
        <w:spacing w:line="240" w:lineRule="auto" w:before="44"/>
        <w:ind w:left="0" w:right="1140"/>
        <w:jc w:val="right"/>
      </w:pPr>
      <w:r>
        <w:rPr/>
        <w:t>）</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r>
        <w:rPr/>
        <w:pict>
          <v:group style="position:absolute;margin-left:170.360001pt;margin-top:199.249985pt;width:363.4pt;height:20.8pt;mso-position-horizontal-relative:page;mso-position-vertical-relative:page;z-index:-970984" coordorigin="3407,3985" coordsize="7268,416">
            <v:group style="position:absolute;left:3419;top:3996;width:2;height:393" coordorigin="3419,3996" coordsize="2,393">
              <v:shape style="position:absolute;left:3419;top:3996;width:2;height:393" coordorigin="3419,3996" coordsize="0,393" path="m3419,3996l3419,4389e" filled="false" stroked="true" strokeweight="1.140pt" strokecolor="#ffffff">
                <v:path arrowok="t"/>
              </v:shape>
            </v:group>
            <v:group style="position:absolute;left:3430;top:3996;width:7246;height:393" coordorigin="3430,3996" coordsize="7246,393">
              <v:shape style="position:absolute;left:3430;top:3996;width:7246;height:393" coordorigin="3430,3996" coordsize="7246,393" path="m3430,4389l10675,4389,10675,3996,3430,3996,3430,4389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268"/>
        <w:gridCol w:w="4250"/>
        <w:gridCol w:w="3051"/>
      </w:tblGrid>
      <w:tr>
        <w:trPr>
          <w:trHeight w:val="2547"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4250"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10"/>
              <w:ind w:left="22" w:right="36"/>
              <w:jc w:val="left"/>
              <w:rPr>
                <w:rFonts w:ascii="宋体" w:hAnsi="宋体" w:cs="宋体" w:eastAsia="宋体" w:hint="default"/>
                <w:sz w:val="18"/>
                <w:szCs w:val="18"/>
              </w:rPr>
            </w:pPr>
            <w:r>
              <w:rPr>
                <w:rFonts w:ascii="宋体" w:hAnsi="宋体" w:cs="宋体" w:eastAsia="宋体" w:hint="default"/>
                <w:sz w:val="18"/>
                <w:szCs w:val="18"/>
              </w:rPr>
              <w:t>资产总额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错报＜资产总额 </w:t>
            </w:r>
            <w:r>
              <w:rPr>
                <w:rFonts w:ascii="Times New Roman" w:hAnsi="Times New Roman" w:cs="Times New Roman" w:eastAsia="Times New Roman" w:hint="default"/>
                <w:sz w:val="18"/>
                <w:szCs w:val="18"/>
              </w:rPr>
              <w:t>1% </w:t>
            </w:r>
            <w:r>
              <w:rPr>
                <w:rFonts w:ascii="宋体" w:hAnsi="宋体" w:cs="宋体" w:eastAsia="宋体" w:hint="default"/>
                <w:sz w:val="18"/>
                <w:szCs w:val="18"/>
              </w:rPr>
              <w:t>；</w:t>
            </w:r>
            <w:r>
              <w:rPr>
                <w:rFonts w:ascii="宋体" w:hAnsi="宋体" w:cs="宋体" w:eastAsia="宋体" w:hint="default"/>
                <w:spacing w:val="-48"/>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 入总额潜在错报 缺陷影响</w:t>
            </w:r>
            <w:r>
              <w:rPr>
                <w:rFonts w:ascii="Times New Roman" w:hAnsi="Times New Roman" w:cs="Times New Roman" w:eastAsia="Times New Roman" w:hint="default"/>
                <w:sz w:val="18"/>
                <w:szCs w:val="18"/>
              </w:rPr>
              <w:t>-  </w:t>
            </w:r>
            <w:r>
              <w:rPr>
                <w:rFonts w:ascii="宋体" w:hAnsi="宋体" w:cs="宋体" w:eastAsia="宋体" w:hint="default"/>
                <w:sz w:val="18"/>
                <w:szCs w:val="18"/>
              </w:rPr>
              <w:t>营业收入总额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z w:val="18"/>
                <w:szCs w:val="18"/>
              </w:rPr>
              <w:t>≤</w:t>
            </w:r>
            <w:r>
              <w:rPr>
                <w:rFonts w:ascii="宋体" w:hAnsi="宋体" w:cs="宋体" w:eastAsia="宋体" w:hint="default"/>
                <w:sz w:val="18"/>
                <w:szCs w:val="18"/>
              </w:rPr>
              <w:t>错报</w:t>
            </w:r>
          </w:p>
          <w:p>
            <w:pPr>
              <w:pStyle w:val="TableParagraph"/>
              <w:spacing w:line="300" w:lineRule="auto" w:before="13"/>
              <w:ind w:left="22" w:right="23"/>
              <w:jc w:val="left"/>
              <w:rPr>
                <w:rFonts w:ascii="Times New Roman" w:hAnsi="Times New Roman" w:cs="Times New Roman" w:eastAsia="Times New Roman" w:hint="default"/>
                <w:sz w:val="18"/>
                <w:szCs w:val="18"/>
              </w:rPr>
            </w:pPr>
            <w:r>
              <w:rPr>
                <w:rFonts w:ascii="宋体" w:hAnsi="宋体" w:cs="宋体" w:eastAsia="宋体" w:hint="default"/>
                <w:sz w:val="18"/>
                <w:szCs w:val="18"/>
              </w:rPr>
              <w:t>＜营业收入总额 </w:t>
            </w:r>
            <w:r>
              <w:rPr>
                <w:rFonts w:ascii="Times New Roman" w:hAnsi="Times New Roman" w:cs="Times New Roman" w:eastAsia="Times New Roman" w:hint="default"/>
                <w:sz w:val="18"/>
                <w:szCs w:val="18"/>
              </w:rPr>
              <w:t>1% </w:t>
            </w:r>
            <w:r>
              <w:rPr>
                <w:rFonts w:ascii="宋体" w:hAnsi="宋体" w:cs="宋体" w:eastAsia="宋体" w:hint="default"/>
                <w:sz w:val="18"/>
                <w:szCs w:val="18"/>
              </w:rPr>
              <w:t>；</w:t>
            </w:r>
            <w:r>
              <w:rPr>
                <w:rFonts w:ascii="宋体" w:hAnsi="宋体" w:cs="宋体" w:eastAsia="宋体" w:hint="default"/>
                <w:spacing w:val="-53"/>
                <w:sz w:val="18"/>
                <w:szCs w:val="18"/>
              </w:rPr>
              <w:t> </w:t>
            </w:r>
            <w:r>
              <w:rPr>
                <w:rFonts w:ascii="宋体" w:hAnsi="宋体" w:cs="宋体" w:eastAsia="宋体" w:hint="default"/>
                <w:sz w:val="18"/>
                <w:szCs w:val="18"/>
              </w:rPr>
              <w:t>③符合下列条件之一的，可以</w:t>
            </w:r>
            <w:r>
              <w:rPr>
                <w:rFonts w:ascii="宋体" w:hAnsi="宋体" w:cs="宋体" w:eastAsia="宋体" w:hint="default"/>
                <w:sz w:val="18"/>
                <w:szCs w:val="18"/>
              </w:rPr>
              <w:t> 认定为一般缺陷：项目</w:t>
            </w:r>
            <w:r>
              <w:rPr>
                <w:rFonts w:ascii="Times New Roman" w:hAnsi="Times New Roman" w:cs="Times New Roman" w:eastAsia="Times New Roman" w:hint="default"/>
                <w:sz w:val="18"/>
                <w:szCs w:val="18"/>
              </w:rPr>
              <w:t>-</w:t>
            </w:r>
            <w:r>
              <w:rPr>
                <w:rFonts w:ascii="宋体" w:hAnsi="宋体" w:cs="宋体" w:eastAsia="宋体" w:hint="default"/>
                <w:sz w:val="18"/>
                <w:szCs w:val="18"/>
              </w:rPr>
              <w:t>利润总额潜在错报 ，缺陷影 响</w:t>
            </w:r>
            <w:r>
              <w:rPr>
                <w:rFonts w:ascii="Times New Roman" w:hAnsi="Times New Roman" w:cs="Times New Roman" w:eastAsia="Times New Roman" w:hint="default"/>
                <w:sz w:val="18"/>
                <w:szCs w:val="18"/>
              </w:rPr>
              <w:t>-</w:t>
            </w:r>
            <w:r>
              <w:rPr>
                <w:rFonts w:ascii="宋体" w:hAnsi="宋体" w:cs="宋体" w:eastAsia="宋体" w:hint="default"/>
                <w:sz w:val="18"/>
                <w:szCs w:val="18"/>
              </w:rPr>
              <w:t>错报＜利润总额 </w:t>
            </w:r>
            <w:r>
              <w:rPr>
                <w:rFonts w:ascii="Times New Roman" w:hAnsi="Times New Roman" w:cs="Times New Roman" w:eastAsia="Times New Roman" w:hint="default"/>
                <w:sz w:val="18"/>
                <w:szCs w:val="18"/>
              </w:rPr>
              <w:t>3%</w:t>
            </w:r>
            <w:r>
              <w:rPr>
                <w:rFonts w:ascii="宋体" w:hAnsi="宋体" w:cs="宋体" w:eastAsia="宋体" w:hint="default"/>
                <w:sz w:val="18"/>
                <w:szCs w:val="18"/>
              </w:rPr>
              <w:t>； 项目</w:t>
            </w:r>
            <w:r>
              <w:rPr>
                <w:rFonts w:ascii="Times New Roman" w:hAnsi="Times New Roman" w:cs="Times New Roman" w:eastAsia="Times New Roman" w:hint="default"/>
                <w:sz w:val="18"/>
                <w:szCs w:val="18"/>
              </w:rPr>
              <w:t>-</w:t>
            </w:r>
            <w:r>
              <w:rPr>
                <w:rFonts w:ascii="宋体" w:hAnsi="宋体" w:cs="宋体" w:eastAsia="宋体" w:hint="default"/>
                <w:sz w:val="18"/>
                <w:szCs w:val="18"/>
              </w:rPr>
              <w:t>资产总额潜在错报</w:t>
            </w:r>
            <w:r>
              <w:rPr>
                <w:rFonts w:ascii="宋体" w:hAnsi="宋体" w:cs="宋体" w:eastAsia="宋体" w:hint="default"/>
                <w:spacing w:val="-46"/>
                <w:sz w:val="18"/>
                <w:szCs w:val="18"/>
              </w:rPr>
              <w:t> </w:t>
            </w:r>
            <w:r>
              <w:rPr>
                <w:rFonts w:ascii="宋体" w:hAnsi="宋体" w:cs="宋体" w:eastAsia="宋体" w:hint="default"/>
                <w:sz w:val="18"/>
                <w:szCs w:val="18"/>
              </w:rPr>
              <w:t>， 缺陷影响</w:t>
            </w:r>
            <w:r>
              <w:rPr>
                <w:rFonts w:ascii="Times New Roman" w:hAnsi="Times New Roman" w:cs="Times New Roman" w:eastAsia="Times New Roman" w:hint="default"/>
                <w:sz w:val="18"/>
                <w:szCs w:val="18"/>
              </w:rPr>
              <w:t>-</w:t>
            </w:r>
            <w:r>
              <w:rPr>
                <w:rFonts w:ascii="宋体" w:hAnsi="宋体" w:cs="宋体" w:eastAsia="宋体" w:hint="default"/>
                <w:sz w:val="18"/>
                <w:szCs w:val="18"/>
              </w:rPr>
              <w:t>错报＜资产总额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w:t>
            </w:r>
            <w:r>
              <w:rPr>
                <w:rFonts w:ascii="宋体" w:hAnsi="宋体" w:cs="宋体" w:eastAsia="宋体" w:hint="default"/>
                <w:spacing w:val="-38"/>
                <w:sz w:val="18"/>
                <w:szCs w:val="18"/>
              </w:rPr>
              <w:t> </w:t>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营业收入总额 潜在错报， 缺陷影响</w:t>
            </w:r>
            <w:r>
              <w:rPr>
                <w:rFonts w:ascii="Times New Roman" w:hAnsi="Times New Roman" w:cs="Times New Roman" w:eastAsia="Times New Roman" w:hint="default"/>
                <w:sz w:val="18"/>
                <w:szCs w:val="18"/>
              </w:rPr>
              <w:t>-  </w:t>
            </w:r>
            <w:r>
              <w:rPr>
                <w:rFonts w:ascii="宋体" w:hAnsi="宋体" w:cs="宋体" w:eastAsia="宋体" w:hint="default"/>
                <w:sz w:val="18"/>
                <w:szCs w:val="18"/>
              </w:rPr>
              <w:t>错报＜营业收入总额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tc>
        <w:tc>
          <w:tcPr>
            <w:tcW w:w="3051"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10"/>
              <w:ind w:left="22" w:right="21"/>
              <w:jc w:val="left"/>
              <w:rPr>
                <w:rFonts w:ascii="宋体" w:hAnsi="宋体" w:cs="宋体" w:eastAsia="宋体" w:hint="default"/>
                <w:sz w:val="18"/>
                <w:szCs w:val="18"/>
              </w:rPr>
            </w:pPr>
            <w:r>
              <w:rPr>
                <w:rFonts w:ascii="宋体" w:hAnsi="宋体" w:cs="宋体" w:eastAsia="宋体" w:hint="default"/>
                <w:spacing w:val="-4"/>
                <w:sz w:val="18"/>
                <w:szCs w:val="18"/>
              </w:rPr>
              <w:t>则认定为一般缺陷。内部控制缺陷可能</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导致或导致损失与资产管理相关的，以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4"/>
                <w:sz w:val="18"/>
                <w:szCs w:val="18"/>
              </w:rPr>
              <w:t>资产总额指标衡量。如果该缺陷单独或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连同其他缺陷可能导致财务报告错报 金额超过资产总额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，则认定为重大 缺陷；如果超过资产总额的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但小 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，则为重要缺陷；如果小于资产 总额的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r>
              <w:rPr>
                <w:rFonts w:ascii="宋体" w:hAnsi="宋体" w:cs="宋体" w:eastAsia="宋体" w:hint="default"/>
                <w:sz w:val="18"/>
                <w:szCs w:val="18"/>
              </w:rPr>
              <w:t>，则认定为一般缺陷。</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财务报告重大缺陷数量（个</w:t>
            </w:r>
          </w:p>
        </w:tc>
        <w:tc>
          <w:tcPr>
            <w:tcW w:w="4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30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7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4"/>
                <w:sz w:val="18"/>
                <w:szCs w:val="18"/>
              </w:rPr>
              <w:t>财务报告重要缺陷数量（个</w:t>
            </w:r>
          </w:p>
        </w:tc>
        <w:tc>
          <w:tcPr>
            <w:tcW w:w="4250"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51"/>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3051"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（个）</w:t>
            </w:r>
          </w:p>
        </w:tc>
        <w:tc>
          <w:tcPr>
            <w:tcW w:w="730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0"/>
        <w:jc w:val="left"/>
        <w:rPr>
          <w:b w:val="0"/>
          <w:bCs w:val="0"/>
        </w:rPr>
      </w:pPr>
      <w:r>
        <w:rPr/>
        <w:pict>
          <v:group style="position:absolute;margin-left:170.360001pt;margin-top:-68.234367pt;width:363.4pt;height:20.8pt;mso-position-horizontal-relative:page;mso-position-vertical-relative:paragraph;z-index:-970960" coordorigin="3407,-1365" coordsize="7268,416">
            <v:group style="position:absolute;left:3419;top:-1353;width:2;height:393" coordorigin="3419,-1353" coordsize="2,393">
              <v:shape style="position:absolute;left:3419;top:-1353;width:2;height:393" coordorigin="3419,-1353" coordsize="0,393" path="m3419,-1353l3419,-961e" filled="false" stroked="true" strokeweight="1.140pt" strokecolor="#ffffff">
                <v:path arrowok="t"/>
              </v:shape>
            </v:group>
            <v:group style="position:absolute;left:3430;top:-1353;width:7246;height:393" coordorigin="3430,-1353" coordsize="7246,393">
              <v:shape style="position:absolute;left:3430;top:-1353;width:7246;height:393" coordorigin="3430,-1353" coordsize="7246,393" path="m3430,-961l10675,-961,10675,-1353,3430,-1353,3430,-961xe" filled="true" fillcolor="#ffffff" stroked="false">
                <v:path arrowok="t"/>
                <v:fill type="solid"/>
              </v:shape>
            </v:group>
            <w10:wrap type="none"/>
          </v:group>
        </w:pict>
      </w:r>
      <w:bookmarkStart w:name="十、内部控制审计报告或鉴证报告" w:id="149"/>
      <w:bookmarkEnd w:id="149"/>
      <w:r>
        <w:rPr>
          <w:b w:val="0"/>
          <w:bCs w:val="0"/>
        </w:rPr>
      </w: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内部控制鉴证报告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3"/>
          <w:szCs w:val="23"/>
        </w:rPr>
      </w:pPr>
    </w:p>
    <w:p>
      <w:pPr>
        <w:pStyle w:val="BodyText"/>
        <w:spacing w:line="240" w:lineRule="auto" w:before="44"/>
        <w:ind w:left="0" w:right="1140"/>
        <w:jc w:val="right"/>
      </w:pPr>
      <w:r>
        <w:rPr/>
        <w:pict>
          <v:shape style="position:absolute;margin-left:56.459999pt;margin-top:-206.518265pt;width:479.2pt;height:392.35pt;mso-position-horizontal-relative:page;mso-position-vertical-relative:paragraph;z-index:174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9569"/>
                  </w:tblGrid>
                  <w:tr>
                    <w:trPr>
                      <w:trHeight w:val="401" w:hRule="exact"/>
                    </w:trPr>
                    <w:tc>
                      <w:tcPr>
                        <w:tcW w:w="9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436" w:hRule="exact"/>
                    </w:trPr>
                    <w:tc>
                      <w:tcPr>
                        <w:tcW w:w="9569" w:type="dxa"/>
                        <w:tcBorders>
                          <w:top w:val="single" w:sz="4" w:space="0" w:color="000000"/>
                          <w:left w:val="single" w:sz="4" w:space="0" w:color="000000"/>
                          <w:bottom w:val="single" w:sz="4" w:space="0" w:color="000000"/>
                          <w:right w:val="single" w:sz="4" w:space="0" w:color="000000"/>
                        </w:tcBorders>
                      </w:tcPr>
                      <w:p>
                        <w:pPr>
                          <w:pStyle w:val="TableParagraph"/>
                          <w:spacing w:line="357" w:lineRule="auto" w:before="52"/>
                          <w:ind w:left="382" w:right="53" w:hanging="360"/>
                          <w:jc w:val="left"/>
                          <w:rPr>
                            <w:rFonts w:ascii="宋体" w:hAnsi="宋体" w:cs="宋体" w:eastAsia="宋体" w:hint="default"/>
                            <w:sz w:val="18"/>
                            <w:szCs w:val="18"/>
                          </w:rPr>
                        </w:pPr>
                        <w:r>
                          <w:rPr>
                            <w:rFonts w:ascii="宋体" w:hAnsi="宋体" w:cs="宋体" w:eastAsia="宋体" w:hint="default"/>
                            <w:sz w:val="18"/>
                            <w:szCs w:val="18"/>
                          </w:rPr>
                          <w:t>宣亚国际品牌管理（北京）股份有限公司全体股东： 我们接受委托，审核了后附的宣亚国际品牌管理（北京）股份有限公司</w:t>
                        </w:r>
                        <w:r>
                          <w:rPr>
                            <w:rFonts w:ascii="Times New Roman" w:hAnsi="Times New Roman" w:cs="Times New Roman" w:eastAsia="Times New Roman" w:hint="default"/>
                            <w:sz w:val="18"/>
                            <w:szCs w:val="18"/>
                          </w:rPr>
                          <w:t>(</w:t>
                        </w:r>
                        <w:r>
                          <w:rPr>
                            <w:rFonts w:ascii="宋体" w:hAnsi="宋体" w:cs="宋体" w:eastAsia="宋体" w:hint="default"/>
                            <w:sz w:val="18"/>
                            <w:szCs w:val="18"/>
                          </w:rPr>
                          <w:t>以下简称“贵公司”</w:t>
                        </w:r>
                        <w:r>
                          <w:rPr>
                            <w:rFonts w:ascii="Times New Roman" w:hAnsi="Times New Roman" w:cs="Times New Roman" w:eastAsia="Times New Roman" w:hint="default"/>
                            <w:sz w:val="18"/>
                            <w:szCs w:val="18"/>
                          </w:rPr>
                          <w:t>)</w:t>
                        </w:r>
                        <w:r>
                          <w:rPr>
                            <w:rFonts w:ascii="宋体" w:hAnsi="宋体" w:cs="宋体" w:eastAsia="宋体" w:hint="default"/>
                            <w:sz w:val="18"/>
                            <w:szCs w:val="18"/>
                          </w:rPr>
                          <w:t>管理层按照《企业内部</w:t>
                        </w:r>
                      </w:p>
                      <w:p>
                        <w:pPr>
                          <w:pStyle w:val="TableParagraph"/>
                          <w:spacing w:line="216" w:lineRule="exact"/>
                          <w:ind w:left="22" w:right="0"/>
                          <w:jc w:val="left"/>
                          <w:rPr>
                            <w:rFonts w:ascii="宋体" w:hAnsi="宋体" w:cs="宋体" w:eastAsia="宋体" w:hint="default"/>
                            <w:sz w:val="18"/>
                            <w:szCs w:val="18"/>
                          </w:rPr>
                        </w:pPr>
                        <w:r>
                          <w:rPr>
                            <w:rFonts w:ascii="宋体" w:hAnsi="宋体" w:cs="宋体" w:eastAsia="宋体" w:hint="default"/>
                            <w:sz w:val="18"/>
                            <w:szCs w:val="18"/>
                          </w:rPr>
                          <w:t>控制基本规范》及相关规定对</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日与财务报表相关的内部控制有效性作出的认定。</w:t>
                        </w:r>
                      </w:p>
                      <w:p>
                        <w:pPr>
                          <w:pStyle w:val="TableParagraph"/>
                          <w:spacing w:line="357" w:lineRule="auto" w:before="103"/>
                          <w:ind w:left="382" w:right="23" w:hanging="360"/>
                          <w:jc w:val="left"/>
                          <w:rPr>
                            <w:rFonts w:ascii="宋体" w:hAnsi="宋体" w:cs="宋体" w:eastAsia="宋体" w:hint="default"/>
                            <w:sz w:val="18"/>
                            <w:szCs w:val="18"/>
                          </w:rPr>
                        </w:pPr>
                        <w:r>
                          <w:rPr>
                            <w:rFonts w:ascii="宋体" w:hAnsi="宋体" w:cs="宋体" w:eastAsia="宋体" w:hint="default"/>
                            <w:sz w:val="18"/>
                            <w:szCs w:val="18"/>
                          </w:rPr>
                          <w:t>一、重大固有限制的说明 </w:t>
                        </w:r>
                        <w:r>
                          <w:rPr>
                            <w:rFonts w:ascii="宋体" w:hAnsi="宋体" w:cs="宋体" w:eastAsia="宋体" w:hint="default"/>
                            <w:spacing w:val="-1"/>
                            <w:sz w:val="18"/>
                            <w:szCs w:val="18"/>
                          </w:rPr>
                          <w:t>内部控制具有固有限制，存在由于错误或舞弊而导致错报发生且未被发现的可能性。此外，由于情况的变化可能导致</w:t>
                        </w:r>
                      </w:p>
                      <w:p>
                        <w:pPr>
                          <w:pStyle w:val="TableParagraph"/>
                          <w:spacing w:line="224" w:lineRule="exact"/>
                          <w:ind w:left="22" w:right="0"/>
                          <w:jc w:val="left"/>
                          <w:rPr>
                            <w:rFonts w:ascii="宋体" w:hAnsi="宋体" w:cs="宋体" w:eastAsia="宋体" w:hint="default"/>
                            <w:sz w:val="18"/>
                            <w:szCs w:val="18"/>
                          </w:rPr>
                        </w:pPr>
                        <w:r>
                          <w:rPr>
                            <w:rFonts w:ascii="宋体" w:hAnsi="宋体" w:cs="宋体" w:eastAsia="宋体" w:hint="default"/>
                            <w:spacing w:val="-1"/>
                            <w:sz w:val="18"/>
                            <w:szCs w:val="18"/>
                          </w:rPr>
                          <w:t>内部控制变得不恰当，或降低对控制政策、程序遵循的程度，根据内部控制评价结果推测未来内部控制有效性具有一定的</w:t>
                        </w:r>
                      </w:p>
                      <w:p>
                        <w:pPr>
                          <w:pStyle w:val="TableParagraph"/>
                          <w:spacing w:line="357" w:lineRule="auto" w:before="77"/>
                          <w:ind w:left="22" w:right="6654"/>
                          <w:jc w:val="left"/>
                          <w:rPr>
                            <w:rFonts w:ascii="宋体" w:hAnsi="宋体" w:cs="宋体" w:eastAsia="宋体" w:hint="default"/>
                            <w:sz w:val="18"/>
                            <w:szCs w:val="18"/>
                          </w:rPr>
                        </w:pPr>
                        <w:r>
                          <w:rPr>
                            <w:rFonts w:ascii="宋体" w:hAnsi="宋体" w:cs="宋体" w:eastAsia="宋体" w:hint="default"/>
                            <w:sz w:val="18"/>
                            <w:szCs w:val="18"/>
                          </w:rPr>
                          <w:t>风险。 二、对报告使用者和使用目的的限定</w:t>
                        </w:r>
                      </w:p>
                      <w:p>
                        <w:pPr>
                          <w:pStyle w:val="TableParagraph"/>
                          <w:spacing w:line="302" w:lineRule="auto" w:before="28"/>
                          <w:ind w:left="22" w:right="22" w:firstLine="360"/>
                          <w:jc w:val="left"/>
                          <w:rPr>
                            <w:rFonts w:ascii="宋体" w:hAnsi="宋体" w:cs="宋体" w:eastAsia="宋体" w:hint="default"/>
                            <w:sz w:val="18"/>
                            <w:szCs w:val="18"/>
                          </w:rPr>
                        </w:pPr>
                        <w:r>
                          <w:rPr>
                            <w:rFonts w:ascii="宋体" w:hAnsi="宋体" w:cs="宋体" w:eastAsia="宋体" w:hint="default"/>
                            <w:sz w:val="18"/>
                            <w:szCs w:val="18"/>
                          </w:rPr>
                          <w:t>本鉴证报告仅供</w:t>
                        </w:r>
                        <w:r>
                          <w:rPr>
                            <w:rFonts w:ascii="宋体" w:hAnsi="宋体" w:cs="宋体" w:eastAsia="宋体" w:hint="default"/>
                            <w:spacing w:val="-5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公司年度报告披露时使用，不得用作任何其他目的。我们同意将本鉴证报告作为</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年度报告 的必备文件，随同其他文件一起报送并对外披露。</w:t>
                        </w:r>
                      </w:p>
                      <w:p>
                        <w:pPr>
                          <w:pStyle w:val="TableParagraph"/>
                          <w:spacing w:line="357" w:lineRule="auto" w:before="69"/>
                          <w:ind w:left="382" w:right="112" w:hanging="360"/>
                          <w:jc w:val="left"/>
                          <w:rPr>
                            <w:rFonts w:ascii="宋体" w:hAnsi="宋体" w:cs="宋体" w:eastAsia="宋体" w:hint="default"/>
                            <w:sz w:val="18"/>
                            <w:szCs w:val="18"/>
                          </w:rPr>
                        </w:pPr>
                        <w:r>
                          <w:rPr>
                            <w:rFonts w:ascii="宋体" w:hAnsi="宋体" w:cs="宋体" w:eastAsia="宋体" w:hint="default"/>
                            <w:sz w:val="18"/>
                            <w:szCs w:val="18"/>
                          </w:rPr>
                          <w:t>三、管理层的责任 </w:t>
                        </w:r>
                        <w:r>
                          <w:rPr>
                            <w:rFonts w:ascii="宋体" w:hAnsi="宋体" w:cs="宋体" w:eastAsia="宋体" w:hint="default"/>
                            <w:spacing w:val="-3"/>
                            <w:sz w:val="18"/>
                            <w:szCs w:val="18"/>
                          </w:rPr>
                          <w:t>贵公司管理层的责任是建立健全内部控制并保持其有效性，同时按照财政部等五部委颁布的《企业内部控制基本规范</w:t>
                        </w:r>
                      </w:p>
                      <w:p>
                        <w:pPr>
                          <w:pStyle w:val="TableParagraph"/>
                          <w:spacing w:line="340" w:lineRule="auto"/>
                          <w:ind w:left="22" w:right="111"/>
                          <w:jc w:val="left"/>
                          <w:rPr>
                            <w:rFonts w:ascii="宋体" w:hAnsi="宋体" w:cs="宋体" w:eastAsia="宋体" w:hint="default"/>
                            <w:sz w:val="18"/>
                            <w:szCs w:val="18"/>
                          </w:rPr>
                        </w:pPr>
                        <w:r>
                          <w:rPr>
                            <w:rFonts w:ascii="宋体" w:hAnsi="宋体" w:cs="宋体" w:eastAsia="宋体" w:hint="default"/>
                            <w:spacing w:val="-4"/>
                            <w:sz w:val="18"/>
                            <w:szCs w:val="18"/>
                          </w:rPr>
                          <w:t>（财会【</w:t>
                        </w:r>
                        <w:r>
                          <w:rPr>
                            <w:rFonts w:ascii="Times New Roman" w:hAnsi="Times New Roman" w:cs="Times New Roman" w:eastAsia="Times New Roman" w:hint="default"/>
                            <w:spacing w:val="-4"/>
                            <w:sz w:val="18"/>
                            <w:szCs w:val="18"/>
                          </w:rPr>
                          <w:t>2008</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号）及相关规定对</w:t>
                        </w:r>
                        <w:r>
                          <w:rPr>
                            <w:rFonts w:ascii="宋体" w:hAnsi="宋体" w:cs="宋体" w:eastAsia="宋体" w:hint="default"/>
                            <w:spacing w:val="-2"/>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日与财务报表相关的内部控制有效性作出认定，并对上述认定负责 四、注册会计师的责任</w:t>
                        </w:r>
                      </w:p>
                      <w:p>
                        <w:pPr>
                          <w:pStyle w:val="TableParagraph"/>
                          <w:spacing w:line="357" w:lineRule="auto" w:before="40"/>
                          <w:ind w:left="22" w:right="3413" w:firstLine="360"/>
                          <w:jc w:val="left"/>
                          <w:rPr>
                            <w:rFonts w:ascii="宋体" w:hAnsi="宋体" w:cs="宋体" w:eastAsia="宋体" w:hint="default"/>
                            <w:sz w:val="18"/>
                            <w:szCs w:val="18"/>
                          </w:rPr>
                        </w:pPr>
                        <w:r>
                          <w:rPr>
                            <w:rFonts w:ascii="宋体" w:hAnsi="宋体" w:cs="宋体" w:eastAsia="宋体" w:hint="default"/>
                            <w:sz w:val="18"/>
                            <w:szCs w:val="18"/>
                          </w:rPr>
                          <w:t>我们的责任是在实施鉴证工作的基础上对内部控制有效性发表鉴证意见。 五、工作概述</w:t>
                        </w:r>
                      </w:p>
                      <w:p>
                        <w:pPr>
                          <w:pStyle w:val="TableParagraph"/>
                          <w:spacing w:line="312" w:lineRule="auto" w:before="28"/>
                          <w:ind w:left="22" w:right="22" w:firstLine="360"/>
                          <w:jc w:val="left"/>
                          <w:rPr>
                            <w:rFonts w:ascii="宋体" w:hAnsi="宋体" w:cs="宋体" w:eastAsia="宋体" w:hint="default"/>
                            <w:sz w:val="18"/>
                            <w:szCs w:val="18"/>
                          </w:rPr>
                        </w:pPr>
                        <w:r>
                          <w:rPr>
                            <w:rFonts w:ascii="宋体" w:hAnsi="宋体" w:cs="宋体" w:eastAsia="宋体" w:hint="default"/>
                            <w:sz w:val="18"/>
                            <w:szCs w:val="18"/>
                          </w:rPr>
                          <w:t>我们按照《中国注册会计师其他鉴证业务准则第 </w:t>
                        </w:r>
                        <w:r>
                          <w:rPr>
                            <w:rFonts w:ascii="Times New Roman" w:hAnsi="Times New Roman" w:cs="Times New Roman" w:eastAsia="Times New Roman" w:hint="default"/>
                            <w:sz w:val="18"/>
                            <w:szCs w:val="18"/>
                          </w:rPr>
                          <w:t>3101</w:t>
                        </w:r>
                        <w:r>
                          <w:rPr>
                            <w:rFonts w:ascii="Times New Roman" w:hAnsi="Times New Roman" w:cs="Times New Roman" w:eastAsia="Times New Roman" w:hint="default"/>
                            <w:spacing w:val="17"/>
                            <w:sz w:val="18"/>
                            <w:szCs w:val="18"/>
                          </w:rPr>
                          <w:t> </w:t>
                        </w:r>
                        <w:r>
                          <w:rPr>
                            <w:rFonts w:ascii="宋体" w:hAnsi="宋体" w:cs="宋体" w:eastAsia="宋体" w:hint="default"/>
                            <w:sz w:val="18"/>
                            <w:szCs w:val="18"/>
                          </w:rPr>
                          <w:t>号</w:t>
                        </w:r>
                        <w:r>
                          <w:rPr>
                            <w:rFonts w:ascii="Times New Roman" w:hAnsi="Times New Roman" w:cs="Times New Roman" w:eastAsia="Times New Roman" w:hint="default"/>
                            <w:sz w:val="18"/>
                            <w:szCs w:val="18"/>
                          </w:rPr>
                          <w:t>—</w:t>
                        </w:r>
                        <w:r>
                          <w:rPr>
                            <w:rFonts w:ascii="宋体" w:hAnsi="宋体" w:cs="宋体" w:eastAsia="宋体" w:hint="default"/>
                            <w:sz w:val="18"/>
                            <w:szCs w:val="18"/>
                          </w:rPr>
                          <w:t>历史财务信息审计或审阅以外的鉴证业务》的规定执行了 </w:t>
                        </w:r>
                        <w:r>
                          <w:rPr>
                            <w:rFonts w:ascii="宋体" w:hAnsi="宋体" w:cs="宋体" w:eastAsia="宋体" w:hint="default"/>
                            <w:spacing w:val="-3"/>
                            <w:sz w:val="18"/>
                            <w:szCs w:val="18"/>
                          </w:rPr>
                          <w:t>鉴证业务。上述规定要求我们计划和实施鉴证工作，以对鉴证对象信息是否不存在重大错报获取合理保证。在鉴证过程中</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1"/>
                            <w:sz w:val="18"/>
                            <w:szCs w:val="18"/>
                          </w:rPr>
                          <w:t>我们实施了包括了解、测试和评价内部控制设计的合理性和执行的有效性，以及我们认为必要的其他程序。我们相信，我</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们的鉴证工作为发表意见提供了合理的基础。</w:t>
                        </w:r>
                      </w:p>
                      <w:p>
                        <w:pPr>
                          <w:pStyle w:val="TableParagraph"/>
                          <w:spacing w:line="240" w:lineRule="auto" w:before="62"/>
                          <w:ind w:left="22" w:right="0"/>
                          <w:jc w:val="left"/>
                          <w:rPr>
                            <w:rFonts w:ascii="宋体" w:hAnsi="宋体" w:cs="宋体" w:eastAsia="宋体" w:hint="default"/>
                            <w:sz w:val="18"/>
                            <w:szCs w:val="18"/>
                          </w:rPr>
                        </w:pPr>
                        <w:r>
                          <w:rPr>
                            <w:rFonts w:ascii="宋体" w:hAnsi="宋体" w:cs="宋体" w:eastAsia="宋体" w:hint="default"/>
                            <w:sz w:val="18"/>
                            <w:szCs w:val="18"/>
                          </w:rPr>
                          <w:t>六、鉴证结论</w:t>
                        </w:r>
                      </w:p>
                      <w:p>
                        <w:pPr>
                          <w:pStyle w:val="TableParagraph"/>
                          <w:spacing w:line="240" w:lineRule="auto" w:before="115"/>
                          <w:ind w:left="382" w:right="0"/>
                          <w:jc w:val="left"/>
                          <w:rPr>
                            <w:rFonts w:ascii="宋体" w:hAnsi="宋体" w:cs="宋体" w:eastAsia="宋体" w:hint="default"/>
                            <w:sz w:val="18"/>
                            <w:szCs w:val="18"/>
                          </w:rPr>
                        </w:pPr>
                        <w:r>
                          <w:rPr>
                            <w:rFonts w:ascii="宋体" w:hAnsi="宋体" w:cs="宋体" w:eastAsia="宋体" w:hint="default"/>
                            <w:sz w:val="18"/>
                            <w:szCs w:val="18"/>
                          </w:rPr>
                          <w:t>我们认为，贵公司按照财政部等五部委颁发的《企业内部控制基本规范》及相关规定于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日在所有重</w:t>
                        </w:r>
                      </w:p>
                    </w:tc>
                  </w:tr>
                </w:tbl>
                <w:p>
                  <w:pPr/>
                </w:p>
              </w:txbxContent>
            </v:textbox>
            <w10:wrap type="none"/>
          </v:shape>
        </w:pict>
      </w:r>
      <w:r>
        <w:rPr/>
        <w:t>》</w:t>
      </w:r>
    </w:p>
    <w:p>
      <w:pPr>
        <w:pStyle w:val="BodyText"/>
        <w:spacing w:line="240" w:lineRule="auto" w:before="77"/>
        <w:ind w:left="0" w:right="1139"/>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3"/>
          <w:szCs w:val="13"/>
        </w:rPr>
      </w:pPr>
    </w:p>
    <w:p>
      <w:pPr>
        <w:pStyle w:val="BodyText"/>
        <w:spacing w:line="240" w:lineRule="auto"/>
        <w:ind w:left="0" w:right="1141"/>
        <w:jc w:val="right"/>
      </w:pPr>
      <w:r>
        <w:rPr/>
        <w:t>，</w:t>
      </w:r>
    </w:p>
    <w:p>
      <w:pPr>
        <w:spacing w:after="0" w:line="240" w:lineRule="auto"/>
        <w:jc w:val="right"/>
        <w:sectPr>
          <w:pgSz w:w="11910" w:h="16840"/>
          <w:pgMar w:header="877" w:footer="979" w:top="1100" w:bottom="1160" w:left="980" w:right="0"/>
        </w:sectPr>
      </w:pPr>
    </w:p>
    <w:p>
      <w:pPr>
        <w:spacing w:line="240" w:lineRule="auto" w:before="6"/>
        <w:rPr>
          <w:rFonts w:ascii="宋体" w:hAnsi="宋体" w:cs="宋体" w:eastAsia="宋体" w:hint="default"/>
          <w:sz w:val="24"/>
          <w:szCs w:val="24"/>
        </w:rPr>
      </w:pPr>
    </w:p>
    <w:tbl>
      <w:tblPr>
        <w:tblW w:w="0" w:type="auto"/>
        <w:jc w:val="left"/>
        <w:tblInd w:w="149" w:type="dxa"/>
        <w:tblLayout w:type="fixed"/>
        <w:tblCellMar>
          <w:top w:w="0" w:type="dxa"/>
          <w:left w:w="0" w:type="dxa"/>
          <w:bottom w:w="0" w:type="dxa"/>
          <w:right w:w="0" w:type="dxa"/>
        </w:tblCellMar>
        <w:tblLook w:val="01E0"/>
      </w:tblPr>
      <w:tblGrid>
        <w:gridCol w:w="2662"/>
        <w:gridCol w:w="6907"/>
      </w:tblGrid>
      <w:tr>
        <w:trPr>
          <w:trHeight w:val="714" w:hRule="exact"/>
        </w:trPr>
        <w:tc>
          <w:tcPr>
            <w:tcW w:w="9569" w:type="dxa"/>
            <w:gridSpan w:val="2"/>
            <w:tcBorders>
              <w:top w:val="single" w:sz="4" w:space="0" w:color="000000"/>
              <w:left w:val="single" w:sz="4" w:space="0" w:color="000000"/>
              <w:bottom w:val="single" w:sz="4" w:space="0" w:color="000000"/>
              <w:right w:val="single" w:sz="4" w:space="0" w:color="000000"/>
            </w:tcBorders>
          </w:tcPr>
          <w:p>
            <w:pPr>
              <w:pStyle w:val="TableParagraph"/>
              <w:spacing w:line="360" w:lineRule="auto" w:before="11"/>
              <w:ind w:left="382" w:right="4314" w:hanging="360"/>
              <w:jc w:val="left"/>
              <w:rPr>
                <w:rFonts w:ascii="宋体" w:hAnsi="宋体" w:cs="宋体" w:eastAsia="宋体" w:hint="default"/>
                <w:sz w:val="18"/>
                <w:szCs w:val="18"/>
              </w:rPr>
            </w:pPr>
            <w:r>
              <w:rPr>
                <w:rFonts w:ascii="宋体" w:hAnsi="宋体" w:cs="宋体" w:eastAsia="宋体" w:hint="default"/>
                <w:sz w:val="18"/>
                <w:szCs w:val="18"/>
              </w:rPr>
              <w:t>大方面保持了与财务报表相关的有效的内部控制。 本结论是在受到鉴证报告中指出的固有限制的条件下形成的。</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巨潮资讯网（</w:t>
            </w:r>
            <w:r>
              <w:rPr>
                <w:rFonts w:ascii="Times New Roman" w:hAnsi="Times New Roman" w:cs="Times New Roman" w:eastAsia="Times New Roman" w:hint="default"/>
                <w:sz w:val="18"/>
                <w:szCs w:val="18"/>
              </w:rPr>
              <w:t>www.cninfo.com.cn)</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0"/>
        <w:jc w:val="left"/>
      </w:pPr>
      <w:r>
        <w:rPr/>
        <w:t>会计师事务所是否出具非标准意见的内部控制鉴证报告</w:t>
      </w:r>
    </w:p>
    <w:p>
      <w:pPr>
        <w:pStyle w:val="BodyText"/>
        <w:spacing w:line="338" w:lineRule="auto" w:before="117"/>
        <w:ind w:right="463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会计师事务所出具的内部控制鉴证报告与董事会的自我评价报告意见是否一致</w:t>
      </w:r>
    </w:p>
    <w:p>
      <w:pPr>
        <w:pStyle w:val="BodyText"/>
        <w:spacing w:line="240" w:lineRule="auto" w:before="43"/>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126" w:right="0"/>
        <w:jc w:val="left"/>
        <w:rPr>
          <w:b w:val="0"/>
          <w:bCs w:val="0"/>
        </w:rPr>
      </w:pPr>
      <w:bookmarkStart w:name="第十节 公司债券相关情况" w:id="150"/>
      <w:bookmarkEnd w:id="150"/>
      <w:r>
        <w:rPr>
          <w:b w:val="0"/>
          <w:bCs w:val="0"/>
        </w:rPr>
      </w:r>
      <w:bookmarkStart w:name="_bookmark9" w:id="151"/>
      <w:bookmarkEnd w:id="151"/>
      <w:r>
        <w:rPr>
          <w:b w:val="0"/>
          <w:bCs w:val="0"/>
        </w:rPr>
      </w:r>
      <w:r>
        <w:rPr/>
        <w:t>第十节</w:t>
      </w:r>
      <w:r>
        <w:rPr>
          <w:spacing w:val="-9"/>
        </w:rPr>
        <w:t> </w:t>
      </w:r>
      <w:r>
        <w:rPr/>
        <w:t>公司债券相关情况</w:t>
      </w:r>
      <w:r>
        <w:rPr>
          <w:b w:val="0"/>
          <w:bCs w:val="0"/>
        </w:rPr>
      </w:r>
    </w:p>
    <w:p>
      <w:pPr>
        <w:spacing w:line="240" w:lineRule="auto" w:before="8"/>
        <w:rPr>
          <w:rFonts w:ascii="宋体" w:hAnsi="宋体" w:cs="宋体" w:eastAsia="宋体" w:hint="default"/>
          <w:b/>
          <w:bCs/>
          <w:sz w:val="42"/>
          <w:szCs w:val="42"/>
        </w:rPr>
      </w:pPr>
    </w:p>
    <w:p>
      <w:pPr>
        <w:pStyle w:val="BodyText"/>
        <w:spacing w:line="357" w:lineRule="auto"/>
        <w:ind w:right="2112"/>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6"/>
          <w:szCs w:val="16"/>
        </w:rPr>
      </w:pPr>
    </w:p>
    <w:p>
      <w:pPr>
        <w:pStyle w:val="Heading1"/>
        <w:spacing w:line="240" w:lineRule="auto"/>
        <w:ind w:left="3608" w:right="0"/>
        <w:jc w:val="left"/>
        <w:rPr>
          <w:b w:val="0"/>
          <w:bCs w:val="0"/>
        </w:rPr>
      </w:pPr>
      <w:bookmarkStart w:name="第十一节 财务报告" w:id="152"/>
      <w:bookmarkEnd w:id="152"/>
      <w:r>
        <w:rPr>
          <w:b w:val="0"/>
          <w:bCs w:val="0"/>
        </w:rPr>
      </w:r>
      <w:bookmarkStart w:name="_bookmark10" w:id="153"/>
      <w:bookmarkEnd w:id="153"/>
      <w:r>
        <w:rPr>
          <w:b w:val="0"/>
          <w:bCs w:val="0"/>
        </w:rPr>
      </w:r>
      <w:r>
        <w:rPr/>
        <w:t>第十一节</w:t>
      </w:r>
      <w:r>
        <w:rPr>
          <w:spacing w:val="-6"/>
        </w:rPr>
        <w:t> </w:t>
      </w:r>
      <w:r>
        <w:rPr/>
        <w:t>财务报告</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0"/>
        <w:jc w:val="left"/>
        <w:rPr>
          <w:b w:val="0"/>
          <w:bCs w:val="0"/>
        </w:rPr>
      </w:pPr>
      <w:bookmarkStart w:name="一、审计报告" w:id="154"/>
      <w:bookmarkEnd w:id="154"/>
      <w:r>
        <w:rPr>
          <w:b w:val="0"/>
          <w:bCs w:val="0"/>
        </w:rPr>
      </w: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4"/>
        <w:gridCol w:w="4785"/>
      </w:tblGrid>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立信会计师事务所（特殊普通合伙）</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信会师报字</w:t>
            </w:r>
            <w:r>
              <w:rPr>
                <w:rFonts w:ascii="Times New Roman" w:hAnsi="Times New Roman" w:cs="Times New Roman" w:eastAsia="Times New Roman" w:hint="default"/>
                <w:sz w:val="18"/>
                <w:szCs w:val="18"/>
              </w:rPr>
              <w:t>[2019]</w:t>
            </w:r>
            <w:r>
              <w:rPr>
                <w:rFonts w:ascii="宋体" w:hAnsi="宋体" w:cs="宋体" w:eastAsia="宋体" w:hint="default"/>
                <w:sz w:val="18"/>
                <w:szCs w:val="18"/>
              </w:rPr>
              <w:t>第</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ZG11040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号</w:t>
            </w:r>
          </w:p>
        </w:tc>
      </w:tr>
      <w:tr>
        <w:trPr>
          <w:trHeight w:val="403" w:hRule="exact"/>
        </w:trPr>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许培梅、顾欣</w:t>
            </w:r>
          </w:p>
        </w:tc>
      </w:tr>
    </w:tbl>
    <w:p>
      <w:pPr>
        <w:spacing w:line="240" w:lineRule="auto" w:before="8"/>
        <w:rPr>
          <w:rFonts w:ascii="宋体" w:hAnsi="宋体" w:cs="宋体" w:eastAsia="宋体" w:hint="default"/>
          <w:b/>
          <w:bCs/>
          <w:sz w:val="5"/>
          <w:szCs w:val="5"/>
        </w:rPr>
      </w:pPr>
    </w:p>
    <w:p>
      <w:pPr>
        <w:spacing w:line="460" w:lineRule="exact" w:before="0"/>
        <w:ind w:left="279" w:right="1255" w:firstLine="0"/>
        <w:jc w:val="center"/>
        <w:rPr>
          <w:rFonts w:ascii="宋体" w:hAnsi="宋体" w:cs="宋体" w:eastAsia="宋体" w:hint="default"/>
          <w:sz w:val="36"/>
          <w:szCs w:val="36"/>
        </w:rPr>
      </w:pPr>
      <w:r>
        <w:rPr>
          <w:rFonts w:ascii="宋体" w:hAnsi="宋体" w:cs="宋体" w:eastAsia="宋体" w:hint="default"/>
          <w:b/>
          <w:bCs/>
          <w:sz w:val="36"/>
          <w:szCs w:val="36"/>
        </w:rPr>
        <w:t>审计报告正文</w:t>
      </w:r>
      <w:r>
        <w:rPr>
          <w:rFonts w:ascii="宋体" w:hAnsi="宋体" w:cs="宋体" w:eastAsia="宋体" w:hint="default"/>
          <w:sz w:val="36"/>
          <w:szCs w:val="36"/>
        </w:rPr>
      </w:r>
    </w:p>
    <w:p>
      <w:pPr>
        <w:pStyle w:val="Heading3"/>
        <w:spacing w:line="520" w:lineRule="auto" w:before="147"/>
        <w:ind w:right="5672"/>
        <w:jc w:val="left"/>
        <w:rPr>
          <w:b w:val="0"/>
          <w:bCs w:val="0"/>
        </w:rPr>
      </w:pPr>
      <w:r>
        <w:rPr/>
        <w:t>宣亚国际品牌管理（北京）股份有限公司全体股东：</w:t>
      </w:r>
      <w:r>
        <w:rPr>
          <w:spacing w:val="1"/>
          <w:w w:val="99"/>
        </w:rPr>
        <w:t> </w:t>
      </w:r>
      <w:r>
        <w:rPr/>
        <w:t>一、审计意见</w:t>
      </w:r>
      <w:r>
        <w:rPr>
          <w:b w:val="0"/>
          <w:bCs w:val="0"/>
        </w:rPr>
      </w:r>
    </w:p>
    <w:p>
      <w:pPr>
        <w:pStyle w:val="BodyText"/>
        <w:spacing w:line="300" w:lineRule="auto" w:before="112"/>
        <w:ind w:right="1132" w:firstLine="397"/>
        <w:jc w:val="both"/>
      </w:pPr>
      <w:r>
        <w:rPr/>
        <w:t>我们审计了宣亚国际品牌管理（北京）股份有限公司（以下简称贵公司）财务报表，包括</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日的合并及母 </w:t>
      </w:r>
      <w:r>
        <w:rPr>
          <w:spacing w:val="-2"/>
        </w:rPr>
        <w:t>公司资产负债表，</w:t>
      </w:r>
      <w:r>
        <w:rPr>
          <w:rFonts w:ascii="Times New Roman" w:hAnsi="Times New Roman" w:cs="Times New Roman" w:eastAsia="Times New Roman" w:hint="default"/>
          <w:spacing w:val="-2"/>
        </w:rPr>
        <w:t>2018</w:t>
      </w:r>
      <w:r>
        <w:rPr>
          <w:spacing w:val="-2"/>
        </w:rPr>
        <w:t>年度的合并及母公司利润表、合并及母公司现金流量表、合并及母公司股东权益变动表以及相关财务</w:t>
      </w:r>
      <w:r>
        <w:rPr>
          <w:spacing w:val="-62"/>
        </w:rPr>
        <w:t> </w:t>
      </w:r>
      <w:r>
        <w:rPr>
          <w:spacing w:val="-62"/>
        </w:rPr>
      </w:r>
      <w:r>
        <w:rPr/>
        <w:t>报表附注。</w:t>
      </w:r>
    </w:p>
    <w:p>
      <w:pPr>
        <w:pStyle w:val="BodyText"/>
        <w:spacing w:line="234" w:lineRule="exact" w:before="14"/>
        <w:ind w:right="1132" w:firstLine="397"/>
        <w:jc w:val="both"/>
      </w:pPr>
      <w:r>
        <w:rPr/>
        <w:t>我们认为，后附的财务报表在所有重大方面按照企业会计准则的规定编制，公允反映了贵公司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 及母公司财务状况以及</w:t>
      </w:r>
      <w:r>
        <w:rPr>
          <w:rFonts w:ascii="Times New Roman" w:hAnsi="Times New Roman" w:cs="Times New Roman" w:eastAsia="Times New Roman" w:hint="default"/>
        </w:rPr>
        <w:t>2018</w:t>
      </w:r>
      <w:r>
        <w:rPr/>
        <w:t>年度的合并及母公司经营成果和现金流量。</w:t>
      </w:r>
    </w:p>
    <w:p>
      <w:pPr>
        <w:spacing w:line="240" w:lineRule="auto" w:before="7"/>
        <w:rPr>
          <w:rFonts w:ascii="宋体" w:hAnsi="宋体" w:cs="宋体" w:eastAsia="宋体" w:hint="default"/>
          <w:sz w:val="22"/>
          <w:szCs w:val="22"/>
        </w:rPr>
      </w:pPr>
    </w:p>
    <w:p>
      <w:pPr>
        <w:pStyle w:val="Heading3"/>
        <w:spacing w:line="240" w:lineRule="auto"/>
        <w:ind w:right="0"/>
        <w:jc w:val="left"/>
        <w:rPr>
          <w:b w:val="0"/>
          <w:bCs w:val="0"/>
        </w:rPr>
      </w:pPr>
      <w:r>
        <w:rPr/>
        <w:t>二、形成审计意见的基础</w:t>
      </w:r>
      <w:r>
        <w:rPr>
          <w:b w:val="0"/>
          <w:bCs w:val="0"/>
        </w:rPr>
      </w:r>
    </w:p>
    <w:p>
      <w:pPr>
        <w:spacing w:line="240" w:lineRule="auto" w:before="10"/>
        <w:rPr>
          <w:rFonts w:ascii="宋体" w:hAnsi="宋体" w:cs="宋体" w:eastAsia="宋体" w:hint="default"/>
          <w:b/>
          <w:bCs/>
          <w:sz w:val="25"/>
          <w:szCs w:val="25"/>
        </w:rPr>
      </w:pPr>
    </w:p>
    <w:p>
      <w:pPr>
        <w:pStyle w:val="BodyText"/>
        <w:spacing w:line="230" w:lineRule="auto"/>
        <w:ind w:right="1132" w:firstLine="397"/>
        <w:jc w:val="both"/>
      </w:pPr>
      <w:r>
        <w:rPr/>
        <w:t>我们按照中国注册会计师审计准则的规定执行了审计工作。审计报告的</w:t>
      </w:r>
      <w:r>
        <w:rPr>
          <w:rFonts w:ascii="Times New Roman" w:hAnsi="Times New Roman" w:cs="Times New Roman" w:eastAsia="Times New Roman" w:hint="default"/>
        </w:rPr>
        <w:t>“</w:t>
      </w:r>
      <w:r>
        <w:rPr/>
        <w:t>注册会计师对财务报表审计的责任</w:t>
      </w:r>
      <w:r>
        <w:rPr>
          <w:rFonts w:ascii="Times New Roman" w:hAnsi="Times New Roman" w:cs="Times New Roman" w:eastAsia="Times New Roman" w:hint="default"/>
        </w:rPr>
        <w:t>”</w:t>
      </w:r>
      <w:r>
        <w:rPr/>
        <w:t>部分进一 </w:t>
      </w:r>
      <w:r>
        <w:rPr>
          <w:spacing w:val="-2"/>
        </w:rPr>
        <w:t>步阐述了我们在这些准则下的责任。按照中国注册会计师职业道德守则，我们独立于贵公司，并履行了职业道德方面的其他</w:t>
      </w:r>
      <w:r>
        <w:rPr>
          <w:spacing w:val="-66"/>
        </w:rPr>
        <w:t> </w:t>
      </w:r>
      <w:r>
        <w:rPr>
          <w:spacing w:val="-66"/>
        </w:rPr>
      </w:r>
      <w:r>
        <w:rPr/>
        <w:t>责任。我们相信，我们获取的审计证据是充分、适当的，为发表审计意见提供了基础。</w:t>
      </w:r>
    </w:p>
    <w:p>
      <w:pPr>
        <w:spacing w:line="240" w:lineRule="auto" w:before="5"/>
        <w:rPr>
          <w:rFonts w:ascii="宋体" w:hAnsi="宋体" w:cs="宋体" w:eastAsia="宋体" w:hint="default"/>
          <w:sz w:val="24"/>
          <w:szCs w:val="24"/>
        </w:rPr>
      </w:pPr>
    </w:p>
    <w:p>
      <w:pPr>
        <w:pStyle w:val="Heading3"/>
        <w:spacing w:line="240" w:lineRule="auto"/>
        <w:ind w:right="0"/>
        <w:jc w:val="left"/>
        <w:rPr>
          <w:b w:val="0"/>
          <w:bCs w:val="0"/>
        </w:rPr>
      </w:pPr>
      <w:r>
        <w:rPr/>
        <w:t>三、关键审计事项</w:t>
      </w:r>
      <w:r>
        <w:rPr>
          <w:b w:val="0"/>
          <w:bCs w:val="0"/>
        </w:rPr>
      </w:r>
    </w:p>
    <w:p>
      <w:pPr>
        <w:spacing w:line="240" w:lineRule="auto" w:before="4"/>
        <w:rPr>
          <w:rFonts w:ascii="宋体" w:hAnsi="宋体" w:cs="宋体" w:eastAsia="宋体" w:hint="default"/>
          <w:b/>
          <w:bCs/>
          <w:sz w:val="25"/>
          <w:szCs w:val="25"/>
        </w:rPr>
      </w:pPr>
    </w:p>
    <w:p>
      <w:pPr>
        <w:pStyle w:val="BodyText"/>
        <w:spacing w:line="237" w:lineRule="auto"/>
        <w:ind w:right="1132" w:firstLine="397"/>
        <w:jc w:val="both"/>
      </w:pPr>
      <w:r>
        <w:rPr/>
        <w:t>关键审计事项是我们根据职业判断，认为对本期财务报表审计最为重要的事项。这些事项的应对以对财务报表整体进 </w:t>
      </w:r>
      <w:r>
        <w:rPr>
          <w:spacing w:val="-2"/>
        </w:rPr>
        <w:t>行审计并形成审计意见为背景，我们不对这些事项单独发表意见。我们确定下列事项是需要在审计报告中沟通的关键审计事</w:t>
      </w:r>
      <w:r>
        <w:rPr>
          <w:spacing w:val="-64"/>
        </w:rPr>
        <w:t> </w:t>
      </w:r>
      <w:r>
        <w:rPr>
          <w:spacing w:val="-64"/>
        </w:rPr>
      </w:r>
      <w:r>
        <w:rPr/>
        <w:t>项。</w:t>
      </w:r>
    </w:p>
    <w:p>
      <w:pPr>
        <w:spacing w:line="240" w:lineRule="auto" w:before="13"/>
        <w:rPr>
          <w:rFonts w:ascii="宋体" w:hAnsi="宋体" w:cs="宋体" w:eastAsia="宋体" w:hint="default"/>
          <w:sz w:val="25"/>
          <w:szCs w:val="25"/>
        </w:rPr>
      </w:pPr>
    </w:p>
    <w:tbl>
      <w:tblPr>
        <w:tblW w:w="0" w:type="auto"/>
        <w:jc w:val="left"/>
        <w:tblInd w:w="146" w:type="dxa"/>
        <w:tblLayout w:type="fixed"/>
        <w:tblCellMar>
          <w:top w:w="0" w:type="dxa"/>
          <w:left w:w="0" w:type="dxa"/>
          <w:bottom w:w="0" w:type="dxa"/>
          <w:right w:w="0" w:type="dxa"/>
        </w:tblCellMar>
        <w:tblLook w:val="01E0"/>
      </w:tblPr>
      <w:tblGrid>
        <w:gridCol w:w="4876"/>
        <w:gridCol w:w="4773"/>
      </w:tblGrid>
      <w:tr>
        <w:trPr>
          <w:trHeight w:val="348"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04"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347" w:hRule="exact"/>
        </w:trPr>
        <w:tc>
          <w:tcPr>
            <w:tcW w:w="96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（一）应收账款的坏账准备</w:t>
            </w:r>
          </w:p>
        </w:tc>
      </w:tr>
      <w:tr>
        <w:trPr>
          <w:trHeight w:val="2219"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关于应收账款及坏账准备会计政策请参阅附注五、（十一）； 关于应收账款账面余额及坏账准备的披露请参阅附注七、</w:t>
            </w:r>
          </w:p>
          <w:p>
            <w:pPr>
              <w:pStyle w:val="TableParagraph"/>
              <w:spacing w:line="309" w:lineRule="auto" w:before="19"/>
              <w:ind w:left="2" w:right="2"/>
              <w:jc w:val="left"/>
              <w:rPr>
                <w:rFonts w:ascii="宋体" w:hAnsi="宋体" w:cs="宋体" w:eastAsia="宋体" w:hint="default"/>
                <w:sz w:val="18"/>
                <w:szCs w:val="18"/>
              </w:rPr>
            </w:pPr>
            <w:r>
              <w:rPr>
                <w:rFonts w:ascii="宋体" w:hAnsi="宋体" w:cs="宋体" w:eastAsia="宋体" w:hint="default"/>
                <w:sz w:val="18"/>
                <w:szCs w:val="18"/>
              </w:rPr>
              <w:t>（四）。 于</w:t>
            </w:r>
            <w:r>
              <w:rPr>
                <w:rFonts w:ascii="Times New Roman" w:hAnsi="Times New Roman" w:cs="Times New Roman" w:eastAsia="Times New Roman" w:hint="default"/>
                <w:sz w:val="18"/>
                <w:szCs w:val="18"/>
              </w:rPr>
              <w:t>2018</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日，贵公司合并财务报表中应收账款账面余额 </w:t>
            </w:r>
            <w:r>
              <w:rPr>
                <w:rFonts w:ascii="宋体" w:hAnsi="宋体" w:cs="宋体" w:eastAsia="宋体" w:hint="default"/>
                <w:spacing w:val="-4"/>
                <w:sz w:val="18"/>
                <w:szCs w:val="18"/>
              </w:rPr>
              <w:t>为</w:t>
            </w:r>
            <w:r>
              <w:rPr>
                <w:rFonts w:ascii="Times New Roman" w:hAnsi="Times New Roman" w:cs="Times New Roman" w:eastAsia="Times New Roman" w:hint="default"/>
                <w:spacing w:val="-4"/>
                <w:sz w:val="18"/>
                <w:szCs w:val="18"/>
              </w:rPr>
              <w:t>14,745.37</w:t>
            </w:r>
            <w:r>
              <w:rPr>
                <w:rFonts w:ascii="宋体" w:hAnsi="宋体" w:cs="宋体" w:eastAsia="宋体" w:hint="default"/>
                <w:spacing w:val="-4"/>
                <w:sz w:val="18"/>
                <w:szCs w:val="18"/>
              </w:rPr>
              <w:t>万元，坏账准备为</w:t>
            </w:r>
            <w:r>
              <w:rPr>
                <w:rFonts w:ascii="Times New Roman" w:hAnsi="Times New Roman" w:cs="Times New Roman" w:eastAsia="Times New Roman" w:hint="default"/>
                <w:spacing w:val="-4"/>
                <w:sz w:val="18"/>
                <w:szCs w:val="18"/>
              </w:rPr>
              <w:t>691.35</w:t>
            </w:r>
            <w:r>
              <w:rPr>
                <w:rFonts w:ascii="宋体" w:hAnsi="宋体" w:cs="宋体" w:eastAsia="宋体" w:hint="default"/>
                <w:spacing w:val="-4"/>
                <w:sz w:val="18"/>
                <w:szCs w:val="18"/>
              </w:rPr>
              <w:t>万元，账面价值为</w:t>
            </w:r>
            <w:r>
              <w:rPr>
                <w:rFonts w:ascii="Times New Roman" w:hAnsi="Times New Roman" w:cs="Times New Roman" w:eastAsia="Times New Roman" w:hint="default"/>
                <w:spacing w:val="-4"/>
                <w:sz w:val="18"/>
                <w:szCs w:val="18"/>
              </w:rPr>
              <w:t>14,054.02</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pacing w:val="-27"/>
                <w:sz w:val="18"/>
                <w:szCs w:val="18"/>
              </w:rPr>
            </w:r>
            <w:r>
              <w:rPr>
                <w:rFonts w:ascii="宋体" w:hAnsi="宋体" w:cs="宋体" w:eastAsia="宋体" w:hint="default"/>
                <w:sz w:val="18"/>
                <w:szCs w:val="18"/>
              </w:rPr>
              <w:t>万元。 贵公司根据应收账款的可收回性为判断基础确认坏账准备。应</w:t>
            </w:r>
          </w:p>
        </w:tc>
        <w:tc>
          <w:tcPr>
            <w:tcW w:w="4773"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我们针对应收账款坏账准备执行的审计程序主要有：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、了解和测试管理层与应收账款日常管理及可收回性相关的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关键内部控制的设计和运行有效性；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、复核管理层对应收账款可收回性进行评估的相关考虑及客</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观证据； </w:t>
            </w: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、对于单项金额重大的应收账款，选取样本复核管理层对预</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计未来可获得的现金流量做出评估的依据；</w:t>
            </w:r>
          </w:p>
        </w:tc>
      </w:tr>
    </w:tbl>
    <w:p>
      <w:pPr>
        <w:spacing w:after="0" w:line="309" w:lineRule="auto"/>
        <w:jc w:val="left"/>
        <w:rPr>
          <w:rFonts w:ascii="宋体" w:hAnsi="宋体" w:cs="宋体" w:eastAsia="宋体" w:hint="default"/>
          <w:sz w:val="18"/>
          <w:szCs w:val="18"/>
        </w:rPr>
        <w:sectPr>
          <w:pgSz w:w="11910" w:h="16840"/>
          <w:pgMar w:header="877" w:footer="979" w:top="110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3"/>
          <w:szCs w:val="23"/>
        </w:rPr>
      </w:pPr>
    </w:p>
    <w:p>
      <w:pPr>
        <w:pStyle w:val="BodyText"/>
        <w:spacing w:line="240" w:lineRule="auto" w:before="44"/>
        <w:ind w:left="0" w:right="1042"/>
        <w:jc w:val="right"/>
      </w:pPr>
      <w:r>
        <w:rPr/>
        <w:pict>
          <v:shape style="position:absolute;margin-left:56.34pt;margin-top:-221.968292pt;width:483.55pt;height:471.35pt;mso-position-horizontal-relative:page;mso-position-vertical-relative:paragraph;z-index:17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876"/>
                    <w:gridCol w:w="4773"/>
                  </w:tblGrid>
                  <w:tr>
                    <w:trPr>
                      <w:trHeight w:val="347"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b/>
                            <w:bCs/>
                            <w:sz w:val="18"/>
                            <w:szCs w:val="18"/>
                          </w:rPr>
                          <w:t>关键审计事项</w:t>
                        </w:r>
                        <w:r>
                          <w:rPr>
                            <w:rFonts w:ascii="宋体" w:hAnsi="宋体" w:cs="宋体" w:eastAsia="宋体" w:hint="default"/>
                            <w:sz w:val="18"/>
                            <w:szCs w:val="18"/>
                          </w:rPr>
                        </w:r>
                      </w:p>
                    </w:tc>
                    <w:tc>
                      <w:tcPr>
                        <w:tcW w:w="47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204" w:right="0"/>
                          <w:jc w:val="left"/>
                          <w:rPr>
                            <w:rFonts w:ascii="宋体" w:hAnsi="宋体" w:cs="宋体" w:eastAsia="宋体" w:hint="default"/>
                            <w:sz w:val="18"/>
                            <w:szCs w:val="18"/>
                          </w:rPr>
                        </w:pPr>
                        <w:r>
                          <w:rPr>
                            <w:rFonts w:ascii="宋体" w:hAnsi="宋体" w:cs="宋体" w:eastAsia="宋体" w:hint="default"/>
                            <w:b/>
                            <w:bCs/>
                            <w:sz w:val="18"/>
                            <w:szCs w:val="18"/>
                          </w:rPr>
                          <w:t>该事项在审计中是如何应对的</w:t>
                        </w:r>
                        <w:r>
                          <w:rPr>
                            <w:rFonts w:ascii="宋体" w:hAnsi="宋体" w:cs="宋体" w:eastAsia="宋体" w:hint="default"/>
                            <w:sz w:val="18"/>
                            <w:szCs w:val="18"/>
                          </w:rPr>
                        </w:r>
                      </w:p>
                    </w:tc>
                  </w:tr>
                  <w:tr>
                    <w:trPr>
                      <w:trHeight w:val="2194"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1"/>
                          <w:ind w:left="2" w:right="2"/>
                          <w:jc w:val="left"/>
                          <w:rPr>
                            <w:rFonts w:ascii="宋体" w:hAnsi="宋体" w:cs="宋体" w:eastAsia="宋体" w:hint="default"/>
                            <w:sz w:val="18"/>
                            <w:szCs w:val="18"/>
                          </w:rPr>
                        </w:pPr>
                        <w:r>
                          <w:rPr>
                            <w:rFonts w:ascii="宋体" w:hAnsi="宋体" w:cs="宋体" w:eastAsia="宋体" w:hint="default"/>
                            <w:sz w:val="18"/>
                            <w:szCs w:val="18"/>
                          </w:rPr>
                          <w:t>收账款年末价值的确定需要管理层识别已发生减值的项目和 客观证据，评估预期未来可获取的现金流量并确定其现值，涉 及管理层运用重大会计估计和判断，且应收账款坏账准备对于 合并财务报表具有重要性，因此我们将应收账款坏账准备识别 为关键审计事项。</w:t>
                        </w:r>
                      </w:p>
                    </w:tc>
                    <w:tc>
                      <w:tcPr>
                        <w:tcW w:w="4773" w:type="dxa"/>
                        <w:tcBorders>
                          <w:top w:val="single" w:sz="6" w:space="0" w:color="000000"/>
                          <w:left w:val="single" w:sz="6" w:space="0" w:color="000000"/>
                          <w:bottom w:val="single" w:sz="6" w:space="0" w:color="000000"/>
                          <w:right w:val="single" w:sz="6" w:space="0" w:color="000000"/>
                        </w:tcBorders>
                      </w:tcPr>
                      <w:p>
                        <w:pPr>
                          <w:pStyle w:val="TableParagraph"/>
                          <w:spacing w:line="309" w:lineRule="auto" w:before="21"/>
                          <w:ind w:left="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、对于管理层按照信用风险特征组合计提坏账准备的应收账</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款，结合信用风险特征及账龄分析，评价管理层坏账准备计 提的合理性； </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、结合期后回款情况检查，评价管理层对坏账准备计提的适</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当性。</w:t>
                        </w:r>
                      </w:p>
                    </w:tc>
                  </w:tr>
                  <w:tr>
                    <w:trPr>
                      <w:trHeight w:val="347" w:hRule="exact"/>
                    </w:trPr>
                    <w:tc>
                      <w:tcPr>
                        <w:tcW w:w="9649"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（二）收入的确认</w:t>
                        </w:r>
                      </w:p>
                    </w:tc>
                  </w:tr>
                  <w:tr>
                    <w:trPr>
                      <w:trHeight w:val="6525" w:hRule="exact"/>
                    </w:trPr>
                    <w:tc>
                      <w:tcPr>
                        <w:tcW w:w="4876"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2" w:right="1"/>
                          <w:jc w:val="left"/>
                          <w:rPr>
                            <w:rFonts w:ascii="宋体" w:hAnsi="宋体" w:cs="宋体" w:eastAsia="宋体" w:hint="default"/>
                            <w:sz w:val="18"/>
                            <w:szCs w:val="18"/>
                          </w:rPr>
                        </w:pPr>
                        <w:r>
                          <w:rPr>
                            <w:rFonts w:ascii="宋体" w:hAnsi="宋体" w:cs="宋体" w:eastAsia="宋体" w:hint="default"/>
                            <w:sz w:val="18"/>
                            <w:szCs w:val="18"/>
                          </w:rPr>
                          <w:t>关于收入确认会计政策请参阅附注五、（二十八）；关于收入 的披露请参阅附注七、（五十二）。 </w:t>
                        </w:r>
                        <w:r>
                          <w:rPr>
                            <w:rFonts w:ascii="Times New Roman" w:hAnsi="Times New Roman" w:cs="Times New Roman" w:eastAsia="Times New Roman" w:hint="default"/>
                            <w:sz w:val="18"/>
                            <w:szCs w:val="18"/>
                          </w:rPr>
                          <w:t>2018</w:t>
                        </w:r>
                        <w:r>
                          <w:rPr>
                            <w:rFonts w:ascii="宋体" w:hAnsi="宋体" w:cs="宋体" w:eastAsia="宋体" w:hint="default"/>
                            <w:sz w:val="18"/>
                            <w:szCs w:val="18"/>
                          </w:rPr>
                          <w:t>年度，贵公司合并口径主营业务收入</w:t>
                        </w:r>
                        <w:r>
                          <w:rPr>
                            <w:rFonts w:ascii="Times New Roman" w:hAnsi="Times New Roman" w:cs="Times New Roman" w:eastAsia="Times New Roman" w:hint="default"/>
                            <w:sz w:val="18"/>
                            <w:szCs w:val="18"/>
                          </w:rPr>
                          <w:t>36,928.12</w:t>
                        </w:r>
                        <w:r>
                          <w:rPr>
                            <w:rFonts w:ascii="宋体" w:hAnsi="宋体" w:cs="宋体" w:eastAsia="宋体" w:hint="default"/>
                            <w:sz w:val="18"/>
                            <w:szCs w:val="18"/>
                          </w:rPr>
                          <w:t>万元，比上 年度主营业务收入</w:t>
                        </w:r>
                        <w:r>
                          <w:rPr>
                            <w:rFonts w:ascii="Times New Roman" w:hAnsi="Times New Roman" w:cs="Times New Roman" w:eastAsia="Times New Roman" w:hint="default"/>
                            <w:sz w:val="18"/>
                            <w:szCs w:val="18"/>
                          </w:rPr>
                          <w:t>50,451.03</w:t>
                        </w:r>
                        <w:r>
                          <w:rPr>
                            <w:rFonts w:ascii="宋体" w:hAnsi="宋体" w:cs="宋体" w:eastAsia="宋体" w:hint="default"/>
                            <w:sz w:val="18"/>
                            <w:szCs w:val="18"/>
                          </w:rPr>
                          <w:t>万元减少</w:t>
                        </w:r>
                        <w:r>
                          <w:rPr>
                            <w:rFonts w:ascii="Times New Roman" w:hAnsi="Times New Roman" w:cs="Times New Roman" w:eastAsia="Times New Roman" w:hint="default"/>
                            <w:sz w:val="18"/>
                            <w:szCs w:val="18"/>
                          </w:rPr>
                          <w:t>13,522.91</w:t>
                        </w:r>
                        <w:r>
                          <w:rPr>
                            <w:rFonts w:ascii="宋体" w:hAnsi="宋体" w:cs="宋体" w:eastAsia="宋体" w:hint="default"/>
                            <w:sz w:val="18"/>
                            <w:szCs w:val="18"/>
                          </w:rPr>
                          <w:t>万元，降幅达 </w:t>
                        </w:r>
                        <w:r>
                          <w:rPr>
                            <w:rFonts w:ascii="Times New Roman" w:hAnsi="Times New Roman" w:cs="Times New Roman" w:eastAsia="Times New Roman" w:hint="default"/>
                            <w:sz w:val="18"/>
                            <w:szCs w:val="18"/>
                          </w:rPr>
                          <w:t>26.80%</w:t>
                        </w:r>
                        <w:r>
                          <w:rPr>
                            <w:rFonts w:ascii="宋体" w:hAnsi="宋体" w:cs="宋体" w:eastAsia="宋体" w:hint="default"/>
                            <w:sz w:val="18"/>
                            <w:szCs w:val="18"/>
                          </w:rPr>
                          <w:t>，波动较大。 贵公司的主营业务收入主要来源于常年顾问服务收入和项目 服务收入。公司确认收入的具体原则为：对于常年顾问服务收 入，公司按合同约定提供服务并定期予以确认收入；对于项目 服务收入，公司按项目合同的约定为客户提供专属化的营销传 播服务，项目服务结束后，公司收到客户确认的完工证明时予 以确认收入。 由于收入是贵公司的关键业绩指标之一，从而存在管理层为了 达到特定目标或期望而操纵收入确认时点的固有风险，因此我 们将收入确认识别为关键审计事项。</w:t>
                        </w:r>
                      </w:p>
                    </w:tc>
                    <w:tc>
                      <w:tcPr>
                        <w:tcW w:w="4773" w:type="dxa"/>
                        <w:tcBorders>
                          <w:top w:val="single" w:sz="6" w:space="0" w:color="000000"/>
                          <w:left w:val="single" w:sz="6" w:space="0" w:color="000000"/>
                          <w:bottom w:val="single" w:sz="6" w:space="0" w:color="000000"/>
                          <w:right w:val="single" w:sz="6" w:space="0" w:color="000000"/>
                        </w:tcBorders>
                      </w:tcPr>
                      <w:p>
                        <w:pPr>
                          <w:pStyle w:val="TableParagraph"/>
                          <w:spacing w:line="314"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我们针对收入确认执行的审计程序主要有： </w:t>
                        </w: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、了解和评价管理层与收入确认相关的关键内部控制的设计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和运行有效性； </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、选取样本检查项目合同，评价收入确认时点是否符合企业</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会计准则的要求； </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、结合应收账款函证程序，对本年记录的收入交易选取样本</w:t>
                        </w:r>
                        <w:r>
                          <w:rPr>
                            <w:rFonts w:ascii="宋体" w:hAnsi="宋体" w:cs="宋体" w:eastAsia="宋体" w:hint="default"/>
                            <w:sz w:val="18"/>
                            <w:szCs w:val="18"/>
                          </w:rPr>
                          <w:t> 核对发票、项目合同及完工验收单等单据，检查已确认收入 的真实性； </w:t>
                        </w: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、对收入和成本执行分析性程序，包括：以收入为基准，抽</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查部分项目对应成本情况，主要包括以合同执行的内容为主</w:t>
                        </w:r>
                        <w:r>
                          <w:rPr>
                            <w:rFonts w:ascii="宋体" w:hAnsi="宋体" w:cs="宋体" w:eastAsia="宋体" w:hint="default"/>
                            <w:sz w:val="18"/>
                            <w:szCs w:val="18"/>
                          </w:rPr>
                          <w:t> 逐一检查项目开始前企业预算内容和项目过程中供应商采购 情况以及事后供应商付款情况，重点关注采购内容与供应商 提供服务内容匹配性；根据收入不同分类测算毛利率，分析 异常项目，抽查合同等相关资料，确认收入成本的准确性； 核查项目成本，检查成本的完整性，根据测算不同业务类型 毛利率，重点检查高毛利率项目，对低毛利率项目和正常项 目进行抽查； </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、就资产负债表日前后记录的收入交易，选取样本，核对完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工验收单及其他支持性文件，以评价收入是否被记录于恰当 的会计期间。</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pStyle w:val="BodyText"/>
        <w:spacing w:line="240" w:lineRule="auto" w:before="44"/>
        <w:ind w:left="0" w:right="1041"/>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4"/>
          <w:szCs w:val="24"/>
        </w:rPr>
      </w:pPr>
    </w:p>
    <w:p>
      <w:pPr>
        <w:pStyle w:val="Heading3"/>
        <w:spacing w:line="240" w:lineRule="auto" w:before="31"/>
        <w:ind w:right="0"/>
        <w:jc w:val="left"/>
        <w:rPr>
          <w:b w:val="0"/>
          <w:bCs w:val="0"/>
        </w:rPr>
      </w:pPr>
      <w:r>
        <w:rPr/>
        <w:t>四、其他信息</w:t>
      </w:r>
      <w:r>
        <w:rPr>
          <w:b w:val="0"/>
          <w:bCs w:val="0"/>
        </w:rPr>
      </w:r>
    </w:p>
    <w:p>
      <w:pPr>
        <w:spacing w:line="240" w:lineRule="auto" w:before="12"/>
        <w:rPr>
          <w:rFonts w:ascii="宋体" w:hAnsi="宋体" w:cs="宋体" w:eastAsia="宋体" w:hint="default"/>
          <w:b/>
          <w:bCs/>
          <w:sz w:val="26"/>
          <w:szCs w:val="26"/>
        </w:rPr>
      </w:pPr>
    </w:p>
    <w:p>
      <w:pPr>
        <w:pStyle w:val="BodyText"/>
        <w:spacing w:line="234" w:lineRule="exact"/>
        <w:ind w:right="0" w:firstLine="397"/>
        <w:jc w:val="left"/>
      </w:pPr>
      <w:r>
        <w:rPr/>
        <w:t>贵公司管理层（以下简称管理层）对其他信息负责。其他信息包括贵公司</w:t>
      </w:r>
      <w:r>
        <w:rPr>
          <w:rFonts w:ascii="Times New Roman" w:hAnsi="Times New Roman" w:cs="Times New Roman" w:eastAsia="Times New Roman" w:hint="default"/>
        </w:rPr>
        <w:t>2018</w:t>
      </w:r>
      <w:r>
        <w:rPr/>
        <w:t>年年度报告中涵盖的信息，但不包括财 务报表和我们的审计报告。</w:t>
      </w:r>
    </w:p>
    <w:p>
      <w:pPr>
        <w:pStyle w:val="BodyText"/>
        <w:spacing w:line="211" w:lineRule="exact"/>
        <w:ind w:left="551" w:right="0"/>
        <w:jc w:val="left"/>
      </w:pPr>
      <w:r>
        <w:rPr/>
        <w:t>我们对财务报表发表的审计意见不涵盖其他信息，我们也不对其他信息发表任何形式的鉴证结论。</w:t>
      </w:r>
    </w:p>
    <w:p>
      <w:pPr>
        <w:pStyle w:val="BodyText"/>
        <w:spacing w:line="232" w:lineRule="exact" w:before="24"/>
        <w:ind w:right="0" w:firstLine="397"/>
        <w:jc w:val="left"/>
      </w:pPr>
      <w:r>
        <w:rPr/>
        <w:t>结合我们对财务报表的审计，我们的责任是阅读其他信息，在此过程中，考虑其他信息是否与财务报表或我们在审计 过程中了解到的情况存在重大不一致或者似乎存在重大错报。</w:t>
      </w:r>
    </w:p>
    <w:p>
      <w:pPr>
        <w:pStyle w:val="BodyText"/>
        <w:spacing w:line="232" w:lineRule="exact" w:before="2"/>
        <w:ind w:right="1118" w:firstLine="397"/>
        <w:jc w:val="left"/>
      </w:pPr>
      <w:r>
        <w:rPr/>
        <w:t>基于我们已执行的工作，如果我们确定其他信息存在重大错报，我们应当报告该事实。在这方面，我们无任何事项需 要报告。</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t>五、管理层和治理层对财务报表的责任</w:t>
      </w:r>
      <w:r>
        <w:rPr>
          <w:b w:val="0"/>
          <w:bCs w:val="0"/>
        </w:rPr>
      </w:r>
    </w:p>
    <w:p>
      <w:pPr>
        <w:spacing w:line="240" w:lineRule="auto" w:before="4"/>
        <w:rPr>
          <w:rFonts w:ascii="宋体" w:hAnsi="宋体" w:cs="宋体" w:eastAsia="宋体" w:hint="default"/>
          <w:b/>
          <w:bCs/>
          <w:sz w:val="28"/>
          <w:szCs w:val="28"/>
        </w:rPr>
      </w:pPr>
    </w:p>
    <w:p>
      <w:pPr>
        <w:pStyle w:val="BodyText"/>
        <w:spacing w:line="316" w:lineRule="auto"/>
        <w:ind w:right="0" w:firstLine="397"/>
        <w:jc w:val="left"/>
      </w:pPr>
      <w:r>
        <w:rPr/>
        <w:t>管理层负责按照企业会计准则的规定编制财务报表，使其实现公允反映，并设计、执行和维护必要的内部控制，以使 财务报表不存在由于舞弊或错误导致的重大错报。</w:t>
      </w:r>
    </w:p>
    <w:p>
      <w:pPr>
        <w:pStyle w:val="BodyText"/>
        <w:spacing w:line="214" w:lineRule="exact"/>
        <w:ind w:left="551" w:right="0"/>
        <w:jc w:val="left"/>
      </w:pPr>
      <w:r>
        <w:rPr/>
        <w:t>在编制财务报表时，管理层负责评估贵公司的持续经营能力，披露与持续经营相关的事项（如适用），并运用持续经</w:t>
      </w:r>
    </w:p>
    <w:p>
      <w:pPr>
        <w:spacing w:after="0" w:line="214" w:lineRule="exact"/>
        <w:jc w:val="left"/>
        <w:sectPr>
          <w:pgSz w:w="11910" w:h="16840"/>
          <w:pgMar w:header="877" w:footer="979" w:top="1100" w:bottom="1160" w:left="980" w:right="0"/>
        </w:sectPr>
      </w:pPr>
    </w:p>
    <w:p>
      <w:pPr>
        <w:spacing w:line="240" w:lineRule="auto" w:before="10"/>
        <w:rPr>
          <w:rFonts w:ascii="宋体" w:hAnsi="宋体" w:cs="宋体" w:eastAsia="宋体" w:hint="default"/>
          <w:sz w:val="18"/>
          <w:szCs w:val="18"/>
        </w:rPr>
      </w:pPr>
    </w:p>
    <w:p>
      <w:pPr>
        <w:pStyle w:val="BodyText"/>
        <w:spacing w:line="240" w:lineRule="auto" w:before="44"/>
        <w:ind w:left="551" w:right="5713" w:hanging="398"/>
        <w:jc w:val="left"/>
      </w:pPr>
      <w:r>
        <w:rPr/>
        <w:t>营假设，除非计划进行清算、终止运营或别无其他现实的选择。 治理层负责监督贵公司的财务报告过程。</w:t>
      </w:r>
    </w:p>
    <w:p>
      <w:pPr>
        <w:spacing w:line="240" w:lineRule="auto" w:before="2"/>
        <w:rPr>
          <w:rFonts w:ascii="宋体" w:hAnsi="宋体" w:cs="宋体" w:eastAsia="宋体" w:hint="default"/>
          <w:sz w:val="24"/>
          <w:szCs w:val="24"/>
        </w:rPr>
      </w:pPr>
    </w:p>
    <w:p>
      <w:pPr>
        <w:pStyle w:val="Heading3"/>
        <w:spacing w:line="240" w:lineRule="auto"/>
        <w:ind w:right="0"/>
        <w:jc w:val="left"/>
        <w:rPr>
          <w:b w:val="0"/>
          <w:bCs w:val="0"/>
        </w:rPr>
      </w:pPr>
      <w:r>
        <w:rPr/>
        <w:t>六、注册会计师对财务报表审计的责任</w:t>
      </w:r>
      <w:r>
        <w:rPr>
          <w:b w:val="0"/>
          <w:bCs w:val="0"/>
        </w:rPr>
      </w:r>
    </w:p>
    <w:p>
      <w:pPr>
        <w:spacing w:line="240" w:lineRule="auto" w:before="4"/>
        <w:rPr>
          <w:rFonts w:ascii="宋体" w:hAnsi="宋体" w:cs="宋体" w:eastAsia="宋体" w:hint="default"/>
          <w:b/>
          <w:bCs/>
          <w:sz w:val="25"/>
          <w:szCs w:val="25"/>
        </w:rPr>
      </w:pPr>
    </w:p>
    <w:p>
      <w:pPr>
        <w:pStyle w:val="BodyText"/>
        <w:spacing w:line="237" w:lineRule="auto"/>
        <w:ind w:right="1132" w:firstLine="397"/>
        <w:jc w:val="both"/>
      </w:pPr>
      <w:r>
        <w:rPr/>
        <w:t>我们的目标是对财务报表整体是否不存在由于舞弊或错误导致的重大错报获取合理保证，并出具包含审计意见的审计 </w:t>
      </w: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32" w:lineRule="exact"/>
        <w:ind w:left="551" w:right="0"/>
        <w:jc w:val="left"/>
      </w:pPr>
      <w:r>
        <w:rPr/>
        <w:t>在按照审计准则执行审计工作的过程中，我们运用职业判断，并保持职业怀疑。同时，我们也执行以下工作：</w:t>
      </w:r>
    </w:p>
    <w:p>
      <w:pPr>
        <w:pStyle w:val="BodyText"/>
        <w:spacing w:line="230" w:lineRule="auto" w:before="7"/>
        <w:ind w:right="1032" w:firstLine="325"/>
        <w:jc w:val="left"/>
      </w:pPr>
      <w:r>
        <w:rPr/>
        <w:t>（</w:t>
      </w:r>
      <w:r>
        <w:rPr>
          <w:rFonts w:ascii="Times New Roman" w:hAnsi="Times New Roman" w:cs="Times New Roman" w:eastAsia="Times New Roman" w:hint="default"/>
        </w:rPr>
        <w:t>1</w:t>
      </w:r>
      <w:r>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exact"/>
        <w:ind w:left="514" w:right="0"/>
        <w:jc w:val="left"/>
      </w:pPr>
      <w:r>
        <w:rPr/>
        <w:t>（</w:t>
      </w:r>
      <w:r>
        <w:rPr>
          <w:rFonts w:ascii="Times New Roman" w:hAnsi="Times New Roman" w:cs="Times New Roman" w:eastAsia="Times New Roman" w:hint="default"/>
        </w:rPr>
        <w:t>2</w:t>
      </w:r>
      <w:r>
        <w:rPr/>
        <w:t>）了解与审计相关的内部控制，以设计恰当的审计程序，但目的并非对内部控制的有效性发表意见。</w:t>
      </w:r>
    </w:p>
    <w:p>
      <w:pPr>
        <w:pStyle w:val="BodyText"/>
        <w:spacing w:line="233" w:lineRule="exact"/>
        <w:ind w:left="514" w:right="0"/>
        <w:jc w:val="left"/>
      </w:pPr>
      <w:r>
        <w:rPr/>
        <w:t>（</w:t>
      </w:r>
      <w:r>
        <w:rPr>
          <w:rFonts w:ascii="Times New Roman" w:hAnsi="Times New Roman" w:cs="Times New Roman" w:eastAsia="Times New Roman" w:hint="default"/>
        </w:rPr>
        <w:t>3</w:t>
      </w:r>
      <w:r>
        <w:rPr/>
        <w:t>）评价管理层选用会计政策的恰当性和作出会计估计及相关披露的合理性。</w:t>
      </w:r>
    </w:p>
    <w:p>
      <w:pPr>
        <w:pStyle w:val="BodyText"/>
        <w:spacing w:line="232" w:lineRule="auto"/>
        <w:ind w:right="1131" w:firstLine="360"/>
        <w:jc w:val="both"/>
      </w:pPr>
      <w:r>
        <w:rPr/>
        <w:t>（</w:t>
      </w:r>
      <w:r>
        <w:rPr>
          <w:rFonts w:ascii="Times New Roman" w:hAnsi="Times New Roman" w:cs="Times New Roman" w:eastAsia="Times New Roman" w:hint="default"/>
        </w:rPr>
        <w:t>4</w:t>
      </w:r>
      <w:r>
        <w:rPr/>
        <w:t>）对管理层使用持续经营假设的恰当性得出结论。同时，根据获取的审计证据，就可能导致对贵公司持续经营能力 </w:t>
      </w:r>
      <w:r>
        <w:rPr>
          <w:spacing w:val="-2"/>
        </w:rPr>
        <w:t>产生重大疑虑的事项或情况是否存在重大不确定性得出结论。如果我们得出结论认为存在重大不确定性，审计准则要求我们</w:t>
      </w:r>
      <w:r>
        <w:rPr>
          <w:spacing w:val="-64"/>
        </w:rPr>
        <w:t> </w:t>
      </w:r>
      <w:r>
        <w:rPr>
          <w:spacing w:val="-64"/>
        </w:rPr>
      </w:r>
      <w:r>
        <w:rPr>
          <w:spacing w:val="-2"/>
        </w:rPr>
        <w:t>在审计报告中提请报表使用者注意财务报表中的相关披露；如果披露不充分，我们应当发表非无保留意见。我们的结论基于</w:t>
      </w:r>
      <w:r>
        <w:rPr>
          <w:spacing w:val="-66"/>
        </w:rPr>
        <w:t> </w:t>
      </w:r>
      <w:r>
        <w:rPr>
          <w:spacing w:val="-66"/>
        </w:rPr>
      </w:r>
      <w:r>
        <w:rPr/>
        <w:t>截至审计报告日可获得的信息。然而，未来的事项或情况可能导致贵公司不能持续经营。</w:t>
      </w:r>
    </w:p>
    <w:p>
      <w:pPr>
        <w:pStyle w:val="BodyText"/>
        <w:spacing w:line="240" w:lineRule="auto" w:before="39"/>
        <w:ind w:left="514" w:right="0"/>
        <w:jc w:val="left"/>
      </w:pPr>
      <w:r>
        <w:rPr/>
        <w:t>（</w:t>
      </w:r>
      <w:r>
        <w:rPr>
          <w:rFonts w:ascii="Times New Roman" w:hAnsi="Times New Roman" w:cs="Times New Roman" w:eastAsia="Times New Roman" w:hint="default"/>
        </w:rPr>
        <w:t>5</w:t>
      </w:r>
      <w:r>
        <w:rPr/>
        <w:t>）评价财务报表的总体列报、结构和内容（包括披露），并评价财务报表是否公允反映相关交易和事项。</w:t>
      </w:r>
    </w:p>
    <w:p>
      <w:pPr>
        <w:pStyle w:val="BodyText"/>
        <w:spacing w:line="300" w:lineRule="auto" w:before="63"/>
        <w:ind w:right="0" w:firstLine="360"/>
        <w:jc w:val="left"/>
      </w:pPr>
      <w:r>
        <w:rPr>
          <w:spacing w:val="-2"/>
        </w:rPr>
        <w:t>（</w:t>
      </w:r>
      <w:r>
        <w:rPr>
          <w:rFonts w:ascii="Times New Roman" w:hAnsi="Times New Roman" w:cs="Times New Roman" w:eastAsia="Times New Roman" w:hint="default"/>
          <w:spacing w:val="-2"/>
        </w:rPr>
        <w:t>6</w:t>
      </w:r>
      <w:r>
        <w:rPr>
          <w:spacing w:val="-2"/>
        </w:rPr>
        <w:t>）就贵公司中实体或业务活动的财务信息获取充分、适当的审计证据，以对财务报表发表审计意见。我们负责指导、</w:t>
      </w:r>
      <w:r>
        <w:rPr/>
        <w:t> 监督和执行集团审计，并对审计意见承担全部责任。</w:t>
      </w:r>
    </w:p>
    <w:p>
      <w:pPr>
        <w:pStyle w:val="BodyText"/>
        <w:spacing w:line="234" w:lineRule="exact" w:before="13"/>
        <w:ind w:right="0" w:firstLine="397"/>
        <w:jc w:val="left"/>
      </w:pPr>
      <w:r>
        <w:rPr/>
        <w:t>我们与治理层就计划的审计范围、时间安排和重大审计发现等事项进行沟通，包括沟通我们在审计中识别出的值得关 注的内部控制缺陷。</w:t>
      </w:r>
    </w:p>
    <w:p>
      <w:pPr>
        <w:pStyle w:val="BodyText"/>
        <w:spacing w:line="232" w:lineRule="exact" w:before="1"/>
        <w:ind w:right="0" w:firstLine="397"/>
        <w:jc w:val="left"/>
      </w:pPr>
      <w:r>
        <w:rPr/>
        <w:t>我们还就已遵守与独立性相关的职业道德要求向治理层提供声明，并与治理层沟通可能被合理认为影响我们独立性的 所有关系和其他事项，以及相关的防范措施（如适用）。</w:t>
      </w:r>
    </w:p>
    <w:p>
      <w:pPr>
        <w:pStyle w:val="BodyText"/>
        <w:spacing w:line="232" w:lineRule="exact" w:before="2"/>
        <w:ind w:right="0" w:firstLine="397"/>
        <w:jc w:val="left"/>
      </w:pPr>
      <w:r>
        <w:rPr/>
        <w:t>从与治理层沟通过的事项中，我们确定哪些事项对本期财务报表审计最为重要，因而构成关键审计事项。我们在审计 </w:t>
      </w:r>
      <w:r>
        <w:rPr>
          <w:spacing w:val="-2"/>
        </w:rPr>
        <w:t>报告中描述这些事项，除非法律法规禁止公开披露这些事项，或在极少数情形下，如果合理预期在审计报告中沟通某事项造</w:t>
      </w:r>
    </w:p>
    <w:p>
      <w:pPr>
        <w:pStyle w:val="BodyText"/>
        <w:spacing w:line="213" w:lineRule="exact"/>
        <w:ind w:right="0"/>
        <w:jc w:val="left"/>
      </w:pPr>
      <w:r>
        <w:rPr/>
        <w:t>成的负面后果超过在公众利益方面产生的益处，我们确定不应在审计报告中沟通该事项。</w:t>
      </w:r>
    </w:p>
    <w:p>
      <w:pPr>
        <w:spacing w:line="240" w:lineRule="auto" w:before="3"/>
        <w:rPr>
          <w:rFonts w:ascii="宋体" w:hAnsi="宋体" w:cs="宋体" w:eastAsia="宋体" w:hint="default"/>
          <w:sz w:val="22"/>
          <w:szCs w:val="22"/>
        </w:rPr>
      </w:pPr>
    </w:p>
    <w:p>
      <w:pPr>
        <w:pStyle w:val="Heading2"/>
        <w:spacing w:line="240" w:lineRule="auto"/>
        <w:ind w:right="0"/>
        <w:jc w:val="left"/>
        <w:rPr>
          <w:b w:val="0"/>
          <w:bCs w:val="0"/>
        </w:rPr>
      </w:pPr>
      <w:bookmarkStart w:name="二、财务报表" w:id="155"/>
      <w:bookmarkEnd w:id="155"/>
      <w:r>
        <w:rPr>
          <w:b w:val="0"/>
          <w:bCs w:val="0"/>
        </w:rPr>
      </w: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1、合并资产负债表" w:id="156"/>
      <w:bookmarkEnd w:id="156"/>
      <w:r>
        <w:rPr>
          <w:b w:val="0"/>
          <w:bCs w:val="0"/>
        </w:rPr>
      </w:r>
      <w:r>
        <w:rPr>
          <w:rFonts w:ascii="Times New Roman" w:hAnsi="Times New Roman" w:cs="Times New Roman" w:eastAsia="Times New Roman" w:hint="default"/>
        </w:rPr>
        <w:t>1</w:t>
      </w:r>
      <w:r>
        <w:rPr/>
        <w:t>、合并资产负债表</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979" w:top="1100" w:bottom="1160" w:left="980" w:right="0"/>
        </w:sectPr>
      </w:pPr>
    </w:p>
    <w:p>
      <w:pPr>
        <w:pStyle w:val="BodyText"/>
        <w:spacing w:line="240" w:lineRule="auto" w:before="44"/>
        <w:ind w:right="0"/>
        <w:jc w:val="left"/>
      </w:pPr>
      <w:r>
        <w:rPr/>
        <w:t>编制单位：宣亚国际品牌管理（北京）股份有限公司</w:t>
      </w:r>
    </w:p>
    <w:p>
      <w:pPr>
        <w:pStyle w:val="BodyText"/>
        <w:spacing w:line="240" w:lineRule="auto" w:before="117"/>
        <w:ind w:left="0" w:right="0"/>
        <w:jc w:val="right"/>
      </w:pP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w:t>
      </w:r>
      <w:r>
        <w:rPr>
          <w:spacing w:val="-46"/>
        </w:rPr>
        <w:t> </w:t>
      </w:r>
      <w:r>
        <w:rPr>
          <w:rFonts w:ascii="Times New Roman" w:hAnsi="Times New Roman" w:cs="Times New Roman" w:eastAsia="Times New Roman" w:hint="default"/>
        </w:rPr>
        <w:t>12 </w:t>
      </w:r>
      <w:r>
        <w:rPr/>
        <w:t>月</w:t>
      </w:r>
      <w:r>
        <w:rPr>
          <w:spacing w:val="-46"/>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60" w:left="980" w:right="0"/>
          <w:cols w:num="2" w:equalWidth="0">
            <w:col w:w="5716" w:space="3203"/>
            <w:col w:w="201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210,949,768.73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259,040,480.88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66"/>
        <w:gridCol w:w="3423"/>
        <w:gridCol w:w="2968"/>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157,524,826.45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288,919,821.15</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16,984,595.19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35,225,088.50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140,540,231.26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253,694,732.65</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118,152.41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126,573.98</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4,773,939.89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18,518,926.70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0"/>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14,646,178.30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7,503,501.31</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12,078,108.29</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2,030,094.31</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400,090,974.07</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576,139,398.33</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42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50,233,669.58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19,388,694.11</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36,590,096.82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7,483,551.02</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6,952,349.64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8,945,905.72</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1,404,383.56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2,110,880.86</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798,691.06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798,691.06</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814,507.12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869,880.93</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2,621,119.43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2,885,611.19</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42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100,414,817.21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42,483,214.89</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500,505,791.28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618,622,613.22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88"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 损益的金融负债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41,677,219.28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87,500,950.66</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12,037,837.41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1,842,264.94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7,478,435.64</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7,646,915.73</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17,766,010.80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27,175,332.14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2,424,268.52</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1,692,044.55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6"/>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1,809,106.51</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81,383,771.65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125,857,508.02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171"/>
        <w:gridCol w:w="3418"/>
        <w:gridCol w:w="296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81,383,771.65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125,857,568.02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4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162,000,000.00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108,000,000.00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36"/>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200,205,305.28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254,205,305.28</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39,999,113.66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3,456,934.40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85,640.42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25,760,503.00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22,657,676.31</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57,911,271.76</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93,952,015.24</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409,334,900.78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478,900,637.25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9,787,118.85</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13,864,407.95</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419,122,019.63</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492,765,045.20</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4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500,505,791.28</w:t>
            </w:r>
          </w:p>
        </w:tc>
        <w:tc>
          <w:tcPr>
            <w:tcW w:w="29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618,622,613.22</w:t>
            </w:r>
          </w:p>
        </w:tc>
      </w:tr>
    </w:tbl>
    <w:p>
      <w:pPr>
        <w:spacing w:line="240" w:lineRule="auto" w:before="3"/>
        <w:rPr>
          <w:rFonts w:ascii="Times New Roman" w:hAnsi="Times New Roman" w:cs="Times New Roman" w:eastAsia="Times New Roman" w:hint="default"/>
          <w:sz w:val="23"/>
          <w:szCs w:val="23"/>
        </w:rPr>
      </w:pPr>
    </w:p>
    <w:p>
      <w:pPr>
        <w:pStyle w:val="BodyText"/>
        <w:tabs>
          <w:tab w:pos="3600" w:val="left" w:leader="none"/>
          <w:tab w:pos="7741" w:val="left" w:leader="none"/>
        </w:tabs>
        <w:spacing w:line="240" w:lineRule="auto" w:before="44"/>
        <w:ind w:left="0" w:right="1229"/>
        <w:jc w:val="right"/>
      </w:pPr>
      <w:r>
        <w:rPr/>
        <w:t>法定代表人：张秀兵</w:t>
        <w:tab/>
        <w:t>主管会计工作负责人：宾卫</w:t>
        <w:tab/>
        <w:t>会计机构负责人：张靖</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母公司资产负债表" w:id="157"/>
      <w:bookmarkEnd w:id="157"/>
      <w:r>
        <w:rPr>
          <w:b w:val="0"/>
          <w:bCs w:val="0"/>
        </w:rPr>
      </w:r>
      <w:r>
        <w:rPr>
          <w:rFonts w:ascii="Times New Roman" w:hAnsi="Times New Roman" w:cs="Times New Roman" w:eastAsia="Times New Roman" w:hint="default"/>
        </w:rPr>
        <w:t>2</w:t>
      </w:r>
      <w:r>
        <w:rPr/>
        <w:t>、母公司资产负债表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39,554,325.41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130,329,823.34</w:t>
            </w:r>
          </w:p>
        </w:tc>
      </w:tr>
      <w:tr>
        <w:trPr>
          <w:trHeight w:val="714"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5"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 益的金融资产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73"/>
        <w:gridCol w:w="3318"/>
        <w:gridCol w:w="2966"/>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138,076,431.84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255,300,827.09</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其中：应收票据</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15,035,069.94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35,225,088.50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8"/>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123,041,361.90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220,075,738.59</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8,659.10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10,136.80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8,646,068.07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25,245,796.46</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8"/>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4,584,866.11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23,083,199.20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12,784,782.65</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6,242,465.60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10,935,783.13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1,249,215.20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210,006,050.20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418,378,264.49</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27,652,274.00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237,908,218.67</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162,510,402.87</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1,239,873.99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1,873,292.47</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256,688.74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664,647.64</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814,507.12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189,160.96</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2,604,513.79</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2,840,650.93</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270,476,076.31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168,078,154.87</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480,482,126.51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586,456,419.36</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371" w:right="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73"/>
        <w:gridCol w:w="3318"/>
        <w:gridCol w:w="2966"/>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36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益的金融负债</w:t>
            </w:r>
          </w:p>
        </w:tc>
        <w:tc>
          <w:tcPr>
            <w:tcW w:w="3318" w:type="dxa"/>
            <w:tcBorders>
              <w:top w:val="single" w:sz="4" w:space="0" w:color="000000"/>
              <w:left w:val="single" w:sz="10" w:space="0" w:color="D2D2D2"/>
              <w:bottom w:val="single" w:sz="4" w:space="0" w:color="000000"/>
              <w:right w:val="single" w:sz="4" w:space="0" w:color="000000"/>
            </w:tcBorders>
          </w:tcPr>
          <w:p>
            <w:pPr/>
          </w:p>
        </w:tc>
        <w:tc>
          <w:tcPr>
            <w:tcW w:w="296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45,341,737.92</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91,506,666.57</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12,024,673.90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240,803.77</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5,835,772.40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5,958,913.68</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12,595,112.26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19,630,422.67</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3,607,575.23</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5,071,511.14</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8"/>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79,404,871.71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122,408,317.83</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79,404,871.71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122,408,317.83</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162,000,000.00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108,000,000.00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38"/>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205,303,490.61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259,303,490.61</w:t>
            </w: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39,999,113.66</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278"/>
        <w:gridCol w:w="3314"/>
        <w:gridCol w:w="2966"/>
      </w:tblGrid>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24,485,949.64</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21,383,122.95</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49,286,928.21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75,361,487.97</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401,077,254.80</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464,048,101.53</w:t>
            </w:r>
          </w:p>
        </w:tc>
      </w:tr>
      <w:tr>
        <w:trPr>
          <w:trHeight w:val="402" w:hRule="exact"/>
        </w:trPr>
        <w:tc>
          <w:tcPr>
            <w:tcW w:w="3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480,482,126.51</w:t>
            </w:r>
          </w:p>
        </w:tc>
        <w:tc>
          <w:tcPr>
            <w:tcW w:w="2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586,456,419.36</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3、合并利润表" w:id="158"/>
      <w:bookmarkEnd w:id="158"/>
      <w:r>
        <w:rPr>
          <w:b w:val="0"/>
          <w:bCs w:val="0"/>
        </w:rPr>
      </w:r>
      <w:r>
        <w:rPr>
          <w:rFonts w:ascii="Times New Roman" w:hAnsi="Times New Roman" w:cs="Times New Roman" w:eastAsia="Times New Roman"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96"/>
        <w:gridCol w:w="3161"/>
        <w:gridCol w:w="3300"/>
      </w:tblGrid>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369,281,216.23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504,510,269.50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369,281,216.23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504,510,269.50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342,814,793.90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405,911,346.01</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221,176,989.52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270,641,404.86</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2,282,999.81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2,301,287.70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77,909,360.25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76,401,292.04</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25,843,835.43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32,846,423.13</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14,684,127.72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18,842,176.87</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-177,990.38</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-931,071.42</w:t>
            </w:r>
            <w:r>
              <w:rPr>
                <w:rFonts w:ascii="Times New Roman"/>
                <w:sz w:val="18"/>
              </w:rPr>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1,307,177.78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366,850.00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1,587,048.66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1,430,883.64</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1,095,471.55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5,809,832.83</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5,408,383.44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186,588.79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r>
        <w:rPr/>
        <w:pict>
          <v:group style="position:absolute;margin-left:212.899994pt;margin-top:92.009979pt;width:155.8pt;height:20.8pt;mso-position-horizontal-relative:page;mso-position-vertical-relative:page;z-index:-970888" coordorigin="4258,1840" coordsize="3116,416">
            <v:group style="position:absolute;left:4269;top:1852;width:2;height:393" coordorigin="4269,1852" coordsize="2,393">
              <v:shape style="position:absolute;left:4269;top:1852;width:2;height:393" coordorigin="4269,1852" coordsize="0,393" path="m4269,1852l4269,2244e" filled="false" stroked="true" strokeweight="1.140pt" strokecolor="#ffffff">
                <v:path arrowok="t"/>
              </v:shape>
            </v:group>
            <v:group style="position:absolute;left:4281;top:1852;width:3093;height:393" coordorigin="4281,1852" coordsize="3093,393">
              <v:shape style="position:absolute;left:4281;top:1852;width:3093;height:393" coordorigin="4281,1852" coordsize="3093,393" path="m4281,2244l7374,2244,7374,1852,4281,1852,4281,2244xe" filled="true" fillcolor="#ffffff" stroked="false">
                <v:path arrowok="t"/>
                <v:fill type="solid"/>
              </v:shape>
            </v:group>
            <w10:wrap type="none"/>
          </v:group>
        </w:pict>
      </w:r>
      <w:r>
        <w:rPr/>
        <w:pict>
          <v:group style="position:absolute;margin-left:212.899994pt;margin-top:299.629974pt;width:155.8pt;height:20.8pt;mso-position-horizontal-relative:page;mso-position-vertical-relative:page;z-index:-970864" coordorigin="4258,5993" coordsize="3116,416">
            <v:group style="position:absolute;left:4269;top:6004;width:2;height:393" coordorigin="4269,6004" coordsize="2,393">
              <v:shape style="position:absolute;left:4269;top:6004;width:2;height:393" coordorigin="4269,6004" coordsize="0,393" path="m4269,6004l4269,6396e" filled="false" stroked="true" strokeweight="1.140pt" strokecolor="#ffffff">
                <v:path arrowok="t"/>
              </v:shape>
            </v:group>
            <v:group style="position:absolute;left:4281;top:6004;width:3093;height:393" coordorigin="4281,6004" coordsize="3093,393">
              <v:shape style="position:absolute;left:4281;top:6004;width:3093;height:393" coordorigin="4281,6004" coordsize="3093,393" path="m4281,6396l7374,6396,7374,6004,4281,6004,4281,6396xe" filled="true" fillcolor="#ffffff" stroked="false">
                <v:path arrowok="t"/>
                <v:fill type="solid"/>
              </v:shape>
            </v:group>
            <w10:wrap type="none"/>
          </v:group>
        </w:pict>
      </w:r>
    </w:p>
    <w:tbl>
      <w:tblPr>
        <w:tblW w:w="0" w:type="auto"/>
        <w:jc w:val="left"/>
        <w:tblInd w:w="160" w:type="dxa"/>
        <w:tblLayout w:type="fixed"/>
        <w:tblCellMar>
          <w:top w:w="0" w:type="dxa"/>
          <w:left w:w="0" w:type="dxa"/>
          <w:bottom w:w="0" w:type="dxa"/>
          <w:right w:w="0" w:type="dxa"/>
        </w:tblCellMar>
        <w:tblLook w:val="01E0"/>
      </w:tblPr>
      <w:tblGrid>
        <w:gridCol w:w="3096"/>
        <w:gridCol w:w="3161"/>
        <w:gridCol w:w="3300"/>
      </w:tblGrid>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99"/>
              <w:jc w:val="right"/>
              <w:rPr>
                <w:rFonts w:ascii="宋体" w:hAnsi="宋体" w:cs="宋体" w:eastAsia="宋体" w:hint="default"/>
                <w:sz w:val="18"/>
                <w:szCs w:val="18"/>
              </w:rPr>
            </w:pPr>
            <w:r>
              <w:rPr>
                <w:rFonts w:ascii="宋体" w:hAnsi="宋体" w:cs="宋体" w:eastAsia="宋体" w:hint="default"/>
                <w:spacing w:val="-5"/>
                <w:sz w:val="18"/>
                <w:szCs w:val="18"/>
              </w:rPr>
              <w:t>投资收益（损失以</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w:t>
            </w:r>
            <w:r>
              <w:rPr>
                <w:rFonts w:ascii="宋体" w:hAnsi="宋体" w:cs="宋体" w:eastAsia="宋体" w:hint="default"/>
                <w:spacing w:val="-5"/>
                <w:sz w:val="18"/>
                <w:szCs w:val="18"/>
              </w:rPr>
              <w:t>号填列</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tabs>
                <w:tab w:pos="2250" w:val="left" w:leader="none"/>
              </w:tabs>
              <w:spacing w:line="240" w:lineRule="auto" w:before="51"/>
              <w:ind w:left="-118"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z w:val="18"/>
                <w:szCs w:val="18"/>
              </w:rPr>
              <w:t>-893,454.20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2,262,959.47</w:t>
            </w: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其中：对联营企业和合营企业 的投资收益</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-893,454.20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2,262,959.47</w:t>
            </w: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5"/>
              <w:jc w:val="right"/>
              <w:rPr>
                <w:rFonts w:ascii="宋体" w:hAnsi="宋体" w:cs="宋体" w:eastAsia="宋体" w:hint="default"/>
                <w:sz w:val="18"/>
                <w:szCs w:val="18"/>
              </w:rPr>
            </w:pPr>
            <w:r>
              <w:rPr>
                <w:rFonts w:ascii="宋体" w:hAnsi="宋体" w:cs="宋体" w:eastAsia="宋体" w:hint="default"/>
                <w:spacing w:val="-1"/>
                <w:sz w:val="18"/>
                <w:szCs w:val="18"/>
              </w:rPr>
              <w:t>汇兑收益（损失以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pacing w:val="-3"/>
                <w:sz w:val="18"/>
                <w:szCs w:val="18"/>
              </w:rPr>
              <w:t>资产处置收益（损失以</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78,260.19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49.00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31,059,611.76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101,048,520.75</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70,338.00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37,528.08</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四、利润总额（亏损总额以</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w:t>
            </w:r>
            <w:r>
              <w:rPr>
                <w:rFonts w:ascii="宋体" w:hAnsi="宋体" w:cs="宋体" w:eastAsia="宋体" w:hint="default"/>
                <w:spacing w:val="-4"/>
                <w:sz w:val="18"/>
                <w:szCs w:val="18"/>
              </w:rPr>
              <w:t>号填列</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tabs>
                <w:tab w:pos="2085" w:val="left" w:leader="none"/>
              </w:tabs>
              <w:spacing w:line="240" w:lineRule="auto" w:before="51"/>
              <w:ind w:left="-118" w:right="21"/>
              <w:jc w:val="right"/>
              <w:rPr>
                <w:rFonts w:ascii="Times New Roman" w:hAnsi="Times New Roman" w:cs="Times New Roman" w:eastAsia="Times New Roman" w:hint="default"/>
                <w:sz w:val="18"/>
                <w:szCs w:val="18"/>
              </w:rPr>
            </w:pPr>
            <w:r>
              <w:rPr>
                <w:rFonts w:ascii="宋体" w:hAnsi="宋体" w:cs="宋体" w:eastAsia="宋体" w:hint="default"/>
                <w:sz w:val="18"/>
                <w:szCs w:val="18"/>
              </w:rPr>
              <w:t>）</w:t>
              <w:tab/>
            </w:r>
            <w:r>
              <w:rPr>
                <w:rFonts w:ascii="Times New Roman" w:hAnsi="Times New Roman" w:cs="Times New Roman" w:eastAsia="Times New Roman" w:hint="default"/>
                <w:spacing w:val="-1"/>
                <w:sz w:val="18"/>
                <w:szCs w:val="18"/>
              </w:rPr>
              <w:t>30,989,473.76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101,010,992.67</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9,446,575.31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19,088,992.61</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21,542,898.45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81,922,000.06</w:t>
            </w: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p>
          <w:p>
            <w:pPr>
              <w:pStyle w:val="TableParagraph"/>
              <w:spacing w:line="240" w:lineRule="auto" w:before="77"/>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21,542,898.45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81,922,000.06</w:t>
            </w: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p>
          <w:p>
            <w:pPr>
              <w:pStyle w:val="TableParagraph"/>
              <w:spacing w:line="240" w:lineRule="auto" w:before="78"/>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21,062,083.21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74,956,482.53</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480,815.24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6,965,517.53</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3,371,293.98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-258,416.65</w:t>
            </w:r>
            <w:r>
              <w:rPr>
                <w:rFonts w:ascii="Times New Roman"/>
                <w:sz w:val="18"/>
              </w:rPr>
            </w: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 税后净额</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3,371,293.98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-258,416.65</w:t>
            </w:r>
            <w:r>
              <w:rPr>
                <w:rFonts w:ascii="Times New Roman"/>
                <w:sz w:val="18"/>
              </w:rPr>
            </w: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4"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（一）不能重分类进损益的其他综 合收益</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重新计量设定受益计划变</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动额</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3"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（二）将重分类进损益的其他综合 收益</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3,371,293.98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-258,416.65</w:t>
            </w:r>
            <w:r>
              <w:rPr>
                <w:rFonts w:ascii="Times New Roman"/>
                <w:sz w:val="18"/>
              </w:rPr>
            </w: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综合收益</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w:t>
            </w:r>
          </w:p>
          <w:p>
            <w:pPr>
              <w:pStyle w:val="TableParagraph"/>
              <w:spacing w:line="240" w:lineRule="auto" w:before="64"/>
              <w:ind w:left="11" w:right="0"/>
              <w:jc w:val="left"/>
              <w:rPr>
                <w:rFonts w:ascii="宋体" w:hAnsi="宋体" w:cs="宋体" w:eastAsia="宋体" w:hint="default"/>
                <w:sz w:val="18"/>
                <w:szCs w:val="18"/>
              </w:rPr>
            </w:pPr>
            <w:r>
              <w:rPr>
                <w:rFonts w:ascii="宋体" w:hAnsi="宋体" w:cs="宋体" w:eastAsia="宋体" w:hint="default"/>
                <w:sz w:val="18"/>
                <w:szCs w:val="18"/>
              </w:rPr>
              <w:t>值变动损益</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5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1"/>
                <w:sz w:val="18"/>
                <w:szCs w:val="18"/>
              </w:rPr>
              <w:t>持有至到期投资重分类为</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3096"/>
        <w:gridCol w:w="3161"/>
        <w:gridCol w:w="3300"/>
      </w:tblGrid>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可供出售金融资产损益</w:t>
            </w:r>
          </w:p>
        </w:tc>
        <w:tc>
          <w:tcPr>
            <w:tcW w:w="3161" w:type="dxa"/>
            <w:tcBorders>
              <w:top w:val="single" w:sz="4" w:space="0" w:color="000000"/>
              <w:left w:val="single" w:sz="9"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现金流量套期损益的有效</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部分</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38"/>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外币财务报表折算差额</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3,371,293.98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-258,416.65</w:t>
            </w:r>
            <w:r>
              <w:rPr>
                <w:rFonts w:ascii="Times New Roman"/>
                <w:sz w:val="18"/>
              </w:rPr>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3"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 后净额</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24,914,192.43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81,663,583.41</w:t>
            </w:r>
          </w:p>
        </w:tc>
      </w:tr>
      <w:tr>
        <w:trPr>
          <w:trHeight w:val="714"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24,433,377.19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74,698,065.88</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93"/>
              <w:jc w:val="righ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480,815.24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6,965,517.53</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31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1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0.13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0.48</w:t>
            </w:r>
          </w:p>
        </w:tc>
      </w:tr>
    </w:tbl>
    <w:p>
      <w:pPr>
        <w:spacing w:line="240" w:lineRule="auto" w:before="3"/>
        <w:rPr>
          <w:rFonts w:ascii="Times New Roman" w:hAnsi="Times New Roman" w:cs="Times New Roman" w:eastAsia="Times New Roman" w:hint="default"/>
          <w:sz w:val="23"/>
          <w:szCs w:val="23"/>
        </w:rPr>
      </w:pPr>
    </w:p>
    <w:p>
      <w:pPr>
        <w:pStyle w:val="BodyText"/>
        <w:tabs>
          <w:tab w:pos="3600" w:val="left" w:leader="none"/>
          <w:tab w:pos="7741" w:val="left" w:leader="none"/>
        </w:tabs>
        <w:spacing w:line="240" w:lineRule="auto" w:before="44"/>
        <w:ind w:left="0" w:right="1229"/>
        <w:jc w:val="right"/>
      </w:pPr>
      <w:r>
        <w:rPr/>
        <w:t>法定代表人：张秀兵</w:t>
        <w:tab/>
        <w:t>主管会计工作负责人：宾卫</w:t>
        <w:tab/>
        <w:t>会计机构负责人：张靖</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4、母公司利润表" w:id="159"/>
      <w:bookmarkEnd w:id="159"/>
      <w:r>
        <w:rPr>
          <w:b w:val="0"/>
          <w:bCs w:val="0"/>
        </w:rPr>
      </w:r>
      <w:r>
        <w:rPr>
          <w:rFonts w:ascii="Times New Roman" w:hAnsi="Times New Roman" w:cs="Times New Roman" w:eastAsia="Times New Roman" w:hint="default"/>
        </w:rPr>
        <w:t>4</w:t>
      </w:r>
      <w:r>
        <w:rPr/>
        <w:t>、母公司利润表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33"/>
        <w:gridCol w:w="2736"/>
        <w:gridCol w:w="3300"/>
      </w:tblGrid>
      <w:tr>
        <w:trPr>
          <w:trHeight w:val="401"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308,198,944.72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431,227,325.22</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194,692,442.54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260,060,738.03</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1,947,043.37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1,672,047.94</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64,493,586.30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65,980,981.98</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20,368,155.10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30,290,518.24</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562,494.88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-457,227.85</w:t>
            </w:r>
            <w:r>
              <w:rPr>
                <w:rFonts w:ascii="Times New Roman"/>
                <w:sz w:val="18"/>
              </w:rPr>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23"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1,307,177.78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366,850.00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3" w:right="0"/>
              <w:jc w:val="center"/>
              <w:rPr>
                <w:rFonts w:ascii="宋体" w:hAnsi="宋体" w:cs="宋体" w:eastAsia="宋体" w:hint="default"/>
                <w:sz w:val="18"/>
                <w:szCs w:val="18"/>
              </w:rPr>
            </w:pPr>
            <w:r>
              <w:rPr>
                <w:rFonts w:ascii="宋体" w:hAnsi="宋体" w:cs="宋体" w:eastAsia="宋体" w:hint="default"/>
                <w:sz w:val="18"/>
                <w:szCs w:val="18"/>
              </w:rPr>
              <w:t>利息收入</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826,637.53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935,468.01</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1,085,721.55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5,809,832.83</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5,328,633.11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137,663.00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743"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8,276,278.02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2,481,025.71</w:t>
            </w:r>
          </w:p>
        </w:tc>
      </w:tr>
      <w:tr>
        <w:trPr>
          <w:trHeight w:val="715"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43"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资收益</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-893,454.20</w:t>
            </w:r>
            <w:r>
              <w:rPr>
                <w:rFonts w:ascii="Times New Roman"/>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2,262,959.47</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49" w:type="dxa"/>
        <w:tblLayout w:type="fixed"/>
        <w:tblCellMar>
          <w:top w:w="0" w:type="dxa"/>
          <w:left w:w="0" w:type="dxa"/>
          <w:bottom w:w="0" w:type="dxa"/>
          <w:right w:w="0" w:type="dxa"/>
        </w:tblCellMar>
        <w:tblLook w:val="01E0"/>
      </w:tblPr>
      <w:tblGrid>
        <w:gridCol w:w="3533"/>
        <w:gridCol w:w="2736"/>
        <w:gridCol w:w="3300"/>
      </w:tblGrid>
      <w:tr>
        <w:trPr>
          <w:trHeight w:val="714"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43"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8"/>
              <w:jc w:val="right"/>
              <w:rPr>
                <w:rFonts w:ascii="宋体" w:hAnsi="宋体" w:cs="宋体" w:eastAsia="宋体" w:hint="default"/>
                <w:sz w:val="18"/>
                <w:szCs w:val="18"/>
              </w:rPr>
            </w:pPr>
            <w:r>
              <w:rPr>
                <w:rFonts w:ascii="宋体" w:hAnsi="宋体" w:cs="宋体" w:eastAsia="宋体" w:hint="default"/>
                <w:spacing w:val="-1"/>
                <w:sz w:val="18"/>
                <w:szCs w:val="18"/>
              </w:rPr>
              <w:t>资产处置收益（损失以</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号填列）</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78,260.19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38,732,672.30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70,489,171.76</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38,728,672.30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70,489,171.76</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7,700,405.37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17,091,802.13</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31,028,266.93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53,397,369.63</w:t>
            </w:r>
          </w:p>
        </w:tc>
      </w:tr>
      <w:tr>
        <w:trPr>
          <w:trHeight w:val="714"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31,028,266.93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53,397,369.63</w:t>
            </w:r>
          </w:p>
        </w:tc>
      </w:tr>
      <w:tr>
        <w:trPr>
          <w:trHeight w:val="714"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97"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号填列）</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
                <w:sz w:val="18"/>
                <w:szCs w:val="18"/>
              </w:rPr>
              <w:t>重新计量设定受益计划变动额</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权益法下不能转损益的其他综</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78"/>
              <w:jc w:val="righ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权益法下可转损益的其他综合</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可供出售金融资产公允价值变</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动损益</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23" w:firstLine="90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持有至到期投资重分类为可供 出售金融资产损益</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23"/>
              <w:jc w:val="righ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
                <w:sz w:val="18"/>
                <w:szCs w:val="18"/>
              </w:rPr>
              <w:t>现金流量套期损益的有效部分</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外币财务报表折算差额</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其他</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273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31,028,266.93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53,397,369.63</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273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736"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736"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100" w:bottom="11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9"/>
          <w:szCs w:val="29"/>
        </w:rPr>
      </w:pPr>
    </w:p>
    <w:p>
      <w:pPr>
        <w:pStyle w:val="Heading4"/>
        <w:spacing w:line="240" w:lineRule="auto" w:before="35"/>
        <w:ind w:right="0"/>
        <w:jc w:val="left"/>
        <w:rPr>
          <w:b w:val="0"/>
          <w:bCs w:val="0"/>
        </w:rPr>
      </w:pPr>
      <w:bookmarkStart w:name="5、合并现金流量表" w:id="160"/>
      <w:bookmarkEnd w:id="160"/>
      <w:r>
        <w:rPr>
          <w:b w:val="0"/>
          <w:bCs w:val="0"/>
        </w:rPr>
      </w:r>
      <w:r>
        <w:rPr>
          <w:rFonts w:ascii="Times New Roman" w:hAnsi="Times New Roman" w:cs="Times New Roman" w:eastAsia="Times New Roman"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532,625,105.63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445,317,830.08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处置以公允价值计量且其变动计 入当期损益的金融资产净增加额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58,554,854.53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34,832,825.85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591,179,960.16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480,150,655.93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272,356,818.54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293,049,503.59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89,416,106.37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97,532,791.22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31,418,013.32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35,388,785.88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83,700,661.58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83,941,085.86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476,891,599.81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509,912,166.55</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114,288,360.35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-29,761,510.62</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39"/>
        <w:gridCol w:w="3318"/>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5"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140,000.00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140,000.00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4,316,074.00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61,591,985.22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71,849,789.22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21,816,074.00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-71,769,789.22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-21,676,074.00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6,860,000.00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264,686,366.48</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56,860,000.00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264,686,366.48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60,016,175.61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37,920,296.70</w:t>
            </w:r>
          </w:p>
        </w:tc>
      </w:tr>
      <w:tr>
        <w:trPr>
          <w:trHeight w:val="714"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4,708,997.83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39,999,113.66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12,367,075.98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150,015,289.27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60,287,372.68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-93,155,289.27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204,398,993.80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35"/>
              <w:jc w:val="right"/>
              <w:rPr>
                <w:rFonts w:ascii="宋体" w:hAnsi="宋体" w:cs="宋体" w:eastAsia="宋体" w:hint="default"/>
                <w:sz w:val="18"/>
                <w:szCs w:val="18"/>
              </w:rPr>
            </w:pPr>
            <w:r>
              <w:rPr>
                <w:rFonts w:ascii="宋体" w:hAnsi="宋体" w:cs="宋体" w:eastAsia="宋体" w:hint="default"/>
                <w:sz w:val="18"/>
                <w:szCs w:val="18"/>
              </w:rPr>
              <w:t>四、汇率变动对现金及现金等价物的</w:t>
            </w:r>
          </w:p>
        </w:tc>
        <w:tc>
          <w:tcPr>
            <w:tcW w:w="331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2,545,119.65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-258,416.65</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36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影响</w:t>
            </w:r>
          </w:p>
        </w:tc>
        <w:tc>
          <w:tcPr>
            <w:tcW w:w="3314" w:type="dxa"/>
            <w:tcBorders>
              <w:top w:val="single" w:sz="4" w:space="0" w:color="000000"/>
              <w:left w:val="single" w:sz="13" w:space="0" w:color="D2D2D2"/>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-48,091,598.49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152,702,992.53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259,040,480.88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106,337,488.35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210,948,882.39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259,040,480.88</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0"/>
        <w:jc w:val="left"/>
        <w:rPr>
          <w:b w:val="0"/>
          <w:bCs w:val="0"/>
        </w:rPr>
      </w:pPr>
      <w:bookmarkStart w:name="6、母公司现金流量表" w:id="161"/>
      <w:bookmarkEnd w:id="161"/>
      <w:r>
        <w:rPr>
          <w:b w:val="0"/>
          <w:bCs w:val="0"/>
        </w:rPr>
      </w:r>
      <w:r>
        <w:rPr>
          <w:rFonts w:ascii="Times New Roman" w:hAnsi="Times New Roman" w:cs="Times New Roman" w:eastAsia="Times New Roman"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3"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453,704,657.39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363,516,285.71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20,370,844.39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41,376,841.93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474,075,501.78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404,893,127.64</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244,159,728.24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256,140,110.58</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68,109,334.44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72,527,815.45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24,814,525.01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29,738,070.80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45,008,724.23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72,253,665.66</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382,092,311.92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430,659,662.49</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91,983,189.86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-25,766,534.85</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27,668,065.31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1,970,560.93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80,000.00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27,748,065.31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1,970,560.93</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1,804.00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104,943,544.00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109,455,694.51</w:t>
            </w: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10"/>
        <w:rPr>
          <w:rFonts w:ascii="Times New Roman" w:hAnsi="Times New Roman" w:cs="Times New Roman" w:eastAsia="Times New Roman" w:hint="default"/>
          <w:sz w:val="27"/>
          <w:szCs w:val="27"/>
        </w:rPr>
      </w:pPr>
    </w:p>
    <w:tbl>
      <w:tblPr>
        <w:tblW w:w="0" w:type="auto"/>
        <w:jc w:val="left"/>
        <w:tblInd w:w="160" w:type="dxa"/>
        <w:tblLayout w:type="fixed"/>
        <w:tblCellMar>
          <w:top w:w="0" w:type="dxa"/>
          <w:left w:w="0" w:type="dxa"/>
          <w:bottom w:w="0" w:type="dxa"/>
          <w:right w:w="0" w:type="dxa"/>
        </w:tblCellMar>
        <w:tblLook w:val="01E0"/>
      </w:tblPr>
      <w:tblGrid>
        <w:gridCol w:w="2943"/>
        <w:gridCol w:w="3314"/>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10,256,000.00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115,201,348.00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109,455,694.51</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-87,453,282.69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-107,485,133.58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264,686,366.48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264,686,366.48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50,000,000.00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55,307,177.78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36,161,184.30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39,999,113.66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12,367,075.98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145,306,291.44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58,528,260.28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-95,306,291.44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206,158,106.20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40"/>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-90,776,384.27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72,906,437.77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130,329,823.34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57,423,385.57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39,553,439.07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130,329,823.34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100" w:bottom="1160" w:left="980" w:right="0"/>
        </w:sectPr>
      </w:pPr>
    </w:p>
    <w:p>
      <w:pPr>
        <w:spacing w:line="240" w:lineRule="auto" w:before="4"/>
        <w:rPr>
          <w:rFonts w:ascii="Times New Roman" w:hAnsi="Times New Roman" w:cs="Times New Roman" w:eastAsia="Times New Roman" w:hint="default"/>
          <w:sz w:val="3"/>
          <w:szCs w:val="3"/>
        </w:rPr>
      </w:pPr>
    </w:p>
    <w:p>
      <w:pPr>
        <w:spacing w:line="20" w:lineRule="exact"/>
        <w:ind w:left="74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Heading4"/>
        <w:spacing w:line="240" w:lineRule="auto"/>
        <w:ind w:left="780" w:right="0"/>
        <w:jc w:val="left"/>
        <w:rPr>
          <w:b w:val="0"/>
          <w:bCs w:val="0"/>
        </w:rPr>
      </w:pPr>
      <w:bookmarkStart w:name="7、合并所有者权益变动表" w:id="162"/>
      <w:bookmarkEnd w:id="162"/>
      <w:r>
        <w:rPr>
          <w:b w:val="0"/>
          <w:bCs w:val="0"/>
        </w:rPr>
      </w:r>
      <w:r>
        <w:rPr>
          <w:rFonts w:ascii="Times New Roman" w:hAnsi="Times New Roman" w:cs="Times New Roman" w:eastAsia="Times New Roman"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780" w:right="0"/>
        <w:jc w:val="left"/>
      </w:pPr>
      <w:r>
        <w:rPr/>
        <w:t>本期金额</w:t>
      </w:r>
    </w:p>
    <w:p>
      <w:pPr>
        <w:pStyle w:val="BodyText"/>
        <w:spacing w:line="240" w:lineRule="auto" w:before="116"/>
        <w:ind w:left="0" w:right="796"/>
        <w:jc w:val="right"/>
      </w:pPr>
      <w:r>
        <w:rPr/>
        <w:t>单位：元</w:t>
      </w:r>
    </w:p>
    <w:p>
      <w:pPr>
        <w:spacing w:line="240" w:lineRule="auto" w:before="1"/>
        <w:rPr>
          <w:rFonts w:ascii="宋体" w:hAnsi="宋体" w:cs="宋体" w:eastAsia="宋体" w:hint="default"/>
          <w:sz w:val="8"/>
          <w:szCs w:val="8"/>
        </w:rPr>
      </w:pPr>
    </w:p>
    <w:tbl>
      <w:tblPr>
        <w:tblW w:w="0" w:type="auto"/>
        <w:jc w:val="left"/>
        <w:tblInd w:w="111" w:type="dxa"/>
        <w:tblLayout w:type="fixed"/>
        <w:tblCellMar>
          <w:top w:w="0" w:type="dxa"/>
          <w:left w:w="0" w:type="dxa"/>
          <w:bottom w:w="0" w:type="dxa"/>
          <w:right w:w="0" w:type="dxa"/>
        </w:tblCellMar>
        <w:tblLook w:val="01E0"/>
      </w:tblPr>
      <w:tblGrid>
        <w:gridCol w:w="1406"/>
        <w:gridCol w:w="1277"/>
        <w:gridCol w:w="708"/>
        <w:gridCol w:w="1134"/>
        <w:gridCol w:w="709"/>
        <w:gridCol w:w="1417"/>
        <w:gridCol w:w="1134"/>
        <w:gridCol w:w="1134"/>
        <w:gridCol w:w="708"/>
        <w:gridCol w:w="1134"/>
        <w:gridCol w:w="851"/>
        <w:gridCol w:w="1277"/>
        <w:gridCol w:w="1134"/>
        <w:gridCol w:w="1274"/>
      </w:tblGrid>
      <w:tr>
        <w:trPr>
          <w:trHeight w:val="402" w:hRule="exact"/>
        </w:trPr>
        <w:tc>
          <w:tcPr>
            <w:tcW w:w="1406" w:type="dxa"/>
            <w:vMerge w:val="restart"/>
            <w:tcBorders>
              <w:top w:val="single" w:sz="4" w:space="0" w:color="000000"/>
              <w:left w:val="single" w:sz="4" w:space="0" w:color="000000"/>
              <w:right w:val="single" w:sz="4" w:space="0" w:color="000000"/>
            </w:tcBorders>
            <w:shd w:val="clear" w:color="auto" w:fill="D2D2D2"/>
          </w:tcPr>
          <w:p>
            <w:pPr/>
          </w:p>
        </w:tc>
        <w:tc>
          <w:tcPr>
            <w:tcW w:w="13892"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29" w:hRule="exact"/>
        </w:trPr>
        <w:tc>
          <w:tcPr>
            <w:tcW w:w="1406" w:type="dxa"/>
            <w:vMerge/>
            <w:tcBorders>
              <w:left w:val="single" w:sz="4" w:space="0" w:color="000000"/>
              <w:bottom w:val="nil" w:sz="6" w:space="0" w:color="auto"/>
              <w:right w:val="single" w:sz="4" w:space="0" w:color="000000"/>
            </w:tcBorders>
            <w:shd w:val="clear" w:color="auto" w:fill="D2D2D2"/>
          </w:tcPr>
          <w:p>
            <w:pPr/>
          </w:p>
        </w:tc>
        <w:tc>
          <w:tcPr>
            <w:tcW w:w="11484"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9" w:hRule="exact"/>
        </w:trPr>
        <w:tc>
          <w:tcPr>
            <w:tcW w:w="14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1484" w:type="dxa"/>
            <w:gridSpan w:val="11"/>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471" w:right="111" w:hanging="361"/>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3"/>
              <w:ind w:left="542" w:right="90"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8" w:hRule="exact"/>
        </w:trPr>
        <w:tc>
          <w:tcPr>
            <w:tcW w:w="1406" w:type="dxa"/>
            <w:vMerge/>
            <w:tcBorders>
              <w:left w:val="single" w:sz="4" w:space="0" w:color="000000"/>
              <w:bottom w:val="single" w:sz="4" w:space="0" w:color="FFFFFF"/>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255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2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71"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57" w:right="7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41" w:right="59"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r>
      <w:tr>
        <w:trPr>
          <w:trHeight w:val="191" w:hRule="exact"/>
        </w:trPr>
        <w:tc>
          <w:tcPr>
            <w:tcW w:w="1406" w:type="dxa"/>
            <w:vMerge w:val="restart"/>
            <w:tcBorders>
              <w:top w:val="single" w:sz="4" w:space="0" w:color="FFFFFF"/>
              <w:left w:val="single" w:sz="4" w:space="0" w:color="000000"/>
              <w:right w:val="single" w:sz="4" w:space="0" w:color="000000"/>
            </w:tcBorders>
            <w:shd w:val="clear" w:color="auto" w:fill="D2D2D2"/>
          </w:tcPr>
          <w:p>
            <w:pPr/>
          </w:p>
        </w:tc>
        <w:tc>
          <w:tcPr>
            <w:tcW w:w="1277"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551" w:type="dxa"/>
            <w:gridSpan w:val="3"/>
            <w:vMerge/>
            <w:tcBorders>
              <w:left w:val="single" w:sz="4" w:space="0" w:color="000000"/>
              <w:bottom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51"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r>
      <w:tr>
        <w:trPr>
          <w:trHeight w:val="178" w:hRule="exact"/>
        </w:trPr>
        <w:tc>
          <w:tcPr>
            <w:tcW w:w="1406"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r>
      <w:tr>
        <w:trPr>
          <w:trHeight w:val="212" w:hRule="exact"/>
        </w:trPr>
        <w:tc>
          <w:tcPr>
            <w:tcW w:w="140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1" w:hRule="exact"/>
        </w:trPr>
        <w:tc>
          <w:tcPr>
            <w:tcW w:w="14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13" w:right="0"/>
              <w:jc w:val="left"/>
              <w:rPr>
                <w:rFonts w:ascii="Times New Roman" w:hAnsi="Times New Roman" w:cs="Times New Roman" w:eastAsia="Times New Roman" w:hint="default"/>
                <w:sz w:val="18"/>
                <w:szCs w:val="18"/>
              </w:rPr>
            </w:pPr>
            <w:r>
              <w:rPr>
                <w:rFonts w:ascii="Times New Roman"/>
                <w:sz w:val="18"/>
              </w:rPr>
              <w:t>108,000,000.00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60" w:right="0"/>
              <w:jc w:val="lef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361" w:right="0"/>
              <w:jc w:val="left"/>
              <w:rPr>
                <w:rFonts w:ascii="Times New Roman" w:hAnsi="Times New Roman" w:cs="Times New Roman" w:eastAsia="Times New Roman" w:hint="default"/>
                <w:sz w:val="18"/>
                <w:szCs w:val="18"/>
              </w:rPr>
            </w:pPr>
            <w:r>
              <w:rPr>
                <w:rFonts w:ascii="Times New Roman"/>
                <w:sz w:val="18"/>
              </w:rPr>
              <w:t>0.00</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60" w:right="0"/>
              <w:jc w:val="left"/>
              <w:rPr>
                <w:rFonts w:ascii="Times New Roman" w:hAnsi="Times New Roman" w:cs="Times New Roman" w:eastAsia="Times New Roman" w:hint="default"/>
                <w:sz w:val="18"/>
                <w:szCs w:val="18"/>
              </w:rPr>
            </w:pPr>
            <w:r>
              <w:rPr>
                <w:rFonts w:ascii="Times New Roman"/>
                <w:sz w:val="18"/>
              </w:rPr>
              <w:t>254,205,305.28</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0"/>
              <w:jc w:val="righ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22"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80" w:right="0"/>
              <w:jc w:val="left"/>
              <w:rPr>
                <w:rFonts w:ascii="Times New Roman" w:hAnsi="Times New Roman" w:cs="Times New Roman" w:eastAsia="Times New Roman" w:hint="default"/>
                <w:sz w:val="18"/>
                <w:szCs w:val="18"/>
              </w:rPr>
            </w:pPr>
            <w:r>
              <w:rPr>
                <w:rFonts w:ascii="Times New Roman"/>
                <w:sz w:val="18"/>
              </w:rPr>
              <w:t>85,640.42</w:t>
            </w:r>
          </w:p>
        </w:tc>
        <w:tc>
          <w:tcPr>
            <w:tcW w:w="708" w:type="dxa"/>
            <w:vMerge w:val="restart"/>
            <w:tcBorders>
              <w:top w:val="single" w:sz="22"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359" w:right="0"/>
              <w:jc w:val="lef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6" w:right="0"/>
              <w:jc w:val="left"/>
              <w:rPr>
                <w:rFonts w:ascii="Times New Roman" w:hAnsi="Times New Roman" w:cs="Times New Roman" w:eastAsia="Times New Roman" w:hint="default"/>
                <w:sz w:val="18"/>
                <w:szCs w:val="18"/>
              </w:rPr>
            </w:pPr>
            <w:r>
              <w:rPr>
                <w:rFonts w:ascii="Times New Roman"/>
                <w:sz w:val="18"/>
              </w:rPr>
              <w:t>22,657,676.31</w:t>
            </w:r>
          </w:p>
        </w:tc>
        <w:tc>
          <w:tcPr>
            <w:tcW w:w="851" w:type="dxa"/>
            <w:vMerge w:val="restart"/>
            <w:tcBorders>
              <w:top w:val="single" w:sz="22"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left="505" w:right="0"/>
              <w:jc w:val="left"/>
              <w:rPr>
                <w:rFonts w:ascii="Times New Roman" w:hAnsi="Times New Roman" w:cs="Times New Roman" w:eastAsia="Times New Roman" w:hint="default"/>
                <w:sz w:val="18"/>
                <w:szCs w:val="18"/>
              </w:rPr>
            </w:pPr>
            <w:r>
              <w:rPr>
                <w:rFonts w:ascii="Times New Roman"/>
                <w:sz w:val="18"/>
              </w:rPr>
              <w:t>0.00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210" w:right="0"/>
              <w:jc w:val="left"/>
              <w:rPr>
                <w:rFonts w:ascii="Times New Roman" w:hAnsi="Times New Roman" w:cs="Times New Roman" w:eastAsia="Times New Roman" w:hint="default"/>
                <w:sz w:val="18"/>
                <w:szCs w:val="18"/>
              </w:rPr>
            </w:pPr>
            <w:r>
              <w:rPr>
                <w:rFonts w:ascii="Times New Roman"/>
                <w:sz w:val="18"/>
              </w:rPr>
              <w:t>93,952,015.24</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65" w:right="0"/>
              <w:jc w:val="left"/>
              <w:rPr>
                <w:rFonts w:ascii="Times New Roman" w:hAnsi="Times New Roman" w:cs="Times New Roman" w:eastAsia="Times New Roman" w:hint="default"/>
                <w:sz w:val="18"/>
                <w:szCs w:val="18"/>
              </w:rPr>
            </w:pPr>
            <w:r>
              <w:rPr>
                <w:rFonts w:ascii="Times New Roman"/>
                <w:sz w:val="18"/>
              </w:rPr>
              <w:t>13,864,407.95</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17" w:right="0"/>
              <w:jc w:val="left"/>
              <w:rPr>
                <w:rFonts w:ascii="Times New Roman" w:hAnsi="Times New Roman" w:cs="Times New Roman" w:eastAsia="Times New Roman" w:hint="default"/>
                <w:sz w:val="18"/>
                <w:szCs w:val="18"/>
              </w:rPr>
            </w:pPr>
            <w:r>
              <w:rPr>
                <w:rFonts w:ascii="Times New Roman"/>
                <w:sz w:val="18"/>
              </w:rPr>
              <w:t>492,765,045.20</w:t>
            </w:r>
          </w:p>
        </w:tc>
      </w:tr>
      <w:tr>
        <w:trPr>
          <w:trHeight w:val="392" w:hRule="exact"/>
        </w:trPr>
        <w:tc>
          <w:tcPr>
            <w:tcW w:w="14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8"/>
                <w:sz w:val="18"/>
                <w:szCs w:val="18"/>
              </w:rPr>
              <w:t>、</w:t>
            </w:r>
            <w:r>
              <w:rPr>
                <w:rFonts w:ascii="宋体" w:hAnsi="宋体" w:cs="宋体" w:eastAsia="宋体" w:hint="default"/>
                <w:sz w:val="18"/>
                <w:szCs w:val="18"/>
              </w:rPr>
              <w:t>上年期末余额</w:t>
            </w:r>
          </w:p>
        </w:tc>
        <w:tc>
          <w:tcPr>
            <w:tcW w:w="1277"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r>
      <w:tr>
        <w:trPr>
          <w:trHeight w:val="312" w:hRule="exact"/>
        </w:trPr>
        <w:tc>
          <w:tcPr>
            <w:tcW w:w="14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r>
      <w:tr>
        <w:trPr>
          <w:trHeight w:val="714" w:hRule="exact"/>
        </w:trPr>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20"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加：会计政策</w:t>
            </w:r>
            <w:r>
              <w:rPr>
                <w:rFonts w:ascii="宋体" w:hAnsi="宋体" w:cs="宋体" w:eastAsia="宋体" w:hint="default"/>
                <w:sz w:val="18"/>
                <w:szCs w:val="18"/>
              </w:rPr>
              <w:t> 变更</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22"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312" w:hRule="exact"/>
        </w:trPr>
        <w:tc>
          <w:tcPr>
            <w:tcW w:w="14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13" w:right="0"/>
              <w:jc w:val="left"/>
              <w:rPr>
                <w:rFonts w:ascii="Times New Roman" w:hAnsi="Times New Roman" w:cs="Times New Roman" w:eastAsia="Times New Roman" w:hint="default"/>
                <w:sz w:val="18"/>
                <w:szCs w:val="18"/>
              </w:rPr>
            </w:pPr>
            <w:r>
              <w:rPr>
                <w:rFonts w:ascii="Times New Roman"/>
                <w:sz w:val="18"/>
              </w:rPr>
              <w:t>108,000,000.00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254,205,305.28</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80" w:right="0"/>
              <w:jc w:val="left"/>
              <w:rPr>
                <w:rFonts w:ascii="Times New Roman" w:hAnsi="Times New Roman" w:cs="Times New Roman" w:eastAsia="Times New Roman" w:hint="default"/>
                <w:sz w:val="18"/>
                <w:szCs w:val="18"/>
              </w:rPr>
            </w:pPr>
            <w:r>
              <w:rPr>
                <w:rFonts w:ascii="Times New Roman"/>
                <w:sz w:val="18"/>
              </w:rPr>
              <w:t>85,640.42</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22,657,676.31</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0.00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10" w:right="0"/>
              <w:jc w:val="left"/>
              <w:rPr>
                <w:rFonts w:ascii="Times New Roman" w:hAnsi="Times New Roman" w:cs="Times New Roman" w:eastAsia="Times New Roman" w:hint="default"/>
                <w:sz w:val="18"/>
                <w:szCs w:val="18"/>
              </w:rPr>
            </w:pPr>
            <w:r>
              <w:rPr>
                <w:rFonts w:ascii="Times New Roman"/>
                <w:sz w:val="18"/>
              </w:rPr>
              <w:t>93,952,015.24</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65" w:right="0"/>
              <w:jc w:val="left"/>
              <w:rPr>
                <w:rFonts w:ascii="Times New Roman" w:hAnsi="Times New Roman" w:cs="Times New Roman" w:eastAsia="Times New Roman" w:hint="default"/>
                <w:sz w:val="18"/>
                <w:szCs w:val="18"/>
              </w:rPr>
            </w:pPr>
            <w:r>
              <w:rPr>
                <w:rFonts w:ascii="Times New Roman"/>
                <w:sz w:val="18"/>
              </w:rPr>
              <w:t>13,864,407.95</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492,765,045.20</w:t>
            </w:r>
          </w:p>
        </w:tc>
      </w:tr>
      <w:tr>
        <w:trPr>
          <w:trHeight w:val="393" w:hRule="exact"/>
        </w:trPr>
        <w:tc>
          <w:tcPr>
            <w:tcW w:w="14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8"/>
                <w:sz w:val="18"/>
                <w:szCs w:val="18"/>
              </w:rPr>
              <w:t>、</w:t>
            </w:r>
            <w:r>
              <w:rPr>
                <w:rFonts w:ascii="宋体" w:hAnsi="宋体" w:cs="宋体" w:eastAsia="宋体" w:hint="default"/>
                <w:sz w:val="18"/>
                <w:szCs w:val="18"/>
              </w:rPr>
              <w:t>本年期初余额</w:t>
            </w:r>
          </w:p>
        </w:tc>
        <w:tc>
          <w:tcPr>
            <w:tcW w:w="1277"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r>
      <w:tr>
        <w:trPr>
          <w:trHeight w:val="311" w:hRule="exact"/>
        </w:trPr>
        <w:tc>
          <w:tcPr>
            <w:tcW w:w="14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r>
      <w:tr>
        <w:trPr>
          <w:trHeight w:val="1030" w:hRule="exact"/>
        </w:trPr>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20"/>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金额（减少以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39,999,113.66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3,371,293.98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3,102,826.69</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-36,040,743.48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-4,077,289.10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-73,643,025.57</w:t>
            </w:r>
          </w:p>
        </w:tc>
      </w:tr>
      <w:tr>
        <w:trPr>
          <w:trHeight w:val="715" w:hRule="exact"/>
        </w:trPr>
        <w:tc>
          <w:tcPr>
            <w:tcW w:w="14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0"/>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3,371,293.98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21,062,083.21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480,815.24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24,914,192.43</w:t>
            </w:r>
          </w:p>
        </w:tc>
      </w:tr>
    </w:tbl>
    <w:p>
      <w:pPr>
        <w:spacing w:after="0" w:line="240" w:lineRule="auto"/>
        <w:jc w:val="right"/>
        <w:rPr>
          <w:rFonts w:ascii="Times New Roman" w:hAnsi="Times New Roman" w:cs="Times New Roman" w:eastAsia="Times New Roman" w:hint="default"/>
          <w:sz w:val="18"/>
          <w:szCs w:val="18"/>
        </w:rPr>
        <w:sectPr>
          <w:headerReference w:type="default" r:id="rId23"/>
          <w:footerReference w:type="default" r:id="rId24"/>
          <w:pgSz w:w="16840" w:h="11910" w:orient="landscape"/>
          <w:pgMar w:header="867" w:footer="979" w:top="1060" w:bottom="1160" w:left="660" w:right="640"/>
          <w:pgNumType w:start="91"/>
        </w:sectPr>
      </w:pPr>
    </w:p>
    <w:p>
      <w:pPr>
        <w:spacing w:line="240" w:lineRule="auto" w:before="4"/>
        <w:rPr>
          <w:rFonts w:ascii="Times New Roman" w:hAnsi="Times New Roman" w:cs="Times New Roman" w:eastAsia="Times New Roman"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394"/>
        <w:gridCol w:w="1289"/>
        <w:gridCol w:w="708"/>
        <w:gridCol w:w="1134"/>
        <w:gridCol w:w="709"/>
        <w:gridCol w:w="1417"/>
        <w:gridCol w:w="1134"/>
        <w:gridCol w:w="1134"/>
        <w:gridCol w:w="708"/>
        <w:gridCol w:w="1134"/>
        <w:gridCol w:w="851"/>
        <w:gridCol w:w="1277"/>
        <w:gridCol w:w="1134"/>
        <w:gridCol w:w="1274"/>
      </w:tblGrid>
      <w:tr>
        <w:trPr>
          <w:trHeight w:val="416" w:hRule="exact"/>
        </w:trPr>
        <w:tc>
          <w:tcPr>
            <w:tcW w:w="1394" w:type="dxa"/>
            <w:vMerge w:val="restart"/>
            <w:tcBorders>
              <w:top w:val="single" w:sz="15" w:space="0" w:color="000000"/>
              <w:left w:val="single" w:sz="4" w:space="0" w:color="000000"/>
              <w:right w:val="single" w:sz="4" w:space="0" w:color="000000"/>
            </w:tcBorders>
            <w:shd w:val="clear" w:color="auto" w:fill="D2D2D2"/>
          </w:tcPr>
          <w:p>
            <w:pPr/>
          </w:p>
        </w:tc>
        <w:tc>
          <w:tcPr>
            <w:tcW w:w="13904" w:type="dxa"/>
            <w:gridSpan w:val="13"/>
            <w:tcBorders>
              <w:top w:val="single" w:sz="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29" w:hRule="exact"/>
        </w:trPr>
        <w:tc>
          <w:tcPr>
            <w:tcW w:w="1394" w:type="dxa"/>
            <w:vMerge/>
            <w:tcBorders>
              <w:left w:val="single" w:sz="4" w:space="0" w:color="000000"/>
              <w:bottom w:val="nil" w:sz="6" w:space="0" w:color="auto"/>
              <w:right w:val="single" w:sz="4" w:space="0" w:color="000000"/>
            </w:tcBorders>
            <w:shd w:val="clear" w:color="auto" w:fill="D2D2D2"/>
          </w:tcPr>
          <w:p>
            <w:pPr/>
          </w:p>
        </w:tc>
        <w:tc>
          <w:tcPr>
            <w:tcW w:w="11495"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9" w:hRule="exact"/>
        </w:trPr>
        <w:tc>
          <w:tcPr>
            <w:tcW w:w="13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495" w:type="dxa"/>
            <w:gridSpan w:val="11"/>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471" w:right="111" w:hanging="361"/>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542" w:right="90"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8" w:hRule="exact"/>
        </w:trPr>
        <w:tc>
          <w:tcPr>
            <w:tcW w:w="1394" w:type="dxa"/>
            <w:vMerge/>
            <w:tcBorders>
              <w:left w:val="single" w:sz="4" w:space="0" w:color="000000"/>
              <w:bottom w:val="single" w:sz="4" w:space="0" w:color="FFFFFF"/>
              <w:right w:val="single" w:sz="4" w:space="0" w:color="000000"/>
            </w:tcBorders>
            <w:shd w:val="clear" w:color="auto" w:fill="D2D2D2"/>
          </w:tcPr>
          <w:p>
            <w:pPr/>
          </w:p>
        </w:tc>
        <w:tc>
          <w:tcPr>
            <w:tcW w:w="128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255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2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71"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57" w:right="7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41" w:right="59"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r>
      <w:tr>
        <w:trPr>
          <w:trHeight w:val="191" w:hRule="exact"/>
        </w:trPr>
        <w:tc>
          <w:tcPr>
            <w:tcW w:w="1394" w:type="dxa"/>
            <w:vMerge w:val="restart"/>
            <w:tcBorders>
              <w:top w:val="single" w:sz="4" w:space="0" w:color="FFFFFF"/>
              <w:left w:val="single" w:sz="4" w:space="0" w:color="000000"/>
              <w:right w:val="single" w:sz="4" w:space="0" w:color="000000"/>
            </w:tcBorders>
            <w:shd w:val="clear" w:color="auto" w:fill="D2D2D2"/>
          </w:tcPr>
          <w:p>
            <w:pPr/>
          </w:p>
        </w:tc>
        <w:tc>
          <w:tcPr>
            <w:tcW w:w="128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551" w:type="dxa"/>
            <w:gridSpan w:val="3"/>
            <w:vMerge/>
            <w:tcBorders>
              <w:left w:val="single" w:sz="4" w:space="0" w:color="000000"/>
              <w:bottom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51"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r>
      <w:tr>
        <w:trPr>
          <w:trHeight w:val="178" w:hRule="exact"/>
        </w:trPr>
        <w:tc>
          <w:tcPr>
            <w:tcW w:w="1394" w:type="dxa"/>
            <w:vMerge/>
            <w:tcBorders>
              <w:left w:val="single" w:sz="4" w:space="0" w:color="000000"/>
              <w:right w:val="single" w:sz="4" w:space="0" w:color="000000"/>
            </w:tcBorders>
            <w:shd w:val="clear" w:color="auto" w:fill="D2D2D2"/>
          </w:tcPr>
          <w:p>
            <w:pPr/>
          </w:p>
        </w:tc>
        <w:tc>
          <w:tcPr>
            <w:tcW w:w="1289"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r>
      <w:tr>
        <w:trPr>
          <w:trHeight w:val="212" w:hRule="exact"/>
        </w:trPr>
        <w:tc>
          <w:tcPr>
            <w:tcW w:w="1394" w:type="dxa"/>
            <w:vMerge/>
            <w:tcBorders>
              <w:left w:val="single" w:sz="4" w:space="0" w:color="000000"/>
              <w:bottom w:val="single" w:sz="4" w:space="0" w:color="000000"/>
              <w:right w:val="single" w:sz="4" w:space="0" w:color="000000"/>
            </w:tcBorders>
            <w:shd w:val="clear" w:color="auto" w:fill="D2D2D2"/>
          </w:tcPr>
          <w:p>
            <w:pPr/>
          </w:p>
        </w:tc>
        <w:tc>
          <w:tcPr>
            <w:tcW w:w="128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5" w:hRule="exact"/>
        </w:trPr>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9"/>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和减少资本</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39,999,113.66</w:t>
            </w:r>
          </w:p>
        </w:tc>
        <w:tc>
          <w:tcPr>
            <w:tcW w:w="1134"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18" w:space="0" w:color="D2D2D2"/>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20"/>
                <w:szCs w:val="20"/>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-38,039,113.66</w:t>
            </w:r>
          </w:p>
        </w:tc>
      </w:tr>
      <w:tr>
        <w:trPr>
          <w:trHeight w:val="714" w:hRule="exact"/>
        </w:trPr>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1,960,000.00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1,960,000.00</w:t>
            </w:r>
          </w:p>
        </w:tc>
      </w:tr>
      <w:tr>
        <w:trPr>
          <w:trHeight w:val="716" w:hRule="exact"/>
        </w:trPr>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61" w:hRule="exact"/>
        </w:trPr>
        <w:tc>
          <w:tcPr>
            <w:tcW w:w="13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9" w:type="dxa"/>
            <w:vMerge w:val="restart"/>
            <w:tcBorders>
              <w:top w:val="single" w:sz="4" w:space="0" w:color="000000"/>
              <w:left w:val="single" w:sz="9" w:space="0" w:color="D2D2D2"/>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39,999,113.66</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0.00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3" w:right="0"/>
              <w:jc w:val="left"/>
              <w:rPr>
                <w:rFonts w:ascii="Times New Roman" w:hAnsi="Times New Roman" w:cs="Times New Roman" w:eastAsia="Times New Roman" w:hint="default"/>
                <w:sz w:val="18"/>
                <w:szCs w:val="18"/>
              </w:rPr>
            </w:pPr>
            <w:r>
              <w:rPr>
                <w:rFonts w:ascii="Times New Roman"/>
                <w:sz w:val="18"/>
              </w:rPr>
              <w:t>-39,999,113.66</w:t>
            </w:r>
          </w:p>
        </w:tc>
      </w:tr>
      <w:tr>
        <w:trPr>
          <w:trHeight w:val="392" w:hRule="exact"/>
        </w:trPr>
        <w:tc>
          <w:tcPr>
            <w:tcW w:w="13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9"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r>
      <w:tr>
        <w:trPr>
          <w:trHeight w:val="161" w:hRule="exact"/>
        </w:trPr>
        <w:tc>
          <w:tcPr>
            <w:tcW w:w="13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9"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r>
      <w:tr>
        <w:trPr>
          <w:trHeight w:val="162" w:hRule="exact"/>
        </w:trPr>
        <w:tc>
          <w:tcPr>
            <w:tcW w:w="13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9" w:type="dxa"/>
            <w:vMerge w:val="restart"/>
            <w:tcBorders>
              <w:top w:val="single" w:sz="4" w:space="0" w:color="000000"/>
              <w:left w:val="single" w:sz="9" w:space="0" w:color="D2D2D2"/>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3,102,826.69</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0.00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50" w:right="0"/>
              <w:jc w:val="left"/>
              <w:rPr>
                <w:rFonts w:ascii="Times New Roman" w:hAnsi="Times New Roman" w:cs="Times New Roman" w:eastAsia="Times New Roman" w:hint="default"/>
                <w:sz w:val="18"/>
                <w:szCs w:val="18"/>
              </w:rPr>
            </w:pPr>
            <w:r>
              <w:rPr>
                <w:rFonts w:ascii="Times New Roman"/>
                <w:sz w:val="18"/>
              </w:rPr>
              <w:t>-57,102,826.69</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-6,518,104.34</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-60,518,104.34</w:t>
            </w:r>
          </w:p>
        </w:tc>
      </w:tr>
      <w:tr>
        <w:trPr>
          <w:trHeight w:val="392" w:hRule="exact"/>
        </w:trPr>
        <w:tc>
          <w:tcPr>
            <w:tcW w:w="13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89"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r>
      <w:tr>
        <w:trPr>
          <w:trHeight w:val="161" w:hRule="exact"/>
        </w:trPr>
        <w:tc>
          <w:tcPr>
            <w:tcW w:w="13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9"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r>
      <w:tr>
        <w:trPr>
          <w:trHeight w:val="155" w:hRule="exact"/>
        </w:trPr>
        <w:tc>
          <w:tcPr>
            <w:tcW w:w="13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9" w:type="dxa"/>
            <w:vMerge w:val="restart"/>
            <w:tcBorders>
              <w:top w:val="single" w:sz="4" w:space="0" w:color="000000"/>
              <w:left w:val="single" w:sz="13" w:space="0" w:color="D2D2D2"/>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3,102,826.69</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0.00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-3,102,826.69</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13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9" w:type="dxa"/>
            <w:vMerge/>
            <w:tcBorders>
              <w:left w:val="single" w:sz="13"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r>
      <w:tr>
        <w:trPr>
          <w:trHeight w:val="155" w:hRule="exact"/>
        </w:trPr>
        <w:tc>
          <w:tcPr>
            <w:tcW w:w="13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9" w:type="dxa"/>
            <w:vMerge/>
            <w:tcBorders>
              <w:left w:val="single" w:sz="13"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r>
      <w:tr>
        <w:trPr>
          <w:trHeight w:val="714" w:hRule="exact"/>
        </w:trPr>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-6,518,104.34</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-60,518,104.34</w:t>
            </w:r>
          </w:p>
        </w:tc>
      </w:tr>
      <w:tr>
        <w:trPr>
          <w:trHeight w:val="403" w:hRule="exact"/>
        </w:trPr>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660" w:right="640"/>
        </w:sectPr>
      </w:pPr>
    </w:p>
    <w:p>
      <w:pPr>
        <w:spacing w:line="240" w:lineRule="auto" w:before="4"/>
        <w:rPr>
          <w:rFonts w:ascii="Times New Roman" w:hAnsi="Times New Roman" w:cs="Times New Roman" w:eastAsia="Times New Roman" w:hint="default"/>
          <w:sz w:val="3"/>
          <w:szCs w:val="3"/>
        </w:rPr>
      </w:pPr>
    </w:p>
    <w:tbl>
      <w:tblPr>
        <w:tblW w:w="0" w:type="auto"/>
        <w:jc w:val="left"/>
        <w:tblInd w:w="111" w:type="dxa"/>
        <w:tblLayout w:type="fixed"/>
        <w:tblCellMar>
          <w:top w:w="0" w:type="dxa"/>
          <w:left w:w="0" w:type="dxa"/>
          <w:bottom w:w="0" w:type="dxa"/>
          <w:right w:w="0" w:type="dxa"/>
        </w:tblCellMar>
        <w:tblLook w:val="01E0"/>
      </w:tblPr>
      <w:tblGrid>
        <w:gridCol w:w="1394"/>
        <w:gridCol w:w="1289"/>
        <w:gridCol w:w="708"/>
        <w:gridCol w:w="1134"/>
        <w:gridCol w:w="709"/>
        <w:gridCol w:w="1417"/>
        <w:gridCol w:w="1134"/>
        <w:gridCol w:w="1134"/>
        <w:gridCol w:w="708"/>
        <w:gridCol w:w="1134"/>
        <w:gridCol w:w="851"/>
        <w:gridCol w:w="1277"/>
        <w:gridCol w:w="1134"/>
        <w:gridCol w:w="1274"/>
      </w:tblGrid>
      <w:tr>
        <w:trPr>
          <w:trHeight w:val="416" w:hRule="exact"/>
        </w:trPr>
        <w:tc>
          <w:tcPr>
            <w:tcW w:w="1394" w:type="dxa"/>
            <w:vMerge w:val="restart"/>
            <w:tcBorders>
              <w:top w:val="single" w:sz="15" w:space="0" w:color="000000"/>
              <w:left w:val="single" w:sz="4" w:space="0" w:color="000000"/>
              <w:right w:val="single" w:sz="4" w:space="0" w:color="000000"/>
            </w:tcBorders>
            <w:shd w:val="clear" w:color="auto" w:fill="D2D2D2"/>
          </w:tcPr>
          <w:p>
            <w:pPr/>
          </w:p>
        </w:tc>
        <w:tc>
          <w:tcPr>
            <w:tcW w:w="13904" w:type="dxa"/>
            <w:gridSpan w:val="13"/>
            <w:tcBorders>
              <w:top w:val="single" w:sz="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29" w:hRule="exact"/>
        </w:trPr>
        <w:tc>
          <w:tcPr>
            <w:tcW w:w="1394" w:type="dxa"/>
            <w:vMerge/>
            <w:tcBorders>
              <w:left w:val="single" w:sz="4" w:space="0" w:color="000000"/>
              <w:bottom w:val="nil" w:sz="6" w:space="0" w:color="auto"/>
              <w:right w:val="single" w:sz="4" w:space="0" w:color="000000"/>
            </w:tcBorders>
            <w:shd w:val="clear" w:color="auto" w:fill="D2D2D2"/>
          </w:tcPr>
          <w:p>
            <w:pPr/>
          </w:p>
        </w:tc>
        <w:tc>
          <w:tcPr>
            <w:tcW w:w="11495"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69" w:hRule="exact"/>
        </w:trPr>
        <w:tc>
          <w:tcPr>
            <w:tcW w:w="13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1495" w:type="dxa"/>
            <w:gridSpan w:val="11"/>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471" w:right="111" w:hanging="361"/>
              <w:jc w:val="left"/>
              <w:rPr>
                <w:rFonts w:ascii="宋体" w:hAnsi="宋体" w:cs="宋体" w:eastAsia="宋体" w:hint="default"/>
                <w:sz w:val="18"/>
                <w:szCs w:val="18"/>
              </w:rPr>
            </w:pPr>
            <w:r>
              <w:rPr>
                <w:rFonts w:ascii="宋体" w:hAnsi="宋体" w:cs="宋体" w:eastAsia="宋体" w:hint="default"/>
                <w:sz w:val="18"/>
                <w:szCs w:val="18"/>
              </w:rPr>
              <w:t>少数股东权 益</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542" w:right="90" w:hanging="450"/>
              <w:jc w:val="left"/>
              <w:rPr>
                <w:rFonts w:ascii="宋体" w:hAnsi="宋体" w:cs="宋体" w:eastAsia="宋体" w:hint="default"/>
                <w:sz w:val="18"/>
                <w:szCs w:val="18"/>
              </w:rPr>
            </w:pPr>
            <w:r>
              <w:rPr>
                <w:rFonts w:ascii="宋体" w:hAnsi="宋体" w:cs="宋体" w:eastAsia="宋体" w:hint="default"/>
                <w:sz w:val="18"/>
                <w:szCs w:val="18"/>
              </w:rPr>
              <w:t>所有者权益合 计</w:t>
            </w:r>
          </w:p>
        </w:tc>
      </w:tr>
      <w:tr>
        <w:trPr>
          <w:trHeight w:val="208" w:hRule="exact"/>
        </w:trPr>
        <w:tc>
          <w:tcPr>
            <w:tcW w:w="1394" w:type="dxa"/>
            <w:vMerge/>
            <w:tcBorders>
              <w:left w:val="single" w:sz="4" w:space="0" w:color="000000"/>
              <w:bottom w:val="single" w:sz="4" w:space="0" w:color="FFFFFF"/>
              <w:right w:val="single" w:sz="4" w:space="0" w:color="000000"/>
            </w:tcBorders>
            <w:shd w:val="clear" w:color="auto" w:fill="D2D2D2"/>
          </w:tcPr>
          <w:p>
            <w:pPr/>
          </w:p>
        </w:tc>
        <w:tc>
          <w:tcPr>
            <w:tcW w:w="128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255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2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41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471" w:right="110" w:hanging="360"/>
              <w:jc w:val="left"/>
              <w:rPr>
                <w:rFonts w:ascii="宋体" w:hAnsi="宋体" w:cs="宋体" w:eastAsia="宋体" w:hint="default"/>
                <w:sz w:val="18"/>
                <w:szCs w:val="18"/>
              </w:rPr>
            </w:pPr>
            <w:r>
              <w:rPr>
                <w:rFonts w:ascii="宋体" w:hAnsi="宋体" w:cs="宋体" w:eastAsia="宋体" w:hint="default"/>
                <w:sz w:val="18"/>
                <w:szCs w:val="18"/>
              </w:rPr>
              <w:t>其他综合收 益</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57" w:right="78"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01"/>
              <w:ind w:left="241" w:right="59"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r>
      <w:tr>
        <w:trPr>
          <w:trHeight w:val="191" w:hRule="exact"/>
        </w:trPr>
        <w:tc>
          <w:tcPr>
            <w:tcW w:w="1394" w:type="dxa"/>
            <w:vMerge w:val="restart"/>
            <w:tcBorders>
              <w:top w:val="single" w:sz="4" w:space="0" w:color="FFFFFF"/>
              <w:left w:val="single" w:sz="4" w:space="0" w:color="000000"/>
              <w:right w:val="single" w:sz="4" w:space="0" w:color="000000"/>
            </w:tcBorders>
            <w:shd w:val="clear" w:color="auto" w:fill="D2D2D2"/>
          </w:tcPr>
          <w:p>
            <w:pPr/>
          </w:p>
        </w:tc>
        <w:tc>
          <w:tcPr>
            <w:tcW w:w="128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1"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551" w:type="dxa"/>
            <w:gridSpan w:val="3"/>
            <w:vMerge/>
            <w:tcBorders>
              <w:left w:val="single" w:sz="4" w:space="0" w:color="000000"/>
              <w:bottom w:val="single" w:sz="4" w:space="0" w:color="000000"/>
              <w:right w:val="single" w:sz="4" w:space="0" w:color="000000"/>
            </w:tcBorders>
            <w:shd w:val="clear" w:color="auto" w:fill="D2D2D2"/>
          </w:tcPr>
          <w:p>
            <w:pPr/>
          </w:p>
        </w:tc>
        <w:tc>
          <w:tcPr>
            <w:tcW w:w="141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0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51"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83"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r>
      <w:tr>
        <w:trPr>
          <w:trHeight w:val="178" w:hRule="exact"/>
        </w:trPr>
        <w:tc>
          <w:tcPr>
            <w:tcW w:w="1394" w:type="dxa"/>
            <w:vMerge/>
            <w:tcBorders>
              <w:left w:val="single" w:sz="4" w:space="0" w:color="000000"/>
              <w:right w:val="single" w:sz="4" w:space="0" w:color="000000"/>
            </w:tcBorders>
            <w:shd w:val="clear" w:color="auto" w:fill="D2D2D2"/>
          </w:tcPr>
          <w:p>
            <w:pPr/>
          </w:p>
        </w:tc>
        <w:tc>
          <w:tcPr>
            <w:tcW w:w="1289"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r>
      <w:tr>
        <w:trPr>
          <w:trHeight w:val="212" w:hRule="exact"/>
        </w:trPr>
        <w:tc>
          <w:tcPr>
            <w:tcW w:w="1394" w:type="dxa"/>
            <w:vMerge/>
            <w:tcBorders>
              <w:left w:val="single" w:sz="4" w:space="0" w:color="000000"/>
              <w:bottom w:val="single" w:sz="4" w:space="0" w:color="000000"/>
              <w:right w:val="single" w:sz="4" w:space="0" w:color="000000"/>
            </w:tcBorders>
            <w:shd w:val="clear" w:color="auto" w:fill="D2D2D2"/>
          </w:tcPr>
          <w:p>
            <w:pPr/>
          </w:p>
        </w:tc>
        <w:tc>
          <w:tcPr>
            <w:tcW w:w="128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41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3" w:hRule="exact"/>
        </w:trPr>
        <w:tc>
          <w:tcPr>
            <w:tcW w:w="13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14" w:right="0"/>
              <w:jc w:val="left"/>
              <w:rPr>
                <w:rFonts w:ascii="Times New Roman" w:hAnsi="Times New Roman" w:cs="Times New Roman" w:eastAsia="Times New Roman" w:hint="default"/>
                <w:sz w:val="18"/>
                <w:szCs w:val="18"/>
              </w:rPr>
            </w:pPr>
            <w:r>
              <w:rPr>
                <w:rFonts w:ascii="Times New Roman"/>
                <w:sz w:val="18"/>
              </w:rPr>
              <w:t>54,000,000.00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-54,000,000.00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18" w:space="0" w:color="D2D2D2"/>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vMerge w:val="restart"/>
            <w:tcBorders>
              <w:top w:val="single" w:sz="18" w:space="0" w:color="D2D2D2"/>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vMerge w:val="restart"/>
            <w:tcBorders>
              <w:top w:val="single" w:sz="18" w:space="0" w:color="D2D2D2"/>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0.00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04" w:hRule="exact"/>
        </w:trPr>
        <w:tc>
          <w:tcPr>
            <w:tcW w:w="13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51"/>
              <w:ind w:left="11" w:right="9"/>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内部结转</w:t>
            </w:r>
          </w:p>
        </w:tc>
        <w:tc>
          <w:tcPr>
            <w:tcW w:w="1289"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r>
      <w:tr>
        <w:trPr>
          <w:trHeight w:val="162" w:hRule="exact"/>
        </w:trPr>
        <w:tc>
          <w:tcPr>
            <w:tcW w:w="13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9"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r>
      <w:tr>
        <w:trPr>
          <w:trHeight w:val="156" w:hRule="exact"/>
        </w:trPr>
        <w:tc>
          <w:tcPr>
            <w:tcW w:w="13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9"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09" w:right="0"/>
              <w:jc w:val="left"/>
              <w:rPr>
                <w:rFonts w:ascii="Times New Roman" w:hAnsi="Times New Roman" w:cs="Times New Roman" w:eastAsia="Times New Roman" w:hint="default"/>
                <w:sz w:val="18"/>
                <w:szCs w:val="18"/>
              </w:rPr>
            </w:pPr>
            <w:r>
              <w:rPr>
                <w:rFonts w:ascii="Times New Roman"/>
                <w:sz w:val="18"/>
              </w:rPr>
              <w:t>54,000,000.00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90" w:right="0"/>
              <w:jc w:val="left"/>
              <w:rPr>
                <w:rFonts w:ascii="Times New Roman" w:hAnsi="Times New Roman" w:cs="Times New Roman" w:eastAsia="Times New Roman" w:hint="default"/>
                <w:sz w:val="18"/>
                <w:szCs w:val="18"/>
              </w:rPr>
            </w:pPr>
            <w:r>
              <w:rPr>
                <w:rFonts w:ascii="Times New Roman"/>
                <w:sz w:val="18"/>
              </w:rPr>
              <w:t>-54,000,000.00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0.00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04" w:hRule="exact"/>
        </w:trPr>
        <w:tc>
          <w:tcPr>
            <w:tcW w:w="13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1"/>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289" w:type="dxa"/>
            <w:vMerge/>
            <w:tcBorders>
              <w:left w:val="single" w:sz="13"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r>
      <w:tr>
        <w:trPr>
          <w:trHeight w:val="155" w:hRule="exact"/>
        </w:trPr>
        <w:tc>
          <w:tcPr>
            <w:tcW w:w="13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9" w:type="dxa"/>
            <w:vMerge/>
            <w:tcBorders>
              <w:left w:val="single" w:sz="13"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r>
      <w:tr>
        <w:trPr>
          <w:trHeight w:val="716" w:hRule="exact"/>
        </w:trPr>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3"/>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030" w:hRule="exact"/>
        </w:trPr>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3"/>
              <w:ind w:left="11"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312" w:hRule="exact"/>
        </w:trPr>
        <w:tc>
          <w:tcPr>
            <w:tcW w:w="13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24" w:right="0"/>
              <w:jc w:val="left"/>
              <w:rPr>
                <w:rFonts w:ascii="Times New Roman" w:hAnsi="Times New Roman" w:cs="Times New Roman" w:eastAsia="Times New Roman" w:hint="default"/>
                <w:sz w:val="18"/>
                <w:szCs w:val="18"/>
              </w:rPr>
            </w:pPr>
            <w:r>
              <w:rPr>
                <w:rFonts w:ascii="Times New Roman"/>
                <w:sz w:val="18"/>
              </w:rPr>
              <w:t>162,000,000.00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360" w:right="0"/>
              <w:jc w:val="lef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60" w:right="0"/>
              <w:jc w:val="left"/>
              <w:rPr>
                <w:rFonts w:ascii="Times New Roman" w:hAnsi="Times New Roman" w:cs="Times New Roman" w:eastAsia="Times New Roman" w:hint="default"/>
                <w:sz w:val="18"/>
                <w:szCs w:val="18"/>
              </w:rPr>
            </w:pPr>
            <w:r>
              <w:rPr>
                <w:rFonts w:ascii="Times New Roman"/>
                <w:sz w:val="18"/>
              </w:rPr>
              <w:t>200,205,305.28</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73" w:right="0"/>
              <w:jc w:val="left"/>
              <w:rPr>
                <w:rFonts w:ascii="Times New Roman" w:hAnsi="Times New Roman" w:cs="Times New Roman" w:eastAsia="Times New Roman" w:hint="default"/>
                <w:sz w:val="18"/>
                <w:szCs w:val="18"/>
              </w:rPr>
            </w:pPr>
            <w:r>
              <w:rPr>
                <w:rFonts w:ascii="Times New Roman"/>
                <w:sz w:val="18"/>
              </w:rPr>
              <w:t>39,999,113.66</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3,456,934.40</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359" w:right="0"/>
              <w:jc w:val="lef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25,760,503.00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505" w:right="0"/>
              <w:jc w:val="left"/>
              <w:rPr>
                <w:rFonts w:ascii="Times New Roman" w:hAnsi="Times New Roman" w:cs="Times New Roman" w:eastAsia="Times New Roman" w:hint="default"/>
                <w:sz w:val="18"/>
                <w:szCs w:val="18"/>
              </w:rPr>
            </w:pPr>
            <w:r>
              <w:rPr>
                <w:rFonts w:ascii="Times New Roman"/>
                <w:sz w:val="18"/>
              </w:rPr>
              <w:t>0.00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216" w:right="0"/>
              <w:jc w:val="left"/>
              <w:rPr>
                <w:rFonts w:ascii="Times New Roman" w:hAnsi="Times New Roman" w:cs="Times New Roman" w:eastAsia="Times New Roman" w:hint="default"/>
                <w:sz w:val="18"/>
                <w:szCs w:val="18"/>
              </w:rPr>
            </w:pPr>
            <w:r>
              <w:rPr>
                <w:rFonts w:ascii="Times New Roman"/>
                <w:sz w:val="18"/>
              </w:rPr>
              <w:t>57,911,271.76</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61" w:right="0"/>
              <w:jc w:val="left"/>
              <w:rPr>
                <w:rFonts w:ascii="Times New Roman" w:hAnsi="Times New Roman" w:cs="Times New Roman" w:eastAsia="Times New Roman" w:hint="default"/>
                <w:sz w:val="18"/>
                <w:szCs w:val="18"/>
              </w:rPr>
            </w:pPr>
            <w:r>
              <w:rPr>
                <w:rFonts w:ascii="Times New Roman"/>
                <w:sz w:val="18"/>
              </w:rPr>
              <w:t>9,787,118.85</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6"/>
                <w:szCs w:val="16"/>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419,122,019.63</w:t>
            </w:r>
          </w:p>
        </w:tc>
      </w:tr>
      <w:tr>
        <w:trPr>
          <w:trHeight w:val="392" w:hRule="exact"/>
        </w:trPr>
        <w:tc>
          <w:tcPr>
            <w:tcW w:w="13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8"/>
                <w:sz w:val="18"/>
                <w:szCs w:val="18"/>
              </w:rPr>
              <w:t>、</w:t>
            </w:r>
            <w:r>
              <w:rPr>
                <w:rFonts w:ascii="宋体" w:hAnsi="宋体" w:cs="宋体" w:eastAsia="宋体" w:hint="default"/>
                <w:sz w:val="18"/>
                <w:szCs w:val="18"/>
              </w:rPr>
              <w:t>本期期末余额</w:t>
            </w:r>
          </w:p>
        </w:tc>
        <w:tc>
          <w:tcPr>
            <w:tcW w:w="1289" w:type="dxa"/>
            <w:vMerge/>
            <w:tcBorders>
              <w:left w:val="single" w:sz="9" w:space="0" w:color="D2D2D2"/>
              <w:right w:val="single" w:sz="4" w:space="0" w:color="000000"/>
            </w:tcBorders>
          </w:tcPr>
          <w:p>
            <w:pPr/>
          </w:p>
        </w:tc>
        <w:tc>
          <w:tcPr>
            <w:tcW w:w="70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r>
      <w:tr>
        <w:trPr>
          <w:trHeight w:val="311" w:hRule="exact"/>
        </w:trPr>
        <w:tc>
          <w:tcPr>
            <w:tcW w:w="13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9" w:type="dxa"/>
            <w:vMerge/>
            <w:tcBorders>
              <w:left w:val="single" w:sz="9" w:space="0" w:color="D2D2D2"/>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660" w:right="640"/>
        </w:sectPr>
      </w:pPr>
    </w:p>
    <w:p>
      <w:pPr>
        <w:spacing w:line="240" w:lineRule="auto" w:before="4"/>
        <w:rPr>
          <w:rFonts w:ascii="Times New Roman" w:hAnsi="Times New Roman" w:cs="Times New Roman" w:eastAsia="Times New Roman" w:hint="default"/>
          <w:sz w:val="3"/>
          <w:szCs w:val="3"/>
        </w:rPr>
      </w:pPr>
    </w:p>
    <w:p>
      <w:pPr>
        <w:spacing w:line="20" w:lineRule="exact"/>
        <w:ind w:left="82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20"/>
        <w:ind w:left="860" w:right="0"/>
        <w:jc w:val="left"/>
      </w:pPr>
      <w:r>
        <w:rPr/>
        <w:t>上期金额</w:t>
      </w:r>
    </w:p>
    <w:p>
      <w:pPr>
        <w:pStyle w:val="BodyText"/>
        <w:spacing w:line="240" w:lineRule="auto" w:before="116"/>
        <w:ind w:left="0" w:right="856"/>
        <w:jc w:val="right"/>
      </w:pPr>
      <w:r>
        <w:rPr/>
        <w:t>单位：元</w:t>
      </w:r>
    </w:p>
    <w:p>
      <w:pPr>
        <w:spacing w:line="240" w:lineRule="auto" w:before="1"/>
        <w:rPr>
          <w:rFonts w:ascii="宋体" w:hAnsi="宋体" w:cs="宋体" w:eastAsia="宋体" w:hint="default"/>
          <w:sz w:val="8"/>
          <w:szCs w:val="8"/>
        </w:rPr>
      </w:pPr>
    </w:p>
    <w:tbl>
      <w:tblPr>
        <w:tblW w:w="0" w:type="auto"/>
        <w:jc w:val="left"/>
        <w:tblInd w:w="119" w:type="dxa"/>
        <w:tblLayout w:type="fixed"/>
        <w:tblCellMar>
          <w:top w:w="0" w:type="dxa"/>
          <w:left w:w="0" w:type="dxa"/>
          <w:bottom w:w="0" w:type="dxa"/>
          <w:right w:w="0" w:type="dxa"/>
        </w:tblCellMar>
        <w:tblLook w:val="01E0"/>
      </w:tblPr>
      <w:tblGrid>
        <w:gridCol w:w="1395"/>
        <w:gridCol w:w="1289"/>
        <w:gridCol w:w="850"/>
        <w:gridCol w:w="709"/>
        <w:gridCol w:w="709"/>
        <w:gridCol w:w="1274"/>
        <w:gridCol w:w="994"/>
        <w:gridCol w:w="1275"/>
        <w:gridCol w:w="851"/>
        <w:gridCol w:w="1277"/>
        <w:gridCol w:w="1134"/>
        <w:gridCol w:w="1274"/>
        <w:gridCol w:w="1134"/>
        <w:gridCol w:w="1276"/>
      </w:tblGrid>
      <w:tr>
        <w:trPr>
          <w:trHeight w:val="402" w:hRule="exact"/>
        </w:trPr>
        <w:tc>
          <w:tcPr>
            <w:tcW w:w="1395" w:type="dxa"/>
            <w:vMerge w:val="restart"/>
            <w:tcBorders>
              <w:top w:val="single" w:sz="4" w:space="0" w:color="000000"/>
              <w:left w:val="single" w:sz="4" w:space="0" w:color="000000"/>
              <w:right w:val="single" w:sz="4" w:space="0" w:color="000000"/>
            </w:tcBorders>
            <w:shd w:val="clear" w:color="auto" w:fill="D2D2D2"/>
          </w:tcPr>
          <w:p>
            <w:pPr/>
          </w:p>
        </w:tc>
        <w:tc>
          <w:tcPr>
            <w:tcW w:w="14045" w:type="dxa"/>
            <w:gridSpan w:val="1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8" w:hRule="exact"/>
        </w:trPr>
        <w:tc>
          <w:tcPr>
            <w:tcW w:w="1395" w:type="dxa"/>
            <w:vMerge/>
            <w:tcBorders>
              <w:left w:val="single" w:sz="4" w:space="0" w:color="000000"/>
              <w:bottom w:val="nil" w:sz="6" w:space="0" w:color="auto"/>
              <w:right w:val="single" w:sz="4" w:space="0" w:color="000000"/>
            </w:tcBorders>
            <w:shd w:val="clear" w:color="auto" w:fill="D2D2D2"/>
          </w:tcPr>
          <w:p>
            <w:pPr/>
          </w:p>
        </w:tc>
        <w:tc>
          <w:tcPr>
            <w:tcW w:w="11635"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4" w:hRule="exact"/>
        </w:trPr>
        <w:tc>
          <w:tcPr>
            <w:tcW w:w="13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635" w:type="dxa"/>
            <w:gridSpan w:val="11"/>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60" w:lineRule="auto" w:before="64"/>
              <w:ind w:left="382" w:right="201" w:hanging="181"/>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360" w:lineRule="auto" w:before="64"/>
              <w:ind w:left="452" w:right="181" w:hanging="270"/>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203" w:hRule="exact"/>
        </w:trPr>
        <w:tc>
          <w:tcPr>
            <w:tcW w:w="1395" w:type="dxa"/>
            <w:vMerge/>
            <w:tcBorders>
              <w:left w:val="single" w:sz="4" w:space="0" w:color="000000"/>
              <w:bottom w:val="single" w:sz="4" w:space="0" w:color="FFFFFF"/>
              <w:right w:val="single" w:sz="4" w:space="0" w:color="000000"/>
            </w:tcBorders>
            <w:shd w:val="clear" w:color="auto" w:fill="D2D2D2"/>
          </w:tcPr>
          <w:p>
            <w:pPr/>
          </w:p>
        </w:tc>
        <w:tc>
          <w:tcPr>
            <w:tcW w:w="128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226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76"/>
              <w:ind w:left="381" w:right="200"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193" w:hRule="exact"/>
        </w:trPr>
        <w:tc>
          <w:tcPr>
            <w:tcW w:w="1395" w:type="dxa"/>
            <w:vMerge w:val="restart"/>
            <w:tcBorders>
              <w:top w:val="single" w:sz="4" w:space="0" w:color="FFFFFF"/>
              <w:left w:val="single" w:sz="4" w:space="0" w:color="000000"/>
              <w:right w:val="single" w:sz="4" w:space="0" w:color="000000"/>
            </w:tcBorders>
            <w:shd w:val="clear" w:color="auto" w:fill="D2D2D2"/>
          </w:tcPr>
          <w:p>
            <w:pPr/>
          </w:p>
        </w:tc>
        <w:tc>
          <w:tcPr>
            <w:tcW w:w="128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268" w:type="dxa"/>
            <w:gridSpan w:val="3"/>
            <w:vMerge/>
            <w:tcBorders>
              <w:left w:val="single" w:sz="4" w:space="0" w:color="000000"/>
              <w:bottom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5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4"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200" w:hRule="exact"/>
        </w:trPr>
        <w:tc>
          <w:tcPr>
            <w:tcW w:w="1395" w:type="dxa"/>
            <w:vMerge/>
            <w:tcBorders>
              <w:left w:val="single" w:sz="4" w:space="0" w:color="000000"/>
              <w:right w:val="single" w:sz="4" w:space="0" w:color="000000"/>
            </w:tcBorders>
            <w:shd w:val="clear" w:color="auto" w:fill="D2D2D2"/>
          </w:tcPr>
          <w:p>
            <w:pPr/>
          </w:p>
        </w:tc>
        <w:tc>
          <w:tcPr>
            <w:tcW w:w="1289"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219" w:hRule="exact"/>
        </w:trPr>
        <w:tc>
          <w:tcPr>
            <w:tcW w:w="1395" w:type="dxa"/>
            <w:vMerge/>
            <w:tcBorders>
              <w:left w:val="single" w:sz="4" w:space="0" w:color="000000"/>
              <w:bottom w:val="single" w:sz="4" w:space="0" w:color="000000"/>
              <w:right w:val="single" w:sz="4" w:space="0" w:color="000000"/>
            </w:tcBorders>
            <w:shd w:val="clear" w:color="auto" w:fill="D2D2D2"/>
          </w:tcPr>
          <w:p>
            <w:pPr/>
          </w:p>
        </w:tc>
        <w:tc>
          <w:tcPr>
            <w:tcW w:w="128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07" w:hRule="exact"/>
        </w:trPr>
        <w:tc>
          <w:tcPr>
            <w:tcW w:w="1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13" w:right="0"/>
              <w:jc w:val="left"/>
              <w:rPr>
                <w:rFonts w:ascii="Times New Roman" w:hAnsi="Times New Roman" w:cs="Times New Roman" w:eastAsia="Times New Roman" w:hint="default"/>
                <w:sz w:val="18"/>
                <w:szCs w:val="18"/>
              </w:rPr>
            </w:pPr>
            <w:r>
              <w:rPr>
                <w:rFonts w:ascii="Times New Roman"/>
                <w:sz w:val="18"/>
              </w:rPr>
              <w:t>54,000,000.00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502" w:right="0"/>
              <w:jc w:val="left"/>
              <w:rPr>
                <w:rFonts w:ascii="Times New Roman" w:hAnsi="Times New Roman" w:cs="Times New Roman" w:eastAsia="Times New Roman" w:hint="default"/>
                <w:sz w:val="18"/>
                <w:szCs w:val="18"/>
              </w:rPr>
            </w:pPr>
            <w:r>
              <w:rPr>
                <w:rFonts w:ascii="Times New Roman"/>
                <w:sz w:val="18"/>
              </w:rPr>
              <w:t>0.00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361" w:right="0"/>
              <w:jc w:val="left"/>
              <w:rPr>
                <w:rFonts w:ascii="Times New Roman" w:hAnsi="Times New Roman" w:cs="Times New Roman" w:eastAsia="Times New Roman" w:hint="default"/>
                <w:sz w:val="18"/>
                <w:szCs w:val="18"/>
              </w:rPr>
            </w:pPr>
            <w:r>
              <w:rPr>
                <w:rFonts w:ascii="Times New Roman"/>
                <w:sz w:val="18"/>
              </w:rPr>
              <w:t>0.00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361" w:right="0"/>
              <w:jc w:val="left"/>
              <w:rPr>
                <w:rFonts w:ascii="Times New Roman" w:hAnsi="Times New Roman" w:cs="Times New Roman" w:eastAsia="Times New Roman" w:hint="default"/>
                <w:sz w:val="18"/>
                <w:szCs w:val="18"/>
              </w:rPr>
            </w:pPr>
            <w:r>
              <w:rPr>
                <w:rFonts w:ascii="Times New Roman"/>
                <w:sz w:val="18"/>
              </w:rPr>
              <w:t>0.00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07" w:right="0"/>
              <w:jc w:val="left"/>
              <w:rPr>
                <w:rFonts w:ascii="Times New Roman" w:hAnsi="Times New Roman" w:cs="Times New Roman" w:eastAsia="Times New Roman" w:hint="default"/>
                <w:sz w:val="18"/>
                <w:szCs w:val="18"/>
              </w:rPr>
            </w:pPr>
            <w:r>
              <w:rPr>
                <w:rFonts w:ascii="Times New Roman"/>
                <w:sz w:val="18"/>
              </w:rPr>
              <w:t>21,296,280.30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645" w:right="0"/>
              <w:jc w:val="left"/>
              <w:rPr>
                <w:rFonts w:ascii="Times New Roman" w:hAnsi="Times New Roman" w:cs="Times New Roman" w:eastAsia="Times New Roman" w:hint="default"/>
                <w:sz w:val="18"/>
                <w:szCs w:val="18"/>
              </w:rPr>
            </w:pPr>
            <w:r>
              <w:rPr>
                <w:rFonts w:ascii="Times New Roman"/>
                <w:sz w:val="18"/>
              </w:rPr>
              <w:t>0.00</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431" w:right="0"/>
              <w:jc w:val="left"/>
              <w:rPr>
                <w:rFonts w:ascii="Times New Roman" w:hAnsi="Times New Roman" w:cs="Times New Roman" w:eastAsia="Times New Roman" w:hint="default"/>
                <w:sz w:val="18"/>
                <w:szCs w:val="18"/>
              </w:rPr>
            </w:pPr>
            <w:r>
              <w:rPr>
                <w:rFonts w:ascii="Times New Roman"/>
                <w:sz w:val="18"/>
              </w:rPr>
              <w:t>344,057.07</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503" w:right="0"/>
              <w:jc w:val="left"/>
              <w:rPr>
                <w:rFonts w:ascii="Times New Roman" w:hAnsi="Times New Roman" w:cs="Times New Roman" w:eastAsia="Times New Roman" w:hint="default"/>
                <w:sz w:val="18"/>
                <w:szCs w:val="18"/>
              </w:rPr>
            </w:pPr>
            <w:r>
              <w:rPr>
                <w:rFonts w:ascii="Times New Roman"/>
                <w:sz w:val="18"/>
              </w:rPr>
              <w:t>0.00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08" w:right="0"/>
              <w:jc w:val="left"/>
              <w:rPr>
                <w:rFonts w:ascii="Times New Roman" w:hAnsi="Times New Roman" w:cs="Times New Roman" w:eastAsia="Times New Roman" w:hint="default"/>
                <w:sz w:val="18"/>
                <w:szCs w:val="18"/>
              </w:rPr>
            </w:pPr>
            <w:r>
              <w:rPr>
                <w:rFonts w:ascii="Times New Roman"/>
                <w:sz w:val="18"/>
              </w:rPr>
              <w:t>17,317,939.35</w:t>
            </w:r>
          </w:p>
        </w:tc>
        <w:tc>
          <w:tcPr>
            <w:tcW w:w="1134" w:type="dxa"/>
            <w:vMerge w:val="restart"/>
            <w:tcBorders>
              <w:top w:val="single" w:sz="14" w:space="0" w:color="D2D2D2"/>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07" w:right="0"/>
              <w:jc w:val="left"/>
              <w:rPr>
                <w:rFonts w:ascii="Times New Roman" w:hAnsi="Times New Roman" w:cs="Times New Roman" w:eastAsia="Times New Roman" w:hint="default"/>
                <w:sz w:val="18"/>
                <w:szCs w:val="18"/>
              </w:rPr>
            </w:pPr>
            <w:r>
              <w:rPr>
                <w:rFonts w:ascii="Times New Roman"/>
                <w:sz w:val="18"/>
              </w:rPr>
              <w:t>96,335,269.67</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62" w:right="0"/>
              <w:jc w:val="left"/>
              <w:rPr>
                <w:rFonts w:ascii="Times New Roman" w:hAnsi="Times New Roman" w:cs="Times New Roman" w:eastAsia="Times New Roman" w:hint="default"/>
                <w:sz w:val="18"/>
                <w:szCs w:val="18"/>
              </w:rPr>
            </w:pPr>
            <w:r>
              <w:rPr>
                <w:rFonts w:ascii="Times New Roman"/>
                <w:sz w:val="18"/>
              </w:rPr>
              <w:t>2,514,011.52</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18" w:right="0"/>
              <w:jc w:val="left"/>
              <w:rPr>
                <w:rFonts w:ascii="Times New Roman" w:hAnsi="Times New Roman" w:cs="Times New Roman" w:eastAsia="Times New Roman" w:hint="default"/>
                <w:sz w:val="18"/>
                <w:szCs w:val="18"/>
              </w:rPr>
            </w:pPr>
            <w:r>
              <w:rPr>
                <w:rFonts w:ascii="Times New Roman"/>
                <w:sz w:val="18"/>
              </w:rPr>
              <w:t>191,807,557.91</w:t>
            </w:r>
          </w:p>
        </w:tc>
      </w:tr>
      <w:tr>
        <w:trPr>
          <w:trHeight w:val="392" w:hRule="exact"/>
        </w:trPr>
        <w:tc>
          <w:tcPr>
            <w:tcW w:w="13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w:t>
            </w:r>
            <w:r>
              <w:rPr>
                <w:rFonts w:ascii="宋体" w:hAnsi="宋体" w:cs="宋体" w:eastAsia="宋体" w:hint="default"/>
                <w:spacing w:val="-78"/>
                <w:sz w:val="18"/>
                <w:szCs w:val="18"/>
              </w:rPr>
              <w:t>、</w:t>
            </w:r>
            <w:r>
              <w:rPr>
                <w:rFonts w:ascii="宋体" w:hAnsi="宋体" w:cs="宋体" w:eastAsia="宋体" w:hint="default"/>
                <w:sz w:val="18"/>
                <w:szCs w:val="18"/>
              </w:rPr>
              <w:t>上年期末余额</w:t>
            </w:r>
          </w:p>
        </w:tc>
        <w:tc>
          <w:tcPr>
            <w:tcW w:w="1289" w:type="dxa"/>
            <w:vMerge/>
            <w:tcBorders>
              <w:left w:val="single" w:sz="9"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08" w:hRule="exact"/>
        </w:trPr>
        <w:tc>
          <w:tcPr>
            <w:tcW w:w="1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9"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2" w:right="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加：会计政策</w:t>
            </w:r>
            <w:r>
              <w:rPr>
                <w:rFonts w:ascii="宋体" w:hAnsi="宋体" w:cs="宋体" w:eastAsia="宋体" w:hint="default"/>
                <w:sz w:val="18"/>
                <w:szCs w:val="18"/>
              </w:rPr>
              <w:t> 变更</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前期差</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错更正</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111" w:firstLine="720"/>
              <w:jc w:val="left"/>
              <w:rPr>
                <w:rFonts w:ascii="宋体" w:hAnsi="宋体" w:cs="宋体" w:eastAsia="宋体" w:hint="default"/>
                <w:sz w:val="18"/>
                <w:szCs w:val="18"/>
              </w:rPr>
            </w:pPr>
            <w:r>
              <w:rPr>
                <w:rFonts w:ascii="宋体" w:hAnsi="宋体" w:cs="宋体" w:eastAsia="宋体" w:hint="default"/>
                <w:sz w:val="18"/>
                <w:szCs w:val="18"/>
              </w:rPr>
              <w:t>同一控 制下企业合并</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9" w:type="dxa"/>
            <w:tcBorders>
              <w:top w:val="single" w:sz="4" w:space="0" w:color="000000"/>
              <w:left w:val="single" w:sz="13" w:space="0" w:color="D2D2D2"/>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307" w:hRule="exact"/>
        </w:trPr>
        <w:tc>
          <w:tcPr>
            <w:tcW w:w="1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13" w:right="0"/>
              <w:jc w:val="left"/>
              <w:rPr>
                <w:rFonts w:ascii="Times New Roman" w:hAnsi="Times New Roman" w:cs="Times New Roman" w:eastAsia="Times New Roman" w:hint="default"/>
                <w:sz w:val="18"/>
                <w:szCs w:val="18"/>
              </w:rPr>
            </w:pPr>
            <w:r>
              <w:rPr>
                <w:rFonts w:ascii="Times New Roman"/>
                <w:sz w:val="18"/>
              </w:rPr>
              <w:t>54,000,000.00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502" w:right="0"/>
              <w:jc w:val="left"/>
              <w:rPr>
                <w:rFonts w:ascii="Times New Roman" w:hAnsi="Times New Roman" w:cs="Times New Roman" w:eastAsia="Times New Roman" w:hint="default"/>
                <w:sz w:val="18"/>
                <w:szCs w:val="18"/>
              </w:rPr>
            </w:pPr>
            <w:r>
              <w:rPr>
                <w:rFonts w:ascii="Times New Roman"/>
                <w:sz w:val="18"/>
              </w:rPr>
              <w:t>0.00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361" w:right="0"/>
              <w:jc w:val="left"/>
              <w:rPr>
                <w:rFonts w:ascii="Times New Roman" w:hAnsi="Times New Roman" w:cs="Times New Roman" w:eastAsia="Times New Roman" w:hint="default"/>
                <w:sz w:val="18"/>
                <w:szCs w:val="18"/>
              </w:rPr>
            </w:pPr>
            <w:r>
              <w:rPr>
                <w:rFonts w:ascii="Times New Roman"/>
                <w:sz w:val="18"/>
              </w:rPr>
              <w:t>0.00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361" w:right="0"/>
              <w:jc w:val="left"/>
              <w:rPr>
                <w:rFonts w:ascii="Times New Roman" w:hAnsi="Times New Roman" w:cs="Times New Roman" w:eastAsia="Times New Roman" w:hint="default"/>
                <w:sz w:val="18"/>
                <w:szCs w:val="18"/>
              </w:rPr>
            </w:pPr>
            <w:r>
              <w:rPr>
                <w:rFonts w:ascii="Times New Roman"/>
                <w:sz w:val="18"/>
              </w:rPr>
              <w:t>0.00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07" w:right="0"/>
              <w:jc w:val="left"/>
              <w:rPr>
                <w:rFonts w:ascii="Times New Roman" w:hAnsi="Times New Roman" w:cs="Times New Roman" w:eastAsia="Times New Roman" w:hint="default"/>
                <w:sz w:val="18"/>
                <w:szCs w:val="18"/>
              </w:rPr>
            </w:pPr>
            <w:r>
              <w:rPr>
                <w:rFonts w:ascii="Times New Roman"/>
                <w:sz w:val="18"/>
              </w:rPr>
              <w:t>21,296,280.30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645" w:right="0"/>
              <w:jc w:val="left"/>
              <w:rPr>
                <w:rFonts w:ascii="Times New Roman" w:hAnsi="Times New Roman" w:cs="Times New Roman" w:eastAsia="Times New Roman" w:hint="default"/>
                <w:sz w:val="18"/>
                <w:szCs w:val="18"/>
              </w:rPr>
            </w:pPr>
            <w:r>
              <w:rPr>
                <w:rFonts w:ascii="Times New Roman"/>
                <w:sz w:val="18"/>
              </w:rPr>
              <w:t>0.00</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431" w:right="0"/>
              <w:jc w:val="left"/>
              <w:rPr>
                <w:rFonts w:ascii="Times New Roman" w:hAnsi="Times New Roman" w:cs="Times New Roman" w:eastAsia="Times New Roman" w:hint="default"/>
                <w:sz w:val="18"/>
                <w:szCs w:val="18"/>
              </w:rPr>
            </w:pPr>
            <w:r>
              <w:rPr>
                <w:rFonts w:ascii="Times New Roman"/>
                <w:sz w:val="18"/>
              </w:rPr>
              <w:t>344,057.07</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503" w:right="0"/>
              <w:jc w:val="left"/>
              <w:rPr>
                <w:rFonts w:ascii="Times New Roman" w:hAnsi="Times New Roman" w:cs="Times New Roman" w:eastAsia="Times New Roman" w:hint="default"/>
                <w:sz w:val="18"/>
                <w:szCs w:val="18"/>
              </w:rPr>
            </w:pPr>
            <w:r>
              <w:rPr>
                <w:rFonts w:ascii="Times New Roman"/>
                <w:sz w:val="18"/>
              </w:rPr>
              <w:t>0.00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08" w:right="0"/>
              <w:jc w:val="left"/>
              <w:rPr>
                <w:rFonts w:ascii="Times New Roman" w:hAnsi="Times New Roman" w:cs="Times New Roman" w:eastAsia="Times New Roman" w:hint="default"/>
                <w:sz w:val="18"/>
                <w:szCs w:val="18"/>
              </w:rPr>
            </w:pPr>
            <w:r>
              <w:rPr>
                <w:rFonts w:ascii="Times New Roman"/>
                <w:sz w:val="18"/>
              </w:rPr>
              <w:t>17,317,939.35</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207" w:right="0"/>
              <w:jc w:val="left"/>
              <w:rPr>
                <w:rFonts w:ascii="Times New Roman" w:hAnsi="Times New Roman" w:cs="Times New Roman" w:eastAsia="Times New Roman" w:hint="default"/>
                <w:sz w:val="18"/>
                <w:szCs w:val="18"/>
              </w:rPr>
            </w:pPr>
            <w:r>
              <w:rPr>
                <w:rFonts w:ascii="Times New Roman"/>
                <w:sz w:val="18"/>
              </w:rPr>
              <w:t>96,335,269.67</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62" w:right="0"/>
              <w:jc w:val="left"/>
              <w:rPr>
                <w:rFonts w:ascii="Times New Roman" w:hAnsi="Times New Roman" w:cs="Times New Roman" w:eastAsia="Times New Roman" w:hint="default"/>
                <w:sz w:val="18"/>
                <w:szCs w:val="18"/>
              </w:rPr>
            </w:pPr>
            <w:r>
              <w:rPr>
                <w:rFonts w:ascii="Times New Roman"/>
                <w:sz w:val="18"/>
              </w:rPr>
              <w:t>2,514,011.52</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left="118" w:right="0"/>
              <w:jc w:val="left"/>
              <w:rPr>
                <w:rFonts w:ascii="Times New Roman" w:hAnsi="Times New Roman" w:cs="Times New Roman" w:eastAsia="Times New Roman" w:hint="default"/>
                <w:sz w:val="18"/>
                <w:szCs w:val="18"/>
              </w:rPr>
            </w:pPr>
            <w:r>
              <w:rPr>
                <w:rFonts w:ascii="Times New Roman"/>
                <w:sz w:val="18"/>
              </w:rPr>
              <w:t>191,807,557.91</w:t>
            </w:r>
          </w:p>
        </w:tc>
      </w:tr>
      <w:tr>
        <w:trPr>
          <w:trHeight w:val="392" w:hRule="exact"/>
        </w:trPr>
        <w:tc>
          <w:tcPr>
            <w:tcW w:w="13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w:t>
            </w:r>
            <w:r>
              <w:rPr>
                <w:rFonts w:ascii="宋体" w:hAnsi="宋体" w:cs="宋体" w:eastAsia="宋体" w:hint="default"/>
                <w:spacing w:val="-78"/>
                <w:sz w:val="18"/>
                <w:szCs w:val="18"/>
              </w:rPr>
              <w:t>、</w:t>
            </w:r>
            <w:r>
              <w:rPr>
                <w:rFonts w:ascii="宋体" w:hAnsi="宋体" w:cs="宋体" w:eastAsia="宋体" w:hint="default"/>
                <w:sz w:val="18"/>
                <w:szCs w:val="18"/>
              </w:rPr>
              <w:t>本年期初余额</w:t>
            </w:r>
          </w:p>
        </w:tc>
        <w:tc>
          <w:tcPr>
            <w:tcW w:w="1289" w:type="dxa"/>
            <w:vMerge/>
            <w:tcBorders>
              <w:left w:val="single" w:sz="9"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08" w:hRule="exact"/>
        </w:trPr>
        <w:tc>
          <w:tcPr>
            <w:tcW w:w="1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9"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r>
      <w:tr>
        <w:trPr>
          <w:trHeight w:val="1026"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2" w:right="9"/>
              <w:jc w:val="both"/>
              <w:rPr>
                <w:rFonts w:ascii="宋体" w:hAnsi="宋体" w:cs="宋体" w:eastAsia="宋体" w:hint="default"/>
                <w:sz w:val="18"/>
                <w:szCs w:val="18"/>
              </w:rPr>
            </w:pPr>
            <w:r>
              <w:rPr>
                <w:rFonts w:ascii="宋体" w:hAnsi="宋体" w:cs="宋体" w:eastAsia="宋体" w:hint="default"/>
                <w:spacing w:val="-10"/>
                <w:sz w:val="18"/>
                <w:szCs w:val="18"/>
              </w:rPr>
              <w:t>三、本期增减变动</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7"/>
                <w:sz w:val="18"/>
                <w:szCs w:val="18"/>
              </w:rPr>
              <w:t>金额（减少以</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w:t>
            </w:r>
            <w:r>
              <w:rPr>
                <w:rFonts w:ascii="Times New Roman" w:hAnsi="Times New Roman" w:cs="Times New Roman" w:eastAsia="Times New Roman" w:hint="default"/>
                <w:spacing w:val="-7"/>
                <w:sz w:val="18"/>
                <w:szCs w:val="18"/>
              </w:rPr>
              <w:t>”</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号填列）</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232,909,024.98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-258,416.65</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5,339,736.96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-2,383,254.43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11,350,396.43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300,957,487.29</w:t>
            </w: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left"/>
              <w:rPr>
                <w:rFonts w:ascii="宋体" w:hAnsi="宋体" w:cs="宋体" w:eastAsia="宋体" w:hint="default"/>
                <w:sz w:val="18"/>
                <w:szCs w:val="18"/>
              </w:rPr>
            </w:pPr>
            <w:r>
              <w:rPr>
                <w:rFonts w:ascii="宋体" w:hAnsi="宋体" w:cs="宋体" w:eastAsia="宋体" w:hint="default"/>
                <w:spacing w:val="-10"/>
                <w:sz w:val="18"/>
                <w:szCs w:val="18"/>
              </w:rPr>
              <w:t>（一）综合收益总</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额</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-258,416.65</w:t>
            </w:r>
            <w:r>
              <w:rPr>
                <w:rFonts w:ascii="Times New Roman"/>
                <w:sz w:val="18"/>
              </w:rPr>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74,956,482.53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6,965,517.53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81,663,583.41</w:t>
            </w: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left"/>
              <w:rPr>
                <w:rFonts w:ascii="宋体" w:hAnsi="宋体" w:cs="宋体" w:eastAsia="宋体" w:hint="default"/>
                <w:sz w:val="18"/>
                <w:szCs w:val="18"/>
              </w:rPr>
            </w:pPr>
            <w:r>
              <w:rPr>
                <w:rFonts w:ascii="宋体" w:hAnsi="宋体" w:cs="宋体" w:eastAsia="宋体" w:hint="default"/>
                <w:spacing w:val="-10"/>
                <w:sz w:val="18"/>
                <w:szCs w:val="18"/>
              </w:rPr>
              <w:t>（二）所有者投入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和减少资本</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18,000,000.00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232,909,024.98</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4,900,000.00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255,809,024.98</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580" w:right="580"/>
        </w:sectPr>
      </w:pPr>
    </w:p>
    <w:p>
      <w:pPr>
        <w:spacing w:line="240" w:lineRule="auto" w:before="4"/>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395"/>
        <w:gridCol w:w="1289"/>
        <w:gridCol w:w="850"/>
        <w:gridCol w:w="709"/>
        <w:gridCol w:w="709"/>
        <w:gridCol w:w="1274"/>
        <w:gridCol w:w="994"/>
        <w:gridCol w:w="1275"/>
        <w:gridCol w:w="851"/>
        <w:gridCol w:w="1277"/>
        <w:gridCol w:w="1134"/>
        <w:gridCol w:w="1274"/>
        <w:gridCol w:w="1134"/>
        <w:gridCol w:w="1276"/>
      </w:tblGrid>
      <w:tr>
        <w:trPr>
          <w:trHeight w:val="416" w:hRule="exact"/>
        </w:trPr>
        <w:tc>
          <w:tcPr>
            <w:tcW w:w="1395" w:type="dxa"/>
            <w:vMerge w:val="restart"/>
            <w:tcBorders>
              <w:top w:val="single" w:sz="15" w:space="0" w:color="000000"/>
              <w:left w:val="single" w:sz="4" w:space="0" w:color="000000"/>
              <w:right w:val="single" w:sz="4" w:space="0" w:color="000000"/>
            </w:tcBorders>
            <w:shd w:val="clear" w:color="auto" w:fill="D2D2D2"/>
          </w:tcPr>
          <w:p>
            <w:pPr/>
          </w:p>
        </w:tc>
        <w:tc>
          <w:tcPr>
            <w:tcW w:w="14045" w:type="dxa"/>
            <w:gridSpan w:val="13"/>
            <w:tcBorders>
              <w:top w:val="single" w:sz="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9" w:hRule="exact"/>
        </w:trPr>
        <w:tc>
          <w:tcPr>
            <w:tcW w:w="1395" w:type="dxa"/>
            <w:vMerge/>
            <w:tcBorders>
              <w:left w:val="single" w:sz="4" w:space="0" w:color="000000"/>
              <w:bottom w:val="nil" w:sz="6" w:space="0" w:color="auto"/>
              <w:right w:val="single" w:sz="4" w:space="0" w:color="000000"/>
            </w:tcBorders>
            <w:shd w:val="clear" w:color="auto" w:fill="D2D2D2"/>
          </w:tcPr>
          <w:p>
            <w:pPr/>
          </w:p>
        </w:tc>
        <w:tc>
          <w:tcPr>
            <w:tcW w:w="11635"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3" w:hRule="exact"/>
        </w:trPr>
        <w:tc>
          <w:tcPr>
            <w:tcW w:w="13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635" w:type="dxa"/>
            <w:gridSpan w:val="11"/>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57" w:lineRule="auto" w:before="64"/>
              <w:ind w:left="382" w:right="201" w:hanging="181"/>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357" w:lineRule="auto" w:before="64"/>
              <w:ind w:left="452" w:right="181" w:hanging="270"/>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204" w:hRule="exact"/>
        </w:trPr>
        <w:tc>
          <w:tcPr>
            <w:tcW w:w="1395" w:type="dxa"/>
            <w:vMerge/>
            <w:tcBorders>
              <w:left w:val="single" w:sz="4" w:space="0" w:color="000000"/>
              <w:bottom w:val="single" w:sz="4" w:space="0" w:color="FFFFFF"/>
              <w:right w:val="single" w:sz="4" w:space="0" w:color="000000"/>
            </w:tcBorders>
            <w:shd w:val="clear" w:color="auto" w:fill="D2D2D2"/>
          </w:tcPr>
          <w:p>
            <w:pPr/>
          </w:p>
        </w:tc>
        <w:tc>
          <w:tcPr>
            <w:tcW w:w="128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226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76"/>
              <w:ind w:left="381" w:right="200"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192" w:hRule="exact"/>
        </w:trPr>
        <w:tc>
          <w:tcPr>
            <w:tcW w:w="1395" w:type="dxa"/>
            <w:vMerge w:val="restart"/>
            <w:tcBorders>
              <w:top w:val="single" w:sz="4" w:space="0" w:color="FFFFFF"/>
              <w:left w:val="single" w:sz="4" w:space="0" w:color="000000"/>
              <w:right w:val="single" w:sz="4" w:space="0" w:color="000000"/>
            </w:tcBorders>
            <w:shd w:val="clear" w:color="auto" w:fill="D2D2D2"/>
          </w:tcPr>
          <w:p>
            <w:pPr/>
          </w:p>
        </w:tc>
        <w:tc>
          <w:tcPr>
            <w:tcW w:w="128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8"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268" w:type="dxa"/>
            <w:gridSpan w:val="3"/>
            <w:vMerge/>
            <w:tcBorders>
              <w:left w:val="single" w:sz="4" w:space="0" w:color="000000"/>
              <w:bottom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5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4"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200" w:hRule="exact"/>
        </w:trPr>
        <w:tc>
          <w:tcPr>
            <w:tcW w:w="1395" w:type="dxa"/>
            <w:vMerge/>
            <w:tcBorders>
              <w:left w:val="single" w:sz="4" w:space="0" w:color="000000"/>
              <w:right w:val="single" w:sz="4" w:space="0" w:color="000000"/>
            </w:tcBorders>
            <w:shd w:val="clear" w:color="auto" w:fill="D2D2D2"/>
          </w:tcPr>
          <w:p>
            <w:pPr/>
          </w:p>
        </w:tc>
        <w:tc>
          <w:tcPr>
            <w:tcW w:w="1289"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395" w:type="dxa"/>
            <w:vMerge/>
            <w:tcBorders>
              <w:left w:val="single" w:sz="4" w:space="0" w:color="000000"/>
              <w:bottom w:val="single" w:sz="4" w:space="0" w:color="000000"/>
              <w:right w:val="single" w:sz="4" w:space="0" w:color="000000"/>
            </w:tcBorders>
            <w:shd w:val="clear" w:color="auto" w:fill="D2D2D2"/>
          </w:tcPr>
          <w:p>
            <w:pPr/>
          </w:p>
        </w:tc>
        <w:tc>
          <w:tcPr>
            <w:tcW w:w="128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52" w:hRule="exact"/>
        </w:trPr>
        <w:tc>
          <w:tcPr>
            <w:tcW w:w="1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9"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18,000,000.00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502" w:right="0"/>
              <w:jc w:val="left"/>
              <w:rPr>
                <w:rFonts w:ascii="Times New Roman" w:hAnsi="Times New Roman" w:cs="Times New Roman" w:eastAsia="Times New Roman" w:hint="default"/>
                <w:sz w:val="18"/>
                <w:szCs w:val="18"/>
              </w:rPr>
            </w:pPr>
            <w:r>
              <w:rPr>
                <w:rFonts w:ascii="Times New Roman"/>
                <w:sz w:val="18"/>
              </w:rPr>
              <w:t>0.00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232,909,024.98</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645" w:right="0"/>
              <w:jc w:val="left"/>
              <w:rPr>
                <w:rFonts w:ascii="Times New Roman" w:hAnsi="Times New Roman" w:cs="Times New Roman" w:eastAsia="Times New Roman" w:hint="default"/>
                <w:sz w:val="18"/>
                <w:szCs w:val="18"/>
              </w:rPr>
            </w:pPr>
            <w:r>
              <w:rPr>
                <w:rFonts w:ascii="Times New Roman"/>
                <w:sz w:val="18"/>
              </w:rPr>
              <w:t>0.00</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0.00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10" w:space="0" w:color="D2D2D2"/>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5"/>
                <w:szCs w:val="15"/>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4,900,000.00</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255,809,024.98</w:t>
            </w:r>
          </w:p>
        </w:tc>
      </w:tr>
      <w:tr>
        <w:trPr>
          <w:trHeight w:val="703" w:hRule="exact"/>
        </w:trPr>
        <w:tc>
          <w:tcPr>
            <w:tcW w:w="13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0" w:lineRule="auto" w:before="51"/>
              <w:ind w:left="1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 普通股</w:t>
            </w:r>
          </w:p>
        </w:tc>
        <w:tc>
          <w:tcPr>
            <w:tcW w:w="1289" w:type="dxa"/>
            <w:vMerge/>
            <w:tcBorders>
              <w:left w:val="single" w:sz="13"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152" w:hRule="exact"/>
        </w:trPr>
        <w:tc>
          <w:tcPr>
            <w:tcW w:w="1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9" w:type="dxa"/>
            <w:vMerge/>
            <w:tcBorders>
              <w:left w:val="single" w:sz="13"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 持有者投入资本</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 所有者权益的金 额</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316" w:hRule="exact"/>
        </w:trPr>
        <w:tc>
          <w:tcPr>
            <w:tcW w:w="1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36,000,000.00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502" w:right="0"/>
              <w:jc w:val="left"/>
              <w:rPr>
                <w:rFonts w:ascii="Times New Roman" w:hAnsi="Times New Roman" w:cs="Times New Roman" w:eastAsia="Times New Roman" w:hint="default"/>
                <w:sz w:val="18"/>
                <w:szCs w:val="18"/>
              </w:rPr>
            </w:pPr>
            <w:r>
              <w:rPr>
                <w:rFonts w:ascii="Times New Roman"/>
                <w:sz w:val="18"/>
              </w:rPr>
              <w:t>0.00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645" w:right="0"/>
              <w:jc w:val="left"/>
              <w:rPr>
                <w:rFonts w:ascii="Times New Roman" w:hAnsi="Times New Roman" w:cs="Times New Roman" w:eastAsia="Times New Roman" w:hint="default"/>
                <w:sz w:val="18"/>
                <w:szCs w:val="18"/>
              </w:rPr>
            </w:pPr>
            <w:r>
              <w:rPr>
                <w:rFonts w:ascii="Times New Roman"/>
                <w:sz w:val="18"/>
              </w:rPr>
              <w:t>0.00</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0.00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5,339,736.96</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-77,339,736.96</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-515,121.10</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6"/>
                <w:szCs w:val="16"/>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-36,515,121.10</w:t>
            </w:r>
          </w:p>
        </w:tc>
      </w:tr>
      <w:tr>
        <w:trPr>
          <w:trHeight w:val="392" w:hRule="exact"/>
        </w:trPr>
        <w:tc>
          <w:tcPr>
            <w:tcW w:w="13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89" w:type="dxa"/>
            <w:vMerge/>
            <w:tcBorders>
              <w:left w:val="single" w:sz="9"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14" w:hRule="exact"/>
        </w:trPr>
        <w:tc>
          <w:tcPr>
            <w:tcW w:w="1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9"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r>
      <w:tr>
        <w:trPr>
          <w:trHeight w:val="152" w:hRule="exact"/>
        </w:trPr>
        <w:tc>
          <w:tcPr>
            <w:tcW w:w="1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9" w:type="dxa"/>
            <w:vMerge w:val="restart"/>
            <w:tcBorders>
              <w:top w:val="single" w:sz="4" w:space="0" w:color="000000"/>
              <w:left w:val="single" w:sz="13" w:space="0" w:color="D2D2D2"/>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502" w:right="0"/>
              <w:jc w:val="left"/>
              <w:rPr>
                <w:rFonts w:ascii="Times New Roman" w:hAnsi="Times New Roman" w:cs="Times New Roman" w:eastAsia="Times New Roman" w:hint="default"/>
                <w:sz w:val="18"/>
                <w:szCs w:val="18"/>
              </w:rPr>
            </w:pPr>
            <w:r>
              <w:rPr>
                <w:rFonts w:ascii="Times New Roman"/>
                <w:sz w:val="18"/>
              </w:rPr>
              <w:t>0.00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645" w:right="0"/>
              <w:jc w:val="left"/>
              <w:rPr>
                <w:rFonts w:ascii="Times New Roman" w:hAnsi="Times New Roman" w:cs="Times New Roman" w:eastAsia="Times New Roman" w:hint="default"/>
                <w:sz w:val="18"/>
                <w:szCs w:val="18"/>
              </w:rPr>
            </w:pPr>
            <w:r>
              <w:rPr>
                <w:rFonts w:ascii="Times New Roman"/>
                <w:sz w:val="18"/>
              </w:rPr>
              <w:t>0.00</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0.00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98" w:right="0"/>
              <w:jc w:val="left"/>
              <w:rPr>
                <w:rFonts w:ascii="Times New Roman" w:hAnsi="Times New Roman" w:cs="Times New Roman" w:eastAsia="Times New Roman" w:hint="default"/>
                <w:sz w:val="18"/>
                <w:szCs w:val="18"/>
              </w:rPr>
            </w:pPr>
            <w:r>
              <w:rPr>
                <w:rFonts w:ascii="Times New Roman"/>
                <w:sz w:val="18"/>
              </w:rPr>
              <w:t>5,339,736.96</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-5,339,736.96</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392" w:hRule="exact"/>
        </w:trPr>
        <w:tc>
          <w:tcPr>
            <w:tcW w:w="13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9" w:type="dxa"/>
            <w:vMerge/>
            <w:tcBorders>
              <w:left w:val="single" w:sz="13"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151" w:hRule="exact"/>
        </w:trPr>
        <w:tc>
          <w:tcPr>
            <w:tcW w:w="1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9" w:type="dxa"/>
            <w:vMerge/>
            <w:tcBorders>
              <w:left w:val="single" w:sz="13"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 准备</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51" w:hRule="exact"/>
        </w:trPr>
        <w:tc>
          <w:tcPr>
            <w:tcW w:w="1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9" w:type="dxa"/>
            <w:vMerge w:val="restart"/>
            <w:tcBorders>
              <w:top w:val="single" w:sz="4" w:space="0" w:color="000000"/>
              <w:left w:val="single" w:sz="13"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36,000,000.00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502" w:right="0"/>
              <w:jc w:val="left"/>
              <w:rPr>
                <w:rFonts w:ascii="Times New Roman" w:hAnsi="Times New Roman" w:cs="Times New Roman" w:eastAsia="Times New Roman" w:hint="default"/>
                <w:sz w:val="18"/>
                <w:szCs w:val="18"/>
              </w:rPr>
            </w:pPr>
            <w:r>
              <w:rPr>
                <w:rFonts w:ascii="Times New Roman"/>
                <w:sz w:val="18"/>
              </w:rPr>
              <w:t>0.00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645" w:right="0"/>
              <w:jc w:val="left"/>
              <w:rPr>
                <w:rFonts w:ascii="Times New Roman" w:hAnsi="Times New Roman" w:cs="Times New Roman" w:eastAsia="Times New Roman" w:hint="default"/>
                <w:sz w:val="18"/>
                <w:szCs w:val="18"/>
              </w:rPr>
            </w:pPr>
            <w:r>
              <w:rPr>
                <w:rFonts w:ascii="Times New Roman"/>
                <w:sz w:val="18"/>
              </w:rPr>
              <w:t>0.00</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0.00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47" w:right="0"/>
              <w:jc w:val="left"/>
              <w:rPr>
                <w:rFonts w:ascii="Times New Roman" w:hAnsi="Times New Roman" w:cs="Times New Roman" w:eastAsia="Times New Roman" w:hint="default"/>
                <w:sz w:val="18"/>
                <w:szCs w:val="18"/>
              </w:rPr>
            </w:pPr>
            <w:r>
              <w:rPr>
                <w:rFonts w:ascii="Times New Roman"/>
                <w:sz w:val="18"/>
              </w:rPr>
              <w:t>-72,000,000.00</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30" w:right="0"/>
              <w:jc w:val="left"/>
              <w:rPr>
                <w:rFonts w:ascii="Times New Roman" w:hAnsi="Times New Roman" w:cs="Times New Roman" w:eastAsia="Times New Roman" w:hint="default"/>
                <w:sz w:val="18"/>
                <w:szCs w:val="18"/>
              </w:rPr>
            </w:pPr>
            <w:r>
              <w:rPr>
                <w:rFonts w:ascii="Times New Roman"/>
                <w:sz w:val="18"/>
              </w:rPr>
              <w:t>-515,121.10</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-36,515,121.10</w:t>
            </w:r>
          </w:p>
        </w:tc>
      </w:tr>
      <w:tr>
        <w:trPr>
          <w:trHeight w:val="704" w:hRule="exact"/>
        </w:trPr>
        <w:tc>
          <w:tcPr>
            <w:tcW w:w="13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02" w:lineRule="auto" w:before="51"/>
              <w:ind w:left="1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 股东）的分配</w:t>
            </w:r>
          </w:p>
        </w:tc>
        <w:tc>
          <w:tcPr>
            <w:tcW w:w="1289" w:type="dxa"/>
            <w:vMerge/>
            <w:tcBorders>
              <w:left w:val="single" w:sz="13"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152" w:hRule="exact"/>
        </w:trPr>
        <w:tc>
          <w:tcPr>
            <w:tcW w:w="1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9" w:type="dxa"/>
            <w:vMerge/>
            <w:tcBorders>
              <w:left w:val="single" w:sz="13"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left"/>
              <w:rPr>
                <w:rFonts w:ascii="宋体" w:hAnsi="宋体" w:cs="宋体" w:eastAsia="宋体" w:hint="default"/>
                <w:sz w:val="18"/>
                <w:szCs w:val="18"/>
              </w:rPr>
            </w:pPr>
            <w:r>
              <w:rPr>
                <w:rFonts w:ascii="宋体" w:hAnsi="宋体" w:cs="宋体" w:eastAsia="宋体" w:hint="default"/>
                <w:spacing w:val="-10"/>
                <w:sz w:val="18"/>
                <w:szCs w:val="18"/>
              </w:rPr>
              <w:t>（四）所有者权益</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内部结转</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580" w:right="580"/>
        </w:sectPr>
      </w:pPr>
    </w:p>
    <w:p>
      <w:pPr>
        <w:spacing w:line="240" w:lineRule="auto" w:before="4"/>
        <w:rPr>
          <w:rFonts w:ascii="Times New Roman" w:hAnsi="Times New Roman" w:cs="Times New Roman" w:eastAsia="Times New Roman" w:hint="default"/>
          <w:sz w:val="3"/>
          <w:szCs w:val="3"/>
        </w:rPr>
      </w:pPr>
    </w:p>
    <w:tbl>
      <w:tblPr>
        <w:tblW w:w="0" w:type="auto"/>
        <w:jc w:val="left"/>
        <w:tblInd w:w="119" w:type="dxa"/>
        <w:tblLayout w:type="fixed"/>
        <w:tblCellMar>
          <w:top w:w="0" w:type="dxa"/>
          <w:left w:w="0" w:type="dxa"/>
          <w:bottom w:w="0" w:type="dxa"/>
          <w:right w:w="0" w:type="dxa"/>
        </w:tblCellMar>
        <w:tblLook w:val="01E0"/>
      </w:tblPr>
      <w:tblGrid>
        <w:gridCol w:w="1395"/>
        <w:gridCol w:w="1289"/>
        <w:gridCol w:w="850"/>
        <w:gridCol w:w="709"/>
        <w:gridCol w:w="709"/>
        <w:gridCol w:w="1274"/>
        <w:gridCol w:w="994"/>
        <w:gridCol w:w="1275"/>
        <w:gridCol w:w="851"/>
        <w:gridCol w:w="1277"/>
        <w:gridCol w:w="1134"/>
        <w:gridCol w:w="1274"/>
        <w:gridCol w:w="1134"/>
        <w:gridCol w:w="1276"/>
      </w:tblGrid>
      <w:tr>
        <w:trPr>
          <w:trHeight w:val="416" w:hRule="exact"/>
        </w:trPr>
        <w:tc>
          <w:tcPr>
            <w:tcW w:w="1395" w:type="dxa"/>
            <w:vMerge w:val="restart"/>
            <w:tcBorders>
              <w:top w:val="single" w:sz="15" w:space="0" w:color="000000"/>
              <w:left w:val="single" w:sz="4" w:space="0" w:color="000000"/>
              <w:right w:val="single" w:sz="4" w:space="0" w:color="000000"/>
            </w:tcBorders>
            <w:shd w:val="clear" w:color="auto" w:fill="D2D2D2"/>
          </w:tcPr>
          <w:p>
            <w:pPr/>
          </w:p>
        </w:tc>
        <w:tc>
          <w:tcPr>
            <w:tcW w:w="14045" w:type="dxa"/>
            <w:gridSpan w:val="13"/>
            <w:tcBorders>
              <w:top w:val="single" w:sz="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1"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19" w:hRule="exact"/>
        </w:trPr>
        <w:tc>
          <w:tcPr>
            <w:tcW w:w="1395" w:type="dxa"/>
            <w:vMerge/>
            <w:tcBorders>
              <w:left w:val="single" w:sz="4" w:space="0" w:color="000000"/>
              <w:bottom w:val="nil" w:sz="6" w:space="0" w:color="auto"/>
              <w:right w:val="single" w:sz="4" w:space="0" w:color="000000"/>
            </w:tcBorders>
            <w:shd w:val="clear" w:color="auto" w:fill="D2D2D2"/>
          </w:tcPr>
          <w:p>
            <w:pPr/>
          </w:p>
        </w:tc>
        <w:tc>
          <w:tcPr>
            <w:tcW w:w="11635" w:type="dxa"/>
            <w:gridSpan w:val="11"/>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83" w:hRule="exact"/>
        </w:trPr>
        <w:tc>
          <w:tcPr>
            <w:tcW w:w="13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1635" w:type="dxa"/>
            <w:gridSpan w:val="11"/>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57" w:lineRule="auto" w:before="64"/>
              <w:ind w:left="382" w:right="201" w:hanging="181"/>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357" w:lineRule="auto" w:before="64"/>
              <w:ind w:left="452" w:right="181" w:hanging="270"/>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204" w:hRule="exact"/>
        </w:trPr>
        <w:tc>
          <w:tcPr>
            <w:tcW w:w="1395" w:type="dxa"/>
            <w:vMerge/>
            <w:tcBorders>
              <w:left w:val="single" w:sz="4" w:space="0" w:color="000000"/>
              <w:bottom w:val="single" w:sz="4" w:space="0" w:color="FFFFFF"/>
              <w:right w:val="single" w:sz="4" w:space="0" w:color="000000"/>
            </w:tcBorders>
            <w:shd w:val="clear" w:color="auto" w:fill="D2D2D2"/>
          </w:tcPr>
          <w:p>
            <w:pPr/>
          </w:p>
        </w:tc>
        <w:tc>
          <w:tcPr>
            <w:tcW w:w="128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2268"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88"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76"/>
              <w:ind w:left="381" w:right="200"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192" w:hRule="exact"/>
        </w:trPr>
        <w:tc>
          <w:tcPr>
            <w:tcW w:w="1395" w:type="dxa"/>
            <w:vMerge w:val="restart"/>
            <w:tcBorders>
              <w:top w:val="single" w:sz="4" w:space="0" w:color="FFFFFF"/>
              <w:left w:val="single" w:sz="4" w:space="0" w:color="000000"/>
              <w:right w:val="single" w:sz="4" w:space="0" w:color="000000"/>
            </w:tcBorders>
            <w:shd w:val="clear" w:color="auto" w:fill="D2D2D2"/>
          </w:tcPr>
          <w:p>
            <w:pPr/>
          </w:p>
        </w:tc>
        <w:tc>
          <w:tcPr>
            <w:tcW w:w="128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8"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268" w:type="dxa"/>
            <w:gridSpan w:val="3"/>
            <w:vMerge/>
            <w:tcBorders>
              <w:left w:val="single" w:sz="4" w:space="0" w:color="000000"/>
              <w:bottom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9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5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134"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134"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r>
      <w:tr>
        <w:trPr>
          <w:trHeight w:val="200" w:hRule="exact"/>
        </w:trPr>
        <w:tc>
          <w:tcPr>
            <w:tcW w:w="1395" w:type="dxa"/>
            <w:vMerge/>
            <w:tcBorders>
              <w:left w:val="single" w:sz="4" w:space="0" w:color="000000"/>
              <w:right w:val="single" w:sz="4" w:space="0" w:color="000000"/>
            </w:tcBorders>
            <w:shd w:val="clear" w:color="auto" w:fill="D2D2D2"/>
          </w:tcPr>
          <w:p>
            <w:pPr/>
          </w:p>
        </w:tc>
        <w:tc>
          <w:tcPr>
            <w:tcW w:w="1289" w:type="dxa"/>
            <w:vMerge/>
            <w:tcBorders>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5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4" w:type="dxa"/>
            <w:vMerge/>
            <w:tcBorders>
              <w:left w:val="single" w:sz="4" w:space="0" w:color="000000"/>
              <w:bottom w:val="nil" w:sz="6" w:space="0" w:color="auto"/>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218" w:hRule="exact"/>
        </w:trPr>
        <w:tc>
          <w:tcPr>
            <w:tcW w:w="1395" w:type="dxa"/>
            <w:vMerge/>
            <w:tcBorders>
              <w:left w:val="single" w:sz="4" w:space="0" w:color="000000"/>
              <w:bottom w:val="single" w:sz="4" w:space="0" w:color="000000"/>
              <w:right w:val="single" w:sz="4" w:space="0" w:color="000000"/>
            </w:tcBorders>
            <w:shd w:val="clear" w:color="auto" w:fill="D2D2D2"/>
          </w:tcPr>
          <w:p>
            <w:pPr/>
          </w:p>
        </w:tc>
        <w:tc>
          <w:tcPr>
            <w:tcW w:w="1289"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 资本（或股本）</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0"/>
                <w:szCs w:val="20"/>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 资本（或股本）</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 亏损</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9" w:lineRule="auto" w:before="51"/>
              <w:ind w:left="12" w:right="21"/>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 变动额结转留存 收益</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3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309" w:hRule="exact"/>
        </w:trPr>
        <w:tc>
          <w:tcPr>
            <w:tcW w:w="13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289"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23" w:right="0"/>
              <w:jc w:val="left"/>
              <w:rPr>
                <w:rFonts w:ascii="Times New Roman" w:hAnsi="Times New Roman" w:cs="Times New Roman" w:eastAsia="Times New Roman" w:hint="default"/>
                <w:sz w:val="18"/>
                <w:szCs w:val="18"/>
              </w:rPr>
            </w:pPr>
            <w:r>
              <w:rPr>
                <w:rFonts w:ascii="Times New Roman"/>
                <w:sz w:val="18"/>
              </w:rPr>
              <w:t>108,000,000.00</w:t>
            </w:r>
          </w:p>
        </w:tc>
        <w:tc>
          <w:tcPr>
            <w:tcW w:w="8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502" w:right="0"/>
              <w:jc w:val="left"/>
              <w:rPr>
                <w:rFonts w:ascii="Times New Roman" w:hAnsi="Times New Roman" w:cs="Times New Roman" w:eastAsia="Times New Roman" w:hint="default"/>
                <w:sz w:val="18"/>
                <w:szCs w:val="18"/>
              </w:rPr>
            </w:pPr>
            <w:r>
              <w:rPr>
                <w:rFonts w:ascii="Times New Roman"/>
                <w:sz w:val="18"/>
              </w:rPr>
              <w:t>0.00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254,205,305.28</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645" w:right="0"/>
              <w:jc w:val="left"/>
              <w:rPr>
                <w:rFonts w:ascii="Times New Roman" w:hAnsi="Times New Roman" w:cs="Times New Roman" w:eastAsia="Times New Roman" w:hint="default"/>
                <w:sz w:val="18"/>
                <w:szCs w:val="18"/>
              </w:rPr>
            </w:pPr>
            <w:r>
              <w:rPr>
                <w:rFonts w:ascii="Times New Roman"/>
                <w:sz w:val="18"/>
              </w:rPr>
              <w:t>0.00</w:t>
            </w:r>
          </w:p>
        </w:tc>
        <w:tc>
          <w:tcPr>
            <w:tcW w:w="127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522" w:right="0"/>
              <w:jc w:val="left"/>
              <w:rPr>
                <w:rFonts w:ascii="Times New Roman" w:hAnsi="Times New Roman" w:cs="Times New Roman" w:eastAsia="Times New Roman" w:hint="default"/>
                <w:sz w:val="18"/>
                <w:szCs w:val="18"/>
              </w:rPr>
            </w:pPr>
            <w:r>
              <w:rPr>
                <w:rFonts w:ascii="Times New Roman"/>
                <w:sz w:val="18"/>
              </w:rPr>
              <w:t>85,640.42</w:t>
            </w:r>
          </w:p>
        </w:tc>
        <w:tc>
          <w:tcPr>
            <w:tcW w:w="85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503" w:right="0"/>
              <w:jc w:val="left"/>
              <w:rPr>
                <w:rFonts w:ascii="Times New Roman" w:hAnsi="Times New Roman" w:cs="Times New Roman" w:eastAsia="Times New Roman" w:hint="default"/>
                <w:sz w:val="18"/>
                <w:szCs w:val="18"/>
              </w:rPr>
            </w:pPr>
            <w:r>
              <w:rPr>
                <w:rFonts w:ascii="Times New Roman"/>
                <w:sz w:val="18"/>
              </w:rPr>
              <w:t>0.00</w:t>
            </w:r>
          </w:p>
        </w:tc>
        <w:tc>
          <w:tcPr>
            <w:tcW w:w="12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08" w:right="0"/>
              <w:jc w:val="left"/>
              <w:rPr>
                <w:rFonts w:ascii="Times New Roman" w:hAnsi="Times New Roman" w:cs="Times New Roman" w:eastAsia="Times New Roman" w:hint="default"/>
                <w:sz w:val="18"/>
                <w:szCs w:val="18"/>
              </w:rPr>
            </w:pPr>
            <w:r>
              <w:rPr>
                <w:rFonts w:ascii="Times New Roman"/>
                <w:sz w:val="18"/>
              </w:rPr>
              <w:t>22,657,676.31</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207" w:right="0"/>
              <w:jc w:val="left"/>
              <w:rPr>
                <w:rFonts w:ascii="Times New Roman" w:hAnsi="Times New Roman" w:cs="Times New Roman" w:eastAsia="Times New Roman" w:hint="default"/>
                <w:sz w:val="18"/>
                <w:szCs w:val="18"/>
              </w:rPr>
            </w:pPr>
            <w:r>
              <w:rPr>
                <w:rFonts w:ascii="Times New Roman"/>
                <w:sz w:val="18"/>
              </w:rPr>
              <w:t>93,952,015.24</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66" w:right="0"/>
              <w:jc w:val="left"/>
              <w:rPr>
                <w:rFonts w:ascii="Times New Roman" w:hAnsi="Times New Roman" w:cs="Times New Roman" w:eastAsia="Times New Roman" w:hint="default"/>
                <w:sz w:val="18"/>
                <w:szCs w:val="18"/>
              </w:rPr>
            </w:pPr>
            <w:r>
              <w:rPr>
                <w:rFonts w:ascii="Times New Roman"/>
                <w:sz w:val="18"/>
              </w:rPr>
              <w:t>13,864,407.95</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6"/>
                <w:szCs w:val="16"/>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492,765,045.20</w:t>
            </w:r>
          </w:p>
        </w:tc>
      </w:tr>
      <w:tr>
        <w:trPr>
          <w:trHeight w:val="391" w:hRule="exact"/>
        </w:trPr>
        <w:tc>
          <w:tcPr>
            <w:tcW w:w="13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w:t>
            </w:r>
            <w:r>
              <w:rPr>
                <w:rFonts w:ascii="宋体" w:hAnsi="宋体" w:cs="宋体" w:eastAsia="宋体" w:hint="default"/>
                <w:spacing w:val="-78"/>
                <w:sz w:val="18"/>
                <w:szCs w:val="18"/>
              </w:rPr>
              <w:t>、</w:t>
            </w:r>
            <w:r>
              <w:rPr>
                <w:rFonts w:ascii="宋体" w:hAnsi="宋体" w:cs="宋体" w:eastAsia="宋体" w:hint="default"/>
                <w:sz w:val="18"/>
                <w:szCs w:val="18"/>
              </w:rPr>
              <w:t>本期期末余额</w:t>
            </w:r>
          </w:p>
        </w:tc>
        <w:tc>
          <w:tcPr>
            <w:tcW w:w="1289" w:type="dxa"/>
            <w:vMerge/>
            <w:tcBorders>
              <w:left w:val="single" w:sz="9" w:space="0" w:color="D2D2D2"/>
              <w:right w:val="single" w:sz="4" w:space="0" w:color="000000"/>
            </w:tcBorders>
          </w:tcPr>
          <w:p>
            <w:pPr/>
          </w:p>
        </w:tc>
        <w:tc>
          <w:tcPr>
            <w:tcW w:w="850"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1275" w:type="dxa"/>
            <w:vMerge/>
            <w:tcBorders>
              <w:left w:val="single" w:sz="4" w:space="0" w:color="000000"/>
              <w:right w:val="single" w:sz="4" w:space="0" w:color="000000"/>
            </w:tcBorders>
          </w:tcPr>
          <w:p>
            <w:pPr/>
          </w:p>
        </w:tc>
        <w:tc>
          <w:tcPr>
            <w:tcW w:w="851"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134"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r>
      <w:tr>
        <w:trPr>
          <w:trHeight w:val="308" w:hRule="exact"/>
        </w:trPr>
        <w:tc>
          <w:tcPr>
            <w:tcW w:w="13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289" w:type="dxa"/>
            <w:vMerge/>
            <w:tcBorders>
              <w:left w:val="single" w:sz="9" w:space="0" w:color="D2D2D2"/>
              <w:bottom w:val="single" w:sz="4" w:space="0" w:color="000000"/>
              <w:right w:val="single" w:sz="4" w:space="0" w:color="000000"/>
            </w:tcBorders>
          </w:tcPr>
          <w:p>
            <w:pPr/>
          </w:p>
        </w:tc>
        <w:tc>
          <w:tcPr>
            <w:tcW w:w="850"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1275" w:type="dxa"/>
            <w:vMerge/>
            <w:tcBorders>
              <w:left w:val="single" w:sz="4" w:space="0" w:color="000000"/>
              <w:bottom w:val="single" w:sz="4" w:space="0" w:color="000000"/>
              <w:right w:val="single" w:sz="4" w:space="0" w:color="000000"/>
            </w:tcBorders>
          </w:tcPr>
          <w:p>
            <w:pPr/>
          </w:p>
        </w:tc>
        <w:tc>
          <w:tcPr>
            <w:tcW w:w="851"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r>
    </w:tbl>
    <w:p>
      <w:pPr>
        <w:spacing w:after="0"/>
        <w:sectPr>
          <w:pgSz w:w="16840" w:h="11910" w:orient="landscape"/>
          <w:pgMar w:header="867" w:footer="979" w:top="1060" w:bottom="1160" w:left="580" w:right="580"/>
        </w:sectPr>
      </w:pPr>
    </w:p>
    <w:p>
      <w:pPr>
        <w:spacing w:line="240" w:lineRule="auto" w:before="4"/>
        <w:rPr>
          <w:rFonts w:ascii="Times New Roman" w:hAnsi="Times New Roman" w:cs="Times New Roman" w:eastAsia="Times New Roman" w:hint="default"/>
          <w:sz w:val="3"/>
          <w:szCs w:val="3"/>
        </w:rPr>
      </w:pPr>
    </w:p>
    <w:p>
      <w:pPr>
        <w:spacing w:line="20" w:lineRule="exact"/>
        <w:ind w:left="78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spacing w:line="240" w:lineRule="auto" w:before="7"/>
        <w:rPr>
          <w:rFonts w:ascii="Times New Roman" w:hAnsi="Times New Roman" w:cs="Times New Roman" w:eastAsia="Times New Roman" w:hint="default"/>
          <w:sz w:val="22"/>
          <w:szCs w:val="22"/>
        </w:rPr>
      </w:pPr>
    </w:p>
    <w:p>
      <w:pPr>
        <w:pStyle w:val="Heading4"/>
        <w:spacing w:line="240" w:lineRule="auto" w:before="35"/>
        <w:ind w:left="820" w:right="0"/>
        <w:jc w:val="left"/>
        <w:rPr>
          <w:b w:val="0"/>
          <w:bCs w:val="0"/>
        </w:rPr>
      </w:pPr>
      <w:bookmarkStart w:name="8、母公司所有者权益变动表" w:id="163"/>
      <w:bookmarkEnd w:id="163"/>
      <w:r>
        <w:rPr>
          <w:b w:val="0"/>
          <w:bCs w:val="0"/>
        </w:rPr>
      </w:r>
      <w:r>
        <w:rPr>
          <w:rFonts w:ascii="Times New Roman" w:hAnsi="Times New Roman" w:cs="Times New Roman" w:eastAsia="Times New Roman"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820" w:right="0"/>
        <w:jc w:val="left"/>
      </w:pPr>
      <w:r>
        <w:rPr/>
        <w:t>本期金额</w:t>
      </w:r>
    </w:p>
    <w:p>
      <w:pPr>
        <w:pStyle w:val="BodyText"/>
        <w:spacing w:line="240" w:lineRule="auto" w:before="116"/>
        <w:ind w:left="0" w:right="896"/>
        <w:jc w:val="right"/>
      </w:pPr>
      <w:r>
        <w:rPr/>
        <w:t>单位：元</w:t>
      </w:r>
    </w:p>
    <w:p>
      <w:pPr>
        <w:spacing w:line="240" w:lineRule="auto" w:before="1"/>
        <w:rPr>
          <w:rFonts w:ascii="宋体" w:hAnsi="宋体" w:cs="宋体" w:eastAsia="宋体" w:hint="default"/>
          <w:sz w:val="8"/>
          <w:szCs w:val="8"/>
        </w:rPr>
      </w:pPr>
    </w:p>
    <w:tbl>
      <w:tblPr>
        <w:tblW w:w="0" w:type="auto"/>
        <w:jc w:val="left"/>
        <w:tblInd w:w="117" w:type="dxa"/>
        <w:tblLayout w:type="fixed"/>
        <w:tblCellMar>
          <w:top w:w="0" w:type="dxa"/>
          <w:left w:w="0" w:type="dxa"/>
          <w:bottom w:w="0" w:type="dxa"/>
          <w:right w:w="0" w:type="dxa"/>
        </w:tblCellMar>
        <w:tblLook w:val="01E0"/>
      </w:tblPr>
      <w:tblGrid>
        <w:gridCol w:w="2127"/>
        <w:gridCol w:w="1265"/>
        <w:gridCol w:w="708"/>
        <w:gridCol w:w="851"/>
        <w:gridCol w:w="992"/>
        <w:gridCol w:w="1700"/>
        <w:gridCol w:w="1702"/>
        <w:gridCol w:w="1134"/>
        <w:gridCol w:w="1134"/>
        <w:gridCol w:w="1276"/>
        <w:gridCol w:w="1277"/>
        <w:gridCol w:w="1274"/>
      </w:tblGrid>
      <w:tr>
        <w:trPr>
          <w:trHeight w:val="402" w:hRule="exact"/>
        </w:trPr>
        <w:tc>
          <w:tcPr>
            <w:tcW w:w="2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1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6" w:hRule="exact"/>
        </w:trPr>
        <w:tc>
          <w:tcPr>
            <w:tcW w:w="21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255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72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76"/>
              <w:ind w:left="381" w:right="200"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76"/>
              <w:ind w:left="452" w:right="180" w:hanging="270"/>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191" w:hRule="exact"/>
        </w:trPr>
        <w:tc>
          <w:tcPr>
            <w:tcW w:w="2127" w:type="dxa"/>
            <w:vMerge/>
            <w:tcBorders>
              <w:left w:val="single" w:sz="4" w:space="0" w:color="000000"/>
              <w:bottom w:val="nil" w:sz="6" w:space="0" w:color="auto"/>
              <w:right w:val="single" w:sz="4" w:space="0" w:color="000000"/>
            </w:tcBorders>
            <w:shd w:val="clear" w:color="auto" w:fill="D2D2D2"/>
          </w:tcPr>
          <w:p>
            <w:pPr/>
          </w:p>
        </w:tc>
        <w:tc>
          <w:tcPr>
            <w:tcW w:w="12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551" w:type="dxa"/>
            <w:gridSpan w:val="3"/>
            <w:vMerge/>
            <w:tcBorders>
              <w:left w:val="single" w:sz="4" w:space="0" w:color="000000"/>
              <w:bottom w:val="single" w:sz="4" w:space="0" w:color="000000"/>
              <w:right w:val="single" w:sz="4" w:space="0" w:color="000000"/>
            </w:tcBorders>
            <w:shd w:val="clear" w:color="auto" w:fill="D2D2D2"/>
          </w:tcPr>
          <w:p>
            <w:pPr/>
          </w:p>
        </w:tc>
        <w:tc>
          <w:tcPr>
            <w:tcW w:w="17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4"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4" w:type="dxa"/>
            <w:vMerge/>
            <w:tcBorders>
              <w:left w:val="single" w:sz="4" w:space="0" w:color="000000"/>
              <w:right w:val="single" w:sz="4" w:space="0" w:color="000000"/>
            </w:tcBorders>
            <w:shd w:val="clear" w:color="auto" w:fill="D2D2D2"/>
          </w:tcPr>
          <w:p>
            <w:pPr/>
          </w:p>
        </w:tc>
      </w:tr>
      <w:tr>
        <w:trPr>
          <w:trHeight w:val="200" w:hRule="exact"/>
        </w:trPr>
        <w:tc>
          <w:tcPr>
            <w:tcW w:w="2127" w:type="dxa"/>
            <w:vMerge w:val="restart"/>
            <w:tcBorders>
              <w:top w:val="nil" w:sz="6" w:space="0" w:color="auto"/>
              <w:left w:val="single" w:sz="4" w:space="0" w:color="000000"/>
              <w:right w:val="single" w:sz="4" w:space="0" w:color="000000"/>
            </w:tcBorders>
            <w:shd w:val="clear" w:color="auto" w:fill="D2D2D2"/>
          </w:tcPr>
          <w:p>
            <w:pPr/>
          </w:p>
        </w:tc>
        <w:tc>
          <w:tcPr>
            <w:tcW w:w="1265"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0"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r>
      <w:tr>
        <w:trPr>
          <w:trHeight w:val="206"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7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259,303,490.61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14" w:space="0" w:color="D2D2D2"/>
              <w:left w:val="single" w:sz="4" w:space="0" w:color="000000"/>
              <w:bottom w:val="single" w:sz="4" w:space="0" w:color="000000"/>
              <w:right w:val="single" w:sz="4" w:space="0" w:color="000000"/>
            </w:tcBorders>
          </w:tcPr>
          <w:p>
            <w:pPr>
              <w:pStyle w:val="TableParagraph"/>
              <w:spacing w:line="240" w:lineRule="auto" w:before="78"/>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21,383,122.95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75,361,487.97</w:t>
            </w:r>
          </w:p>
        </w:tc>
        <w:tc>
          <w:tcPr>
            <w:tcW w:w="1274" w:type="dxa"/>
            <w:tcBorders>
              <w:top w:val="single" w:sz="14" w:space="0" w:color="D2D2D2"/>
              <w:left w:val="single" w:sz="4" w:space="0" w:color="000000"/>
              <w:bottom w:val="single" w:sz="4" w:space="0" w:color="000000"/>
              <w:right w:val="single" w:sz="4" w:space="0" w:color="000000"/>
            </w:tcBorders>
          </w:tcPr>
          <w:p>
            <w:pPr>
              <w:pStyle w:val="TableParagraph"/>
              <w:spacing w:line="240" w:lineRule="auto" w:before="78"/>
              <w:ind w:right="20"/>
              <w:jc w:val="right"/>
              <w:rPr>
                <w:rFonts w:ascii="Times New Roman" w:hAnsi="Times New Roman" w:cs="Times New Roman" w:eastAsia="Times New Roman" w:hint="default"/>
                <w:sz w:val="18"/>
                <w:szCs w:val="18"/>
              </w:rPr>
            </w:pPr>
            <w:r>
              <w:rPr>
                <w:rFonts w:ascii="Times New Roman"/>
                <w:spacing w:val="-1"/>
                <w:sz w:val="18"/>
              </w:rPr>
              <w:t>464,048,101.53</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294"/>
              <w:jc w:val="center"/>
              <w:rPr>
                <w:rFonts w:ascii="宋体" w:hAnsi="宋体" w:cs="宋体" w:eastAsia="宋体" w:hint="default"/>
                <w:sz w:val="18"/>
                <w:szCs w:val="18"/>
              </w:rPr>
            </w:pPr>
            <w:r>
              <w:rPr>
                <w:rFonts w:ascii="宋体" w:hAnsi="宋体" w:cs="宋体" w:eastAsia="宋体" w:hint="default"/>
                <w:sz w:val="18"/>
                <w:szCs w:val="18"/>
              </w:rPr>
              <w:t>其他</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259,303,490.61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21,383,122.95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75,361,487.97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464,048,101.53</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39,999,113.66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3,102,826.69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-26,074,559.76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-62,970,846.73</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31,028,266.93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31,028,266.93</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10"/>
              <w:jc w:val="left"/>
              <w:rPr>
                <w:rFonts w:ascii="宋体" w:hAnsi="宋体" w:cs="宋体" w:eastAsia="宋体" w:hint="default"/>
                <w:sz w:val="18"/>
                <w:szCs w:val="18"/>
              </w:rPr>
            </w:pPr>
            <w:r>
              <w:rPr>
                <w:rFonts w:ascii="宋体" w:hAnsi="宋体" w:cs="宋体" w:eastAsia="宋体" w:hint="default"/>
                <w:spacing w:val="-6"/>
                <w:sz w:val="18"/>
                <w:szCs w:val="18"/>
              </w:rPr>
              <w:t>（二）所有者投入和减少资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本</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39,999,113.66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-39,999,113.66</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 入资本</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1"/>
              <w:ind w:left="11"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 益的金额</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39,999,113.66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-39,999,113.66</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3,102,826.69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-57,102,826.69</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-54,000,000.00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620" w:right="540"/>
        </w:sectPr>
      </w:pPr>
    </w:p>
    <w:p>
      <w:pPr>
        <w:spacing w:line="240" w:lineRule="auto" w:before="4"/>
        <w:rPr>
          <w:rFonts w:ascii="Times New Roman" w:hAnsi="Times New Roman" w:cs="Times New Roman" w:eastAsia="Times New Roman"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127"/>
        <w:gridCol w:w="1265"/>
        <w:gridCol w:w="708"/>
        <w:gridCol w:w="851"/>
        <w:gridCol w:w="992"/>
        <w:gridCol w:w="1700"/>
        <w:gridCol w:w="1702"/>
        <w:gridCol w:w="1134"/>
        <w:gridCol w:w="1134"/>
        <w:gridCol w:w="1276"/>
        <w:gridCol w:w="1277"/>
        <w:gridCol w:w="1274"/>
      </w:tblGrid>
      <w:tr>
        <w:trPr>
          <w:trHeight w:val="416" w:hRule="exact"/>
        </w:trPr>
        <w:tc>
          <w:tcPr>
            <w:tcW w:w="2127" w:type="dxa"/>
            <w:tcBorders>
              <w:top w:val="single" w:sz="15" w:space="0" w:color="000000"/>
              <w:left w:val="single" w:sz="4" w:space="0" w:color="000000"/>
              <w:bottom w:val="nil" w:sz="6" w:space="0" w:color="auto"/>
              <w:right w:val="single" w:sz="4" w:space="0" w:color="000000"/>
            </w:tcBorders>
            <w:shd w:val="clear" w:color="auto" w:fill="D2D2D2"/>
          </w:tcPr>
          <w:p>
            <w:pPr/>
          </w:p>
        </w:tc>
        <w:tc>
          <w:tcPr>
            <w:tcW w:w="13314" w:type="dxa"/>
            <w:gridSpan w:val="11"/>
            <w:tcBorders>
              <w:top w:val="single" w:sz="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center"/>
              <w:rPr>
                <w:rFonts w:ascii="宋体" w:hAnsi="宋体" w:cs="宋体" w:eastAsia="宋体" w:hint="default"/>
                <w:sz w:val="18"/>
                <w:szCs w:val="18"/>
              </w:rPr>
            </w:pPr>
            <w:r>
              <w:rPr>
                <w:rFonts w:ascii="宋体" w:hAnsi="宋体" w:cs="宋体" w:eastAsia="宋体" w:hint="default"/>
                <w:sz w:val="18"/>
                <w:szCs w:val="18"/>
              </w:rPr>
              <w:t>本期</w:t>
            </w:r>
          </w:p>
        </w:tc>
      </w:tr>
      <w:tr>
        <w:trPr>
          <w:trHeight w:val="207" w:hRule="exact"/>
        </w:trPr>
        <w:tc>
          <w:tcPr>
            <w:tcW w:w="21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255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72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7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77"/>
              <w:ind w:left="381" w:right="200"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77"/>
              <w:ind w:left="452" w:right="180" w:hanging="270"/>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191" w:hRule="exact"/>
        </w:trPr>
        <w:tc>
          <w:tcPr>
            <w:tcW w:w="2127" w:type="dxa"/>
            <w:vMerge/>
            <w:tcBorders>
              <w:left w:val="single" w:sz="4" w:space="0" w:color="000000"/>
              <w:bottom w:val="nil" w:sz="6" w:space="0" w:color="auto"/>
              <w:right w:val="single" w:sz="4" w:space="0" w:color="000000"/>
            </w:tcBorders>
            <w:shd w:val="clear" w:color="auto" w:fill="D2D2D2"/>
          </w:tcPr>
          <w:p>
            <w:pPr/>
          </w:p>
        </w:tc>
        <w:tc>
          <w:tcPr>
            <w:tcW w:w="12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551" w:type="dxa"/>
            <w:gridSpan w:val="3"/>
            <w:vMerge/>
            <w:tcBorders>
              <w:left w:val="single" w:sz="4" w:space="0" w:color="000000"/>
              <w:bottom w:val="single" w:sz="4" w:space="0" w:color="000000"/>
              <w:right w:val="single" w:sz="4" w:space="0" w:color="000000"/>
            </w:tcBorders>
            <w:shd w:val="clear" w:color="auto" w:fill="D2D2D2"/>
          </w:tcPr>
          <w:p>
            <w:pPr/>
          </w:p>
        </w:tc>
        <w:tc>
          <w:tcPr>
            <w:tcW w:w="17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96"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134"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4" w:type="dxa"/>
            <w:vMerge/>
            <w:tcBorders>
              <w:left w:val="single" w:sz="4" w:space="0" w:color="000000"/>
              <w:right w:val="single" w:sz="4" w:space="0" w:color="000000"/>
            </w:tcBorders>
            <w:shd w:val="clear" w:color="auto" w:fill="D2D2D2"/>
          </w:tcPr>
          <w:p>
            <w:pPr/>
          </w:p>
        </w:tc>
      </w:tr>
      <w:tr>
        <w:trPr>
          <w:trHeight w:val="200" w:hRule="exact"/>
        </w:trPr>
        <w:tc>
          <w:tcPr>
            <w:tcW w:w="2127" w:type="dxa"/>
            <w:vMerge w:val="restart"/>
            <w:tcBorders>
              <w:top w:val="nil" w:sz="6" w:space="0" w:color="auto"/>
              <w:left w:val="single" w:sz="4" w:space="0" w:color="000000"/>
              <w:right w:val="single" w:sz="4" w:space="0" w:color="000000"/>
            </w:tcBorders>
            <w:shd w:val="clear" w:color="auto" w:fill="D2D2D2"/>
          </w:tcPr>
          <w:p>
            <w:pPr/>
          </w:p>
        </w:tc>
        <w:tc>
          <w:tcPr>
            <w:tcW w:w="1265" w:type="dxa"/>
            <w:vMerge/>
            <w:tcBorders>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8"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1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00"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r>
      <w:tr>
        <w:trPr>
          <w:trHeight w:val="206"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17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14" w:space="0" w:color="D2D2D2"/>
              <w:left w:val="single" w:sz="4" w:space="0" w:color="000000"/>
              <w:bottom w:val="single" w:sz="4" w:space="0" w:color="000000"/>
              <w:right w:val="single" w:sz="4" w:space="0" w:color="000000"/>
            </w:tcBorders>
          </w:tcPr>
          <w:p>
            <w:pPr>
              <w:pStyle w:val="TableParagraph"/>
              <w:spacing w:line="240" w:lineRule="auto" w:before="78"/>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3,102,826.69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-3,102,826.69</w:t>
            </w:r>
          </w:p>
        </w:tc>
        <w:tc>
          <w:tcPr>
            <w:tcW w:w="1274" w:type="dxa"/>
            <w:tcBorders>
              <w:top w:val="single" w:sz="14" w:space="0" w:color="D2D2D2"/>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 分配</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-54,000,000.00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6"/>
                <w:sz w:val="18"/>
                <w:szCs w:val="18"/>
              </w:rPr>
              <w:t>（四）所有者权益内部结转</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 股本）</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 股本）</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 转留存收益</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162,000,000.00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205,303,490.61</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39,999,113.66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24,485,949.64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49,286,928.21</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401,077,254.80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160" w:left="620" w:right="540"/>
        </w:sectPr>
      </w:pPr>
    </w:p>
    <w:p>
      <w:pPr>
        <w:spacing w:line="240" w:lineRule="auto" w:before="4"/>
        <w:rPr>
          <w:rFonts w:ascii="Times New Roman" w:hAnsi="Times New Roman" w:cs="Times New Roman" w:eastAsia="Times New Roman" w:hint="default"/>
          <w:sz w:val="3"/>
          <w:szCs w:val="3"/>
        </w:rPr>
      </w:pPr>
    </w:p>
    <w:p>
      <w:pPr>
        <w:spacing w:line="20" w:lineRule="exact"/>
        <w:ind w:left="782" w:right="0" w:firstLine="0"/>
        <w:rPr>
          <w:rFonts w:ascii="Times New Roman" w:hAnsi="Times New Roman" w:cs="Times New Roman" w:eastAsia="Times New Roman" w:hint="default"/>
          <w:sz w:val="2"/>
          <w:szCs w:val="2"/>
        </w:rPr>
      </w:pPr>
      <w:r>
        <w:rPr>
          <w:rFonts w:ascii="Times New Roman" w:hAnsi="Times New Roman" w:cs="Times New Roman" w:eastAsia="Times New Roman" w:hint="default"/>
          <w:sz w:val="2"/>
          <w:szCs w:val="2"/>
        </w:rPr>
        <w:pict>
          <v:group style="width:701.7pt;height:.75pt;mso-position-horizontal-relative:char;mso-position-vertical-relative:line" coordorigin="0,0" coordsize="14034,15">
            <v:group style="position:absolute;left:7;top:7;width:14020;height:2" coordorigin="7,7" coordsize="14020,2">
              <v:shape style="position:absolute;left:7;top:7;width:14020;height:2" coordorigin="7,7" coordsize="14020,0" path="m7,7l14027,7e" filled="false" stroked="true" strokeweight=".72pt" strokecolor="#000000">
                <v:path arrowok="t"/>
              </v:shape>
            </v:group>
          </v:group>
        </w:pict>
      </w:r>
      <w:r>
        <w:rPr>
          <w:rFonts w:ascii="Times New Roman" w:hAnsi="Times New Roman" w:cs="Times New Roman" w:eastAsia="Times New Roman" w:hint="default"/>
          <w:sz w:val="2"/>
          <w:szCs w:val="2"/>
        </w:rPr>
      </w:r>
    </w:p>
    <w:p>
      <w:pPr>
        <w:pStyle w:val="BodyText"/>
        <w:spacing w:line="240" w:lineRule="auto" w:before="20"/>
        <w:ind w:left="820" w:right="0"/>
        <w:jc w:val="left"/>
      </w:pPr>
      <w:r>
        <w:rPr/>
        <w:t>上期金额</w:t>
      </w:r>
    </w:p>
    <w:p>
      <w:pPr>
        <w:pStyle w:val="BodyText"/>
        <w:spacing w:line="240" w:lineRule="auto" w:before="116"/>
        <w:ind w:left="0" w:right="896"/>
        <w:jc w:val="right"/>
      </w:pPr>
      <w:r>
        <w:rPr/>
        <w:t>单位：元</w:t>
      </w:r>
    </w:p>
    <w:p>
      <w:pPr>
        <w:spacing w:line="240" w:lineRule="auto" w:before="4"/>
        <w:rPr>
          <w:rFonts w:ascii="宋体" w:hAnsi="宋体" w:cs="宋体" w:eastAsia="宋体" w:hint="default"/>
          <w:sz w:val="7"/>
          <w:szCs w:val="7"/>
        </w:rPr>
      </w:pPr>
    </w:p>
    <w:tbl>
      <w:tblPr>
        <w:tblW w:w="0" w:type="auto"/>
        <w:jc w:val="left"/>
        <w:tblInd w:w="117" w:type="dxa"/>
        <w:tblLayout w:type="fixed"/>
        <w:tblCellMar>
          <w:top w:w="0" w:type="dxa"/>
          <w:left w:w="0" w:type="dxa"/>
          <w:bottom w:w="0" w:type="dxa"/>
          <w:right w:w="0" w:type="dxa"/>
        </w:tblCellMar>
        <w:tblLook w:val="01E0"/>
      </w:tblPr>
      <w:tblGrid>
        <w:gridCol w:w="2127"/>
        <w:gridCol w:w="1265"/>
        <w:gridCol w:w="992"/>
        <w:gridCol w:w="709"/>
        <w:gridCol w:w="850"/>
        <w:gridCol w:w="1559"/>
        <w:gridCol w:w="1276"/>
        <w:gridCol w:w="992"/>
        <w:gridCol w:w="994"/>
        <w:gridCol w:w="1700"/>
        <w:gridCol w:w="1702"/>
        <w:gridCol w:w="1274"/>
      </w:tblGrid>
      <w:tr>
        <w:trPr>
          <w:trHeight w:val="402" w:hRule="exact"/>
        </w:trPr>
        <w:tc>
          <w:tcPr>
            <w:tcW w:w="21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14"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05" w:hRule="exact"/>
        </w:trPr>
        <w:tc>
          <w:tcPr>
            <w:tcW w:w="21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5"/>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255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1"/>
              <w:ind w:left="72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86"/>
              <w:ind w:left="312" w:right="128"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357" w:lineRule="auto" w:before="86"/>
              <w:ind w:left="452" w:right="180" w:hanging="270"/>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192" w:hRule="exact"/>
        </w:trPr>
        <w:tc>
          <w:tcPr>
            <w:tcW w:w="2127" w:type="dxa"/>
            <w:vMerge/>
            <w:tcBorders>
              <w:left w:val="single" w:sz="4" w:space="0" w:color="000000"/>
              <w:bottom w:val="nil" w:sz="6" w:space="0" w:color="auto"/>
              <w:right w:val="single" w:sz="4" w:space="0" w:color="000000"/>
            </w:tcBorders>
            <w:shd w:val="clear" w:color="auto" w:fill="D2D2D2"/>
          </w:tcPr>
          <w:p>
            <w:pPr/>
          </w:p>
        </w:tc>
        <w:tc>
          <w:tcPr>
            <w:tcW w:w="12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551" w:type="dxa"/>
            <w:gridSpan w:val="3"/>
            <w:vMerge/>
            <w:tcBorders>
              <w:left w:val="single" w:sz="4" w:space="0" w:color="000000"/>
              <w:bottom w:val="single" w:sz="4" w:space="0" w:color="000000"/>
              <w:right w:val="single" w:sz="4" w:space="0" w:color="000000"/>
            </w:tcBorders>
            <w:shd w:val="clear" w:color="auto" w:fill="D2D2D2"/>
          </w:tcPr>
          <w:p>
            <w:pPr/>
          </w:p>
        </w:tc>
        <w:tc>
          <w:tcPr>
            <w:tcW w:w="15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41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2"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13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4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61"/>
              <w:ind w:left="39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4" w:type="dxa"/>
            <w:vMerge/>
            <w:tcBorders>
              <w:left w:val="single" w:sz="4" w:space="0" w:color="000000"/>
              <w:right w:val="single" w:sz="4" w:space="0" w:color="000000"/>
            </w:tcBorders>
            <w:shd w:val="clear" w:color="auto" w:fill="D2D2D2"/>
          </w:tcPr>
          <w:p>
            <w:pPr/>
          </w:p>
        </w:tc>
      </w:tr>
      <w:tr>
        <w:trPr>
          <w:trHeight w:val="200" w:hRule="exact"/>
        </w:trPr>
        <w:tc>
          <w:tcPr>
            <w:tcW w:w="2127" w:type="dxa"/>
            <w:vMerge w:val="restart"/>
            <w:tcBorders>
              <w:top w:val="nil" w:sz="6" w:space="0" w:color="auto"/>
              <w:left w:val="single" w:sz="4" w:space="0" w:color="000000"/>
              <w:right w:val="single" w:sz="4" w:space="0" w:color="000000"/>
            </w:tcBorders>
            <w:shd w:val="clear" w:color="auto" w:fill="D2D2D2"/>
          </w:tcPr>
          <w:p>
            <w:pPr/>
          </w:p>
        </w:tc>
        <w:tc>
          <w:tcPr>
            <w:tcW w:w="1265"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22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5"/>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700"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r>
      <w:tr>
        <w:trPr>
          <w:trHeight w:val="206"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一、上年期末余额</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54,000,000.00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26,394,465.63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16,043,385.99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99,303,855.30</w:t>
            </w:r>
          </w:p>
        </w:tc>
        <w:tc>
          <w:tcPr>
            <w:tcW w:w="1274" w:type="dxa"/>
            <w:tcBorders>
              <w:top w:val="single" w:sz="10" w:space="0" w:color="D2D2D2"/>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195,741,706.92</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1"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731"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294"/>
              <w:jc w:val="center"/>
              <w:rPr>
                <w:rFonts w:ascii="宋体" w:hAnsi="宋体" w:cs="宋体" w:eastAsia="宋体" w:hint="default"/>
                <w:sz w:val="18"/>
                <w:szCs w:val="18"/>
              </w:rPr>
            </w:pPr>
            <w:r>
              <w:rPr>
                <w:rFonts w:ascii="宋体" w:hAnsi="宋体" w:cs="宋体" w:eastAsia="宋体" w:hint="default"/>
                <w:sz w:val="18"/>
                <w:szCs w:val="18"/>
              </w:rPr>
              <w:t>其他</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二、本年期初余额</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54,000,000.00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26,394,465.63</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16,043,385.99</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1"/>
              <w:jc w:val="right"/>
              <w:rPr>
                <w:rFonts w:ascii="Times New Roman" w:hAnsi="Times New Roman" w:cs="Times New Roman" w:eastAsia="Times New Roman" w:hint="default"/>
                <w:sz w:val="18"/>
                <w:szCs w:val="18"/>
              </w:rPr>
            </w:pPr>
            <w:r>
              <w:rPr>
                <w:rFonts w:ascii="Times New Roman"/>
                <w:spacing w:val="-1"/>
                <w:sz w:val="18"/>
              </w:rPr>
              <w:t>99,303,855.30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20"/>
              <w:jc w:val="right"/>
              <w:rPr>
                <w:rFonts w:ascii="Times New Roman" w:hAnsi="Times New Roman" w:cs="Times New Roman" w:eastAsia="Times New Roman" w:hint="default"/>
                <w:sz w:val="18"/>
                <w:szCs w:val="18"/>
              </w:rPr>
            </w:pPr>
            <w:r>
              <w:rPr>
                <w:rFonts w:ascii="Times New Roman"/>
                <w:spacing w:val="-1"/>
                <w:sz w:val="18"/>
              </w:rPr>
              <w:t>195,741,706.92</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11" w:right="1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232,909,024.98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5,339,736.96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-23,942,367.33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268,306,394.61</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（一）综合收益总额</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53,397,369.63</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53,397,369.63</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11" w:right="10"/>
              <w:jc w:val="left"/>
              <w:rPr>
                <w:rFonts w:ascii="宋体" w:hAnsi="宋体" w:cs="宋体" w:eastAsia="宋体" w:hint="default"/>
                <w:sz w:val="18"/>
                <w:szCs w:val="18"/>
              </w:rPr>
            </w:pPr>
            <w:r>
              <w:rPr>
                <w:rFonts w:ascii="宋体" w:hAnsi="宋体" w:cs="宋体" w:eastAsia="宋体" w:hint="default"/>
                <w:spacing w:val="-6"/>
                <w:sz w:val="18"/>
                <w:szCs w:val="18"/>
              </w:rPr>
              <w:t>（二）所有者投入和减少资</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本</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232,909,024.98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250,909,024.98</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．所有者投入的普通股</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18,000,000.00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232,909,024.98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250,909,024.98</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1"/>
              <w:ind w:left="11"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．其他权益工具持有者投 入资本</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1"/>
              <w:ind w:left="11"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．股份支付计入所有者权 益的金额</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5,339,736.96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-77,339,736.96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0"/>
              <w:jc w:val="right"/>
              <w:rPr>
                <w:rFonts w:ascii="Times New Roman" w:hAnsi="Times New Roman" w:cs="Times New Roman" w:eastAsia="Times New Roman" w:hint="default"/>
                <w:sz w:val="18"/>
                <w:szCs w:val="18"/>
              </w:rPr>
            </w:pPr>
            <w:r>
              <w:rPr>
                <w:rFonts w:ascii="Times New Roman"/>
                <w:spacing w:val="-1"/>
                <w:sz w:val="18"/>
              </w:rPr>
              <w:t>5,339,736.96</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21"/>
              <w:jc w:val="right"/>
              <w:rPr>
                <w:rFonts w:ascii="Times New Roman" w:hAnsi="Times New Roman" w:cs="Times New Roman" w:eastAsia="Times New Roman" w:hint="default"/>
                <w:sz w:val="18"/>
                <w:szCs w:val="18"/>
              </w:rPr>
            </w:pPr>
            <w:r>
              <w:rPr>
                <w:rFonts w:ascii="Times New Roman"/>
                <w:spacing w:val="-1"/>
                <w:sz w:val="18"/>
              </w:rPr>
              <w:t>-5,339,736.96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61"/>
              <w:ind w:left="11"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．对所有者（或股东）的 分配</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-72,000,000.00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-36,000,000.00</w:t>
            </w:r>
          </w:p>
        </w:tc>
      </w:tr>
    </w:tbl>
    <w:p>
      <w:pPr>
        <w:spacing w:after="0" w:line="240" w:lineRule="auto"/>
        <w:jc w:val="right"/>
        <w:rPr>
          <w:rFonts w:ascii="Times New Roman" w:hAnsi="Times New Roman" w:cs="Times New Roman" w:eastAsia="Times New Roman" w:hint="default"/>
          <w:sz w:val="18"/>
          <w:szCs w:val="18"/>
        </w:rPr>
        <w:sectPr>
          <w:pgSz w:w="16840" w:h="11910" w:orient="landscape"/>
          <w:pgMar w:header="867" w:footer="979" w:top="1060" w:bottom="1260" w:left="620" w:right="540"/>
        </w:sectPr>
      </w:pPr>
    </w:p>
    <w:p>
      <w:pPr>
        <w:spacing w:line="240" w:lineRule="auto" w:before="4"/>
        <w:rPr>
          <w:rFonts w:ascii="Times New Roman" w:hAnsi="Times New Roman" w:cs="Times New Roman" w:eastAsia="Times New Roman" w:hint="default"/>
          <w:sz w:val="3"/>
          <w:szCs w:val="3"/>
        </w:rPr>
      </w:pPr>
    </w:p>
    <w:tbl>
      <w:tblPr>
        <w:tblW w:w="0" w:type="auto"/>
        <w:jc w:val="left"/>
        <w:tblInd w:w="117" w:type="dxa"/>
        <w:tblLayout w:type="fixed"/>
        <w:tblCellMar>
          <w:top w:w="0" w:type="dxa"/>
          <w:left w:w="0" w:type="dxa"/>
          <w:bottom w:w="0" w:type="dxa"/>
          <w:right w:w="0" w:type="dxa"/>
        </w:tblCellMar>
        <w:tblLook w:val="01E0"/>
      </w:tblPr>
      <w:tblGrid>
        <w:gridCol w:w="2127"/>
        <w:gridCol w:w="1265"/>
        <w:gridCol w:w="992"/>
        <w:gridCol w:w="709"/>
        <w:gridCol w:w="850"/>
        <w:gridCol w:w="1559"/>
        <w:gridCol w:w="1276"/>
        <w:gridCol w:w="992"/>
        <w:gridCol w:w="994"/>
        <w:gridCol w:w="1700"/>
        <w:gridCol w:w="1702"/>
        <w:gridCol w:w="1274"/>
      </w:tblGrid>
      <w:tr>
        <w:trPr>
          <w:trHeight w:val="416" w:hRule="exact"/>
        </w:trPr>
        <w:tc>
          <w:tcPr>
            <w:tcW w:w="2127" w:type="dxa"/>
            <w:tcBorders>
              <w:top w:val="single" w:sz="15" w:space="0" w:color="000000"/>
              <w:left w:val="single" w:sz="4" w:space="0" w:color="000000"/>
              <w:bottom w:val="nil" w:sz="6" w:space="0" w:color="auto"/>
              <w:right w:val="single" w:sz="4" w:space="0" w:color="000000"/>
            </w:tcBorders>
            <w:shd w:val="clear" w:color="auto" w:fill="D2D2D2"/>
          </w:tcPr>
          <w:p>
            <w:pPr/>
          </w:p>
        </w:tc>
        <w:tc>
          <w:tcPr>
            <w:tcW w:w="13314" w:type="dxa"/>
            <w:gridSpan w:val="11"/>
            <w:tcBorders>
              <w:top w:val="single" w:sz="6"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207" w:hRule="exact"/>
        </w:trPr>
        <w:tc>
          <w:tcPr>
            <w:tcW w:w="21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65" w:type="dxa"/>
            <w:tcBorders>
              <w:top w:val="single" w:sz="4" w:space="0" w:color="000000"/>
              <w:left w:val="single" w:sz="4" w:space="0" w:color="000000"/>
              <w:bottom w:val="nil" w:sz="6" w:space="0" w:color="auto"/>
              <w:right w:val="single" w:sz="4" w:space="0" w:color="000000"/>
            </w:tcBorders>
            <w:shd w:val="clear" w:color="auto" w:fill="D2D2D2"/>
          </w:tcPr>
          <w:p>
            <w:pPr/>
          </w:p>
        </w:tc>
        <w:tc>
          <w:tcPr>
            <w:tcW w:w="255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72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559"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77"/>
              <w:ind w:left="312" w:right="128" w:hanging="180"/>
              <w:jc w:val="left"/>
              <w:rPr>
                <w:rFonts w:ascii="宋体" w:hAnsi="宋体" w:cs="宋体" w:eastAsia="宋体" w:hint="default"/>
                <w:sz w:val="18"/>
                <w:szCs w:val="18"/>
              </w:rPr>
            </w:pPr>
            <w:r>
              <w:rPr>
                <w:rFonts w:ascii="宋体" w:hAnsi="宋体" w:cs="宋体" w:eastAsia="宋体" w:hint="default"/>
                <w:sz w:val="18"/>
                <w:szCs w:val="18"/>
              </w:rPr>
              <w:t>其他综合 收益</w:t>
            </w:r>
          </w:p>
        </w:tc>
        <w:tc>
          <w:tcPr>
            <w:tcW w:w="9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2"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4"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77"/>
              <w:ind w:left="452" w:right="180" w:hanging="270"/>
              <w:jc w:val="left"/>
              <w:rPr>
                <w:rFonts w:ascii="宋体" w:hAnsi="宋体" w:cs="宋体" w:eastAsia="宋体" w:hint="default"/>
                <w:sz w:val="18"/>
                <w:szCs w:val="18"/>
              </w:rPr>
            </w:pPr>
            <w:r>
              <w:rPr>
                <w:rFonts w:ascii="宋体" w:hAnsi="宋体" w:cs="宋体" w:eastAsia="宋体" w:hint="default"/>
                <w:sz w:val="18"/>
                <w:szCs w:val="18"/>
              </w:rPr>
              <w:t>所有者权益 合计</w:t>
            </w:r>
          </w:p>
        </w:tc>
      </w:tr>
      <w:tr>
        <w:trPr>
          <w:trHeight w:val="191" w:hRule="exact"/>
        </w:trPr>
        <w:tc>
          <w:tcPr>
            <w:tcW w:w="2127" w:type="dxa"/>
            <w:vMerge/>
            <w:tcBorders>
              <w:left w:val="single" w:sz="4" w:space="0" w:color="000000"/>
              <w:bottom w:val="nil" w:sz="6" w:space="0" w:color="auto"/>
              <w:right w:val="single" w:sz="4" w:space="0" w:color="000000"/>
            </w:tcBorders>
            <w:shd w:val="clear" w:color="auto" w:fill="D2D2D2"/>
          </w:tcPr>
          <w:p>
            <w:pPr/>
          </w:p>
        </w:tc>
        <w:tc>
          <w:tcPr>
            <w:tcW w:w="126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2551" w:type="dxa"/>
            <w:gridSpan w:val="3"/>
            <w:vMerge/>
            <w:tcBorders>
              <w:left w:val="single" w:sz="4" w:space="0" w:color="000000"/>
              <w:bottom w:val="single" w:sz="4" w:space="0" w:color="000000"/>
              <w:right w:val="single" w:sz="4" w:space="0" w:color="000000"/>
            </w:tcBorders>
            <w:shd w:val="clear" w:color="auto" w:fill="D2D2D2"/>
          </w:tcPr>
          <w:p>
            <w:pPr/>
          </w:p>
        </w:tc>
        <w:tc>
          <w:tcPr>
            <w:tcW w:w="15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992" w:type="dxa"/>
            <w:vMerge/>
            <w:tcBorders>
              <w:left w:val="single" w:sz="4" w:space="0" w:color="000000"/>
              <w:right w:val="single" w:sz="4" w:space="0" w:color="000000"/>
            </w:tcBorders>
            <w:shd w:val="clear" w:color="auto" w:fill="D2D2D2"/>
          </w:tcPr>
          <w:p>
            <w:pPr/>
          </w:p>
        </w:tc>
        <w:tc>
          <w:tcPr>
            <w:tcW w:w="99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7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70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9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74" w:type="dxa"/>
            <w:vMerge/>
            <w:tcBorders>
              <w:left w:val="single" w:sz="4" w:space="0" w:color="000000"/>
              <w:right w:val="single" w:sz="4" w:space="0" w:color="000000"/>
            </w:tcBorders>
            <w:shd w:val="clear" w:color="auto" w:fill="D2D2D2"/>
          </w:tcPr>
          <w:p>
            <w:pPr/>
          </w:p>
        </w:tc>
      </w:tr>
      <w:tr>
        <w:trPr>
          <w:trHeight w:val="200" w:hRule="exact"/>
        </w:trPr>
        <w:tc>
          <w:tcPr>
            <w:tcW w:w="2127" w:type="dxa"/>
            <w:vMerge w:val="restart"/>
            <w:tcBorders>
              <w:top w:val="nil" w:sz="6" w:space="0" w:color="auto"/>
              <w:left w:val="single" w:sz="4" w:space="0" w:color="000000"/>
              <w:right w:val="single" w:sz="4" w:space="0" w:color="000000"/>
            </w:tcBorders>
            <w:shd w:val="clear" w:color="auto" w:fill="D2D2D2"/>
          </w:tcPr>
          <w:p>
            <w:pPr/>
          </w:p>
        </w:tc>
        <w:tc>
          <w:tcPr>
            <w:tcW w:w="1265" w:type="dxa"/>
            <w:vMerge/>
            <w:tcBorders>
              <w:left w:val="single" w:sz="4" w:space="0" w:color="000000"/>
              <w:bottom w:val="nil" w:sz="6" w:space="0" w:color="auto"/>
              <w:right w:val="single" w:sz="4" w:space="0" w:color="000000"/>
            </w:tcBorders>
            <w:shd w:val="clear" w:color="auto" w:fill="D2D2D2"/>
          </w:tcPr>
          <w:p>
            <w:pPr/>
          </w:p>
        </w:tc>
        <w:tc>
          <w:tcPr>
            <w:tcW w:w="9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0"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79"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59"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right w:val="single" w:sz="4" w:space="0" w:color="000000"/>
            </w:tcBorders>
            <w:shd w:val="clear" w:color="auto" w:fill="D2D2D2"/>
          </w:tcPr>
          <w:p>
            <w:pPr/>
          </w:p>
        </w:tc>
        <w:tc>
          <w:tcPr>
            <w:tcW w:w="994" w:type="dxa"/>
            <w:vMerge/>
            <w:tcBorders>
              <w:left w:val="single" w:sz="4" w:space="0" w:color="000000"/>
              <w:bottom w:val="nil" w:sz="6" w:space="0" w:color="auto"/>
              <w:right w:val="single" w:sz="4" w:space="0" w:color="000000"/>
            </w:tcBorders>
            <w:shd w:val="clear" w:color="auto" w:fill="D2D2D2"/>
          </w:tcPr>
          <w:p>
            <w:pPr/>
          </w:p>
        </w:tc>
        <w:tc>
          <w:tcPr>
            <w:tcW w:w="1700" w:type="dxa"/>
            <w:vMerge/>
            <w:tcBorders>
              <w:left w:val="single" w:sz="4" w:space="0" w:color="000000"/>
              <w:bottom w:val="nil" w:sz="6" w:space="0" w:color="auto"/>
              <w:right w:val="single" w:sz="4" w:space="0" w:color="000000"/>
            </w:tcBorders>
            <w:shd w:val="clear" w:color="auto" w:fill="D2D2D2"/>
          </w:tcPr>
          <w:p>
            <w:pPr/>
          </w:p>
        </w:tc>
        <w:tc>
          <w:tcPr>
            <w:tcW w:w="1702" w:type="dxa"/>
            <w:vMerge/>
            <w:tcBorders>
              <w:left w:val="single" w:sz="4" w:space="0" w:color="000000"/>
              <w:bottom w:val="nil" w:sz="6" w:space="0" w:color="auto"/>
              <w:right w:val="single" w:sz="4" w:space="0" w:color="000000"/>
            </w:tcBorders>
            <w:shd w:val="clear" w:color="auto" w:fill="D2D2D2"/>
          </w:tcPr>
          <w:p>
            <w:pPr/>
          </w:p>
        </w:tc>
        <w:tc>
          <w:tcPr>
            <w:tcW w:w="1274" w:type="dxa"/>
            <w:vMerge/>
            <w:tcBorders>
              <w:left w:val="single" w:sz="4" w:space="0" w:color="000000"/>
              <w:right w:val="single" w:sz="4" w:space="0" w:color="000000"/>
            </w:tcBorders>
            <w:shd w:val="clear" w:color="auto" w:fill="D2D2D2"/>
          </w:tcPr>
          <w:p>
            <w:pPr/>
          </w:p>
        </w:tc>
      </w:tr>
      <w:tr>
        <w:trPr>
          <w:trHeight w:val="206"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265"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559"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vMerge/>
            <w:tcBorders>
              <w:left w:val="single" w:sz="4" w:space="0" w:color="000000"/>
              <w:bottom w:val="single" w:sz="4" w:space="0" w:color="000000"/>
              <w:right w:val="single" w:sz="4" w:space="0" w:color="000000"/>
            </w:tcBorders>
            <w:shd w:val="clear" w:color="auto" w:fill="D2D2D2"/>
          </w:tcPr>
          <w:p>
            <w:pPr/>
          </w:p>
        </w:tc>
        <w:tc>
          <w:tcPr>
            <w:tcW w:w="9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2"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14" w:space="0" w:color="D2D2D2"/>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14" w:space="0" w:color="D2D2D2"/>
              <w:left w:val="single" w:sz="4" w:space="0" w:color="000000"/>
              <w:bottom w:val="single" w:sz="4" w:space="0" w:color="000000"/>
              <w:right w:val="single" w:sz="4" w:space="0" w:color="000000"/>
            </w:tcBorders>
          </w:tcPr>
          <w:p>
            <w:pPr>
              <w:pStyle w:val="TableParagraph"/>
              <w:spacing w:line="240" w:lineRule="auto" w:before="78"/>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6"/>
                <w:sz w:val="18"/>
                <w:szCs w:val="18"/>
              </w:rPr>
              <w:t>（四）所有者权益内部结转</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 股本）</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 股本）</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11" w:right="3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．设定受益计划变动额结 转留存收益</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6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108,000,000.00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259,303,490.61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7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21,383,122.95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75,361,487.97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464,048,101.53</w:t>
            </w:r>
          </w:p>
        </w:tc>
      </w:tr>
    </w:tbl>
    <w:p>
      <w:pPr>
        <w:spacing w:after="0" w:line="240" w:lineRule="auto"/>
        <w:jc w:val="right"/>
        <w:rPr>
          <w:rFonts w:ascii="Times New Roman" w:hAnsi="Times New Roman" w:cs="Times New Roman" w:eastAsia="Times New Roman" w:hint="default"/>
          <w:sz w:val="18"/>
          <w:szCs w:val="18"/>
        </w:rPr>
        <w:sectPr>
          <w:footerReference w:type="default" r:id="rId25"/>
          <w:pgSz w:w="16840" w:h="11910" w:orient="landscape"/>
          <w:pgMar w:footer="979" w:header="867" w:top="1060" w:bottom="1160" w:left="620" w:right="54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0"/>
        <w:jc w:val="left"/>
        <w:rPr>
          <w:b w:val="0"/>
          <w:bCs w:val="0"/>
        </w:rPr>
      </w:pPr>
      <w:bookmarkStart w:name="三、公司基本情况" w:id="164"/>
      <w:bookmarkEnd w:id="164"/>
      <w:r>
        <w:rPr>
          <w:b w:val="0"/>
          <w:bCs w:val="0"/>
        </w:rPr>
      </w:r>
      <w:r>
        <w:rPr/>
        <w:t>三、公司基本情况</w:t>
      </w:r>
      <w:r>
        <w:rPr>
          <w:b w:val="0"/>
          <w:bCs w:val="0"/>
        </w:rPr>
      </w:r>
    </w:p>
    <w:p>
      <w:pPr>
        <w:spacing w:line="240" w:lineRule="auto" w:before="2"/>
        <w:rPr>
          <w:rFonts w:ascii="宋体" w:hAnsi="宋体" w:cs="宋体" w:eastAsia="宋体" w:hint="default"/>
          <w:b/>
          <w:bCs/>
          <w:sz w:val="25"/>
          <w:szCs w:val="25"/>
        </w:rPr>
      </w:pPr>
    </w:p>
    <w:p>
      <w:pPr>
        <w:pStyle w:val="BodyText"/>
        <w:spacing w:line="234" w:lineRule="exact"/>
        <w:ind w:right="1089" w:firstLine="343"/>
        <w:jc w:val="left"/>
      </w:pPr>
      <w:r>
        <w:rPr/>
        <w:t>宣亚国际品牌管理（北京）股份有限公司（以下简称</w:t>
      </w:r>
      <w:r>
        <w:rPr>
          <w:rFonts w:ascii="Times New Roman" w:hAnsi="Times New Roman" w:cs="Times New Roman" w:eastAsia="Times New Roman" w:hint="default"/>
        </w:rPr>
        <w:t>“</w:t>
      </w:r>
      <w:r>
        <w:rPr/>
        <w:t>公司</w:t>
      </w:r>
      <w:r>
        <w:rPr>
          <w:rFonts w:ascii="Times New Roman" w:hAnsi="Times New Roman" w:cs="Times New Roman" w:eastAsia="Times New Roman" w:hint="default"/>
        </w:rPr>
        <w:t>”</w:t>
      </w:r>
      <w:r>
        <w:rPr/>
        <w:t>或</w:t>
      </w:r>
      <w:r>
        <w:rPr>
          <w:rFonts w:ascii="Times New Roman" w:hAnsi="Times New Roman" w:cs="Times New Roman" w:eastAsia="Times New Roman" w:hint="default"/>
        </w:rPr>
        <w:t>“</w:t>
      </w:r>
      <w:r>
        <w:rPr/>
        <w:t>本公司</w:t>
      </w:r>
      <w:r>
        <w:rPr>
          <w:rFonts w:ascii="Times New Roman" w:hAnsi="Times New Roman" w:cs="Times New Roman" w:eastAsia="Times New Roman" w:hint="default"/>
        </w:rPr>
        <w:t>”</w:t>
      </w:r>
      <w:r>
        <w:rPr/>
        <w:t>）前身为北京宣亚智慧市场行销顾问有限公司， 成立于</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19</w:t>
      </w:r>
      <w:r>
        <w:rPr/>
        <w:t>日，系在北京市工商行政管理局登记注册的有限责任公司。</w:t>
      </w:r>
    </w:p>
    <w:p>
      <w:pPr>
        <w:pStyle w:val="BodyText"/>
        <w:spacing w:line="240" w:lineRule="auto" w:before="132"/>
        <w:ind w:right="0" w:firstLine="380"/>
        <w:jc w:val="left"/>
      </w:pPr>
      <w:r>
        <w:rPr>
          <w:rFonts w:ascii="宋体" w:hAnsi="宋体" w:cs="宋体" w:eastAsia="宋体" w:hint="default"/>
          <w:spacing w:val="-2"/>
        </w:rPr>
        <w:t>2007</w:t>
      </w:r>
      <w:r>
        <w:rPr>
          <w:spacing w:val="-2"/>
        </w:rPr>
        <w:t>年</w:t>
      </w:r>
      <w:r>
        <w:rPr>
          <w:rFonts w:ascii="宋体" w:hAnsi="宋体" w:cs="宋体" w:eastAsia="宋体" w:hint="default"/>
          <w:spacing w:val="-2"/>
        </w:rPr>
        <w:t>12</w:t>
      </w:r>
      <w:r>
        <w:rPr>
          <w:spacing w:val="-2"/>
        </w:rPr>
        <w:t>月</w:t>
      </w:r>
      <w:r>
        <w:rPr>
          <w:rFonts w:ascii="宋体" w:hAnsi="宋体" w:cs="宋体" w:eastAsia="宋体" w:hint="default"/>
          <w:spacing w:val="-2"/>
        </w:rPr>
        <w:t>12</w:t>
      </w:r>
      <w:r>
        <w:rPr>
          <w:spacing w:val="-2"/>
        </w:rPr>
        <w:t>日经北京市人民政府批准，领取了中华人民共和国台港澳侨投资企业批准证，“商外资京资</w:t>
      </w:r>
      <w:r>
        <w:rPr>
          <w:rFonts w:ascii="宋体" w:hAnsi="宋体" w:cs="宋体" w:eastAsia="宋体" w:hint="default"/>
          <w:spacing w:val="-2"/>
        </w:rPr>
        <w:t>[2007]05544</w:t>
      </w:r>
      <w:r>
        <w:rPr>
          <w:spacing w:val="-2"/>
        </w:rPr>
        <w:t>”</w:t>
      </w:r>
      <w:r>
        <w:rPr/>
        <w:t> 号中华人民共和国台港澳侨投资企业批准证书。</w:t>
      </w:r>
    </w:p>
    <w:p>
      <w:pPr>
        <w:pStyle w:val="BodyText"/>
        <w:spacing w:line="237" w:lineRule="auto" w:before="155"/>
        <w:ind w:right="1032" w:firstLine="360"/>
        <w:jc w:val="left"/>
      </w:pPr>
      <w:r>
        <w:rPr/>
        <w:t>根据</w:t>
      </w:r>
      <w:r>
        <w:rPr>
          <w:rFonts w:ascii="宋体" w:hAnsi="宋体" w:cs="宋体" w:eastAsia="宋体" w:hint="default"/>
        </w:rPr>
        <w:t>2011</w:t>
      </w:r>
      <w:r>
        <w:rPr/>
        <w:t>年</w:t>
      </w:r>
      <w:r>
        <w:rPr>
          <w:rFonts w:ascii="宋体" w:hAnsi="宋体" w:cs="宋体" w:eastAsia="宋体" w:hint="default"/>
        </w:rPr>
        <w:t>6</w:t>
      </w:r>
      <w:r>
        <w:rPr/>
        <w:t>月</w:t>
      </w:r>
      <w:r>
        <w:rPr>
          <w:rFonts w:ascii="宋体" w:hAnsi="宋体" w:cs="宋体" w:eastAsia="宋体" w:hint="default"/>
        </w:rPr>
        <w:t>1</w:t>
      </w:r>
      <w:r>
        <w:rPr/>
        <w:t>日董事会关于公司整体变更为股份公司的决议以及整体变更后公司章程的规定，公司以</w:t>
      </w:r>
      <w:r>
        <w:rPr>
          <w:rFonts w:ascii="宋体" w:hAnsi="宋体" w:cs="宋体" w:eastAsia="宋体" w:hint="default"/>
        </w:rPr>
        <w:t>2010</w:t>
      </w:r>
      <w:r>
        <w:rPr/>
        <w:t>年</w:t>
      </w:r>
      <w:r>
        <w:rPr>
          <w:rFonts w:ascii="宋体" w:hAnsi="宋体" w:cs="宋体" w:eastAsia="宋体" w:hint="default"/>
        </w:rPr>
        <w:t>12</w:t>
      </w:r>
      <w:r>
        <w:rPr/>
        <w:t>月</w:t>
      </w:r>
      <w:r>
        <w:rPr>
          <w:rFonts w:ascii="宋体" w:hAnsi="宋体" w:cs="宋体" w:eastAsia="宋体" w:hint="default"/>
        </w:rPr>
        <w:t>31 </w:t>
      </w:r>
      <w:r>
        <w:rPr>
          <w:spacing w:val="-2"/>
        </w:rPr>
        <w:t>日的净资产</w:t>
      </w:r>
      <w:r>
        <w:rPr>
          <w:rFonts w:ascii="宋体" w:hAnsi="宋体" w:cs="宋体" w:eastAsia="宋体" w:hint="default"/>
          <w:spacing w:val="-2"/>
        </w:rPr>
        <w:t>49,694,695.12</w:t>
      </w:r>
      <w:r>
        <w:rPr>
          <w:spacing w:val="-2"/>
        </w:rPr>
        <w:t>元，按照</w:t>
      </w:r>
      <w:r>
        <w:rPr>
          <w:rFonts w:ascii="宋体" w:hAnsi="宋体" w:cs="宋体" w:eastAsia="宋体" w:hint="default"/>
          <w:spacing w:val="-2"/>
        </w:rPr>
        <w:t>1:0.90552925</w:t>
      </w:r>
      <w:r>
        <w:rPr>
          <w:spacing w:val="-2"/>
        </w:rPr>
        <w:t>的比例折合成股份公司股本总额</w:t>
      </w:r>
      <w:r>
        <w:rPr>
          <w:rFonts w:ascii="宋体" w:hAnsi="宋体" w:cs="宋体" w:eastAsia="宋体" w:hint="default"/>
          <w:spacing w:val="-2"/>
        </w:rPr>
        <w:t>45,000,000.00</w:t>
      </w:r>
      <w:r>
        <w:rPr>
          <w:spacing w:val="-2"/>
        </w:rPr>
        <w:t>元，差额</w:t>
      </w:r>
      <w:r>
        <w:rPr>
          <w:rFonts w:ascii="宋体" w:hAnsi="宋体" w:cs="宋体" w:eastAsia="宋体" w:hint="default"/>
          <w:spacing w:val="-2"/>
        </w:rPr>
        <w:t>4,694,695.12</w:t>
      </w:r>
      <w:r>
        <w:rPr>
          <w:spacing w:val="-2"/>
        </w:rPr>
        <w:t>元计</w:t>
      </w:r>
      <w:r>
        <w:rPr>
          <w:spacing w:val="-14"/>
        </w:rPr>
        <w:t> </w:t>
      </w:r>
      <w:r>
        <w:rPr/>
        <w:t>入股份公司的资本公积。变更前后公司股东持股比例不变，同时名称变更为“宣亚国际品牌管理（北京）股份有限公司”， 并换发了中华人民共和国台港澳侨投资企业批准证书，“商外资京资</w:t>
      </w:r>
      <w:r>
        <w:rPr>
          <w:rFonts w:ascii="宋体" w:hAnsi="宋体" w:cs="宋体" w:eastAsia="宋体" w:hint="default"/>
        </w:rPr>
        <w:t>[2007]20892</w:t>
      </w:r>
      <w:r>
        <w:rPr/>
        <w:t>”号中华人民共和国台港澳侨投资企业批</w:t>
      </w:r>
      <w:r>
        <w:rPr>
          <w:spacing w:val="-83"/>
        </w:rPr>
        <w:t> </w:t>
      </w:r>
      <w:r>
        <w:rPr>
          <w:spacing w:val="-83"/>
        </w:rPr>
      </w:r>
      <w:r>
        <w:rPr/>
        <w:t>准证书。</w:t>
      </w:r>
    </w:p>
    <w:p>
      <w:pPr>
        <w:pStyle w:val="BodyText"/>
        <w:spacing w:line="237" w:lineRule="auto" w:before="157"/>
        <w:ind w:right="1130" w:firstLine="360"/>
        <w:jc w:val="both"/>
      </w:pPr>
      <w:r>
        <w:rPr/>
        <w:t>根据</w:t>
      </w:r>
      <w:r>
        <w:rPr>
          <w:rFonts w:ascii="宋体" w:hAnsi="宋体" w:cs="宋体" w:eastAsia="宋体" w:hint="default"/>
        </w:rPr>
        <w:t>2013</w:t>
      </w:r>
      <w:r>
        <w:rPr/>
        <w:t>年</w:t>
      </w:r>
      <w:r>
        <w:rPr>
          <w:rFonts w:ascii="宋体" w:hAnsi="宋体" w:cs="宋体" w:eastAsia="宋体" w:hint="default"/>
        </w:rPr>
        <w:t>8</w:t>
      </w:r>
      <w:r>
        <w:rPr/>
        <w:t>月，宣亚投资、</w:t>
      </w:r>
      <w:r>
        <w:rPr>
          <w:rFonts w:ascii="宋体" w:hAnsi="宋体" w:cs="宋体" w:eastAsia="宋体" w:hint="default"/>
        </w:rPr>
        <w:t>BBDO</w:t>
      </w:r>
      <w:r>
        <w:rPr/>
        <w:t>亚太和橙色动力签订《宣亚国际品牌管理（北京）股份有限公司之增资协议》，约定 </w:t>
      </w:r>
      <w:r>
        <w:rPr>
          <w:spacing w:val="-4"/>
        </w:rPr>
        <w:t>由橙色动力对宣亚国际进行增资，其中增加注册资本</w:t>
      </w:r>
      <w:r>
        <w:rPr>
          <w:rFonts w:ascii="宋体" w:hAnsi="宋体" w:cs="宋体" w:eastAsia="宋体" w:hint="default"/>
          <w:spacing w:val="-4"/>
        </w:rPr>
        <w:t>3,080,000.00</w:t>
      </w:r>
      <w:r>
        <w:rPr>
          <w:spacing w:val="-4"/>
        </w:rPr>
        <w:t>元，增加资本公积</w:t>
      </w:r>
      <w:r>
        <w:rPr>
          <w:rFonts w:ascii="宋体" w:hAnsi="宋体" w:cs="宋体" w:eastAsia="宋体" w:hint="default"/>
          <w:spacing w:val="-4"/>
        </w:rPr>
        <w:t>2,186,800.00</w:t>
      </w:r>
      <w:r>
        <w:rPr>
          <w:spacing w:val="-4"/>
        </w:rPr>
        <w:t>元。对该次增资事项，</w:t>
      </w:r>
      <w:r>
        <w:rPr>
          <w:rFonts w:ascii="宋体" w:hAnsi="宋体" w:cs="宋体" w:eastAsia="宋体" w:hint="default"/>
          <w:spacing w:val="-4"/>
        </w:rPr>
        <w:t>2014</w:t>
      </w:r>
      <w:r>
        <w:rPr>
          <w:rFonts w:ascii="宋体" w:hAnsi="宋体" w:cs="宋体" w:eastAsia="宋体" w:hint="default"/>
          <w:spacing w:val="-80"/>
        </w:rPr>
        <w:t> </w:t>
      </w:r>
      <w:r>
        <w:rPr>
          <w:rFonts w:ascii="宋体" w:hAnsi="宋体" w:cs="宋体" w:eastAsia="宋体" w:hint="default"/>
          <w:spacing w:val="-80"/>
        </w:rPr>
      </w:r>
      <w:r>
        <w:rPr/>
        <w:t>年</w:t>
      </w:r>
      <w:r>
        <w:rPr>
          <w:rFonts w:ascii="宋体" w:hAnsi="宋体" w:cs="宋体" w:eastAsia="宋体" w:hint="default"/>
        </w:rPr>
        <w:t>1</w:t>
      </w:r>
      <w:r>
        <w:rPr/>
        <w:t>月</w:t>
      </w:r>
      <w:r>
        <w:rPr>
          <w:rFonts w:ascii="宋体" w:hAnsi="宋体" w:cs="宋体" w:eastAsia="宋体" w:hint="default"/>
        </w:rPr>
        <w:t>25</w:t>
      </w:r>
      <w:r>
        <w:rPr/>
        <w:t>日，北京中天华茂会计师事务所出具中天华茂验字</w:t>
      </w:r>
      <w:r>
        <w:rPr>
          <w:rFonts w:ascii="宋体" w:hAnsi="宋体" w:cs="宋体" w:eastAsia="宋体" w:hint="default"/>
        </w:rPr>
        <w:t>[2014]010</w:t>
      </w:r>
      <w:r>
        <w:rPr/>
        <w:t>号《验资报告》。</w:t>
      </w:r>
      <w:r>
        <w:rPr>
          <w:rFonts w:ascii="宋体" w:hAnsi="宋体" w:cs="宋体" w:eastAsia="宋体" w:hint="default"/>
        </w:rPr>
        <w:t>2014</w:t>
      </w:r>
      <w:r>
        <w:rPr/>
        <w:t>年</w:t>
      </w:r>
      <w:r>
        <w:rPr>
          <w:rFonts w:ascii="宋体" w:hAnsi="宋体" w:cs="宋体" w:eastAsia="宋体" w:hint="default"/>
        </w:rPr>
        <w:t>7</w:t>
      </w:r>
      <w:r>
        <w:rPr/>
        <w:t>月，橙色动力再次签订《宣</w:t>
      </w:r>
      <w:r>
        <w:rPr>
          <w:spacing w:val="-84"/>
        </w:rPr>
        <w:t> </w:t>
      </w:r>
      <w:r>
        <w:rPr>
          <w:spacing w:val="-84"/>
        </w:rPr>
      </w:r>
      <w:r>
        <w:rPr>
          <w:spacing w:val="-2"/>
        </w:rPr>
        <w:t>亚国际品牌管理（北京）股份有限公司之增资扩股协议》，对宣亚国际进行增资，其中新增注册资本</w:t>
      </w:r>
      <w:r>
        <w:rPr>
          <w:rFonts w:ascii="宋体" w:hAnsi="宋体" w:cs="宋体" w:eastAsia="宋体" w:hint="default"/>
          <w:spacing w:val="-2"/>
        </w:rPr>
        <w:t>5,920,000.00</w:t>
      </w:r>
      <w:r>
        <w:rPr>
          <w:spacing w:val="-2"/>
        </w:rPr>
        <w:t>元，新增</w:t>
      </w:r>
      <w:r>
        <w:rPr>
          <w:spacing w:val="-57"/>
        </w:rPr>
        <w:t> </w:t>
      </w:r>
      <w:r>
        <w:rPr>
          <w:spacing w:val="-57"/>
        </w:rPr>
      </w:r>
      <w:r>
        <w:rPr/>
        <w:t>资本公积</w:t>
      </w:r>
      <w:r>
        <w:rPr>
          <w:rFonts w:ascii="宋体" w:hAnsi="宋体" w:cs="宋体" w:eastAsia="宋体" w:hint="default"/>
        </w:rPr>
        <w:t>5,860,800.00</w:t>
      </w:r>
      <w:r>
        <w:rPr/>
        <w:t>元。对该次增资事项，</w:t>
      </w:r>
      <w:r>
        <w:rPr>
          <w:rFonts w:ascii="宋体" w:hAnsi="宋体" w:cs="宋体" w:eastAsia="宋体" w:hint="default"/>
        </w:rPr>
        <w:t>2015</w:t>
      </w:r>
      <w:r>
        <w:rPr/>
        <w:t>年</w:t>
      </w:r>
      <w:r>
        <w:rPr>
          <w:rFonts w:ascii="宋体" w:hAnsi="宋体" w:cs="宋体" w:eastAsia="宋体" w:hint="default"/>
        </w:rPr>
        <w:t>4</w:t>
      </w:r>
      <w:r>
        <w:rPr/>
        <w:t>月</w:t>
      </w:r>
      <w:r>
        <w:rPr>
          <w:rFonts w:ascii="宋体" w:hAnsi="宋体" w:cs="宋体" w:eastAsia="宋体" w:hint="default"/>
        </w:rPr>
        <w:t>16</w:t>
      </w:r>
      <w:r>
        <w:rPr/>
        <w:t>日，立信所出具信会师报字</w:t>
      </w:r>
      <w:r>
        <w:rPr>
          <w:rFonts w:ascii="宋体" w:hAnsi="宋体" w:cs="宋体" w:eastAsia="宋体" w:hint="default"/>
        </w:rPr>
        <w:t>[2015]</w:t>
      </w:r>
      <w:r>
        <w:rPr/>
        <w:t>第</w:t>
      </w:r>
      <w:r>
        <w:rPr>
          <w:rFonts w:ascii="宋体" w:hAnsi="宋体" w:cs="宋体" w:eastAsia="宋体" w:hint="default"/>
        </w:rPr>
        <w:t>711223</w:t>
      </w:r>
      <w:r>
        <w:rPr/>
        <w:t>号《验资报告》。</w:t>
      </w:r>
    </w:p>
    <w:p>
      <w:pPr>
        <w:spacing w:line="240" w:lineRule="auto" w:before="9"/>
        <w:rPr>
          <w:rFonts w:ascii="宋体" w:hAnsi="宋体" w:cs="宋体" w:eastAsia="宋体" w:hint="default"/>
          <w:sz w:val="13"/>
          <w:szCs w:val="13"/>
        </w:rPr>
      </w:pPr>
    </w:p>
    <w:p>
      <w:pPr>
        <w:pStyle w:val="BodyText"/>
        <w:spacing w:line="232" w:lineRule="exact"/>
        <w:ind w:right="1032" w:firstLine="360"/>
        <w:jc w:val="left"/>
      </w:pPr>
      <w:r>
        <w:rPr/>
        <w:t>根据本公司</w:t>
      </w:r>
      <w:r>
        <w:rPr>
          <w:rFonts w:ascii="宋体" w:hAnsi="宋体" w:cs="宋体" w:eastAsia="宋体" w:hint="default"/>
        </w:rPr>
        <w:t>2016</w:t>
      </w:r>
      <w:r>
        <w:rPr/>
        <w:t>年</w:t>
      </w:r>
      <w:r>
        <w:rPr>
          <w:rFonts w:ascii="宋体" w:hAnsi="宋体" w:cs="宋体" w:eastAsia="宋体" w:hint="default"/>
        </w:rPr>
        <w:t>2</w:t>
      </w:r>
      <w:r>
        <w:rPr/>
        <w:t>月</w:t>
      </w:r>
      <w:r>
        <w:rPr>
          <w:rFonts w:ascii="宋体" w:hAnsi="宋体" w:cs="宋体" w:eastAsia="宋体" w:hint="default"/>
        </w:rPr>
        <w:t>29</w:t>
      </w:r>
      <w:r>
        <w:rPr/>
        <w:t>日召开的</w:t>
      </w:r>
      <w:r>
        <w:rPr>
          <w:rFonts w:ascii="宋体" w:hAnsi="宋体" w:cs="宋体" w:eastAsia="宋体" w:hint="default"/>
        </w:rPr>
        <w:t>2016</w:t>
      </w:r>
      <w:r>
        <w:rPr/>
        <w:t>年第二届董事会第七次会议决议和</w:t>
      </w:r>
      <w:r>
        <w:rPr>
          <w:rFonts w:ascii="宋体" w:hAnsi="宋体" w:cs="宋体" w:eastAsia="宋体" w:hint="default"/>
        </w:rPr>
        <w:t>2016</w:t>
      </w:r>
      <w:r>
        <w:rPr/>
        <w:t>年</w:t>
      </w:r>
      <w:r>
        <w:rPr>
          <w:rFonts w:ascii="宋体" w:hAnsi="宋体" w:cs="宋体" w:eastAsia="宋体" w:hint="default"/>
        </w:rPr>
        <w:t>3</w:t>
      </w:r>
      <w:r>
        <w:rPr/>
        <w:t>月</w:t>
      </w:r>
      <w:r>
        <w:rPr>
          <w:rFonts w:ascii="宋体" w:hAnsi="宋体" w:cs="宋体" w:eastAsia="宋体" w:hint="default"/>
        </w:rPr>
        <w:t>15</w:t>
      </w:r>
      <w:r>
        <w:rPr/>
        <w:t>日召开的</w:t>
      </w:r>
      <w:r>
        <w:rPr>
          <w:rFonts w:ascii="宋体" w:hAnsi="宋体" w:cs="宋体" w:eastAsia="宋体" w:hint="default"/>
        </w:rPr>
        <w:t>2016</w:t>
      </w:r>
      <w:r>
        <w:rPr/>
        <w:t>年度第一次临时股 东大会决议，并经中国证券监督管理委员会《关于核准宣亚国际品牌管理（北京）股份有限公司首次公开发行股票的批复》</w:t>
      </w:r>
    </w:p>
    <w:p>
      <w:pPr>
        <w:pStyle w:val="BodyText"/>
        <w:spacing w:line="232" w:lineRule="exact" w:before="2"/>
        <w:ind w:right="0"/>
        <w:jc w:val="left"/>
      </w:pPr>
      <w:r>
        <w:rPr/>
        <w:t>（证监许可</w:t>
      </w:r>
      <w:r>
        <w:rPr>
          <w:rFonts w:ascii="宋体" w:hAnsi="宋体" w:cs="宋体" w:eastAsia="宋体" w:hint="default"/>
        </w:rPr>
        <w:t>[2017]124</w:t>
      </w:r>
      <w:r>
        <w:rPr/>
        <w:t>号文件）核准，本公司首次公开发行</w:t>
      </w:r>
      <w:r>
        <w:rPr>
          <w:rFonts w:ascii="宋体" w:hAnsi="宋体" w:cs="宋体" w:eastAsia="宋体" w:hint="default"/>
        </w:rPr>
        <w:t>1,800</w:t>
      </w:r>
      <w:r>
        <w:rPr/>
        <w:t>万股新股。公司于</w:t>
      </w:r>
      <w:r>
        <w:rPr>
          <w:rFonts w:ascii="宋体" w:hAnsi="宋体" w:cs="宋体" w:eastAsia="宋体" w:hint="default"/>
        </w:rPr>
        <w:t>2017</w:t>
      </w:r>
      <w:r>
        <w:rPr/>
        <w:t>年</w:t>
      </w:r>
      <w:r>
        <w:rPr>
          <w:rFonts w:ascii="宋体" w:hAnsi="宋体" w:cs="宋体" w:eastAsia="宋体" w:hint="default"/>
        </w:rPr>
        <w:t>5</w:t>
      </w:r>
      <w:r>
        <w:rPr/>
        <w:t>月</w:t>
      </w:r>
      <w:r>
        <w:rPr>
          <w:rFonts w:ascii="宋体" w:hAnsi="宋体" w:cs="宋体" w:eastAsia="宋体" w:hint="default"/>
        </w:rPr>
        <w:t>11</w:t>
      </w:r>
      <w:r>
        <w:rPr/>
        <w:t>日召开了</w:t>
      </w:r>
      <w:r>
        <w:rPr>
          <w:rFonts w:ascii="宋体" w:hAnsi="宋体" w:cs="宋体" w:eastAsia="宋体" w:hint="default"/>
        </w:rPr>
        <w:t>2016</w:t>
      </w:r>
      <w:r>
        <w:rPr/>
        <w:t>年年度股东会</w:t>
      </w:r>
      <w:r>
        <w:rPr>
          <w:spacing w:val="-83"/>
        </w:rPr>
        <w:t> </w:t>
      </w:r>
      <w:r>
        <w:rPr>
          <w:spacing w:val="-83"/>
        </w:rPr>
      </w:r>
      <w:r>
        <w:rPr/>
        <w:t>议，通过了《关于公司</w:t>
      </w:r>
      <w:r>
        <w:rPr>
          <w:rFonts w:ascii="宋体" w:hAnsi="宋体" w:cs="宋体" w:eastAsia="宋体" w:hint="default"/>
        </w:rPr>
        <w:t>2016</w:t>
      </w:r>
      <w:r>
        <w:rPr>
          <w:rFonts w:ascii="宋体" w:hAnsi="宋体" w:cs="宋体" w:eastAsia="宋体" w:hint="default"/>
          <w:spacing w:val="6"/>
        </w:rPr>
        <w:t> </w:t>
      </w:r>
      <w:r>
        <w:rPr/>
        <w:t>年度利润分配预案的议案》，公司总股本</w:t>
      </w:r>
      <w:r>
        <w:rPr>
          <w:rFonts w:ascii="宋体" w:hAnsi="宋体" w:cs="宋体" w:eastAsia="宋体" w:hint="default"/>
        </w:rPr>
        <w:t>72,000,000</w:t>
      </w:r>
      <w:r>
        <w:rPr/>
        <w:t>股为基数进行分配。每</w:t>
      </w:r>
      <w:r>
        <w:rPr>
          <w:rFonts w:ascii="宋体" w:hAnsi="宋体" w:cs="宋体" w:eastAsia="宋体" w:hint="default"/>
        </w:rPr>
        <w:t>10</w:t>
      </w:r>
      <w:r>
        <w:rPr/>
        <w:t>股派发现金红利</w:t>
      </w:r>
    </w:p>
    <w:p>
      <w:pPr>
        <w:pStyle w:val="BodyText"/>
        <w:spacing w:line="232" w:lineRule="exact" w:before="2"/>
        <w:ind w:right="0"/>
        <w:jc w:val="left"/>
      </w:pPr>
      <w:r>
        <w:rPr>
          <w:rFonts w:ascii="宋体" w:hAnsi="宋体" w:cs="宋体" w:eastAsia="宋体" w:hint="default"/>
          <w:spacing w:val="-2"/>
        </w:rPr>
        <w:t>5.00</w:t>
      </w:r>
      <w:r>
        <w:rPr>
          <w:spacing w:val="-2"/>
        </w:rPr>
        <w:t>元（含税），共计</w:t>
      </w:r>
      <w:r>
        <w:rPr>
          <w:rFonts w:ascii="宋体" w:hAnsi="宋体" w:cs="宋体" w:eastAsia="宋体" w:hint="default"/>
          <w:spacing w:val="-2"/>
        </w:rPr>
        <w:t>36,000,000.00</w:t>
      </w:r>
      <w:r>
        <w:rPr>
          <w:spacing w:val="-2"/>
        </w:rPr>
        <w:t>元，同时向全体股东每</w:t>
      </w:r>
      <w:r>
        <w:rPr>
          <w:rFonts w:ascii="宋体" w:hAnsi="宋体" w:cs="宋体" w:eastAsia="宋体" w:hint="default"/>
          <w:spacing w:val="-2"/>
        </w:rPr>
        <w:t>10</w:t>
      </w:r>
      <w:r>
        <w:rPr>
          <w:spacing w:val="-2"/>
        </w:rPr>
        <w:t>股送红股</w:t>
      </w:r>
      <w:r>
        <w:rPr>
          <w:rFonts w:ascii="宋体" w:hAnsi="宋体" w:cs="宋体" w:eastAsia="宋体" w:hint="default"/>
          <w:spacing w:val="-2"/>
        </w:rPr>
        <w:t>5</w:t>
      </w:r>
      <w:r>
        <w:rPr>
          <w:spacing w:val="-2"/>
        </w:rPr>
        <w:t>股。分配完成后公司股本总额增至</w:t>
      </w:r>
      <w:r>
        <w:rPr>
          <w:rFonts w:ascii="宋体" w:hAnsi="宋体" w:cs="宋体" w:eastAsia="宋体" w:hint="default"/>
          <w:spacing w:val="-2"/>
        </w:rPr>
        <w:t>108,000,000</w:t>
      </w:r>
      <w:r>
        <w:rPr>
          <w:spacing w:val="-2"/>
        </w:rPr>
        <w:t>股。</w:t>
      </w:r>
      <w:r>
        <w:rPr>
          <w:spacing w:val="-34"/>
        </w:rPr>
        <w:t> </w:t>
      </w:r>
      <w:r>
        <w:rPr>
          <w:spacing w:val="-2"/>
        </w:rPr>
        <w:t>根据本公司</w:t>
      </w:r>
      <w:r>
        <w:rPr>
          <w:rFonts w:ascii="宋体" w:hAnsi="宋体" w:cs="宋体" w:eastAsia="宋体" w:hint="default"/>
          <w:spacing w:val="-2"/>
        </w:rPr>
        <w:t>2018</w:t>
      </w:r>
      <w:r>
        <w:rPr>
          <w:spacing w:val="-2"/>
        </w:rPr>
        <w:t>年</w:t>
      </w:r>
      <w:r>
        <w:rPr>
          <w:rFonts w:ascii="宋体" w:hAnsi="宋体" w:cs="宋体" w:eastAsia="宋体" w:hint="default"/>
          <w:spacing w:val="-2"/>
        </w:rPr>
        <w:t>5</w:t>
      </w:r>
      <w:r>
        <w:rPr>
          <w:spacing w:val="-2"/>
        </w:rPr>
        <w:t>月</w:t>
      </w:r>
      <w:r>
        <w:rPr>
          <w:rFonts w:ascii="宋体" w:hAnsi="宋体" w:cs="宋体" w:eastAsia="宋体" w:hint="default"/>
          <w:spacing w:val="-2"/>
        </w:rPr>
        <w:t>15</w:t>
      </w:r>
      <w:r>
        <w:rPr>
          <w:spacing w:val="-2"/>
        </w:rPr>
        <w:t>日召开的</w:t>
      </w:r>
      <w:r>
        <w:rPr>
          <w:rFonts w:ascii="宋体" w:hAnsi="宋体" w:cs="宋体" w:eastAsia="宋体" w:hint="default"/>
          <w:spacing w:val="-2"/>
        </w:rPr>
        <w:t>2017</w:t>
      </w:r>
      <w:r>
        <w:rPr>
          <w:spacing w:val="-2"/>
        </w:rPr>
        <w:t>年年度股东大会审议通过，</w:t>
      </w:r>
      <w:r>
        <w:rPr>
          <w:rFonts w:ascii="宋体" w:hAnsi="宋体" w:cs="宋体" w:eastAsia="宋体" w:hint="default"/>
          <w:spacing w:val="-2"/>
        </w:rPr>
        <w:t>2017</w:t>
      </w:r>
      <w:r>
        <w:rPr>
          <w:spacing w:val="-2"/>
        </w:rPr>
        <w:t>年年度权益分派，以公司现有总股本</w:t>
      </w:r>
      <w:r>
        <w:rPr>
          <w:rFonts w:ascii="宋体" w:hAnsi="宋体" w:cs="宋体" w:eastAsia="宋体" w:hint="default"/>
          <w:spacing w:val="-2"/>
        </w:rPr>
        <w:t>108,000,000</w:t>
      </w:r>
      <w:r>
        <w:rPr>
          <w:spacing w:val="-2"/>
        </w:rPr>
        <w:t>股为</w:t>
      </w:r>
    </w:p>
    <w:p>
      <w:pPr>
        <w:pStyle w:val="BodyText"/>
        <w:spacing w:line="232" w:lineRule="exact" w:before="2"/>
        <w:ind w:right="1122"/>
        <w:jc w:val="left"/>
      </w:pPr>
      <w:r>
        <w:rPr/>
        <w:t>基数，向全体股东每</w:t>
      </w:r>
      <w:r>
        <w:rPr>
          <w:rFonts w:ascii="宋体" w:hAnsi="宋体" w:cs="宋体" w:eastAsia="宋体" w:hint="default"/>
        </w:rPr>
        <w:t>10</w:t>
      </w:r>
      <w:r>
        <w:rPr/>
        <w:t>股派</w:t>
      </w:r>
      <w:r>
        <w:rPr>
          <w:rFonts w:ascii="宋体" w:hAnsi="宋体" w:cs="宋体" w:eastAsia="宋体" w:hint="default"/>
        </w:rPr>
        <w:t>5.00</w:t>
      </w:r>
      <w:r>
        <w:rPr/>
        <w:t>元人民币现金（含税），同时，以资本公积金向全体股东每</w:t>
      </w:r>
      <w:r>
        <w:rPr>
          <w:rFonts w:ascii="宋体" w:hAnsi="宋体" w:cs="宋体" w:eastAsia="宋体" w:hint="default"/>
        </w:rPr>
        <w:t>10</w:t>
      </w:r>
      <w:r>
        <w:rPr/>
        <w:t>股转增</w:t>
      </w:r>
      <w:r>
        <w:rPr>
          <w:rFonts w:ascii="宋体" w:hAnsi="宋体" w:cs="宋体" w:eastAsia="宋体" w:hint="default"/>
        </w:rPr>
        <w:t>5</w:t>
      </w:r>
      <w:r>
        <w:rPr/>
        <w:t>股。分红后总股本增</w:t>
      </w:r>
      <w:r>
        <w:rPr>
          <w:spacing w:val="-82"/>
        </w:rPr>
        <w:t> </w:t>
      </w:r>
      <w:r>
        <w:rPr>
          <w:spacing w:val="-82"/>
        </w:rPr>
      </w:r>
      <w:r>
        <w:rPr/>
        <w:t>至</w:t>
      </w:r>
      <w:r>
        <w:rPr>
          <w:rFonts w:ascii="宋体" w:hAnsi="宋体" w:cs="宋体" w:eastAsia="宋体" w:hint="default"/>
        </w:rPr>
        <w:t>162,000,000</w:t>
      </w:r>
      <w:r>
        <w:rPr/>
        <w:t>股。</w:t>
      </w:r>
    </w:p>
    <w:p>
      <w:pPr>
        <w:pStyle w:val="BodyText"/>
        <w:spacing w:line="232" w:lineRule="exact" w:before="158"/>
        <w:ind w:right="1131" w:firstLine="360"/>
        <w:jc w:val="left"/>
      </w:pPr>
      <w:r>
        <w:rPr>
          <w:spacing w:val="12"/>
        </w:rPr>
        <w:t>截至</w:t>
      </w:r>
      <w:r>
        <w:rPr>
          <w:spacing w:val="-65"/>
        </w:rPr>
        <w:t> </w:t>
      </w:r>
      <w:r>
        <w:rPr>
          <w:rFonts w:ascii="宋体" w:hAnsi="宋体" w:cs="宋体" w:eastAsia="宋体" w:hint="default"/>
        </w:rPr>
        <w:t>2018</w:t>
      </w:r>
      <w:r>
        <w:rPr>
          <w:rFonts w:ascii="宋体" w:hAnsi="宋体" w:cs="宋体" w:eastAsia="宋体" w:hint="default"/>
          <w:spacing w:val="-66"/>
        </w:rPr>
        <w:t> </w:t>
      </w:r>
      <w:r>
        <w:rPr/>
        <w:t>年</w:t>
      </w:r>
      <w:r>
        <w:rPr>
          <w:spacing w:val="-65"/>
        </w:rPr>
        <w:t> </w:t>
      </w:r>
      <w:r>
        <w:rPr>
          <w:rFonts w:ascii="宋体" w:hAnsi="宋体" w:cs="宋体" w:eastAsia="宋体" w:hint="default"/>
        </w:rPr>
        <w:t>12</w:t>
      </w:r>
      <w:r>
        <w:rPr>
          <w:rFonts w:ascii="宋体" w:hAnsi="宋体" w:cs="宋体" w:eastAsia="宋体" w:hint="default"/>
          <w:spacing w:val="-65"/>
        </w:rPr>
        <w:t> </w:t>
      </w:r>
      <w:r>
        <w:rPr/>
        <w:t>月</w:t>
      </w:r>
      <w:r>
        <w:rPr>
          <w:spacing w:val="-65"/>
        </w:rPr>
        <w:t> </w:t>
      </w:r>
      <w:r>
        <w:rPr>
          <w:rFonts w:ascii="宋体" w:hAnsi="宋体" w:cs="宋体" w:eastAsia="宋体" w:hint="default"/>
        </w:rPr>
        <w:t>31</w:t>
      </w:r>
      <w:r>
        <w:rPr>
          <w:rFonts w:ascii="宋体" w:hAnsi="宋体" w:cs="宋体" w:eastAsia="宋体" w:hint="default"/>
          <w:spacing w:val="-65"/>
        </w:rPr>
        <w:t> </w:t>
      </w:r>
      <w:r>
        <w:rPr/>
        <w:t>日</w:t>
      </w:r>
      <w:r>
        <w:rPr>
          <w:spacing w:val="-67"/>
        </w:rPr>
        <w:t> </w:t>
      </w:r>
      <w:r>
        <w:rPr/>
        <w:t>止</w:t>
      </w:r>
      <w:r>
        <w:rPr>
          <w:spacing w:val="-65"/>
        </w:rPr>
        <w:t> </w:t>
      </w:r>
      <w:r>
        <w:rPr/>
        <w:t>，</w:t>
      </w:r>
      <w:r>
        <w:rPr>
          <w:spacing w:val="-65"/>
        </w:rPr>
        <w:t> </w:t>
      </w:r>
      <w:r>
        <w:rPr/>
        <w:t>本</w:t>
      </w:r>
      <w:r>
        <w:rPr>
          <w:spacing w:val="-65"/>
        </w:rPr>
        <w:t> </w:t>
      </w:r>
      <w:r>
        <w:rPr/>
        <w:t>公</w:t>
      </w:r>
      <w:r>
        <w:rPr>
          <w:spacing w:val="-65"/>
        </w:rPr>
        <w:t> </w:t>
      </w:r>
      <w:r>
        <w:rPr/>
        <w:t>司</w:t>
      </w:r>
      <w:r>
        <w:rPr>
          <w:spacing w:val="-67"/>
        </w:rPr>
        <w:t> </w:t>
      </w:r>
      <w:r>
        <w:rPr/>
        <w:t>累</w:t>
      </w:r>
      <w:r>
        <w:rPr>
          <w:spacing w:val="-65"/>
        </w:rPr>
        <w:t> </w:t>
      </w:r>
      <w:r>
        <w:rPr/>
        <w:t>计</w:t>
      </w:r>
      <w:r>
        <w:rPr>
          <w:spacing w:val="-65"/>
        </w:rPr>
        <w:t> </w:t>
      </w:r>
      <w:r>
        <w:rPr/>
        <w:t>股</w:t>
      </w:r>
      <w:r>
        <w:rPr>
          <w:spacing w:val="-65"/>
        </w:rPr>
        <w:t> </w:t>
      </w:r>
      <w:r>
        <w:rPr/>
        <w:t>本</w:t>
      </w:r>
      <w:r>
        <w:rPr>
          <w:spacing w:val="-65"/>
        </w:rPr>
        <w:t> </w:t>
      </w:r>
      <w:r>
        <w:rPr/>
        <w:t>总</w:t>
      </w:r>
      <w:r>
        <w:rPr>
          <w:spacing w:val="-67"/>
        </w:rPr>
        <w:t> </w:t>
      </w:r>
      <w:r>
        <w:rPr/>
        <w:t>数</w:t>
      </w:r>
      <w:r>
        <w:rPr>
          <w:spacing w:val="-63"/>
        </w:rPr>
        <w:t> </w:t>
      </w:r>
      <w:r>
        <w:rPr>
          <w:rFonts w:ascii="宋体" w:hAnsi="宋体" w:cs="宋体" w:eastAsia="宋体" w:hint="default"/>
        </w:rPr>
        <w:t>16,200</w:t>
      </w:r>
      <w:r>
        <w:rPr>
          <w:rFonts w:ascii="宋体" w:hAnsi="宋体" w:cs="宋体" w:eastAsia="宋体" w:hint="default"/>
          <w:spacing w:val="-65"/>
        </w:rPr>
        <w:t> </w:t>
      </w:r>
      <w:r>
        <w:rPr/>
        <w:t>万</w:t>
      </w:r>
      <w:r>
        <w:rPr>
          <w:spacing w:val="-65"/>
        </w:rPr>
        <w:t> </w:t>
      </w:r>
      <w:r>
        <w:rPr/>
        <w:t>股</w:t>
      </w:r>
      <w:r>
        <w:rPr>
          <w:spacing w:val="-67"/>
        </w:rPr>
        <w:t> </w:t>
      </w:r>
      <w:r>
        <w:rPr/>
        <w:t>，</w:t>
      </w:r>
      <w:r>
        <w:rPr>
          <w:spacing w:val="-65"/>
        </w:rPr>
        <w:t> </w:t>
      </w:r>
      <w:r>
        <w:rPr/>
        <w:t>注</w:t>
      </w:r>
      <w:r>
        <w:rPr>
          <w:spacing w:val="-65"/>
        </w:rPr>
        <w:t> </w:t>
      </w:r>
      <w:r>
        <w:rPr/>
        <w:t>册</w:t>
      </w:r>
      <w:r>
        <w:rPr>
          <w:spacing w:val="-65"/>
        </w:rPr>
        <w:t> </w:t>
      </w:r>
      <w:r>
        <w:rPr/>
        <w:t>资</w:t>
      </w:r>
      <w:r>
        <w:rPr>
          <w:spacing w:val="-65"/>
        </w:rPr>
        <w:t> </w:t>
      </w:r>
      <w:r>
        <w:rPr/>
        <w:t>本</w:t>
      </w:r>
      <w:r>
        <w:rPr>
          <w:spacing w:val="-67"/>
        </w:rPr>
        <w:t> </w:t>
      </w:r>
      <w:r>
        <w:rPr/>
        <w:t>为</w:t>
      </w:r>
      <w:r>
        <w:rPr>
          <w:spacing w:val="-64"/>
        </w:rPr>
        <w:t> </w:t>
      </w:r>
      <w:r>
        <w:rPr>
          <w:rFonts w:ascii="宋体" w:hAnsi="宋体" w:cs="宋体" w:eastAsia="宋体" w:hint="default"/>
        </w:rPr>
        <w:t>16,200</w:t>
      </w:r>
      <w:r>
        <w:rPr>
          <w:rFonts w:ascii="宋体" w:hAnsi="宋体" w:cs="宋体" w:eastAsia="宋体" w:hint="default"/>
          <w:spacing w:val="-65"/>
        </w:rPr>
        <w:t> </w:t>
      </w:r>
      <w:r>
        <w:rPr/>
        <w:t>万</w:t>
      </w:r>
      <w:r>
        <w:rPr>
          <w:spacing w:val="-65"/>
        </w:rPr>
        <w:t> </w:t>
      </w:r>
      <w:r>
        <w:rPr/>
        <w:t>元</w:t>
      </w:r>
      <w:r>
        <w:rPr>
          <w:spacing w:val="-67"/>
        </w:rPr>
        <w:t> </w:t>
      </w:r>
      <w:r>
        <w:rPr/>
        <w:t>，</w:t>
      </w:r>
      <w:r>
        <w:rPr>
          <w:spacing w:val="-65"/>
        </w:rPr>
        <w:t> </w:t>
      </w:r>
      <w:r>
        <w:rPr/>
        <w:t>统</w:t>
      </w:r>
      <w:r>
        <w:rPr>
          <w:spacing w:val="-65"/>
        </w:rPr>
        <w:t> </w:t>
      </w:r>
      <w:r>
        <w:rPr/>
        <w:t>一</w:t>
      </w:r>
      <w:r>
        <w:rPr>
          <w:spacing w:val="-65"/>
        </w:rPr>
        <w:t> </w:t>
      </w:r>
      <w:r>
        <w:rPr/>
        <w:t>社</w:t>
      </w:r>
      <w:r>
        <w:rPr>
          <w:spacing w:val="-64"/>
        </w:rPr>
        <w:t> </w:t>
      </w:r>
      <w:r>
        <w:rPr/>
        <w:t>会</w:t>
      </w:r>
      <w:r>
        <w:rPr>
          <w:spacing w:val="-67"/>
        </w:rPr>
        <w:t> </w:t>
      </w:r>
      <w:r>
        <w:rPr/>
        <w:t>信</w:t>
      </w:r>
      <w:r>
        <w:rPr>
          <w:spacing w:val="-65"/>
        </w:rPr>
        <w:t> </w:t>
      </w:r>
      <w:r>
        <w:rPr/>
        <w:t>用</w:t>
      </w:r>
      <w:r>
        <w:rPr>
          <w:spacing w:val="-65"/>
        </w:rPr>
        <w:t> </w:t>
      </w:r>
      <w:r>
        <w:rPr/>
        <w:t>代</w:t>
      </w:r>
      <w:r>
        <w:rPr>
          <w:spacing w:val="-65"/>
        </w:rPr>
        <w:t> </w:t>
      </w:r>
      <w:r>
        <w:rPr/>
        <w:t>码</w:t>
      </w:r>
      <w:r>
        <w:rPr>
          <w:spacing w:val="-65"/>
        </w:rPr>
        <w:t> </w:t>
      </w:r>
      <w:r>
        <w:rPr/>
        <w:t>：</w:t>
      </w:r>
      <w:r>
        <w:rPr/>
        <w:t> </w:t>
      </w:r>
      <w:r>
        <w:rPr>
          <w:rFonts w:ascii="宋体" w:hAnsi="宋体" w:cs="宋体" w:eastAsia="宋体" w:hint="default"/>
        </w:rPr>
        <w:t>911100007985463865</w:t>
      </w:r>
      <w:r>
        <w:rPr/>
        <w:t>，法定代表人：张秀兵，注册地址：北京市朝阳区八里庄东里</w:t>
      </w:r>
      <w:r>
        <w:rPr>
          <w:rFonts w:ascii="宋体" w:hAnsi="宋体" w:cs="宋体" w:eastAsia="宋体" w:hint="default"/>
        </w:rPr>
        <w:t>1</w:t>
      </w:r>
      <w:r>
        <w:rPr/>
        <w:t>号</w:t>
      </w:r>
      <w:r>
        <w:rPr>
          <w:rFonts w:ascii="宋体" w:hAnsi="宋体" w:cs="宋体" w:eastAsia="宋体" w:hint="default"/>
        </w:rPr>
        <w:t>CN02-B</w:t>
      </w:r>
      <w:r>
        <w:rPr/>
        <w:t>。</w:t>
      </w:r>
    </w:p>
    <w:p>
      <w:pPr>
        <w:pStyle w:val="BodyText"/>
        <w:spacing w:line="232" w:lineRule="exact" w:before="158"/>
        <w:ind w:right="1118" w:firstLine="360"/>
        <w:jc w:val="left"/>
      </w:pPr>
      <w:r>
        <w:rPr>
          <w:spacing w:val="-2"/>
        </w:rPr>
        <w:t>本公司主要经营活动为：企业管理、营销策划；经济贸易咨询；承办展示活动；设计、制作、代理、发布广告；广告信</w:t>
      </w:r>
      <w:r>
        <w:rPr/>
        <w:t> 息咨询。</w:t>
      </w:r>
    </w:p>
    <w:p>
      <w:pPr>
        <w:pStyle w:val="BodyText"/>
        <w:spacing w:line="597" w:lineRule="auto" w:before="133"/>
        <w:ind w:left="534" w:right="5152" w:hanging="21"/>
        <w:jc w:val="left"/>
      </w:pPr>
      <w:r>
        <w:rPr/>
        <w:t>本财务报表业经公司全体董事于</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10</w:t>
      </w:r>
      <w:r>
        <w:rPr/>
        <w:t>日批准报出。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日止，本公司合并财务报表范围内子公司如下：</w:t>
      </w:r>
    </w:p>
    <w:p>
      <w:pPr>
        <w:spacing w:line="240" w:lineRule="auto" w:before="2"/>
        <w:rPr>
          <w:rFonts w:ascii="宋体" w:hAnsi="宋体" w:cs="宋体" w:eastAsia="宋体" w:hint="default"/>
          <w:sz w:val="5"/>
          <w:szCs w:val="5"/>
        </w:rPr>
      </w:pPr>
    </w:p>
    <w:tbl>
      <w:tblPr>
        <w:tblW w:w="0" w:type="auto"/>
        <w:jc w:val="left"/>
        <w:tblInd w:w="575" w:type="dxa"/>
        <w:tblLayout w:type="fixed"/>
        <w:tblCellMar>
          <w:top w:w="0" w:type="dxa"/>
          <w:left w:w="0" w:type="dxa"/>
          <w:bottom w:w="0" w:type="dxa"/>
          <w:right w:w="0" w:type="dxa"/>
        </w:tblCellMar>
        <w:tblLook w:val="01E0"/>
      </w:tblPr>
      <w:tblGrid>
        <w:gridCol w:w="5529"/>
      </w:tblGrid>
      <w:tr>
        <w:trPr>
          <w:trHeight w:val="34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r>
      <w:tr>
        <w:trPr>
          <w:trHeight w:val="34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北京品推宝移动科技有限公司</w:t>
            </w:r>
          </w:p>
        </w:tc>
      </w:tr>
      <w:tr>
        <w:trPr>
          <w:trHeight w:val="34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秦皇岛宣亚公共关系顾问有限公司</w:t>
            </w:r>
          </w:p>
        </w:tc>
      </w:tr>
      <w:tr>
        <w:trPr>
          <w:trHeight w:val="34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北京宣亚国际数字技术有限公司</w:t>
            </w:r>
          </w:p>
        </w:tc>
      </w:tr>
      <w:tr>
        <w:trPr>
          <w:trHeight w:val="34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北京宣亚国际品牌咨询有限公司</w:t>
            </w:r>
          </w:p>
        </w:tc>
      </w:tr>
      <w:tr>
        <w:trPr>
          <w:trHeight w:val="34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宣亚国际品牌管理（湖南）有限公司</w:t>
            </w:r>
          </w:p>
        </w:tc>
      </w:tr>
      <w:tr>
        <w:trPr>
          <w:trHeight w:val="34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广州宣亚品牌管理有限公司</w:t>
            </w:r>
          </w:p>
        </w:tc>
      </w:tr>
      <w:tr>
        <w:trPr>
          <w:trHeight w:val="34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珠海宣亚互动数字营销有限公司</w:t>
            </w:r>
          </w:p>
        </w:tc>
      </w:tr>
      <w:tr>
        <w:trPr>
          <w:trHeight w:val="34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北京新兵连文化传媒有限公司</w:t>
            </w:r>
          </w:p>
        </w:tc>
      </w:tr>
      <w:tr>
        <w:trPr>
          <w:trHeight w:val="342"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SHUNYA INTERNATIONAL</w:t>
            </w:r>
            <w:r>
              <w:rPr>
                <w:rFonts w:ascii="Times New Roman" w:hAnsi="Times New Roman" w:cs="Times New Roman" w:eastAsia="Times New Roman" w:hint="default"/>
                <w:spacing w:val="-4"/>
                <w:sz w:val="18"/>
                <w:szCs w:val="18"/>
              </w:rPr>
              <w:t> </w:t>
            </w:r>
            <w:r>
              <w:rPr>
                <w:rFonts w:ascii="Times New Roman" w:hAnsi="Times New Roman" w:cs="Times New Roman" w:eastAsia="Times New Roman" w:hint="default"/>
                <w:sz w:val="18"/>
                <w:szCs w:val="18"/>
              </w:rPr>
              <w:t>INC.(</w:t>
            </w:r>
            <w:r>
              <w:rPr>
                <w:rFonts w:ascii="宋体" w:hAnsi="宋体" w:cs="宋体" w:eastAsia="宋体" w:hint="default"/>
                <w:sz w:val="18"/>
                <w:szCs w:val="18"/>
              </w:rPr>
              <w:t>宣亚国际有限公司</w:t>
            </w:r>
            <w:r>
              <w:rPr>
                <w:rFonts w:ascii="Times New Roman" w:hAnsi="Times New Roman" w:cs="Times New Roman" w:eastAsia="Times New Roman" w:hint="default"/>
                <w:sz w:val="18"/>
                <w:szCs w:val="18"/>
              </w:rPr>
              <w:t>)</w:t>
            </w:r>
          </w:p>
        </w:tc>
      </w:tr>
      <w:tr>
        <w:trPr>
          <w:trHeight w:val="344" w:hRule="exact"/>
        </w:trPr>
        <w:tc>
          <w:tcPr>
            <w:tcW w:w="5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北京金色区块网络科技有限公司</w:t>
            </w:r>
          </w:p>
        </w:tc>
      </w:tr>
    </w:tbl>
    <w:p>
      <w:pPr>
        <w:spacing w:line="240" w:lineRule="auto" w:before="3"/>
        <w:rPr>
          <w:rFonts w:ascii="宋体" w:hAnsi="宋体" w:cs="宋体" w:eastAsia="宋体" w:hint="default"/>
          <w:sz w:val="21"/>
          <w:szCs w:val="21"/>
        </w:rPr>
      </w:pPr>
    </w:p>
    <w:p>
      <w:pPr>
        <w:pStyle w:val="BodyText"/>
        <w:spacing w:line="300" w:lineRule="auto" w:before="44"/>
        <w:ind w:left="444" w:right="2264"/>
        <w:jc w:val="left"/>
      </w:pPr>
      <w:r>
        <w:rPr/>
        <w:t>注：</w:t>
      </w:r>
      <w:r>
        <w:rPr>
          <w:rFonts w:ascii="Times New Roman" w:hAnsi="Times New Roman" w:cs="Times New Roman" w:eastAsia="Times New Roman" w:hint="default"/>
        </w:rPr>
        <w:t>SHUNYA INTERNATIONAL</w:t>
      </w:r>
      <w:r>
        <w:rPr>
          <w:rFonts w:ascii="Times New Roman" w:hAnsi="Times New Roman" w:cs="Times New Roman" w:eastAsia="Times New Roman" w:hint="default"/>
          <w:spacing w:val="-2"/>
        </w:rPr>
        <w:t> </w:t>
      </w:r>
      <w:r>
        <w:rPr>
          <w:rFonts w:ascii="Times New Roman" w:hAnsi="Times New Roman" w:cs="Times New Roman" w:eastAsia="Times New Roman" w:hint="default"/>
        </w:rPr>
        <w:t>INC.</w:t>
      </w:r>
      <w:r>
        <w:rPr/>
        <w:t>指宣亚国际有限公司，以下均以中文表示。 本期合并财务报表范围及其变化情况详见本附注</w:t>
      </w:r>
      <w:r>
        <w:rPr>
          <w:rFonts w:ascii="Times New Roman" w:hAnsi="Times New Roman" w:cs="Times New Roman" w:eastAsia="Times New Roman" w:hint="default"/>
        </w:rPr>
        <w:t>“</w:t>
      </w:r>
      <w:r>
        <w:rPr/>
        <w:t>八、合并范围的变更</w:t>
      </w:r>
      <w:r>
        <w:rPr>
          <w:rFonts w:ascii="Times New Roman" w:hAnsi="Times New Roman" w:cs="Times New Roman" w:eastAsia="Times New Roman" w:hint="default"/>
        </w:rPr>
        <w:t>”  </w:t>
      </w:r>
      <w:r>
        <w:rPr/>
        <w:t>和</w:t>
      </w:r>
      <w:r>
        <w:rPr>
          <w:spacing w:val="-42"/>
        </w:rPr>
        <w:t> </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after="0" w:line="300" w:lineRule="auto"/>
        <w:jc w:val="left"/>
        <w:sectPr>
          <w:headerReference w:type="default" r:id="rId26"/>
          <w:footerReference w:type="default" r:id="rId27"/>
          <w:pgSz w:w="11910" w:h="16840"/>
          <w:pgMar w:header="877" w:footer="979" w:top="1060" w:bottom="1160" w:left="980" w:right="0"/>
          <w:pgNumType w:start="101"/>
        </w:sectPr>
      </w:pPr>
    </w:p>
    <w:p>
      <w:pPr>
        <w:spacing w:line="240" w:lineRule="auto" w:before="9"/>
        <w:rPr>
          <w:rFonts w:ascii="宋体" w:hAnsi="宋体" w:cs="宋体" w:eastAsia="宋体" w:hint="default"/>
          <w:sz w:val="19"/>
          <w:szCs w:val="19"/>
        </w:rPr>
      </w:pPr>
    </w:p>
    <w:p>
      <w:pPr>
        <w:pStyle w:val="Heading2"/>
        <w:spacing w:line="240" w:lineRule="auto" w:before="26"/>
        <w:ind w:right="0"/>
        <w:jc w:val="left"/>
        <w:rPr>
          <w:b w:val="0"/>
          <w:bCs w:val="0"/>
        </w:rPr>
      </w:pPr>
      <w:bookmarkStart w:name="四、财务报表的编制基础" w:id="165"/>
      <w:bookmarkEnd w:id="165"/>
      <w:r>
        <w:rPr>
          <w:b w:val="0"/>
          <w:bCs w:val="0"/>
        </w:rPr>
      </w: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编制基础" w:id="166"/>
      <w:bookmarkEnd w:id="166"/>
      <w:r>
        <w:rPr>
          <w:b w:val="0"/>
          <w:bCs w:val="0"/>
        </w:rPr>
      </w:r>
      <w:r>
        <w:rPr>
          <w:rFonts w:ascii="Times New Roman" w:hAnsi="Times New Roman" w:cs="Times New Roman" w:eastAsia="Times New Roman"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2" w:firstLine="380"/>
        <w:jc w:val="both"/>
      </w:pPr>
      <w:r>
        <w:rPr/>
        <w:t>公司以持续经营为基础，根据实际发生的交易和事项，按照财政部颁布的《企业会计准则</w:t>
      </w:r>
      <w:r>
        <w:rPr>
          <w:rFonts w:ascii="Times New Roman" w:hAnsi="Times New Roman" w:cs="Times New Roman" w:eastAsia="Times New Roman" w:hint="default"/>
        </w:rPr>
        <w:t>——</w:t>
      </w:r>
      <w:r>
        <w:rPr/>
        <w:t>基本准则》和各项具体 </w:t>
      </w:r>
      <w:r>
        <w:rPr>
          <w:spacing w:val="-2"/>
        </w:rPr>
        <w:t>会计准则、企业会计准则应用指南、企业会计准则解释及其他相关规定（以下合称</w:t>
      </w:r>
      <w:r>
        <w:rPr>
          <w:rFonts w:ascii="Times New Roman" w:hAnsi="Times New Roman" w:cs="Times New Roman" w:eastAsia="Times New Roman" w:hint="default"/>
          <w:spacing w:val="-2"/>
        </w:rPr>
        <w:t>“</w:t>
      </w:r>
      <w:r>
        <w:rPr>
          <w:spacing w:val="-2"/>
        </w:rPr>
        <w:t>企业会计准则</w:t>
      </w:r>
      <w:r>
        <w:rPr>
          <w:rFonts w:ascii="Times New Roman" w:hAnsi="Times New Roman" w:cs="Times New Roman" w:eastAsia="Times New Roman" w:hint="default"/>
          <w:spacing w:val="-2"/>
        </w:rPr>
        <w:t>”</w:t>
      </w:r>
      <w:r>
        <w:rPr>
          <w:spacing w:val="-2"/>
        </w:rPr>
        <w:t>），以及中国证券监督管</w:t>
      </w:r>
      <w:r>
        <w:rPr>
          <w:spacing w:val="-48"/>
        </w:rPr>
        <w:t> </w:t>
      </w:r>
      <w:r>
        <w:rPr>
          <w:spacing w:val="-48"/>
        </w:rPr>
      </w:r>
      <w:r>
        <w:rPr/>
        <w:t>理委员会《公开发行证券的公司信息披露编报规则第</w:t>
      </w:r>
      <w:r>
        <w:rPr>
          <w:rFonts w:ascii="Times New Roman" w:hAnsi="Times New Roman" w:cs="Times New Roman" w:eastAsia="Times New Roman" w:hint="default"/>
        </w:rPr>
        <w:t>15</w:t>
      </w:r>
      <w:r>
        <w:rPr>
          <w:rFonts w:ascii="Times New Roman" w:hAnsi="Times New Roman" w:cs="Times New Roman" w:eastAsia="Times New Roman" w:hint="default"/>
          <w:spacing w:val="27"/>
        </w:rPr>
        <w:t> </w:t>
      </w:r>
      <w:r>
        <w:rPr/>
        <w:t>号</w:t>
      </w:r>
      <w:r>
        <w:rPr>
          <w:rFonts w:ascii="Times New Roman" w:hAnsi="Times New Roman" w:cs="Times New Roman" w:eastAsia="Times New Roman" w:hint="default"/>
        </w:rPr>
        <w:t>——</w:t>
      </w:r>
      <w:r>
        <w:rPr/>
        <w:t>财务报告的一般规定》的披露规定编制财务报表。</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2、持续经营" w:id="167"/>
      <w:bookmarkEnd w:id="167"/>
      <w:r>
        <w:rPr>
          <w:b w:val="0"/>
          <w:bCs w:val="0"/>
        </w:rPr>
      </w:r>
      <w:r>
        <w:rPr>
          <w:rFonts w:ascii="Times New Roman" w:hAnsi="Times New Roman" w:cs="Times New Roman" w:eastAsia="Times New Roman" w:hint="default"/>
        </w:rPr>
        <w:t>2</w:t>
      </w:r>
      <w:r>
        <w:rPr/>
        <w:t>、持续经营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4" w:right="0"/>
        <w:jc w:val="left"/>
      </w:pPr>
      <w:r>
        <w:rPr/>
        <w:t>公司自本报告期末起</w:t>
      </w:r>
      <w:r>
        <w:rPr>
          <w:rFonts w:ascii="Times New Roman" w:hAnsi="Times New Roman" w:cs="Times New Roman" w:eastAsia="Times New Roman" w:hint="default"/>
        </w:rPr>
        <w:t>12</w:t>
      </w:r>
      <w:r>
        <w:rPr/>
        <w:t>个月具备持续经营能力，无影响持续经营能力的重大事项。</w:t>
      </w:r>
    </w:p>
    <w:p>
      <w:pPr>
        <w:spacing w:line="240" w:lineRule="auto" w:before="1"/>
        <w:rPr>
          <w:rFonts w:ascii="宋体" w:hAnsi="宋体" w:cs="宋体" w:eastAsia="宋体" w:hint="default"/>
          <w:sz w:val="24"/>
          <w:szCs w:val="24"/>
        </w:rPr>
      </w:pPr>
    </w:p>
    <w:p>
      <w:pPr>
        <w:pStyle w:val="Heading2"/>
        <w:spacing w:line="240" w:lineRule="auto"/>
        <w:ind w:right="0"/>
        <w:jc w:val="left"/>
        <w:rPr>
          <w:b w:val="0"/>
          <w:bCs w:val="0"/>
        </w:rPr>
      </w:pPr>
      <w:bookmarkStart w:name="五、重要会计政策及会计估计" w:id="168"/>
      <w:bookmarkEnd w:id="168"/>
      <w:r>
        <w:rPr>
          <w:b w:val="0"/>
          <w:bCs w:val="0"/>
        </w:rPr>
      </w:r>
      <w:r>
        <w:rPr/>
        <w:t>五、重要会计政策及会计估计</w:t>
      </w:r>
      <w:r>
        <w:rPr>
          <w:b w:val="0"/>
          <w:bCs w:val="0"/>
        </w:rPr>
      </w:r>
    </w:p>
    <w:p>
      <w:pPr>
        <w:spacing w:line="240" w:lineRule="auto" w:before="7"/>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57" w:lineRule="auto" w:before="26"/>
        <w:ind w:left="534" w:right="1112" w:hanging="381"/>
        <w:jc w:val="left"/>
      </w:pPr>
      <w:r>
        <w:rPr/>
        <w:t>具体会计政策和会计估计提示： 以下披露内容已涵盖了本公司根据实际生产经营特点制定的具体会计政策和会计估计。详见本附注</w:t>
      </w:r>
      <w:r>
        <w:rPr>
          <w:rFonts w:ascii="Times New Roman" w:hAnsi="Times New Roman" w:cs="Times New Roman" w:eastAsia="Times New Roman" w:hint="default"/>
        </w:rPr>
        <w:t>“</w:t>
      </w:r>
      <w:r>
        <w:rPr/>
        <w:t>五、（二十八）收</w:t>
      </w:r>
    </w:p>
    <w:p>
      <w:pPr>
        <w:pStyle w:val="BodyText"/>
        <w:spacing w:line="214" w:lineRule="exact"/>
        <w:ind w:right="0"/>
        <w:jc w:val="left"/>
      </w:pPr>
      <w:r>
        <w:rPr/>
        <w:t>入</w:t>
      </w:r>
      <w:r>
        <w:rPr>
          <w:rFonts w:ascii="Times New Roman" w:hAnsi="Times New Roman" w:cs="Times New Roman" w:eastAsia="Times New Roman" w:hint="default"/>
        </w:rPr>
        <w:t>”</w:t>
      </w:r>
      <w:r>
        <w:rPr/>
        <w:t>。</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1、遵循企业会计准则的声明" w:id="169"/>
      <w:bookmarkEnd w:id="169"/>
      <w:r>
        <w:rPr>
          <w:b w:val="0"/>
          <w:bCs w:val="0"/>
        </w:rPr>
      </w:r>
      <w:r>
        <w:rPr>
          <w:rFonts w:ascii="Times New Roman" w:hAnsi="Times New Roman" w:cs="Times New Roman" w:eastAsia="Times New Roman"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290"/>
        <w:jc w:val="both"/>
      </w:pPr>
      <w:r>
        <w:rPr>
          <w:spacing w:val="-1"/>
        </w:rPr>
        <w:t>公司所编制的财务报表符合企业会计准则的要求，真实、完整地反映了报告期公司的财务状况、经营成果、现金流量等</w:t>
      </w:r>
      <w:r>
        <w:rPr/>
        <w:t> 有关信息。</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会计期间" w:id="170"/>
      <w:bookmarkEnd w:id="170"/>
      <w:r>
        <w:rPr>
          <w:b w:val="0"/>
          <w:bCs w:val="0"/>
        </w:rPr>
      </w:r>
      <w:r>
        <w:rPr>
          <w:rFonts w:ascii="Times New Roman" w:hAnsi="Times New Roman" w:cs="Times New Roman" w:eastAsia="Times New Roman"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3、营业周期" w:id="171"/>
      <w:bookmarkEnd w:id="171"/>
      <w:r>
        <w:rPr>
          <w:b w:val="0"/>
          <w:bCs w:val="0"/>
        </w:rPr>
      </w:r>
      <w:r>
        <w:rPr>
          <w:rFonts w:ascii="Times New Roman" w:hAnsi="Times New Roman" w:cs="Times New Roman" w:eastAsia="Times New Roman" w:hint="default"/>
        </w:rPr>
        <w:t>3</w:t>
      </w:r>
      <w:r>
        <w:rPr/>
        <w:t>、营业周期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44" w:right="0"/>
        <w:jc w:val="left"/>
      </w:pPr>
      <w:r>
        <w:rPr/>
        <w:t>本公司营业周期为</w:t>
      </w:r>
      <w:r>
        <w:rPr>
          <w:rFonts w:ascii="Times New Roman" w:hAnsi="Times New Roman" w:cs="Times New Roman" w:eastAsia="Times New Roman" w:hint="default"/>
        </w:rPr>
        <w:t>12</w:t>
      </w:r>
      <w:r>
        <w:rPr/>
        <w:t>个月。</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4、记账本位币" w:id="172"/>
      <w:bookmarkEnd w:id="172"/>
      <w:r>
        <w:rPr>
          <w:b w:val="0"/>
          <w:bCs w:val="0"/>
        </w:rPr>
      </w: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本公司采用人民币为记账本位币。</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5、同一控制下和非同一控制下企业合并的会计处理方法" w:id="173"/>
      <w:bookmarkEnd w:id="173"/>
      <w:r>
        <w:rPr>
          <w:b w:val="0"/>
          <w:bCs w:val="0"/>
        </w:rPr>
      </w: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2" w:firstLine="380"/>
        <w:jc w:val="both"/>
      </w:pPr>
      <w:r>
        <w:rPr/>
        <w:t>同一控制下企业合并：本公司在企业合并中取得的资产和负债，按照合并日被合并方资产、负债（包括最终控制方收</w:t>
      </w:r>
      <w:r>
        <w:rPr>
          <w:spacing w:val="1"/>
        </w:rPr>
        <w:t> </w:t>
      </w:r>
      <w:r>
        <w:rPr>
          <w:spacing w:val="-2"/>
        </w:rPr>
        <w:t>购被合并方而形成的商誉）在最终控制方合并财务报表中的账面价值计量。在合并中取得的净资产账面价值与支付的合并对</w:t>
      </w:r>
      <w:r>
        <w:rPr>
          <w:spacing w:val="-64"/>
        </w:rPr>
        <w:t> </w:t>
      </w:r>
      <w:r>
        <w:rPr>
          <w:spacing w:val="-64"/>
        </w:rPr>
      </w:r>
      <w:r>
        <w:rPr>
          <w:spacing w:val="-2"/>
        </w:rPr>
        <w:t>价账面价值（或发行股份面值总额）的差额，调整资本公积中的股本溢价，资本公积中的股本溢价不足冲减的，调整留存收</w:t>
      </w:r>
      <w:r>
        <w:rPr>
          <w:spacing w:val="-66"/>
        </w:rPr>
        <w:t> </w:t>
      </w:r>
      <w:r>
        <w:rPr>
          <w:spacing w:val="-66"/>
        </w:rPr>
      </w:r>
      <w:r>
        <w:rPr/>
        <w:t>益。</w:t>
      </w:r>
    </w:p>
    <w:p>
      <w:pPr>
        <w:pStyle w:val="BodyText"/>
        <w:spacing w:line="316" w:lineRule="auto" w:before="17"/>
        <w:ind w:right="0" w:firstLine="380"/>
        <w:jc w:val="left"/>
      </w:pPr>
      <w:r>
        <w:rPr/>
        <w:t>非同一控制下企业合并：本公司在购买日对作为企业合并对价付出的资产、发生或承担的负债按照公允价值计量，公</w:t>
      </w:r>
      <w:r>
        <w:rPr>
          <w:spacing w:val="1"/>
        </w:rPr>
        <w:t> </w:t>
      </w:r>
      <w:r>
        <w:rPr>
          <w:spacing w:val="-2"/>
        </w:rPr>
        <w:t>允价值与其账面价值的差额，计入当期损益。本公司对合并成本大于合并中取得的被购买方可辨认净资产公允价值份额的差</w:t>
      </w:r>
    </w:p>
    <w:p>
      <w:pPr>
        <w:spacing w:after="0" w:line="316"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left="534" w:right="0" w:hanging="381"/>
        <w:jc w:val="left"/>
      </w:pPr>
      <w:r>
        <w:rPr/>
        <w:t>额，确认为商誉；合并成本小于合并中取得的被购买方可辨认净资产公允价值份额的差额，经复核后，计入当期损益。 为企业合并发生的审计、法律服务、评估咨询等中介费用以及其他直接相关费用，于发生时计入当期损益；为企业合</w:t>
      </w:r>
    </w:p>
    <w:p>
      <w:pPr>
        <w:pStyle w:val="BodyText"/>
        <w:spacing w:line="240" w:lineRule="auto" w:before="19"/>
        <w:ind w:right="0"/>
        <w:jc w:val="left"/>
      </w:pPr>
      <w:r>
        <w:rPr/>
        <w:t>并而发行权益性证券的交易费用，冲减权益。</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合并财务报表的编制方法" w:id="174"/>
      <w:bookmarkEnd w:id="174"/>
      <w:r>
        <w:rPr>
          <w:b w:val="0"/>
          <w:bCs w:val="0"/>
        </w:rPr>
      </w:r>
      <w:r>
        <w:rPr>
          <w:rFonts w:ascii="Times New Roman" w:hAnsi="Times New Roman" w:cs="Times New Roman" w:eastAsia="Times New Roman"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34" w:right="1118"/>
        <w:jc w:val="left"/>
      </w:pPr>
      <w:r>
        <w:rPr>
          <w:rFonts w:ascii="Times New Roman" w:hAnsi="Times New Roman" w:cs="Times New Roman" w:eastAsia="Times New Roman" w:hint="default"/>
        </w:rPr>
        <w:t>1</w:t>
      </w:r>
      <w:r>
        <w:rPr/>
        <w:t>、合并范围 本公司合并财务报表的合并范围以控制为基础确定，所有子公司（包括本公司所控制的被投资方可分割的部分）均纳</w:t>
      </w:r>
    </w:p>
    <w:p>
      <w:pPr>
        <w:pStyle w:val="BodyText"/>
        <w:spacing w:line="240" w:lineRule="auto" w:before="31"/>
        <w:ind w:right="0"/>
        <w:jc w:val="left"/>
      </w:pPr>
      <w:r>
        <w:rPr/>
        <w:t>入合并财务报表。</w:t>
      </w:r>
    </w:p>
    <w:p>
      <w:pPr>
        <w:spacing w:line="240" w:lineRule="auto" w:before="0"/>
        <w:rPr>
          <w:rFonts w:ascii="宋体" w:hAnsi="宋体" w:cs="宋体" w:eastAsia="宋体" w:hint="default"/>
          <w:sz w:val="18"/>
          <w:szCs w:val="18"/>
        </w:rPr>
      </w:pPr>
    </w:p>
    <w:p>
      <w:pPr>
        <w:pStyle w:val="BodyText"/>
        <w:spacing w:line="300" w:lineRule="auto" w:before="153"/>
        <w:ind w:left="534" w:right="1118"/>
        <w:jc w:val="left"/>
      </w:pPr>
      <w:r>
        <w:rPr>
          <w:rFonts w:ascii="Times New Roman" w:hAnsi="Times New Roman" w:cs="Times New Roman" w:eastAsia="Times New Roman" w:hint="default"/>
        </w:rPr>
        <w:t>2</w:t>
      </w:r>
      <w:r>
        <w:rPr/>
        <w:t>、合并程序 本公司以自身和各子公司的财务报表为基础，根据其他有关资料，编制合并财务报表。本公司编制合并财务报表，将</w:t>
      </w:r>
    </w:p>
    <w:p>
      <w:pPr>
        <w:pStyle w:val="BodyText"/>
        <w:spacing w:line="316" w:lineRule="auto" w:before="31"/>
        <w:ind w:right="0"/>
        <w:jc w:val="left"/>
      </w:pPr>
      <w:r>
        <w:rPr>
          <w:spacing w:val="-2"/>
        </w:rPr>
        <w:t>整个企业集团视为一个会计主体，依据相关企业会计准则的确认、计量和列报要求，按照统一的会计政策，反映本企业集团</w:t>
      </w:r>
      <w:r>
        <w:rPr>
          <w:spacing w:val="-66"/>
        </w:rPr>
        <w:t> </w:t>
      </w:r>
      <w:r>
        <w:rPr>
          <w:spacing w:val="-66"/>
        </w:rPr>
      </w:r>
      <w:r>
        <w:rPr/>
        <w:t>整体财务状况、经营成果和现金流量。</w:t>
      </w:r>
    </w:p>
    <w:p>
      <w:pPr>
        <w:pStyle w:val="BodyText"/>
        <w:spacing w:line="316" w:lineRule="auto" w:before="19"/>
        <w:ind w:right="1131" w:firstLine="380"/>
        <w:jc w:val="both"/>
      </w:pPr>
      <w:r>
        <w:rPr/>
        <w:t>所有纳入合并财务报表合并范围的子公司所采用的会计政策、会计期间与本公司一致，如子公司采用的会计政策、会</w:t>
      </w:r>
      <w:r>
        <w:rPr>
          <w:spacing w:val="1"/>
        </w:rPr>
        <w:t> </w:t>
      </w:r>
      <w:r>
        <w:rPr>
          <w:spacing w:val="-2"/>
        </w:rPr>
        <w:t>计期间与本公司不一致的，在编制合并财务报表时，按本公司的会计政策、会计期间进行必要的调整。对于非同一控制下企</w:t>
      </w:r>
      <w:r>
        <w:rPr>
          <w:spacing w:val="-66"/>
        </w:rPr>
        <w:t> </w:t>
      </w:r>
      <w:r>
        <w:rPr>
          <w:spacing w:val="-66"/>
        </w:rPr>
      </w:r>
      <w:r>
        <w:rPr>
          <w:spacing w:val="-2"/>
        </w:rPr>
        <w:t>业合并取得的子公司，以购买日可辨认净资产公允价值为基础对其财务报表进行调整。对于同一控制下企业合并取得的子公</w:t>
      </w:r>
      <w:r>
        <w:rPr>
          <w:spacing w:val="-64"/>
        </w:rPr>
        <w:t> </w:t>
      </w:r>
      <w:r>
        <w:rPr>
          <w:spacing w:val="-64"/>
        </w:rPr>
      </w:r>
      <w:r>
        <w:rPr>
          <w:spacing w:val="-2"/>
        </w:rPr>
        <w:t>司，以其资产、负债（包括最终控制方收购该子公司而形成的商誉）在最终控制方财务报表中的账面价值为基础对其财务报</w:t>
      </w:r>
      <w:r>
        <w:rPr>
          <w:spacing w:val="-66"/>
        </w:rPr>
        <w:t> </w:t>
      </w:r>
      <w:r>
        <w:rPr>
          <w:spacing w:val="-66"/>
        </w:rPr>
      </w:r>
      <w:r>
        <w:rPr/>
        <w:t>表进行调整。</w:t>
      </w:r>
    </w:p>
    <w:p>
      <w:pPr>
        <w:pStyle w:val="BodyText"/>
        <w:spacing w:line="316" w:lineRule="auto" w:before="19"/>
        <w:ind w:right="1131" w:firstLine="380"/>
        <w:jc w:val="both"/>
      </w:pPr>
      <w:r>
        <w:rPr/>
        <w:t>子公司所有者权益、当期净损益和当期综合收益中属于少数股东的份额分别在合并资产负债表中所有者权益项目下、</w:t>
      </w:r>
      <w:r>
        <w:rPr>
          <w:spacing w:val="1"/>
        </w:rPr>
        <w:t> </w:t>
      </w:r>
      <w:r>
        <w:rPr>
          <w:spacing w:val="-2"/>
        </w:rPr>
        <w:t>合并利润表中净利润项目下和综合收益总额项目下单独列示。子公司少数股东分担的当期亏损超过了少数股东在该子公司期</w:t>
      </w:r>
      <w:r>
        <w:rPr>
          <w:spacing w:val="-64"/>
        </w:rPr>
        <w:t> </w:t>
      </w:r>
      <w:r>
        <w:rPr>
          <w:spacing w:val="-64"/>
        </w:rPr>
      </w:r>
      <w:r>
        <w:rPr/>
        <w:t>初所有者权益中所享有份额而形成的余额，冲减少数股东权益。</w:t>
      </w:r>
    </w:p>
    <w:p>
      <w:pPr>
        <w:spacing w:line="240" w:lineRule="auto" w:before="4"/>
        <w:rPr>
          <w:rFonts w:ascii="宋体" w:hAnsi="宋体" w:cs="宋体" w:eastAsia="宋体" w:hint="default"/>
          <w:sz w:val="25"/>
          <w:szCs w:val="25"/>
        </w:rPr>
      </w:pPr>
    </w:p>
    <w:p>
      <w:pPr>
        <w:pStyle w:val="BodyText"/>
        <w:spacing w:line="300" w:lineRule="auto"/>
        <w:ind w:left="534" w:right="0" w:hanging="90"/>
        <w:jc w:val="left"/>
      </w:pPr>
      <w:r>
        <w:rPr/>
        <w:t>（</w:t>
      </w:r>
      <w:r>
        <w:rPr>
          <w:rFonts w:ascii="Times New Roman" w:hAnsi="Times New Roman" w:cs="Times New Roman" w:eastAsia="Times New Roman" w:hint="default"/>
        </w:rPr>
        <w:t>1</w:t>
      </w:r>
      <w:r>
        <w:rPr/>
        <w:t>）增加子公司或业务 在报告期内，若因同一控制下企业合并增加子公司或业务的，则调整合并资产负债表的期初数；将子公司或业务合并</w:t>
      </w:r>
    </w:p>
    <w:p>
      <w:pPr>
        <w:pStyle w:val="BodyText"/>
        <w:spacing w:line="316" w:lineRule="auto" w:before="31"/>
        <w:ind w:right="0"/>
        <w:jc w:val="left"/>
      </w:pPr>
      <w:r>
        <w:rPr>
          <w:spacing w:val="-2"/>
        </w:rPr>
        <w:t>当期期初至报告期末的收入、费用、利润纳入合并利润表；将子公司或业务合并当期期初至报告期末的现金流量纳入合并现</w:t>
      </w:r>
      <w:r>
        <w:rPr>
          <w:spacing w:val="-66"/>
        </w:rPr>
        <w:t> </w:t>
      </w:r>
      <w:r>
        <w:rPr>
          <w:spacing w:val="-66"/>
        </w:rPr>
      </w:r>
      <w:r>
        <w:rPr/>
        <w:t>金流量表，同时对比较报表的相关项目进行调整，视同合并后的报告主体自最终控制方开始控制时点起一直存在。</w:t>
      </w:r>
    </w:p>
    <w:p>
      <w:pPr>
        <w:pStyle w:val="BodyText"/>
        <w:spacing w:line="316" w:lineRule="auto" w:before="19"/>
        <w:ind w:right="1130" w:firstLine="380"/>
        <w:jc w:val="both"/>
      </w:pPr>
      <w:r>
        <w:rPr/>
        <w:t>因追加投资等原因能够对同一控制下的被投资方实施控制的，视同参与合并的各方在最终控制方开始控制时即以目前</w:t>
      </w:r>
      <w:r>
        <w:rPr>
          <w:spacing w:val="1"/>
        </w:rPr>
        <w:t> </w:t>
      </w:r>
      <w:r>
        <w:rPr>
          <w:spacing w:val="-2"/>
        </w:rPr>
        <w:t>的状态存在进行调整。在取得被合并方控制权之前持有的股权投资，在取得原股权之日与合并方和被合并方同处于同一控制</w:t>
      </w:r>
      <w:r>
        <w:rPr>
          <w:spacing w:val="-63"/>
        </w:rPr>
        <w:t> </w:t>
      </w:r>
      <w:r>
        <w:rPr>
          <w:spacing w:val="-63"/>
        </w:rPr>
      </w:r>
      <w:r>
        <w:rPr>
          <w:spacing w:val="-2"/>
        </w:rPr>
        <w:t>之日孰晚日起至合并日之间已确认有关损益、其他综合收益以及其他净资产变动，分别冲减比较报表期间的期初留存收益或</w:t>
      </w:r>
      <w:r>
        <w:rPr>
          <w:spacing w:val="-64"/>
        </w:rPr>
        <w:t> </w:t>
      </w:r>
      <w:r>
        <w:rPr>
          <w:spacing w:val="-64"/>
        </w:rPr>
      </w:r>
      <w:r>
        <w:rPr/>
        <w:t>当期损益。</w:t>
      </w:r>
    </w:p>
    <w:p>
      <w:pPr>
        <w:pStyle w:val="BodyText"/>
        <w:spacing w:line="316" w:lineRule="auto" w:before="19"/>
        <w:ind w:right="1133" w:firstLine="380"/>
        <w:jc w:val="both"/>
      </w:pPr>
      <w:r>
        <w:rPr/>
        <w:t>在报告期内，若因非同一控制下企业合并增加子公司或业务的，则不调整合并资产负债表期初数；将该子公司或业务</w:t>
      </w:r>
      <w:r>
        <w:rPr>
          <w:spacing w:val="1"/>
        </w:rPr>
        <w:t> </w:t>
      </w:r>
      <w:r>
        <w:rPr>
          <w:spacing w:val="-2"/>
        </w:rPr>
        <w:t>自购买日至报告期末的收入、费用、利润纳入合并利润表；该子公司或业务自购买日至报告期末的现金流量纳入合并现金流</w:t>
      </w:r>
      <w:r>
        <w:rPr>
          <w:spacing w:val="-66"/>
        </w:rPr>
        <w:t> </w:t>
      </w:r>
      <w:r>
        <w:rPr>
          <w:spacing w:val="-66"/>
        </w:rPr>
      </w:r>
      <w:r>
        <w:rPr/>
        <w:t>量表。</w:t>
      </w:r>
    </w:p>
    <w:p>
      <w:pPr>
        <w:pStyle w:val="BodyText"/>
        <w:spacing w:line="316" w:lineRule="auto" w:before="19"/>
        <w:ind w:right="1131" w:firstLine="380"/>
        <w:jc w:val="both"/>
      </w:pPr>
      <w:r>
        <w:rPr/>
        <w:t>因追加投资等原因能够对非同一控制下的被投资方实施控制的，对于购买日之前持有的被购买方的股权，本公司按照</w:t>
      </w:r>
      <w:r>
        <w:rPr>
          <w:spacing w:val="1"/>
        </w:rPr>
        <w:t> </w:t>
      </w:r>
      <w:r>
        <w:rPr>
          <w:spacing w:val="-2"/>
        </w:rPr>
        <w:t>该股权在购买日的公允价值进行重新计量，公允价值与其账面价值的差额计入当期投资收益。购买日之前持有的被购买方的</w:t>
      </w:r>
      <w:r>
        <w:rPr>
          <w:spacing w:val="-64"/>
        </w:rPr>
        <w:t> </w:t>
      </w:r>
      <w:r>
        <w:rPr>
          <w:spacing w:val="-64"/>
        </w:rPr>
      </w:r>
      <w:r>
        <w:rPr>
          <w:spacing w:val="-2"/>
        </w:rPr>
        <w:t>股权涉及权益法核算下的其他综合收益以及除净损益、其他综合收益和利润分配之外的其他所有者权益变动的，与其相关的</w:t>
      </w:r>
      <w:r>
        <w:rPr>
          <w:spacing w:val="-64"/>
        </w:rPr>
        <w:t> </w:t>
      </w:r>
      <w:r>
        <w:rPr>
          <w:spacing w:val="-64"/>
        </w:rPr>
      </w:r>
      <w:r>
        <w:rPr>
          <w:spacing w:val="-2"/>
        </w:rPr>
        <w:t>其他综合收益、其他所有者权益变动转为购买日所属当期投资收益，由于被投资方重新计量设定受益计划净负债或净资产变</w:t>
      </w:r>
      <w:r>
        <w:rPr>
          <w:spacing w:val="-64"/>
        </w:rPr>
        <w:t> </w:t>
      </w:r>
      <w:r>
        <w:rPr>
          <w:spacing w:val="-64"/>
        </w:rPr>
      </w:r>
      <w:r>
        <w:rPr/>
        <w:t>动而产生的其他综合收益除外。</w:t>
      </w:r>
    </w:p>
    <w:p>
      <w:pPr>
        <w:pStyle w:val="BodyText"/>
        <w:spacing w:line="240" w:lineRule="auto" w:before="19"/>
        <w:ind w:left="444" w:right="0"/>
        <w:jc w:val="left"/>
      </w:pPr>
      <w:r>
        <w:rPr/>
        <w:t>（</w:t>
      </w:r>
      <w:r>
        <w:rPr>
          <w:rFonts w:ascii="Times New Roman" w:hAnsi="Times New Roman" w:cs="Times New Roman" w:eastAsia="Times New Roman" w:hint="default"/>
        </w:rPr>
        <w:t>2</w:t>
      </w:r>
      <w:r>
        <w:rPr/>
        <w:t>）处置子公司或业务</w:t>
      </w:r>
    </w:p>
    <w:p>
      <w:pPr>
        <w:pStyle w:val="BodyText"/>
        <w:spacing w:line="316" w:lineRule="auto" w:before="63"/>
        <w:ind w:left="534" w:right="0" w:firstLine="33"/>
        <w:jc w:val="left"/>
      </w:pPr>
      <w:r>
        <w:rPr/>
        <w:t>①一般处理方法 在报告期内，本公司处置子公司或业务，则该子公司或业务期初至处置日的收入、费用、利润纳入合并利润表；该子</w:t>
      </w:r>
    </w:p>
    <w:p>
      <w:pPr>
        <w:pStyle w:val="BodyText"/>
        <w:spacing w:line="316" w:lineRule="auto" w:before="19"/>
        <w:ind w:left="534" w:right="0" w:hanging="381"/>
        <w:jc w:val="left"/>
      </w:pPr>
      <w:r>
        <w:rPr/>
        <w:t>公司或业务期初至处置日的现金流量纳入合并现金流量表。 因处置部分股权投资或其他原因丧失了对被投资方控制权时，对于处置后的剩余股权投资，本公司按照其在丧失控制</w:t>
      </w:r>
    </w:p>
    <w:p>
      <w:pPr>
        <w:spacing w:after="0" w:line="316"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16" w:lineRule="auto" w:before="44"/>
        <w:ind w:right="0"/>
        <w:jc w:val="left"/>
      </w:pPr>
      <w:r>
        <w:rPr>
          <w:spacing w:val="-2"/>
        </w:rPr>
        <w:t>权日的公允价值进行重新计量。处置股权取得的对价与剩余股权公允价值之和，减去按原持股比例计算应享有原有子公司自</w:t>
      </w:r>
      <w:r>
        <w:rPr>
          <w:spacing w:val="-64"/>
        </w:rPr>
        <w:t> </w:t>
      </w:r>
      <w:r>
        <w:rPr>
          <w:spacing w:val="-64"/>
        </w:rPr>
      </w:r>
      <w:r>
        <w:rPr>
          <w:spacing w:val="-2"/>
        </w:rPr>
        <w:t>购买日或合并日开始持续计算的净资产的份额与商誉之和的差额，计入丧失控制权当期的投资收益。与原有子公司股权投资</w:t>
      </w:r>
      <w:r>
        <w:rPr>
          <w:spacing w:val="-64"/>
        </w:rPr>
        <w:t> </w:t>
      </w:r>
      <w:r>
        <w:rPr>
          <w:spacing w:val="-64"/>
        </w:rPr>
      </w:r>
      <w:r>
        <w:rPr>
          <w:spacing w:val="-4"/>
        </w:rPr>
        <w:t>相关的其他综合收益或除净损益、其他综合收益及利润分配之外的其他所有者权益变动，在丧失控制权时转为当期投资收益，</w:t>
      </w:r>
      <w:r>
        <w:rPr>
          <w:spacing w:val="-44"/>
        </w:rPr>
        <w:t> </w:t>
      </w:r>
      <w:r>
        <w:rPr>
          <w:spacing w:val="-44"/>
        </w:rPr>
      </w:r>
      <w:r>
        <w:rPr/>
        <w:t>由于被投资方重新计量设定受益计划净负债或净资产变动而产生的其他综合收益除外。</w:t>
      </w:r>
    </w:p>
    <w:p>
      <w:pPr>
        <w:pStyle w:val="BodyText"/>
        <w:spacing w:line="240" w:lineRule="auto" w:before="19"/>
        <w:ind w:left="534" w:right="0"/>
        <w:jc w:val="left"/>
      </w:pPr>
      <w:r>
        <w:rPr/>
        <w:t>因其他投资方对子公司增资而导致本公司持股比例下降从而丧失控制权的，按照上述原则进行会计处理。</w:t>
      </w:r>
    </w:p>
    <w:p>
      <w:pPr>
        <w:pStyle w:val="BodyText"/>
        <w:spacing w:line="316" w:lineRule="auto" w:before="76"/>
        <w:ind w:left="534" w:right="0" w:firstLine="33"/>
        <w:jc w:val="left"/>
      </w:pPr>
      <w:r>
        <w:rPr/>
        <w:t>②分步处置子公司 通过多次交易分步处置对子公司股权投资直至丧失控制权的，处置对子公司股权投资的各项交易的条款、条件以及经</w:t>
      </w:r>
    </w:p>
    <w:p>
      <w:pPr>
        <w:pStyle w:val="BodyText"/>
        <w:spacing w:line="316" w:lineRule="auto" w:before="19"/>
        <w:ind w:left="568" w:right="3372" w:hanging="414"/>
        <w:jc w:val="left"/>
      </w:pPr>
      <w:r>
        <w:rPr/>
        <w:t>济影响符合以下一种或多种情况，通常表明应将多次交易事项作为一揽子交易进行会计处理： ⅰ．这些交易是同时或者在考虑了彼此影响的情况下订立的； ⅱ．这些交易整体才能达成一项完整的商业结果； ⅲ．一项交易的发生取决于其他至少一项交易的发生； ⅳ．一项交易单独看是不经济的，但是和其他交易一并考虑时是经济的。</w:t>
      </w:r>
    </w:p>
    <w:p>
      <w:pPr>
        <w:pStyle w:val="BodyText"/>
        <w:spacing w:line="316" w:lineRule="auto" w:before="19"/>
        <w:ind w:right="1032" w:firstLine="380"/>
        <w:jc w:val="left"/>
      </w:pPr>
      <w:r>
        <w:rPr/>
        <w:t>处置对子公司股权投资直至丧失控制权的各项交易属于一揽子交易的，本公司将各项交易作为一项处置子公司并丧失</w:t>
      </w:r>
      <w:r>
        <w:rPr>
          <w:spacing w:val="1"/>
        </w:rPr>
        <w:t> </w:t>
      </w:r>
      <w:r>
        <w:rPr/>
        <w:t>控制权的交易进行会计处理；但是，在丧失控制权之前每一次处置价款与处置投资对应的享有该子公司净资产份额的差额，</w:t>
      </w:r>
      <w:r>
        <w:rPr/>
        <w:t> 在合并财务报表中确认为其他综合收益，在丧失控制权时一并转入丧失控制权当期的损益。</w:t>
      </w:r>
    </w:p>
    <w:p>
      <w:pPr>
        <w:pStyle w:val="BodyText"/>
        <w:spacing w:line="316" w:lineRule="auto" w:before="19"/>
        <w:ind w:right="0" w:firstLine="380"/>
        <w:jc w:val="left"/>
      </w:pPr>
      <w:r>
        <w:rPr/>
        <w:t>处置对子公司股权投资直至丧失控制权的各项交易不属于一揽子交易的，在丧失控制权之前，按不丧失控制权的情况</w:t>
      </w:r>
      <w:r>
        <w:rPr>
          <w:spacing w:val="1"/>
        </w:rPr>
        <w:t> </w:t>
      </w:r>
      <w:r>
        <w:rPr/>
        <w:t>下部分处置对子公司的股权投资的相关政策进行会计处理；在丧失控制权时，按处置子公司一般处理方法进行会计处理。</w:t>
      </w:r>
    </w:p>
    <w:p>
      <w:pPr>
        <w:pStyle w:val="BodyText"/>
        <w:spacing w:line="300" w:lineRule="auto" w:before="19"/>
        <w:ind w:left="568" w:right="1158"/>
        <w:jc w:val="left"/>
      </w:pPr>
      <w:r>
        <w:rPr/>
        <w:t>（</w:t>
      </w:r>
      <w:r>
        <w:rPr>
          <w:rFonts w:ascii="Times New Roman" w:hAnsi="Times New Roman" w:cs="Times New Roman" w:eastAsia="Times New Roman" w:hint="default"/>
        </w:rPr>
        <w:t>3</w:t>
      </w:r>
      <w:r>
        <w:rPr/>
        <w:t>）购买子公司少数股权 本公司因购买少数股权新取得的长期股权投资与按照新增持股比例计算应享有子公司自购买日（或合并日）开始持续</w:t>
      </w:r>
    </w:p>
    <w:p>
      <w:pPr>
        <w:pStyle w:val="BodyText"/>
        <w:spacing w:line="316" w:lineRule="auto" w:before="31"/>
        <w:ind w:right="1118"/>
        <w:jc w:val="left"/>
      </w:pPr>
      <w:r>
        <w:rPr>
          <w:spacing w:val="-2"/>
        </w:rPr>
        <w:t>计算的净资产份额之间的差额，调整合并资产负债表中的资本公积中的股本溢价，资本公积中的股本溢价不足冲减的，调整</w:t>
      </w:r>
      <w:r>
        <w:rPr>
          <w:spacing w:val="-66"/>
        </w:rPr>
        <w:t> </w:t>
      </w:r>
      <w:r>
        <w:rPr>
          <w:spacing w:val="-66"/>
        </w:rPr>
      </w:r>
      <w:r>
        <w:rPr/>
        <w:t>留存收益。</w:t>
      </w:r>
    </w:p>
    <w:p>
      <w:pPr>
        <w:pStyle w:val="BodyText"/>
        <w:spacing w:line="300" w:lineRule="auto" w:before="19"/>
        <w:ind w:left="534" w:right="0" w:firstLine="33"/>
        <w:jc w:val="left"/>
      </w:pPr>
      <w:r>
        <w:rPr/>
        <w:t>（</w:t>
      </w:r>
      <w:r>
        <w:rPr>
          <w:rFonts w:ascii="Times New Roman" w:hAnsi="Times New Roman" w:cs="Times New Roman" w:eastAsia="Times New Roman" w:hint="default"/>
        </w:rPr>
        <w:t>4</w:t>
      </w:r>
      <w:r>
        <w:rPr/>
        <w:t>）不丧失控制权的情况下部分处置对子公司的股权投资 在不丧失控制权的情况下因部分处置对子公司的长期股权投资而取得的处置价款与处置长期股权投资相对应享有子公</w:t>
      </w:r>
    </w:p>
    <w:p>
      <w:pPr>
        <w:pStyle w:val="BodyText"/>
        <w:spacing w:line="316" w:lineRule="auto" w:before="31"/>
        <w:ind w:right="0"/>
        <w:jc w:val="left"/>
      </w:pPr>
      <w:r>
        <w:rPr>
          <w:spacing w:val="-2"/>
        </w:rPr>
        <w:t>司自购买日或合并日开始持续计算的净资产份额之间的差额，调整合并资产负债表中的资本公积中的股本溢价，资本公积中</w:t>
      </w:r>
      <w:r>
        <w:rPr>
          <w:spacing w:val="-64"/>
        </w:rPr>
        <w:t> </w:t>
      </w:r>
      <w:r>
        <w:rPr>
          <w:spacing w:val="-64"/>
        </w:rPr>
      </w:r>
      <w:r>
        <w:rPr/>
        <w:t>的股本溢价不足冲减的，调整留存收益。</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7、合营安排分类及共同经营会计处理方法" w:id="175"/>
      <w:bookmarkEnd w:id="175"/>
      <w:r>
        <w:rPr>
          <w:b w:val="0"/>
          <w:bCs w:val="0"/>
        </w:rPr>
      </w:r>
      <w:r>
        <w:rPr>
          <w:rFonts w:ascii="Times New Roman" w:hAnsi="Times New Roman" w:cs="Times New Roman" w:eastAsia="Times New Roman" w:hint="default"/>
        </w:rPr>
        <w:t>7</w:t>
      </w:r>
      <w:r>
        <w:rPr/>
        <w:t>、合营安排分类及共同经营会计处理方法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371" w:right="1393" w:firstLine="73"/>
        <w:jc w:val="left"/>
      </w:pPr>
      <w:r>
        <w:rPr/>
        <w:t>合营安排分为共同经营和合营企业。 当本公司是合营安排的合营方，享有该安排相关资产且承担该安排相关负债时，为共同经营。</w:t>
      </w:r>
    </w:p>
    <w:p>
      <w:pPr>
        <w:spacing w:line="240" w:lineRule="auto" w:before="4"/>
        <w:rPr>
          <w:rFonts w:ascii="宋体" w:hAnsi="宋体" w:cs="宋体" w:eastAsia="宋体" w:hint="default"/>
          <w:sz w:val="25"/>
          <w:szCs w:val="25"/>
        </w:rPr>
      </w:pPr>
    </w:p>
    <w:p>
      <w:pPr>
        <w:pStyle w:val="BodyText"/>
        <w:spacing w:line="240" w:lineRule="auto"/>
        <w:ind w:left="371" w:right="0"/>
        <w:jc w:val="left"/>
      </w:pPr>
      <w:r>
        <w:rPr/>
        <w:t>本公司确认与共同经营中利益份额相关的下列项目，并按照相关企业会计准则的规定进行会计处理：</w:t>
      </w:r>
    </w:p>
    <w:p>
      <w:pPr>
        <w:pStyle w:val="BodyText"/>
        <w:spacing w:line="240" w:lineRule="auto" w:before="76"/>
        <w:ind w:left="341" w:right="0"/>
        <w:jc w:val="left"/>
      </w:pPr>
      <w:r>
        <w:rPr/>
        <w:t>（</w:t>
      </w:r>
      <w:r>
        <w:rPr>
          <w:rFonts w:ascii="Times New Roman" w:hAnsi="Times New Roman" w:cs="Times New Roman" w:eastAsia="Times New Roman" w:hint="default"/>
        </w:rPr>
        <w:t>1</w:t>
      </w:r>
      <w:r>
        <w:rPr/>
        <w:t>）确认本公司单独所持有的资产，以及按本公司份额确认共同持有的资产；</w:t>
      </w:r>
    </w:p>
    <w:p>
      <w:pPr>
        <w:pStyle w:val="BodyText"/>
        <w:spacing w:line="240" w:lineRule="auto" w:before="63"/>
        <w:ind w:left="341" w:right="0"/>
        <w:jc w:val="left"/>
      </w:pPr>
      <w:r>
        <w:rPr/>
        <w:t>（</w:t>
      </w:r>
      <w:r>
        <w:rPr>
          <w:rFonts w:ascii="Times New Roman" w:hAnsi="Times New Roman" w:cs="Times New Roman" w:eastAsia="Times New Roman" w:hint="default"/>
        </w:rPr>
        <w:t>2</w:t>
      </w:r>
      <w:r>
        <w:rPr/>
        <w:t>）确认本公司单独所承担的负债，以及按本公司份额确认共同承担的负债；</w:t>
      </w:r>
    </w:p>
    <w:p>
      <w:pPr>
        <w:pStyle w:val="BodyText"/>
        <w:spacing w:line="240" w:lineRule="auto" w:before="63"/>
        <w:ind w:left="341" w:right="0"/>
        <w:jc w:val="left"/>
      </w:pPr>
      <w:r>
        <w:rPr/>
        <w:t>（</w:t>
      </w:r>
      <w:r>
        <w:rPr>
          <w:rFonts w:ascii="Times New Roman" w:hAnsi="Times New Roman" w:cs="Times New Roman" w:eastAsia="Times New Roman" w:hint="default"/>
        </w:rPr>
        <w:t>3</w:t>
      </w:r>
      <w:r>
        <w:rPr/>
        <w:t>）确认出售本公司享有的共同经营产出份额所产生的收入；</w:t>
      </w:r>
    </w:p>
    <w:p>
      <w:pPr>
        <w:pStyle w:val="BodyText"/>
        <w:spacing w:line="240" w:lineRule="auto" w:before="63"/>
        <w:ind w:left="341" w:right="0"/>
        <w:jc w:val="left"/>
      </w:pPr>
      <w:r>
        <w:rPr/>
        <w:t>（</w:t>
      </w:r>
      <w:r>
        <w:rPr>
          <w:rFonts w:ascii="Times New Roman" w:hAnsi="Times New Roman" w:cs="Times New Roman" w:eastAsia="Times New Roman" w:hint="default"/>
        </w:rPr>
        <w:t>4</w:t>
      </w:r>
      <w:r>
        <w:rPr/>
        <w:t>）按本公司份额确认共同经营因出售产出所产生的收入；</w:t>
      </w:r>
    </w:p>
    <w:p>
      <w:pPr>
        <w:pStyle w:val="BodyText"/>
        <w:spacing w:line="600" w:lineRule="auto" w:before="63"/>
        <w:ind w:left="444" w:right="4536" w:hanging="104"/>
        <w:jc w:val="left"/>
      </w:pPr>
      <w:r>
        <w:rPr/>
        <w:t>（</w:t>
      </w:r>
      <w:r>
        <w:rPr>
          <w:rFonts w:ascii="Times New Roman" w:hAnsi="Times New Roman" w:cs="Times New Roman" w:eastAsia="Times New Roman" w:hint="default"/>
        </w:rPr>
        <w:t>5</w:t>
      </w:r>
      <w:r>
        <w:rPr/>
        <w:t>）确认单独所发生的费用，以及按本公司份额确认共同经营发生的费用。 本公司对合营企业投资的会计政策见本附注</w:t>
      </w:r>
      <w:r>
        <w:rPr>
          <w:rFonts w:ascii="Times New Roman" w:hAnsi="Times New Roman" w:cs="Times New Roman" w:eastAsia="Times New Roman" w:hint="default"/>
        </w:rPr>
        <w:t>“</w:t>
      </w:r>
      <w:r>
        <w:rPr/>
        <w:t>五、（十四）长期股权投资</w:t>
      </w:r>
      <w:r>
        <w:rPr>
          <w:rFonts w:ascii="Times New Roman" w:hAnsi="Times New Roman" w:cs="Times New Roman" w:eastAsia="Times New Roman" w:hint="default"/>
        </w:rPr>
        <w:t>”</w:t>
      </w:r>
      <w:r>
        <w:rPr/>
        <w:t>。</w:t>
      </w:r>
    </w:p>
    <w:p>
      <w:pPr>
        <w:pStyle w:val="Heading4"/>
        <w:spacing w:line="240" w:lineRule="auto" w:before="40"/>
        <w:ind w:right="0"/>
        <w:jc w:val="left"/>
        <w:rPr>
          <w:b w:val="0"/>
          <w:bCs w:val="0"/>
        </w:rPr>
      </w:pPr>
      <w:bookmarkStart w:name="8、现金及现金等价物的确定标准" w:id="176"/>
      <w:bookmarkEnd w:id="176"/>
      <w:r>
        <w:rPr>
          <w:b w:val="0"/>
          <w:bCs w:val="0"/>
        </w:rPr>
      </w:r>
      <w:r>
        <w:rPr>
          <w:rFonts w:ascii="Times New Roman" w:hAnsi="Times New Roman" w:cs="Times New Roman" w:eastAsia="Times New Roman" w:hint="default"/>
        </w:rPr>
        <w:t>8</w:t>
      </w:r>
      <w:r>
        <w:rPr/>
        <w:t>、现金及现金等价物的确定标准</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80"/>
        <w:jc w:val="left"/>
      </w:pPr>
      <w:r>
        <w:rPr/>
        <w:t>在编制现金流量表时，将本公司库存现金以及可以随时用于支付的存款确认为现金。将同时具备期限短（从购买日起</w:t>
      </w:r>
      <w:r>
        <w:rPr>
          <w:spacing w:val="1"/>
        </w:rPr>
        <w:t> </w:t>
      </w:r>
      <w:r>
        <w:rPr/>
        <w:t>三个月内到期）、流动性强、易于转换为已知现金、价值变动风险很小四个条件的投资，确定为现金等价物。</w:t>
      </w:r>
    </w:p>
    <w:p>
      <w:pPr>
        <w:spacing w:after="0" w:line="316" w:lineRule="auto"/>
        <w:jc w:val="left"/>
        <w:sectPr>
          <w:pgSz w:w="11910" w:h="16840"/>
          <w:pgMar w:header="877" w:footer="979" w:top="1100" w:bottom="1160" w:left="980" w:right="0"/>
        </w:sectPr>
      </w:pPr>
    </w:p>
    <w:p>
      <w:pPr>
        <w:spacing w:line="240" w:lineRule="auto" w:before="10"/>
        <w:rPr>
          <w:rFonts w:ascii="宋体" w:hAnsi="宋体" w:cs="宋体" w:eastAsia="宋体" w:hint="default"/>
          <w:sz w:val="20"/>
          <w:szCs w:val="20"/>
        </w:rPr>
      </w:pPr>
    </w:p>
    <w:p>
      <w:pPr>
        <w:pStyle w:val="Heading4"/>
        <w:spacing w:line="240" w:lineRule="auto" w:before="35"/>
        <w:ind w:right="0"/>
        <w:jc w:val="left"/>
        <w:rPr>
          <w:b w:val="0"/>
          <w:bCs w:val="0"/>
        </w:rPr>
      </w:pPr>
      <w:bookmarkStart w:name="9、外币业务和外币报表折算" w:id="177"/>
      <w:bookmarkEnd w:id="177"/>
      <w:r>
        <w:rPr>
          <w:b w:val="0"/>
          <w:bCs w:val="0"/>
        </w:rPr>
      </w:r>
      <w:r>
        <w:rPr>
          <w:rFonts w:ascii="Times New Roman" w:hAnsi="Times New Roman" w:cs="Times New Roman" w:eastAsia="Times New Roman"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left="534" w:right="3892"/>
        <w:jc w:val="left"/>
      </w:pPr>
      <w:r>
        <w:rPr>
          <w:rFonts w:ascii="Times New Roman" w:hAnsi="Times New Roman" w:cs="Times New Roman" w:eastAsia="Times New Roman" w:hint="default"/>
        </w:rPr>
        <w:t>1</w:t>
      </w:r>
      <w:r>
        <w:rPr/>
        <w:t>、外币业务 外币业务采用交易发生日的即期汇率作为折算汇率将外币金额折合成人民币记账。</w:t>
      </w:r>
    </w:p>
    <w:p>
      <w:pPr>
        <w:pStyle w:val="BodyText"/>
        <w:spacing w:line="316" w:lineRule="auto" w:before="32"/>
        <w:ind w:right="0" w:firstLine="380"/>
        <w:jc w:val="left"/>
      </w:pPr>
      <w:r>
        <w:rPr/>
        <w:t>资产负债表日外币货币性项目余额按资产负债表日即期汇率折算，由此产生的汇兑差额，除属于与购建符合资本化条</w:t>
      </w:r>
      <w:r>
        <w:rPr>
          <w:spacing w:val="1"/>
        </w:rPr>
        <w:t> </w:t>
      </w:r>
      <w:r>
        <w:rPr/>
        <w:t>件的资产相关的外币专门借款产生的汇兑差额按照借款费用资本化的原则处理外，均计入当期损益。</w:t>
      </w:r>
    </w:p>
    <w:p>
      <w:pPr>
        <w:spacing w:line="240" w:lineRule="auto" w:before="4"/>
        <w:rPr>
          <w:rFonts w:ascii="宋体" w:hAnsi="宋体" w:cs="宋体" w:eastAsia="宋体" w:hint="default"/>
          <w:sz w:val="25"/>
          <w:szCs w:val="25"/>
        </w:rPr>
      </w:pPr>
    </w:p>
    <w:p>
      <w:pPr>
        <w:pStyle w:val="BodyText"/>
        <w:spacing w:line="300" w:lineRule="auto"/>
        <w:ind w:left="534" w:right="0"/>
        <w:jc w:val="left"/>
      </w:pPr>
      <w:r>
        <w:rPr>
          <w:rFonts w:ascii="Times New Roman" w:hAnsi="Times New Roman" w:cs="Times New Roman" w:eastAsia="Times New Roman" w:hint="default"/>
        </w:rPr>
        <w:t>2</w:t>
      </w:r>
      <w:r>
        <w:rPr/>
        <w:t>、外币财务报表的折算 </w:t>
      </w:r>
      <w:r>
        <w:rPr>
          <w:spacing w:val="-2"/>
        </w:rPr>
        <w:t>资产负债表中的资产和负债项目，采用资产负债表日的即期汇率折算；所有者权益项目除</w:t>
      </w:r>
      <w:r>
        <w:rPr>
          <w:rFonts w:ascii="Times New Roman" w:hAnsi="Times New Roman" w:cs="Times New Roman" w:eastAsia="Times New Roman" w:hint="default"/>
          <w:spacing w:val="-2"/>
        </w:rPr>
        <w:t>“</w:t>
      </w:r>
      <w:r>
        <w:rPr>
          <w:spacing w:val="-2"/>
        </w:rPr>
        <w:t>未分配利润</w:t>
      </w:r>
      <w:r>
        <w:rPr>
          <w:rFonts w:ascii="Times New Roman" w:hAnsi="Times New Roman" w:cs="Times New Roman" w:eastAsia="Times New Roman" w:hint="default"/>
          <w:spacing w:val="-2"/>
        </w:rPr>
        <w:t>”</w:t>
      </w:r>
      <w:r>
        <w:rPr>
          <w:spacing w:val="-2"/>
        </w:rPr>
        <w:t>项目外，其他项</w:t>
      </w:r>
    </w:p>
    <w:p>
      <w:pPr>
        <w:pStyle w:val="BodyText"/>
        <w:spacing w:line="240" w:lineRule="auto" w:before="13"/>
        <w:ind w:right="0"/>
        <w:jc w:val="left"/>
      </w:pPr>
      <w:r>
        <w:rPr/>
        <w:t>目采用发生时的即期汇率折算。利润表中的收入和费用项目，采用交易发生日的即期汇率折算。</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10、金融工具" w:id="178"/>
      <w:bookmarkEnd w:id="178"/>
      <w:r>
        <w:rPr>
          <w:b w:val="0"/>
          <w:bCs w:val="0"/>
        </w:rPr>
      </w:r>
      <w:r>
        <w:rPr>
          <w:rFonts w:ascii="Times New Roman" w:hAnsi="Times New Roman" w:cs="Times New Roman" w:eastAsia="Times New Roman"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27" w:right="0"/>
        <w:jc w:val="left"/>
      </w:pPr>
      <w:r>
        <w:rPr/>
        <w:t>金融工具包括金融资产、金融负债和权益工具。</w:t>
      </w:r>
    </w:p>
    <w:p>
      <w:pPr>
        <w:spacing w:line="240" w:lineRule="auto" w:before="0"/>
        <w:rPr>
          <w:rFonts w:ascii="宋体" w:hAnsi="宋体" w:cs="宋体" w:eastAsia="宋体" w:hint="default"/>
          <w:sz w:val="18"/>
          <w:szCs w:val="18"/>
        </w:rPr>
      </w:pPr>
    </w:p>
    <w:p>
      <w:pPr>
        <w:pStyle w:val="BodyText"/>
        <w:spacing w:line="300" w:lineRule="auto" w:before="153"/>
        <w:ind w:left="534" w:right="0"/>
        <w:jc w:val="left"/>
      </w:pPr>
      <w:r>
        <w:rPr>
          <w:rFonts w:ascii="Times New Roman" w:hAnsi="Times New Roman" w:cs="Times New Roman" w:eastAsia="Times New Roman" w:hint="default"/>
        </w:rPr>
        <w:t>1</w:t>
      </w:r>
      <w:r>
        <w:rPr/>
        <w:t>、金融工具的分类 金融资产和金融负债于初始确认时分类为：以公允价值计量且其变动计入当期损益的金融资产或金融负债，包括交易</w:t>
      </w:r>
    </w:p>
    <w:p>
      <w:pPr>
        <w:pStyle w:val="BodyText"/>
        <w:spacing w:line="316" w:lineRule="auto" w:before="31"/>
        <w:ind w:right="0"/>
        <w:jc w:val="left"/>
      </w:pPr>
      <w:r>
        <w:rPr>
          <w:spacing w:val="-2"/>
        </w:rPr>
        <w:t>性金融资产或金融负债和直接指定为以公允价值计量且其变动计入当期损益的金融资产或金融负债；持有至到期投资；应收</w:t>
      </w:r>
      <w:r>
        <w:rPr>
          <w:spacing w:val="-64"/>
        </w:rPr>
        <w:t> </w:t>
      </w:r>
      <w:r>
        <w:rPr>
          <w:spacing w:val="-64"/>
        </w:rPr>
      </w:r>
      <w:r>
        <w:rPr/>
        <w:t>款项；可供出售金融资产；其他金融负债等。</w:t>
      </w:r>
    </w:p>
    <w:p>
      <w:pPr>
        <w:spacing w:line="240" w:lineRule="auto" w:before="4"/>
        <w:rPr>
          <w:rFonts w:ascii="宋体" w:hAnsi="宋体" w:cs="宋体" w:eastAsia="宋体" w:hint="default"/>
          <w:sz w:val="25"/>
          <w:szCs w:val="25"/>
        </w:rPr>
      </w:pPr>
    </w:p>
    <w:p>
      <w:pPr>
        <w:pStyle w:val="BodyText"/>
        <w:spacing w:line="240" w:lineRule="auto"/>
        <w:ind w:left="534" w:right="0"/>
        <w:jc w:val="left"/>
      </w:pPr>
      <w:r>
        <w:rPr>
          <w:rFonts w:ascii="Times New Roman" w:hAnsi="Times New Roman" w:cs="Times New Roman" w:eastAsia="Times New Roman" w:hint="default"/>
        </w:rPr>
        <w:t>2</w:t>
      </w:r>
      <w:r>
        <w:rPr/>
        <w:t>、金融工具的确认依据和计量方法</w:t>
      </w:r>
    </w:p>
    <w:p>
      <w:pPr>
        <w:pStyle w:val="BodyText"/>
        <w:spacing w:line="300" w:lineRule="auto" w:before="63"/>
        <w:ind w:left="534" w:right="0" w:hanging="74"/>
        <w:jc w:val="left"/>
      </w:pPr>
      <w:r>
        <w:rPr/>
        <w:t>（</w:t>
      </w:r>
      <w:r>
        <w:rPr>
          <w:rFonts w:ascii="Times New Roman" w:hAnsi="Times New Roman" w:cs="Times New Roman" w:eastAsia="Times New Roman" w:hint="default"/>
        </w:rPr>
        <w:t>1</w:t>
      </w:r>
      <w:r>
        <w:rPr/>
        <w:t>）以公允价值计量且其变动计入当期损益的金融资产（金融负债） 取得时以公允价值（扣除已宣告但尚未发放的现金股利或已到付息期但尚未领取的债券利息）作为初始确认金额，相</w:t>
      </w:r>
    </w:p>
    <w:p>
      <w:pPr>
        <w:pStyle w:val="BodyText"/>
        <w:spacing w:line="316" w:lineRule="auto" w:before="31"/>
        <w:ind w:left="534" w:right="2812" w:hanging="381"/>
        <w:jc w:val="left"/>
      </w:pPr>
      <w:r>
        <w:rPr/>
        <w:t>关的交易费用计入当期损益。 持有期间将取得的利息或现金股利确认为投资收益，期末将公允价值变动计入当期损益。 处置时，其公允价值与初始入账金额之间的差额确认为投资收益，同时调整公允价值变动损益。</w:t>
      </w:r>
    </w:p>
    <w:p>
      <w:pPr>
        <w:pStyle w:val="BodyText"/>
        <w:spacing w:line="309" w:lineRule="auto" w:before="19"/>
        <w:ind w:left="534" w:right="1118" w:hanging="74"/>
        <w:jc w:val="left"/>
      </w:pPr>
      <w:r>
        <w:rPr/>
        <w:t>（</w:t>
      </w:r>
      <w:r>
        <w:rPr>
          <w:rFonts w:ascii="Times New Roman" w:hAnsi="Times New Roman" w:cs="Times New Roman" w:eastAsia="Times New Roman" w:hint="default"/>
        </w:rPr>
        <w:t>2</w:t>
      </w:r>
      <w:r>
        <w:rPr/>
        <w:t>）持有至到期投资 取得时按公允价值（扣除已到付息期但尚未领取的债券利息）和相关交易费用之和作为初始确认金额。 持有期间按照摊余成本和实际利率计算确认利息收入，计入投资收益。实际利率在取得时确定，在该预期存续期间或</w:t>
      </w:r>
    </w:p>
    <w:p>
      <w:pPr>
        <w:pStyle w:val="BodyText"/>
        <w:spacing w:line="316" w:lineRule="auto" w:before="24"/>
        <w:ind w:left="534" w:right="4972" w:hanging="381"/>
        <w:jc w:val="left"/>
      </w:pPr>
      <w:r>
        <w:rPr/>
        <w:t>适用的更短期间内保持不变。 处置时，将所取得价款与该投资账面价值之间的差额计入投资收益。</w:t>
      </w:r>
    </w:p>
    <w:p>
      <w:pPr>
        <w:pStyle w:val="BodyText"/>
        <w:spacing w:line="300" w:lineRule="auto" w:before="19"/>
        <w:ind w:left="534" w:right="1118" w:hanging="74"/>
        <w:jc w:val="left"/>
      </w:pPr>
      <w:r>
        <w:rPr/>
        <w:t>（</w:t>
      </w:r>
      <w:r>
        <w:rPr>
          <w:rFonts w:ascii="Times New Roman" w:hAnsi="Times New Roman" w:cs="Times New Roman" w:eastAsia="Times New Roman" w:hint="default"/>
        </w:rPr>
        <w:t>3</w:t>
      </w:r>
      <w:r>
        <w:rPr/>
        <w:t>）应收款项 公司对外销售商品或提供劳务形成的应收债权，以及公司持有的其他企业的不包括在活跃市场上有报价的债务工具的</w:t>
      </w:r>
    </w:p>
    <w:p>
      <w:pPr>
        <w:pStyle w:val="BodyText"/>
        <w:spacing w:line="316" w:lineRule="auto" w:before="31"/>
        <w:ind w:right="1118"/>
        <w:jc w:val="left"/>
      </w:pPr>
      <w:r>
        <w:rPr>
          <w:spacing w:val="-2"/>
        </w:rPr>
        <w:t>债权，包括应收账款、其他应收款等，以向购货方应收的合同或协议价款作为初始确认金额；具有融资性质的，按其现值进</w:t>
      </w:r>
      <w:r>
        <w:rPr>
          <w:spacing w:val="-66"/>
        </w:rPr>
        <w:t> </w:t>
      </w:r>
      <w:r>
        <w:rPr>
          <w:spacing w:val="-66"/>
        </w:rPr>
      </w:r>
      <w:r>
        <w:rPr/>
        <w:t>行初始确认。</w:t>
      </w:r>
    </w:p>
    <w:p>
      <w:pPr>
        <w:pStyle w:val="BodyText"/>
        <w:spacing w:line="240" w:lineRule="auto" w:before="19"/>
        <w:ind w:left="534" w:right="0"/>
        <w:jc w:val="left"/>
      </w:pPr>
      <w:r>
        <w:rPr/>
        <w:t>收回或处置时，将取得的价款与该应收款项账面价值之间的差额计入当期损益。</w:t>
      </w:r>
    </w:p>
    <w:p>
      <w:pPr>
        <w:pStyle w:val="BodyText"/>
        <w:spacing w:line="300" w:lineRule="auto" w:before="76"/>
        <w:ind w:left="534" w:right="0" w:hanging="74"/>
        <w:jc w:val="left"/>
      </w:pPr>
      <w:r>
        <w:rPr/>
        <w:t>（</w:t>
      </w:r>
      <w:r>
        <w:rPr>
          <w:rFonts w:ascii="Times New Roman" w:hAnsi="Times New Roman" w:cs="Times New Roman" w:eastAsia="Times New Roman" w:hint="default"/>
        </w:rPr>
        <w:t>4</w:t>
      </w:r>
      <w:r>
        <w:rPr/>
        <w:t>）可供出售金融资产 取得时按公允价值（扣除已宣告但尚未发放的现金股利或已到付息期但尚未领取的债券利息）和相关交易费用之和作</w:t>
      </w:r>
    </w:p>
    <w:p>
      <w:pPr>
        <w:pStyle w:val="BodyText"/>
        <w:spacing w:line="316" w:lineRule="auto" w:before="31"/>
        <w:ind w:left="534" w:right="1032" w:hanging="381"/>
        <w:jc w:val="left"/>
      </w:pPr>
      <w:r>
        <w:rPr/>
        <w:t>为初始确认金额。 </w:t>
      </w:r>
      <w:r>
        <w:rPr>
          <w:spacing w:val="-1"/>
        </w:rPr>
        <w:t>持有期间将取得的利息或现金股利确认为投资收益。期末以公允价值计量且将公允价值变动计入其他综合收益。但是，</w:t>
      </w:r>
    </w:p>
    <w:p>
      <w:pPr>
        <w:pStyle w:val="BodyText"/>
        <w:spacing w:line="316" w:lineRule="auto" w:before="19"/>
        <w:ind w:right="0"/>
        <w:jc w:val="left"/>
      </w:pPr>
      <w:r>
        <w:rPr>
          <w:spacing w:val="-2"/>
        </w:rPr>
        <w:t>在活跃市场中没有报价且其公允价值不能可靠计量的权益工具投资，以及与该权益工具挂钩并须通过交付该权益工具结算的</w:t>
      </w:r>
      <w:r>
        <w:rPr>
          <w:spacing w:val="-64"/>
        </w:rPr>
        <w:t> </w:t>
      </w:r>
      <w:r>
        <w:rPr>
          <w:spacing w:val="-64"/>
        </w:rPr>
      </w:r>
      <w:r>
        <w:rPr/>
        <w:t>衍生金融资产，按照成本计量。</w:t>
      </w:r>
    </w:p>
    <w:p>
      <w:pPr>
        <w:pStyle w:val="BodyText"/>
        <w:spacing w:line="316" w:lineRule="auto" w:before="19"/>
        <w:ind w:right="0" w:firstLine="380"/>
        <w:jc w:val="left"/>
      </w:pPr>
      <w:r>
        <w:rPr/>
        <w:t>处置时，将取得的价款与该金融资产账面价值之间的差额，计入投资损益；同时，将原直接计入其他综合收益的公允 价值变动累计额对应处置部分的金额转出，计入当期损益。</w:t>
      </w:r>
    </w:p>
    <w:p>
      <w:pPr>
        <w:spacing w:after="0" w:line="316"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300" w:lineRule="auto" w:before="44"/>
        <w:ind w:left="534" w:right="3712" w:hanging="74"/>
        <w:jc w:val="left"/>
      </w:pPr>
      <w:r>
        <w:rPr/>
        <w:t>（</w:t>
      </w:r>
      <w:r>
        <w:rPr>
          <w:rFonts w:ascii="Times New Roman" w:hAnsi="Times New Roman" w:cs="Times New Roman" w:eastAsia="Times New Roman" w:hint="default"/>
        </w:rPr>
        <w:t>5</w:t>
      </w:r>
      <w:r>
        <w:rPr/>
        <w:t>）其他金融负债 按其公允价值和相关交易费用之和作为初始确认金额。采用摊余成本进行后续计量。</w:t>
      </w:r>
    </w:p>
    <w:p>
      <w:pPr>
        <w:spacing w:line="240" w:lineRule="auto" w:before="3"/>
        <w:rPr>
          <w:rFonts w:ascii="宋体" w:hAnsi="宋体" w:cs="宋体" w:eastAsia="宋体" w:hint="default"/>
          <w:sz w:val="26"/>
          <w:szCs w:val="26"/>
        </w:rPr>
      </w:pPr>
    </w:p>
    <w:p>
      <w:pPr>
        <w:pStyle w:val="BodyText"/>
        <w:spacing w:line="300" w:lineRule="auto"/>
        <w:ind w:left="534" w:right="0"/>
        <w:jc w:val="left"/>
      </w:pPr>
      <w:r>
        <w:rPr>
          <w:rFonts w:ascii="Times New Roman" w:hAnsi="Times New Roman" w:cs="Times New Roman" w:eastAsia="Times New Roman" w:hint="default"/>
        </w:rPr>
        <w:t>3</w:t>
      </w:r>
      <w:r>
        <w:rPr/>
        <w:t>、金融资产转移的确认依据和计量方法 公司发生金融资产转移时，如已将金融资产所有权上几乎所有的风险和报酬转移给转入方，则终止确认该金融资产；</w:t>
      </w:r>
    </w:p>
    <w:p>
      <w:pPr>
        <w:pStyle w:val="BodyText"/>
        <w:spacing w:line="316" w:lineRule="auto" w:before="31"/>
        <w:ind w:left="534" w:right="0" w:hanging="381"/>
        <w:jc w:val="left"/>
      </w:pPr>
      <w:r>
        <w:rPr/>
        <w:t>如保留了金融资产所有权上几乎所有的风险和报酬的，则不终止确认该金融资产。 在判断金融资产转移是否满足上述金融资产终止确认条件时，采用实质重于形式的原则。公司将金融资产转移区分为</w:t>
      </w:r>
    </w:p>
    <w:p>
      <w:pPr>
        <w:pStyle w:val="BodyText"/>
        <w:spacing w:line="240" w:lineRule="auto" w:before="19"/>
        <w:ind w:right="0"/>
        <w:jc w:val="left"/>
      </w:pPr>
      <w:r>
        <w:rPr/>
        <w:t>金融资产整体转移和部分转移。金融资产整体转移满足终止确认条件的，将下列两项金额的差额计入当期损益：</w:t>
      </w:r>
    </w:p>
    <w:p>
      <w:pPr>
        <w:pStyle w:val="BodyText"/>
        <w:spacing w:line="240" w:lineRule="auto" w:before="76"/>
        <w:ind w:left="461" w:right="0"/>
        <w:jc w:val="left"/>
      </w:pPr>
      <w:r>
        <w:rPr/>
        <w:t>（</w:t>
      </w:r>
      <w:r>
        <w:rPr>
          <w:rFonts w:ascii="Times New Roman" w:hAnsi="Times New Roman" w:cs="Times New Roman" w:eastAsia="Times New Roman" w:hint="default"/>
        </w:rPr>
        <w:t>1</w:t>
      </w:r>
      <w:r>
        <w:rPr/>
        <w:t>）所转移金融资产的账面价值；</w:t>
      </w:r>
    </w:p>
    <w:p>
      <w:pPr>
        <w:pStyle w:val="BodyText"/>
        <w:spacing w:line="240" w:lineRule="auto" w:before="63"/>
        <w:ind w:left="454" w:right="0"/>
        <w:jc w:val="left"/>
      </w:pPr>
      <w:r>
        <w:rPr/>
        <w:t>（</w:t>
      </w:r>
      <w:r>
        <w:rPr>
          <w:rFonts w:ascii="Times New Roman" w:hAnsi="Times New Roman" w:cs="Times New Roman" w:eastAsia="Times New Roman" w:hint="default"/>
        </w:rPr>
        <w:t>2</w:t>
      </w:r>
      <w:r>
        <w:rPr/>
        <w:t>）因转移而收到的对价，与原直接计入所有者权益的公允价值变动累计额之和。</w:t>
      </w:r>
    </w:p>
    <w:p>
      <w:pPr>
        <w:spacing w:line="240" w:lineRule="auto" w:before="0"/>
        <w:rPr>
          <w:rFonts w:ascii="宋体" w:hAnsi="宋体" w:cs="宋体" w:eastAsia="宋体" w:hint="default"/>
          <w:sz w:val="18"/>
          <w:szCs w:val="18"/>
        </w:rPr>
      </w:pPr>
    </w:p>
    <w:p>
      <w:pPr>
        <w:pStyle w:val="BodyText"/>
        <w:spacing w:line="316" w:lineRule="auto" w:before="139"/>
        <w:ind w:right="1032" w:firstLine="360"/>
        <w:jc w:val="left"/>
      </w:pPr>
      <w:r>
        <w:rPr/>
        <w:t>金融资产部分转移满足终止确认条件的，将所转移金融资产整体的账面价值，在终止确认部分和未终止确认部分之间， 按照各自的相对公允价值进行分摊，并将下列两项金额的差额计入当期损益：</w:t>
      </w:r>
    </w:p>
    <w:p>
      <w:pPr>
        <w:pStyle w:val="BodyText"/>
        <w:spacing w:line="240" w:lineRule="auto" w:before="19"/>
        <w:ind w:left="514" w:right="0"/>
        <w:jc w:val="left"/>
      </w:pPr>
      <w:r>
        <w:rPr/>
        <w:t>（</w:t>
      </w:r>
      <w:r>
        <w:rPr>
          <w:rFonts w:ascii="Times New Roman" w:hAnsi="Times New Roman" w:cs="Times New Roman" w:eastAsia="Times New Roman" w:hint="default"/>
        </w:rPr>
        <w:t>1</w:t>
      </w:r>
      <w:r>
        <w:rPr/>
        <w:t>）终止确认部分的账面价值；</w:t>
      </w:r>
    </w:p>
    <w:p>
      <w:pPr>
        <w:pStyle w:val="BodyText"/>
        <w:spacing w:line="300" w:lineRule="auto" w:before="63"/>
        <w:ind w:right="1122" w:firstLine="36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）终止确认部分的对价，与原直接计入所有者权益的公允价值变动累计额中对应终止确认部分的金额（涉及转移的 金融资产为可供出售金融资产的情形）之和。</w:t>
      </w:r>
    </w:p>
    <w:p>
      <w:pPr>
        <w:pStyle w:val="BodyText"/>
        <w:spacing w:line="240" w:lineRule="auto" w:before="31"/>
        <w:ind w:left="514" w:right="0"/>
        <w:jc w:val="left"/>
      </w:pPr>
      <w:r>
        <w:rPr/>
        <w:t>金融资产转移不满足终止确认条件的，继续确认该金融资产，所收到的对价确认为一项金融负债。</w:t>
      </w:r>
    </w:p>
    <w:p>
      <w:pPr>
        <w:spacing w:line="240" w:lineRule="auto" w:before="0"/>
        <w:rPr>
          <w:rFonts w:ascii="宋体" w:hAnsi="宋体" w:cs="宋体" w:eastAsia="宋体" w:hint="default"/>
          <w:sz w:val="18"/>
          <w:szCs w:val="18"/>
        </w:rPr>
      </w:pPr>
    </w:p>
    <w:p>
      <w:pPr>
        <w:pStyle w:val="BodyText"/>
        <w:spacing w:line="300" w:lineRule="auto" w:before="153"/>
        <w:ind w:left="534" w:right="0" w:firstLine="16"/>
        <w:jc w:val="left"/>
      </w:pPr>
      <w:r>
        <w:rPr>
          <w:rFonts w:ascii="Times New Roman" w:hAnsi="Times New Roman" w:cs="Times New Roman" w:eastAsia="Times New Roman" w:hint="default"/>
        </w:rPr>
        <w:t>4</w:t>
      </w:r>
      <w:r>
        <w:rPr/>
        <w:t>、金融负债终止确认条件 金融负债的现时义务全部或部分已经解除的，则终止确认该金融负债或其一部分；本公司若与债权人签定协议，以承</w:t>
      </w:r>
    </w:p>
    <w:p>
      <w:pPr>
        <w:pStyle w:val="BodyText"/>
        <w:spacing w:line="316" w:lineRule="auto" w:before="31"/>
        <w:ind w:right="1050"/>
        <w:jc w:val="both"/>
      </w:pPr>
      <w:r>
        <w:rPr/>
        <w:t>担新金融负债方式替换现存金融负债，且新金融负债与现存金融负债的合同条款实质上不同的，则终止确认现存金融负债， 并同时确认新金融负债。</w:t>
      </w:r>
    </w:p>
    <w:p>
      <w:pPr>
        <w:pStyle w:val="BodyText"/>
        <w:spacing w:line="316" w:lineRule="auto" w:before="19"/>
        <w:ind w:right="0" w:firstLine="360"/>
        <w:jc w:val="left"/>
      </w:pPr>
      <w:r>
        <w:rPr>
          <w:spacing w:val="-2"/>
        </w:rPr>
        <w:t>对现存金融负债全部或部分合同条款作出实质性修改的，则终止确认现存金融负债或其一部分，同时将修改条款后的金</w:t>
      </w:r>
      <w:r>
        <w:rPr/>
        <w:t> 融负债确认为一项新金融负债。</w:t>
      </w:r>
    </w:p>
    <w:p>
      <w:pPr>
        <w:pStyle w:val="BodyText"/>
        <w:spacing w:line="316" w:lineRule="auto" w:before="19"/>
        <w:ind w:right="0" w:firstLine="360"/>
        <w:jc w:val="left"/>
      </w:pPr>
      <w:r>
        <w:rPr>
          <w:spacing w:val="-2"/>
        </w:rPr>
        <w:t>金融负债全部或部分终止确认时，终止确认的金融负债账面价值与支付对价（包括转出的非现金资产或承担的新金融负</w:t>
      </w:r>
      <w:r>
        <w:rPr/>
        <w:t> 债）之间的差额，计入当期损益。</w:t>
      </w:r>
    </w:p>
    <w:p>
      <w:pPr>
        <w:pStyle w:val="BodyText"/>
        <w:spacing w:line="316" w:lineRule="auto" w:before="19"/>
        <w:ind w:right="1032" w:firstLine="360"/>
        <w:jc w:val="left"/>
      </w:pPr>
      <w:r>
        <w:rPr>
          <w:spacing w:val="-2"/>
        </w:rPr>
        <w:t>本公司若回购部分金融负债的，在回购日按照继续确认部分与终止确认部分的相对公允价值，将该金融负债整体的账面</w:t>
      </w:r>
      <w:r>
        <w:rPr/>
        <w:t> 价值进行分配。分配给终止确认部分的账面价值与支付的对价（包括转出的非现金资产或承担的新金融负债）之间的差额， 计入当期损益。</w:t>
      </w:r>
    </w:p>
    <w:p>
      <w:pPr>
        <w:spacing w:line="240" w:lineRule="auto" w:before="4"/>
        <w:rPr>
          <w:rFonts w:ascii="宋体" w:hAnsi="宋体" w:cs="宋体" w:eastAsia="宋体" w:hint="default"/>
          <w:sz w:val="25"/>
          <w:szCs w:val="25"/>
        </w:rPr>
      </w:pPr>
    </w:p>
    <w:p>
      <w:pPr>
        <w:pStyle w:val="BodyText"/>
        <w:spacing w:line="300" w:lineRule="auto"/>
        <w:ind w:left="534" w:right="0"/>
        <w:jc w:val="left"/>
      </w:pPr>
      <w:r>
        <w:rPr>
          <w:rFonts w:ascii="Times New Roman" w:hAnsi="Times New Roman" w:cs="Times New Roman" w:eastAsia="Times New Roman" w:hint="default"/>
        </w:rPr>
        <w:t>5</w:t>
      </w:r>
      <w:r>
        <w:rPr/>
        <w:t>、金融资产和金融负债的公允价值的确定方法 存在活跃市场的金融工具，以活跃市场中的报价确定其公允价值。不存在活跃市场的金融工具，采用估值技术确定其</w:t>
      </w:r>
    </w:p>
    <w:p>
      <w:pPr>
        <w:pStyle w:val="BodyText"/>
        <w:spacing w:line="316" w:lineRule="auto" w:before="31"/>
        <w:ind w:right="1133"/>
        <w:jc w:val="both"/>
      </w:pPr>
      <w:r>
        <w:rPr>
          <w:spacing w:val="-2"/>
        </w:rPr>
        <w:t>公允价值。在估值时，本公司采用在当前情况下适用并且有足够可利用数据和其他信息支持的估值技术，选择与市场参与者</w:t>
      </w:r>
      <w:r>
        <w:rPr>
          <w:spacing w:val="-66"/>
        </w:rPr>
        <w:t> </w:t>
      </w:r>
      <w:r>
        <w:rPr>
          <w:spacing w:val="-66"/>
        </w:rPr>
      </w:r>
      <w:r>
        <w:rPr/>
        <w:t>在相关资产或负债的交易中所考虑的资产或负债特征相一致的输入值，并优先使用相关可观察输入值。</w:t>
      </w:r>
      <w:r>
        <w:rPr>
          <w:spacing w:val="3"/>
        </w:rPr>
        <w:t> </w:t>
      </w:r>
      <w:r>
        <w:rPr/>
        <w:t>只有在相关可观察</w:t>
      </w:r>
      <w:r>
        <w:rPr/>
        <w:t> 输入值无法取得或取得不切实可行的情况下，才使用不可观察输入值。</w:t>
      </w:r>
    </w:p>
    <w:p>
      <w:pPr>
        <w:spacing w:line="240" w:lineRule="auto" w:before="4"/>
        <w:rPr>
          <w:rFonts w:ascii="宋体" w:hAnsi="宋体" w:cs="宋体" w:eastAsia="宋体" w:hint="default"/>
          <w:sz w:val="25"/>
          <w:szCs w:val="25"/>
        </w:rPr>
      </w:pPr>
    </w:p>
    <w:p>
      <w:pPr>
        <w:pStyle w:val="BodyText"/>
        <w:spacing w:line="300" w:lineRule="auto"/>
        <w:ind w:left="534" w:right="0"/>
        <w:jc w:val="left"/>
      </w:pPr>
      <w:r>
        <w:rPr>
          <w:rFonts w:ascii="Times New Roman" w:hAnsi="Times New Roman" w:cs="Times New Roman" w:eastAsia="Times New Roman" w:hint="default"/>
        </w:rPr>
        <w:t>6</w:t>
      </w:r>
      <w:r>
        <w:rPr/>
        <w:t>、</w:t>
      </w:r>
      <w:r>
        <w:rPr>
          <w:spacing w:val="-19"/>
        </w:rPr>
        <w:t> </w:t>
      </w:r>
      <w:r>
        <w:rPr/>
        <w:t>金融资产（不含应收款项）减值的测试方法及会计处理方法</w:t>
      </w:r>
      <w:r>
        <w:rPr/>
        <w:t> 除以公允价值计量且其变动计入当期损益的金融资产外，本公司于资产负债表日对金融资产的账面价值进行检查，如</w:t>
      </w:r>
    </w:p>
    <w:p>
      <w:pPr>
        <w:pStyle w:val="BodyText"/>
        <w:spacing w:line="240" w:lineRule="auto" w:before="31"/>
        <w:ind w:right="0"/>
        <w:jc w:val="left"/>
      </w:pPr>
      <w:r>
        <w:rPr/>
        <w:t>果有客观证据表明某项金融资产发生减值的，计提减值准备。</w:t>
      </w:r>
    </w:p>
    <w:p>
      <w:pPr>
        <w:pStyle w:val="BodyText"/>
        <w:spacing w:line="300" w:lineRule="auto" w:before="76"/>
        <w:ind w:left="551" w:right="0" w:hanging="194"/>
        <w:jc w:val="left"/>
      </w:pPr>
      <w:r>
        <w:rPr/>
        <w:t>（</w:t>
      </w:r>
      <w:r>
        <w:rPr>
          <w:rFonts w:ascii="Times New Roman" w:hAnsi="Times New Roman" w:cs="Times New Roman" w:eastAsia="Times New Roman" w:hint="default"/>
        </w:rPr>
        <w:t>1</w:t>
      </w:r>
      <w:r>
        <w:rPr/>
        <w:t>）可供出售金融资产的减值准备： 期末如果可供出售金融资产的公允价值发生严重下降，或在综合考虑各种相关因素后，预期这种下降趋势属于非暂时</w:t>
      </w:r>
    </w:p>
    <w:p>
      <w:pPr>
        <w:pStyle w:val="BodyText"/>
        <w:spacing w:line="316" w:lineRule="auto" w:before="31"/>
        <w:ind w:left="551" w:right="0" w:hanging="398"/>
        <w:jc w:val="left"/>
      </w:pPr>
      <w:r>
        <w:rPr/>
        <w:t>性的，就认定其已发生减值，将原直接计入所有者权益的公允价值下降形成的累计损失一并转出，确认减值损失。 对于已确认减值损失的可供出售债务工具，在随后的会计期间公允价值已上升且客观上与确认原减值损失确认后发生</w:t>
      </w:r>
    </w:p>
    <w:p>
      <w:pPr>
        <w:pStyle w:val="BodyText"/>
        <w:spacing w:line="240" w:lineRule="auto" w:before="19"/>
        <w:ind w:right="0"/>
        <w:jc w:val="left"/>
      </w:pPr>
      <w:r>
        <w:rPr/>
        <w:t>的事项有关的，原确认的减值损失予以转回，计入当期损益。</w:t>
      </w:r>
    </w:p>
    <w:p>
      <w:pPr>
        <w:spacing w:after="0" w:line="240" w:lineRule="auto"/>
        <w:jc w:val="left"/>
        <w:sectPr>
          <w:pgSz w:w="11910" w:h="16840"/>
          <w:pgMar w:header="877" w:footer="979" w:top="1100" w:bottom="1160" w:left="980" w:right="0"/>
        </w:sectPr>
      </w:pPr>
    </w:p>
    <w:p>
      <w:pPr>
        <w:spacing w:line="240" w:lineRule="auto" w:before="12"/>
        <w:rPr>
          <w:rFonts w:ascii="宋体" w:hAnsi="宋体" w:cs="宋体" w:eastAsia="宋体" w:hint="default"/>
          <w:sz w:val="21"/>
          <w:szCs w:val="21"/>
        </w:rPr>
      </w:pPr>
    </w:p>
    <w:p>
      <w:pPr>
        <w:pStyle w:val="BodyText"/>
        <w:spacing w:line="240" w:lineRule="auto" w:before="44"/>
        <w:ind w:left="461" w:right="0"/>
        <w:jc w:val="left"/>
      </w:pPr>
      <w:r>
        <w:rPr/>
        <w:t>可供出售权益工具投资发生的减值损失，不通过损益转回。</w:t>
      </w:r>
    </w:p>
    <w:p>
      <w:pPr>
        <w:pStyle w:val="BodyText"/>
        <w:spacing w:line="300" w:lineRule="auto" w:before="76"/>
        <w:ind w:left="461" w:right="4865" w:hanging="104"/>
        <w:jc w:val="left"/>
      </w:pPr>
      <w:r>
        <w:rPr/>
        <w:t>（</w:t>
      </w:r>
      <w:r>
        <w:rPr>
          <w:rFonts w:ascii="Times New Roman" w:hAnsi="Times New Roman" w:cs="Times New Roman" w:eastAsia="Times New Roman" w:hint="default"/>
        </w:rPr>
        <w:t>2</w:t>
      </w:r>
      <w:r>
        <w:rPr/>
        <w:t>）持有至到期投资的减值准备： 持有至到期投资减值损失的计量比照应收款项减值损失计量方法处理。</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bookmarkStart w:name="11、应收票据及应收账款" w:id="179"/>
      <w:bookmarkEnd w:id="179"/>
      <w:r>
        <w:rPr>
          <w:b w:val="0"/>
          <w:bCs w:val="0"/>
        </w:rPr>
      </w:r>
      <w:r>
        <w:rPr>
          <w:rFonts w:ascii="Times New Roman" w:hAnsi="Times New Roman" w:cs="Times New Roman" w:eastAsia="Times New Roman" w:hint="default"/>
        </w:rPr>
        <w:t>11</w:t>
      </w:r>
      <w:r>
        <w:rPr/>
        <w:t>、应收票据及应收账款</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单项金额重大并单独计提坏账准备的应收款项" w:id="180"/>
      <w:bookmarkEnd w:id="180"/>
      <w:r>
        <w:rPr>
          <w:b w:val="0"/>
          <w:bCs w:val="0"/>
        </w:rPr>
      </w:r>
      <w:r>
        <w:rPr/>
        <w:t>（</w:t>
      </w:r>
      <w:r>
        <w:rPr>
          <w:rFonts w:ascii="Times New Roman" w:hAnsi="Times New Roman" w:cs="Times New Roman" w:eastAsia="Times New Roman" w:hint="default"/>
        </w:rPr>
        <w:t>1</w:t>
      </w:r>
      <w:r>
        <w:rPr/>
        <w:t>）单项金额重大并单独计提坏账准备的应收款项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687"/>
        <w:gridCol w:w="5882"/>
      </w:tblGrid>
      <w:tr>
        <w:trPr>
          <w:trHeight w:val="402"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r>
      <w:tr>
        <w:trPr>
          <w:trHeight w:val="1338"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8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87"/>
              <w:jc w:val="both"/>
              <w:rPr>
                <w:rFonts w:ascii="宋体" w:hAnsi="宋体" w:cs="宋体" w:eastAsia="宋体" w:hint="default"/>
                <w:sz w:val="18"/>
                <w:szCs w:val="18"/>
              </w:rPr>
            </w:pPr>
            <w:r>
              <w:rPr>
                <w:rFonts w:ascii="宋体" w:hAnsi="宋体" w:cs="宋体" w:eastAsia="宋体" w:hint="default"/>
                <w:sz w:val="18"/>
                <w:szCs w:val="18"/>
              </w:rPr>
              <w:t>本公司对单项金额重大的应收款项单独进行减值测试，单独测试未发生减 值的金融资产，包括在具有类似信用风险特征的金融资产组合中进行减值 测试。单项测试已确认减值损失的应收款项，不再包括在具有类似信用风 险特征的应收款项组合中进行减值测试。</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2）按信用风险特征组合计提坏账准备的应收款项" w:id="181"/>
      <w:bookmarkEnd w:id="181"/>
      <w:r>
        <w:rPr>
          <w:b w:val="0"/>
          <w:bCs w:val="0"/>
        </w:rPr>
      </w:r>
      <w:r>
        <w:rPr/>
        <w:t>（</w:t>
      </w:r>
      <w:r>
        <w:rPr>
          <w:rFonts w:ascii="Times New Roman" w:hAnsi="Times New Roman" w:cs="Times New Roman" w:eastAsia="Times New Roman" w:hint="default"/>
        </w:rPr>
        <w:t>2</w:t>
      </w:r>
      <w:r>
        <w:rPr/>
        <w:t>）按信用风险特征组合计提坏账准备的应收款项</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397"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坏账准备计提方法</w:t>
            </w:r>
          </w:p>
        </w:tc>
      </w:tr>
      <w:tr>
        <w:trPr>
          <w:trHeight w:val="407" w:hRule="exact"/>
        </w:trPr>
        <w:tc>
          <w:tcPr>
            <w:tcW w:w="478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组合：普通往来款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6"/>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r>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组合：特殊往来款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其他方法</w:t>
            </w:r>
          </w:p>
        </w:tc>
      </w:tr>
    </w:tbl>
    <w:p>
      <w:pPr>
        <w:pStyle w:val="BodyText"/>
        <w:spacing w:line="240" w:lineRule="auto" w:before="51"/>
        <w:ind w:right="0"/>
        <w:jc w:val="left"/>
      </w:pPr>
      <w:r>
        <w:rPr/>
        <w:t>组合中，采用账龄分析法计提坏账准备的：</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组合中，采用余额百分比法计提坏账准备的：</w:t>
      </w:r>
    </w:p>
    <w:p>
      <w:pPr>
        <w:pStyle w:val="BodyText"/>
        <w:spacing w:line="338" w:lineRule="auto" w:before="117"/>
        <w:ind w:right="75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2"/>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70" w:right="0"/>
              <w:jc w:val="left"/>
              <w:rPr>
                <w:rFonts w:ascii="宋体" w:hAnsi="宋体" w:cs="宋体" w:eastAsia="宋体" w:hint="default"/>
                <w:sz w:val="18"/>
                <w:szCs w:val="18"/>
              </w:rPr>
            </w:pPr>
            <w:r>
              <w:rPr>
                <w:rFonts w:ascii="宋体" w:hAnsi="宋体" w:cs="宋体" w:eastAsia="宋体" w:hint="default"/>
                <w:sz w:val="18"/>
                <w:szCs w:val="18"/>
              </w:rPr>
              <w:t>应收账款计提比例</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特殊往来款</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单项金额不重大但单独计提坏账准备的应收款项" w:id="182"/>
      <w:bookmarkEnd w:id="182"/>
      <w:r>
        <w:rPr>
          <w:b w:val="0"/>
          <w:bCs w:val="0"/>
        </w:rPr>
      </w:r>
      <w:r>
        <w:rPr/>
        <w:t>（</w:t>
      </w:r>
      <w:r>
        <w:rPr>
          <w:rFonts w:ascii="Times New Roman" w:hAnsi="Times New Roman" w:cs="Times New Roman" w:eastAsia="Times New Roman" w:hint="default"/>
        </w:rPr>
        <w:t>3</w:t>
      </w:r>
      <w:r>
        <w:rPr/>
        <w:t>）单项金额不重大但单独计提坏账准备的应收款项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68"/>
        <w:gridCol w:w="7300"/>
      </w:tblGrid>
      <w:tr>
        <w:trPr>
          <w:trHeight w:val="1340"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730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本公司对于单项金额虽不重大但具备以下特征的应收款项，单独进行减值测试，有客观证据 表明其发生了减值的，根据其未来现金流量现值低于其账面价值的差额，确认减值损失，计 提坏账准备；如：与对方存在争议或涉及诉讼、仲裁的应收款项；已有明显迹象表明债务人 很可能无法履行还款义务的应收款项等。</w:t>
            </w:r>
          </w:p>
        </w:tc>
      </w:tr>
    </w:tbl>
    <w:p>
      <w:pPr>
        <w:spacing w:after="0" w:line="319" w:lineRule="auto"/>
        <w:jc w:val="both"/>
        <w:rPr>
          <w:rFonts w:ascii="宋体" w:hAnsi="宋体" w:cs="宋体" w:eastAsia="宋体" w:hint="default"/>
          <w:sz w:val="18"/>
          <w:szCs w:val="18"/>
        </w:rPr>
        <w:sectPr>
          <w:pgSz w:w="11910" w:h="16840"/>
          <w:pgMar w:header="877" w:footer="979" w:top="1100" w:bottom="1160" w:left="980" w:right="0"/>
        </w:sectPr>
      </w:pPr>
    </w:p>
    <w:p>
      <w:pPr>
        <w:spacing w:line="240" w:lineRule="auto" w:before="6"/>
        <w:rPr>
          <w:rFonts w:ascii="宋体" w:hAnsi="宋体" w:cs="宋体" w:eastAsia="宋体" w:hint="default"/>
          <w:b/>
          <w:bCs/>
          <w:sz w:val="3"/>
          <w:szCs w:val="3"/>
        </w:rPr>
      </w:pPr>
    </w:p>
    <w:tbl>
      <w:tblPr>
        <w:tblW w:w="0" w:type="auto"/>
        <w:jc w:val="left"/>
        <w:tblInd w:w="149" w:type="dxa"/>
        <w:tblLayout w:type="fixed"/>
        <w:tblCellMar>
          <w:top w:w="0" w:type="dxa"/>
          <w:left w:w="0" w:type="dxa"/>
          <w:bottom w:w="0" w:type="dxa"/>
          <w:right w:w="0" w:type="dxa"/>
        </w:tblCellMar>
        <w:tblLook w:val="01E0"/>
      </w:tblPr>
      <w:tblGrid>
        <w:gridCol w:w="2268"/>
        <w:gridCol w:w="7300"/>
      </w:tblGrid>
      <w:tr>
        <w:trPr>
          <w:trHeight w:val="332" w:hRule="exact"/>
        </w:trPr>
        <w:tc>
          <w:tcPr>
            <w:tcW w:w="2268" w:type="dxa"/>
            <w:tcBorders>
              <w:top w:val="nil" w:sz="6" w:space="0" w:color="auto"/>
              <w:left w:val="nil" w:sz="6" w:space="0" w:color="auto"/>
              <w:bottom w:val="single" w:sz="4" w:space="0" w:color="000000"/>
              <w:right w:val="nil" w:sz="6" w:space="0" w:color="auto"/>
            </w:tcBorders>
          </w:tcPr>
          <w:p>
            <w:pPr/>
          </w:p>
        </w:tc>
        <w:tc>
          <w:tcPr>
            <w:tcW w:w="7300" w:type="dxa"/>
            <w:tcBorders>
              <w:top w:val="nil" w:sz="6" w:space="0" w:color="auto"/>
              <w:left w:val="nil" w:sz="6" w:space="0" w:color="auto"/>
              <w:bottom w:val="single" w:sz="4" w:space="0" w:color="000000"/>
              <w:right w:val="nil" w:sz="6" w:space="0" w:color="auto"/>
            </w:tcBorders>
          </w:tcPr>
          <w:p>
            <w:pPr/>
          </w:p>
        </w:tc>
      </w:tr>
      <w:tr>
        <w:trPr>
          <w:trHeight w:val="402"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7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按预计未来现金流量现值低于其账面价值的差额计提坏账准备，计入当期损益。</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r>
        <w:rPr/>
        <w:pict>
          <v:group style="position:absolute;margin-left:55.200001pt;margin-top:-49.526318pt;width:485pt;height:.1pt;mso-position-horizontal-relative:page;mso-position-vertical-relative:paragraph;z-index:-970744" coordorigin="1104,-991" coordsize="9700,2">
            <v:shape style="position:absolute;left:1104;top:-991;width:9700;height:2" coordorigin="1104,-991" coordsize="9700,0" path="m1104,-991l10804,-991e" filled="false" stroked="true" strokeweight=".72pt" strokecolor="#000000">
              <v:path arrowok="t"/>
            </v:shape>
            <w10:wrap type="none"/>
          </v:group>
        </w:pict>
      </w:r>
      <w:bookmarkStart w:name="12、存货" w:id="183"/>
      <w:bookmarkEnd w:id="183"/>
      <w:r>
        <w:rPr>
          <w:b w:val="0"/>
          <w:bCs w:val="0"/>
        </w:rPr>
      </w:r>
      <w:r>
        <w:rPr>
          <w:rFonts w:ascii="Times New Roman" w:hAnsi="Times New Roman" w:cs="Times New Roman" w:eastAsia="Times New Roman" w:hint="default"/>
        </w:rPr>
        <w:t>12</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00" w:lineRule="auto" w:before="25"/>
        <w:ind w:left="444" w:right="8482"/>
        <w:jc w:val="left"/>
      </w:pPr>
      <w:r>
        <w:rPr>
          <w:rFonts w:ascii="Times New Roman" w:hAnsi="Times New Roman" w:cs="Times New Roman" w:eastAsia="Times New Roman" w:hint="default"/>
        </w:rPr>
        <w:t>1</w:t>
      </w:r>
      <w:r>
        <w:rPr/>
        <w:t>、存货的分类 存货分类为：项目成本；</w:t>
      </w:r>
    </w:p>
    <w:p>
      <w:pPr>
        <w:pStyle w:val="BodyText"/>
        <w:spacing w:line="316" w:lineRule="auto" w:before="31"/>
        <w:ind w:left="444" w:right="0"/>
        <w:jc w:val="left"/>
      </w:pPr>
      <w:r>
        <w:rPr/>
        <w:t>项目成本按实际成本计量，包括从项目开始至项目完成止所发生的、与执行合同有关的项目直接费用。 </w:t>
      </w:r>
      <w:r>
        <w:rPr>
          <w:spacing w:val="-1"/>
        </w:rPr>
        <w:t>项目成本主要核算项目未完工验收前已发生的成本支出，如存在开发项目完成之前所发生的其他费用，该费用能够单独</w:t>
      </w:r>
    </w:p>
    <w:p>
      <w:pPr>
        <w:pStyle w:val="BodyText"/>
        <w:spacing w:line="316" w:lineRule="auto" w:before="19"/>
        <w:ind w:left="444" w:right="2113" w:hanging="291"/>
        <w:jc w:val="left"/>
      </w:pPr>
      <w:r>
        <w:rPr/>
        <w:t>区分和可靠计量的且合同很可能订立的，在取得合同时计入项目成本；未满足上述条件的，则计入当期损益。 项目成本在验收完工时，按各项目实际账面价值结转成本。</w:t>
      </w:r>
    </w:p>
    <w:p>
      <w:pPr>
        <w:spacing w:line="240" w:lineRule="auto" w:before="4"/>
        <w:rPr>
          <w:rFonts w:ascii="宋体" w:hAnsi="宋体" w:cs="宋体" w:eastAsia="宋体" w:hint="default"/>
          <w:sz w:val="25"/>
          <w:szCs w:val="25"/>
        </w:rPr>
      </w:pPr>
    </w:p>
    <w:p>
      <w:pPr>
        <w:pStyle w:val="BodyText"/>
        <w:spacing w:line="300" w:lineRule="auto"/>
        <w:ind w:left="444" w:right="7582"/>
        <w:jc w:val="left"/>
      </w:pPr>
      <w:r>
        <w:rPr>
          <w:rFonts w:ascii="Times New Roman" w:hAnsi="Times New Roman" w:cs="Times New Roman" w:eastAsia="Times New Roman" w:hint="default"/>
        </w:rPr>
        <w:t>2</w:t>
      </w:r>
      <w:r>
        <w:rPr/>
        <w:t>、发出存货的计价方法 项目成本结转时按个别认定法计价。</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13、持有待售资产" w:id="184"/>
      <w:bookmarkEnd w:id="184"/>
      <w:r>
        <w:rPr>
          <w:b w:val="0"/>
          <w:bCs w:val="0"/>
        </w:rPr>
      </w:r>
      <w:r>
        <w:rPr>
          <w:rFonts w:ascii="Times New Roman" w:hAnsi="Times New Roman" w:cs="Times New Roman" w:eastAsia="Times New Roman" w:hint="default"/>
        </w:rPr>
        <w:t>13</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公司将同时满足下列条件的非流动资产或处置组划分为持有待售类别：</w:t>
      </w:r>
    </w:p>
    <w:p>
      <w:pPr>
        <w:pStyle w:val="BodyText"/>
        <w:spacing w:line="240" w:lineRule="auto" w:before="76"/>
        <w:ind w:left="371" w:right="0"/>
        <w:jc w:val="left"/>
      </w:pPr>
      <w:r>
        <w:rPr/>
        <w:t>（</w:t>
      </w:r>
      <w:r>
        <w:rPr>
          <w:rFonts w:ascii="Times New Roman" w:hAnsi="Times New Roman" w:cs="Times New Roman" w:eastAsia="Times New Roman" w:hint="default"/>
        </w:rPr>
        <w:t>1</w:t>
      </w:r>
      <w:r>
        <w:rPr/>
        <w:t>）根据类似交易中出售此类资产或处置组的惯例，在当前状况下即可立即出售；</w:t>
      </w:r>
    </w:p>
    <w:p>
      <w:pPr>
        <w:pStyle w:val="BodyText"/>
        <w:spacing w:line="300" w:lineRule="auto" w:before="63"/>
        <w:ind w:right="0" w:firstLine="217"/>
        <w:jc w:val="left"/>
      </w:pPr>
      <w:r>
        <w:rPr>
          <w:spacing w:val="-1"/>
        </w:rPr>
        <w:t>（</w:t>
      </w:r>
      <w:r>
        <w:rPr>
          <w:rFonts w:ascii="Times New Roman" w:hAnsi="Times New Roman" w:cs="Times New Roman" w:eastAsia="Times New Roman" w:hint="default"/>
          <w:spacing w:val="-1"/>
        </w:rPr>
        <w:t>2</w:t>
      </w:r>
      <w:r>
        <w:rPr>
          <w:spacing w:val="-1"/>
        </w:rPr>
        <w:t>）出售极可能发生，即本公司已经就一项出售计划作出决议且获得确定的购买承诺，预计出售将在一年内完成。有关</w:t>
      </w:r>
      <w:r>
        <w:rPr/>
        <w:t> 规定要求本公司相关权力机构或者监管部门批准后方可出售的，已经获得批准。</w:t>
      </w:r>
    </w:p>
    <w:p>
      <w:pPr>
        <w:spacing w:line="240" w:lineRule="auto" w:before="7"/>
        <w:rPr>
          <w:rFonts w:ascii="宋体" w:hAnsi="宋体" w:cs="宋体" w:eastAsia="宋体" w:hint="default"/>
          <w:sz w:val="23"/>
          <w:szCs w:val="23"/>
        </w:rPr>
      </w:pPr>
    </w:p>
    <w:p>
      <w:pPr>
        <w:pStyle w:val="Heading4"/>
        <w:spacing w:line="240" w:lineRule="auto"/>
        <w:ind w:right="0"/>
        <w:jc w:val="left"/>
        <w:rPr>
          <w:b w:val="0"/>
          <w:bCs w:val="0"/>
        </w:rPr>
      </w:pPr>
      <w:bookmarkStart w:name="14、长期股权投资" w:id="185"/>
      <w:bookmarkEnd w:id="185"/>
      <w:r>
        <w:rPr>
          <w:b w:val="0"/>
          <w:bCs w:val="0"/>
        </w:rPr>
      </w:r>
      <w:r>
        <w:rPr>
          <w:rFonts w:ascii="Times New Roman" w:hAnsi="Times New Roman" w:cs="Times New Roman" w:eastAsia="Times New Roman" w:hint="default"/>
        </w:rPr>
        <w:t>14</w:t>
      </w:r>
      <w:r>
        <w:rPr/>
        <w:t>、长期股权投资</w:t>
      </w:r>
      <w:r>
        <w:rPr>
          <w:b w:val="0"/>
          <w:bCs w:val="0"/>
        </w:rPr>
      </w:r>
    </w:p>
    <w:p>
      <w:pPr>
        <w:pStyle w:val="BodyText"/>
        <w:spacing w:line="370" w:lineRule="atLeast" w:before="185"/>
        <w:ind w:left="534" w:right="0"/>
        <w:jc w:val="left"/>
      </w:pPr>
      <w:r>
        <w:rPr>
          <w:rFonts w:ascii="Times New Roman" w:hAnsi="Times New Roman" w:cs="Times New Roman" w:eastAsia="Times New Roman" w:hint="default"/>
        </w:rPr>
        <w:t>1</w:t>
      </w:r>
      <w:r>
        <w:rPr/>
        <w:t>、共同控制、重大影响的判断标准 共同控制，是指按照相关约定对某项安排所共有的控制，并且该安排的相关活动必须经过分享控制权的参与方一致同</w:t>
      </w:r>
    </w:p>
    <w:p>
      <w:pPr>
        <w:pStyle w:val="BodyText"/>
        <w:spacing w:line="234" w:lineRule="exact" w:before="20"/>
        <w:ind w:right="0"/>
        <w:jc w:val="left"/>
      </w:pPr>
      <w:r>
        <w:rPr>
          <w:spacing w:val="-2"/>
        </w:rPr>
        <w:t>意后才能决策。本公司与其他合营方一同对被投资单位实施共同控制且对被投资单位净资产享有权利的，被投资单位为本公</w:t>
      </w:r>
      <w:r>
        <w:rPr>
          <w:spacing w:val="-64"/>
        </w:rPr>
        <w:t> </w:t>
      </w:r>
      <w:r>
        <w:rPr>
          <w:spacing w:val="-64"/>
        </w:rPr>
      </w:r>
      <w:r>
        <w:rPr/>
        <w:t>司的合营企业。</w:t>
      </w:r>
    </w:p>
    <w:p>
      <w:pPr>
        <w:pStyle w:val="BodyText"/>
        <w:spacing w:line="240" w:lineRule="auto" w:before="131"/>
        <w:ind w:right="1133" w:firstLine="380"/>
        <w:jc w:val="both"/>
      </w:pPr>
      <w:r>
        <w:rPr/>
        <w:t>重大影响，是指对一个企业的财务和经营决策有参与决策的权力，但并不能够控制或者与其他方一起共同控制这些政</w:t>
      </w:r>
      <w:r>
        <w:rPr>
          <w:spacing w:val="1"/>
        </w:rPr>
        <w:t> </w:t>
      </w:r>
      <w:r>
        <w:rPr/>
        <w:t>策的制定。本公司能够对被投资单位施加重大影响的，被投资单位为本公司联营企业。</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0"/>
        <w:ind w:left="534" w:right="0"/>
        <w:jc w:val="left"/>
      </w:pPr>
      <w:r>
        <w:rPr>
          <w:rFonts w:ascii="Times New Roman" w:hAnsi="Times New Roman" w:cs="Times New Roman" w:eastAsia="Times New Roman" w:hint="default"/>
        </w:rPr>
        <w:t>2</w:t>
      </w:r>
      <w:r>
        <w:rPr/>
        <w:t>、初始投资成本的确定</w:t>
      </w:r>
    </w:p>
    <w:p>
      <w:pPr>
        <w:pStyle w:val="BodyText"/>
        <w:spacing w:line="370" w:lineRule="atLeast" w:before="20"/>
        <w:ind w:left="534" w:right="0" w:hanging="146"/>
        <w:jc w:val="left"/>
      </w:pPr>
      <w:r>
        <w:rPr/>
        <w:t>（</w:t>
      </w:r>
      <w:r>
        <w:rPr>
          <w:rFonts w:ascii="Times New Roman" w:hAnsi="Times New Roman" w:cs="Times New Roman" w:eastAsia="Times New Roman" w:hint="default"/>
        </w:rPr>
        <w:t>1</w:t>
      </w:r>
      <w:r>
        <w:rPr/>
        <w:t>）企业合并形成的长期股权投资 同一控制下的企业合并：公司以支付现金、转让非现金资产或承担债务方式以及以发行权益性证券作为合并对价的，</w:t>
      </w:r>
    </w:p>
    <w:p>
      <w:pPr>
        <w:pStyle w:val="BodyText"/>
        <w:spacing w:line="237" w:lineRule="auto"/>
        <w:ind w:right="1032"/>
        <w:jc w:val="left"/>
      </w:pPr>
      <w:r>
        <w:rPr/>
        <w:t>在合并日按照取得被合并方所有者权益在最终控制方合并财务报表中的账面价值的份额作为长期股权投资的初始投资成本。 </w:t>
      </w:r>
      <w:r>
        <w:rPr>
          <w:spacing w:val="-2"/>
        </w:rPr>
        <w:t>因追加投资等原因能够对同一控制下的被投资单位实施控制的，在合并日根据合并后应享有被合并方净资产在最终控制方合</w:t>
      </w:r>
      <w:r>
        <w:rPr>
          <w:spacing w:val="-64"/>
        </w:rPr>
        <w:t> </w:t>
      </w:r>
      <w:r>
        <w:rPr>
          <w:spacing w:val="-64"/>
        </w:rPr>
      </w:r>
      <w:r>
        <w:rPr>
          <w:spacing w:val="-2"/>
        </w:rPr>
        <w:t>并财务报表中的账面价值的份额，确定长期股权投资的初始投资成本。合并日长期股权投资的初始投资成本，与达到合并前</w:t>
      </w:r>
      <w:r>
        <w:rPr>
          <w:spacing w:val="-65"/>
        </w:rPr>
        <w:t> </w:t>
      </w:r>
      <w:r>
        <w:rPr>
          <w:spacing w:val="-65"/>
        </w:rPr>
      </w:r>
      <w:r>
        <w:rPr>
          <w:spacing w:val="-2"/>
        </w:rPr>
        <w:t>的长期股权投资账面价值加上合并日进一步取得股份新支付对价的账面价值之和的差额，调整股本溢价，股本溢价不足冲减</w:t>
      </w:r>
      <w:r>
        <w:rPr>
          <w:spacing w:val="-64"/>
        </w:rPr>
        <w:t> </w:t>
      </w:r>
      <w:r>
        <w:rPr>
          <w:spacing w:val="-64"/>
        </w:rPr>
      </w:r>
      <w:r>
        <w:rPr/>
        <w:t>的，冲减留存收益。</w:t>
      </w:r>
    </w:p>
    <w:p>
      <w:pPr>
        <w:pStyle w:val="BodyText"/>
        <w:spacing w:line="237" w:lineRule="auto" w:before="157"/>
        <w:ind w:right="1132" w:firstLine="380"/>
        <w:jc w:val="both"/>
      </w:pPr>
      <w:r>
        <w:rPr/>
        <w:t>非同一控制下的企业合并：公司按照购买日确定的合并成本作为长期股权投资的初始投资成本。因追加投资等原因能</w:t>
      </w:r>
      <w:r>
        <w:rPr>
          <w:spacing w:val="1"/>
        </w:rPr>
        <w:t> </w:t>
      </w:r>
      <w:r>
        <w:rPr>
          <w:spacing w:val="-2"/>
        </w:rPr>
        <w:t>够对非同一控制下的被投资单位实施控制的，按照原持有的股权投资账面价值加上新增投资成本之和，作为改按成本法核算</w:t>
      </w:r>
      <w:r>
        <w:rPr>
          <w:spacing w:val="-64"/>
        </w:rPr>
        <w:t> </w:t>
      </w:r>
      <w:r>
        <w:rPr>
          <w:spacing w:val="-64"/>
        </w:rPr>
      </w:r>
      <w:r>
        <w:rPr/>
        <w:t>的初始投资成本。</w:t>
      </w:r>
    </w:p>
    <w:p>
      <w:pPr>
        <w:pStyle w:val="BodyText"/>
        <w:spacing w:line="240" w:lineRule="auto" w:before="153"/>
        <w:ind w:left="461" w:right="0"/>
        <w:jc w:val="left"/>
      </w:pPr>
      <w:r>
        <w:rPr/>
        <w:t>（</w:t>
      </w:r>
      <w:r>
        <w:rPr>
          <w:rFonts w:ascii="Times New Roman" w:hAnsi="Times New Roman" w:cs="Times New Roman" w:eastAsia="Times New Roman" w:hint="default"/>
        </w:rPr>
        <w:t>2</w:t>
      </w:r>
      <w:r>
        <w:rPr/>
        <w:t>）其他方式取得的长期股权投资</w:t>
      </w:r>
    </w:p>
    <w:p>
      <w:pPr>
        <w:spacing w:after="0" w:line="240" w:lineRule="auto"/>
        <w:jc w:val="left"/>
        <w:sectPr>
          <w:pgSz w:w="11910" w:h="16840"/>
          <w:pgMar w:header="877" w:footer="979" w:top="1060" w:bottom="1160" w:left="980" w:right="0"/>
        </w:sectPr>
      </w:pPr>
    </w:p>
    <w:p>
      <w:pPr>
        <w:spacing w:line="240" w:lineRule="auto" w:before="12"/>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7pt;height:.75pt;mso-position-horizontal-relative:char;mso-position-vertical-relative:line" coordorigin="0,0" coordsize="9714,15">
            <v:group style="position:absolute;left:7;top:7;width:9700;height:2" coordorigin="7,7" coordsize="9700,2">
              <v:shape style="position:absolute;left:7;top:7;width:9700;height:2" coordorigin="7,7" coordsize="9700,0" path="m7,7l9707,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18"/>
          <w:szCs w:val="18"/>
        </w:rPr>
      </w:pPr>
    </w:p>
    <w:p>
      <w:pPr>
        <w:pStyle w:val="BodyText"/>
        <w:spacing w:line="240" w:lineRule="auto" w:before="44"/>
        <w:ind w:left="534" w:right="0"/>
        <w:jc w:val="left"/>
      </w:pPr>
      <w:r>
        <w:rPr/>
        <w:t>以支付现金方式取得的长期股权投资，按照实际支付的购买价款作为初始投资成本。</w:t>
      </w:r>
    </w:p>
    <w:p>
      <w:pPr>
        <w:pStyle w:val="BodyText"/>
        <w:spacing w:line="390" w:lineRule="atLeast"/>
        <w:ind w:left="534" w:right="0"/>
        <w:jc w:val="left"/>
      </w:pPr>
      <w:r>
        <w:rPr/>
        <w:t>以发行权益性证券取得的长期股权投资，按照发行权益性证券的公允价值作为初始投资成本。 在非货币性资产交换具备商业实质和换入资产或换出资产的公允价值能够可靠计量的前提下，非货币性资产交换换入</w:t>
      </w:r>
    </w:p>
    <w:p>
      <w:pPr>
        <w:pStyle w:val="BodyText"/>
        <w:spacing w:line="237" w:lineRule="auto"/>
        <w:ind w:right="1131"/>
        <w:jc w:val="both"/>
      </w:pPr>
      <w:r>
        <w:rPr>
          <w:spacing w:val="-2"/>
        </w:rPr>
        <w:t>的长期股权投资以换出资产的公允价值和应支付的相关税费确定其初始投资成本，除非有确凿证据表明换入资产的公允价值</w:t>
      </w:r>
      <w:r>
        <w:rPr>
          <w:spacing w:val="-64"/>
        </w:rPr>
        <w:t> </w:t>
      </w:r>
      <w:r>
        <w:rPr>
          <w:spacing w:val="-64"/>
        </w:rPr>
      </w:r>
      <w:r>
        <w:rPr>
          <w:spacing w:val="-2"/>
        </w:rPr>
        <w:t>更加可靠；不满足上述前提的非货币性资产交换，以换出资产的账面价值和应支付的相关税费作为换入长期股权投资的初始</w:t>
      </w:r>
      <w:r>
        <w:rPr>
          <w:spacing w:val="-64"/>
        </w:rPr>
        <w:t> </w:t>
      </w:r>
      <w:r>
        <w:rPr>
          <w:spacing w:val="-64"/>
        </w:rPr>
      </w:r>
      <w:r>
        <w:rPr/>
        <w:t>投资成本。</w:t>
      </w:r>
    </w:p>
    <w:p>
      <w:pPr>
        <w:pStyle w:val="BodyText"/>
        <w:spacing w:line="240" w:lineRule="auto" w:before="153"/>
        <w:ind w:left="534" w:right="0"/>
        <w:jc w:val="left"/>
      </w:pPr>
      <w:r>
        <w:rPr/>
        <w:t>通过债务重组取得的长期股权投资，其初始投资成本按照公允价值为基础确定。</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1"/>
          <w:szCs w:val="21"/>
        </w:rPr>
      </w:pPr>
    </w:p>
    <w:p>
      <w:pPr>
        <w:pStyle w:val="BodyText"/>
        <w:spacing w:line="240" w:lineRule="auto"/>
        <w:ind w:left="534" w:right="0"/>
        <w:jc w:val="left"/>
      </w:pPr>
      <w:r>
        <w:rPr>
          <w:rFonts w:ascii="Times New Roman" w:hAnsi="Times New Roman" w:cs="Times New Roman" w:eastAsia="Times New Roman" w:hint="default"/>
        </w:rPr>
        <w:t>3</w:t>
      </w:r>
      <w:r>
        <w:rPr/>
        <w:t>、后续计量及损益确认方法</w:t>
      </w:r>
    </w:p>
    <w:p>
      <w:pPr>
        <w:pStyle w:val="BodyText"/>
        <w:spacing w:line="370" w:lineRule="atLeast" w:before="20"/>
        <w:ind w:left="534" w:right="0" w:hanging="146"/>
        <w:jc w:val="left"/>
      </w:pPr>
      <w:r>
        <w:rPr/>
        <w:t>（</w:t>
      </w:r>
      <w:r>
        <w:rPr>
          <w:rFonts w:ascii="Times New Roman" w:hAnsi="Times New Roman" w:cs="Times New Roman" w:eastAsia="Times New Roman" w:hint="default"/>
        </w:rPr>
        <w:t>1</w:t>
      </w:r>
      <w:r>
        <w:rPr/>
        <w:t>）成本法核算的长期股权投资 公司对子公司的长期股权投资，采用成本法核算。除取得投资时实际支付的价款或对价中包含的已宣告但尚未发放的</w:t>
      </w:r>
    </w:p>
    <w:p>
      <w:pPr>
        <w:pStyle w:val="BodyText"/>
        <w:spacing w:line="234" w:lineRule="exact"/>
        <w:ind w:right="0"/>
        <w:jc w:val="both"/>
      </w:pPr>
      <w:r>
        <w:rPr/>
        <w:t>现金股利或利润外，公司按照享有被投资单位宣告发放的现金股利或利润确认当期投资收益。</w:t>
      </w:r>
    </w:p>
    <w:p>
      <w:pPr>
        <w:pStyle w:val="BodyText"/>
        <w:spacing w:line="370" w:lineRule="atLeast" w:before="32"/>
        <w:ind w:left="534" w:right="0" w:hanging="74"/>
        <w:jc w:val="left"/>
      </w:pPr>
      <w:r>
        <w:rPr/>
        <w:t>（</w:t>
      </w:r>
      <w:r>
        <w:rPr>
          <w:rFonts w:ascii="Times New Roman" w:hAnsi="Times New Roman" w:cs="Times New Roman" w:eastAsia="Times New Roman" w:hint="default"/>
        </w:rPr>
        <w:t>2</w:t>
      </w:r>
      <w:r>
        <w:rPr/>
        <w:t>）权益法核算的长期股权投资 对联营企业和合营企业的长期股权投资，采用权益法核算。初始投资成本大于投资时应享有被投资单位可辨认净资产</w:t>
      </w:r>
    </w:p>
    <w:p>
      <w:pPr>
        <w:pStyle w:val="BodyText"/>
        <w:spacing w:line="234" w:lineRule="exact" w:before="20"/>
        <w:ind w:right="1130"/>
        <w:jc w:val="both"/>
      </w:pPr>
      <w:r>
        <w:rPr>
          <w:spacing w:val="-2"/>
        </w:rPr>
        <w:t>公允价值份额的差额，不调整长期股权投资的初始投资成本；初始投资成本小于投资时应享有被投资单位可辨认净资产公允</w:t>
      </w:r>
      <w:r>
        <w:rPr>
          <w:spacing w:val="-63"/>
        </w:rPr>
        <w:t> </w:t>
      </w:r>
      <w:r>
        <w:rPr>
          <w:spacing w:val="-63"/>
        </w:rPr>
      </w:r>
      <w:r>
        <w:rPr/>
        <w:t>价值份额的差额，计入当期损益。</w:t>
      </w:r>
    </w:p>
    <w:p>
      <w:pPr>
        <w:pStyle w:val="BodyText"/>
        <w:spacing w:line="237" w:lineRule="auto" w:before="134"/>
        <w:ind w:right="1132" w:firstLine="380"/>
        <w:jc w:val="both"/>
      </w:pPr>
      <w:r>
        <w:rPr/>
        <w:t>公司按照应享有或应分担的被投资单位实现的净损益和其他综合收益的份额，分别确认投资收益和其他综合收益，同</w:t>
      </w:r>
      <w:r>
        <w:rPr>
          <w:spacing w:val="1"/>
        </w:rPr>
        <w:t> </w:t>
      </w:r>
      <w:r>
        <w:rPr>
          <w:spacing w:val="-2"/>
        </w:rPr>
        <w:t>时调整长期股权投资的账面价值；按照被投资单位宣告分派的利润或现金股利计算应享有的部分，相应减少长期股权投资的</w:t>
      </w:r>
      <w:r>
        <w:rPr>
          <w:spacing w:val="-64"/>
        </w:rPr>
        <w:t> </w:t>
      </w:r>
      <w:r>
        <w:rPr>
          <w:spacing w:val="-64"/>
        </w:rPr>
      </w:r>
      <w:r>
        <w:rPr>
          <w:spacing w:val="-2"/>
        </w:rPr>
        <w:t>账面价值；对于被投资单位除净损益、其他综合收益和利润分配以外所有者权益的其他变动，调整长期股权投资的账面价值</w:t>
      </w:r>
      <w:r>
        <w:rPr>
          <w:spacing w:val="-66"/>
        </w:rPr>
        <w:t> </w:t>
      </w:r>
      <w:r>
        <w:rPr>
          <w:spacing w:val="-66"/>
        </w:rPr>
      </w:r>
      <w:r>
        <w:rPr/>
        <w:t>并计入所有者权益。</w:t>
      </w:r>
    </w:p>
    <w:p>
      <w:pPr>
        <w:pStyle w:val="BodyText"/>
        <w:spacing w:line="237" w:lineRule="auto" w:before="157"/>
        <w:ind w:right="1131" w:firstLine="380"/>
        <w:jc w:val="both"/>
      </w:pPr>
      <w:r>
        <w:rPr/>
        <w:t>在确认应享有被投资单位净损益的份额时，以取得投资时被投资单位可辨认净资产的公允价值为基础，并按照公司的</w:t>
      </w:r>
      <w:r>
        <w:rPr>
          <w:spacing w:val="1"/>
        </w:rPr>
        <w:t> </w:t>
      </w:r>
      <w:r>
        <w:rPr>
          <w:spacing w:val="-2"/>
        </w:rPr>
        <w:t>会计政策及会计期间，对被投资单位的净利润进行调整后确认。在持有投资期间，被投资单位编制合并财务报表的，以合并</w:t>
      </w:r>
      <w:r>
        <w:rPr>
          <w:spacing w:val="-66"/>
        </w:rPr>
        <w:t> </w:t>
      </w:r>
      <w:r>
        <w:rPr>
          <w:spacing w:val="-66"/>
        </w:rPr>
      </w:r>
      <w:r>
        <w:rPr/>
        <w:t>财务报表中的净利润、其他综合收益和其他所有者权益变动中归属于被投资单位的金额为基础进行核算。</w:t>
      </w:r>
    </w:p>
    <w:p>
      <w:pPr>
        <w:pStyle w:val="BodyText"/>
        <w:spacing w:line="232" w:lineRule="auto" w:before="160"/>
        <w:ind w:right="1130" w:firstLine="380"/>
        <w:jc w:val="both"/>
      </w:pPr>
      <w:r>
        <w:rPr/>
        <w:t>公司与联营企业、合营企业之间发生的未实现内部交易损益按照应享有的比例计算归属于公司的部分，予以抵销，在</w:t>
      </w:r>
      <w:r>
        <w:rPr>
          <w:spacing w:val="1"/>
        </w:rPr>
        <w:t> </w:t>
      </w:r>
      <w:r>
        <w:rPr>
          <w:spacing w:val="-2"/>
        </w:rPr>
        <w:t>此基础上确认投资收益。与被投资单位发生的未实现内部交易损失，属于资产减值损失的，全额确认。公司与联营企业、合</w:t>
      </w:r>
      <w:r>
        <w:rPr>
          <w:spacing w:val="-66"/>
        </w:rPr>
        <w:t> </w:t>
      </w:r>
      <w:r>
        <w:rPr>
          <w:spacing w:val="-66"/>
        </w:rPr>
      </w:r>
      <w:r>
        <w:rPr/>
        <w:t>营企业之间发生投出或出售资产的交易，该资产构成业务的，按照本附注</w:t>
      </w:r>
      <w:r>
        <w:rPr>
          <w:rFonts w:ascii="Times New Roman" w:hAnsi="Times New Roman" w:cs="Times New Roman" w:eastAsia="Times New Roman" w:hint="default"/>
        </w:rPr>
        <w:t>“</w:t>
      </w:r>
      <w:r>
        <w:rPr/>
        <w:t>五、（五）同一控制下和非同一控制下企业合并</w:t>
      </w:r>
      <w:r>
        <w:rPr>
          <w:spacing w:val="-74"/>
        </w:rPr>
        <w:t> </w:t>
      </w:r>
      <w:r>
        <w:rPr>
          <w:spacing w:val="-74"/>
        </w:rPr>
      </w:r>
      <w:r>
        <w:rPr/>
        <w:t>的会计处理方法</w:t>
      </w:r>
      <w:r>
        <w:rPr>
          <w:rFonts w:ascii="Times New Roman" w:hAnsi="Times New Roman" w:cs="Times New Roman" w:eastAsia="Times New Roman" w:hint="default"/>
        </w:rPr>
        <w:t>”</w:t>
      </w:r>
      <w:r>
        <w:rPr/>
        <w:t>和</w:t>
      </w:r>
      <w:r>
        <w:rPr>
          <w:rFonts w:ascii="Times New Roman" w:hAnsi="Times New Roman" w:cs="Times New Roman" w:eastAsia="Times New Roman" w:hint="default"/>
        </w:rPr>
        <w:t>“</w:t>
      </w:r>
      <w:r>
        <w:rPr/>
        <w:t>五、（六）合并财务报表的编制方法</w:t>
      </w:r>
      <w:r>
        <w:rPr>
          <w:rFonts w:ascii="Times New Roman" w:hAnsi="Times New Roman" w:cs="Times New Roman" w:eastAsia="Times New Roman" w:hint="default"/>
        </w:rPr>
        <w:t>”</w:t>
      </w:r>
      <w:r>
        <w:rPr/>
        <w:t>中披露的相关政策进行会计处理。</w:t>
      </w:r>
    </w:p>
    <w:p>
      <w:pPr>
        <w:pStyle w:val="BodyText"/>
        <w:spacing w:line="237" w:lineRule="auto" w:before="143"/>
        <w:ind w:right="1133" w:firstLine="380"/>
        <w:jc w:val="both"/>
      </w:pPr>
      <w:r>
        <w:rPr/>
        <w:t>在公司确认应分担被投资单位发生的亏损时，按照以下顺序进行处理：首先，冲减长期股权投资的账面价值。其次，</w:t>
      </w:r>
      <w:r>
        <w:rPr>
          <w:spacing w:val="1"/>
        </w:rPr>
        <w:t> </w:t>
      </w:r>
      <w:r>
        <w:rPr/>
        <w:t>长期股权投资的账面价值不足以冲减的，以其他实质上构成对被投资单位净投资的长期权益账面价值为限继续确认投资损</w:t>
      </w:r>
      <w:r>
        <w:rPr>
          <w:spacing w:val="-9"/>
        </w:rPr>
        <w:t> </w:t>
      </w:r>
      <w:r>
        <w:rPr>
          <w:spacing w:val="-9"/>
        </w:rPr>
      </w:r>
      <w:r>
        <w:rPr>
          <w:spacing w:val="-2"/>
        </w:rPr>
        <w:t>失，冲减长期应收项目等的账面价值。最后，经过上述处理，按照投资合同或协议约定企业仍承担额外义务的，按预计承担</w:t>
      </w:r>
      <w:r>
        <w:rPr>
          <w:spacing w:val="-66"/>
        </w:rPr>
        <w:t> </w:t>
      </w:r>
      <w:r>
        <w:rPr>
          <w:spacing w:val="-66"/>
        </w:rPr>
      </w:r>
      <w:r>
        <w:rPr/>
        <w:t>的义务确认预计负债，计入当期投资损失。</w:t>
      </w:r>
    </w:p>
    <w:p>
      <w:pPr>
        <w:pStyle w:val="BodyText"/>
        <w:spacing w:line="376" w:lineRule="auto" w:before="153"/>
        <w:ind w:left="461" w:right="4685" w:firstLine="73"/>
        <w:jc w:val="left"/>
      </w:pPr>
      <w:r>
        <w:rPr/>
        <w:t>（</w:t>
      </w:r>
      <w:r>
        <w:rPr>
          <w:rFonts w:ascii="Times New Roman" w:hAnsi="Times New Roman" w:cs="Times New Roman" w:eastAsia="Times New Roman" w:hint="default"/>
        </w:rPr>
        <w:t>3</w:t>
      </w:r>
      <w:r>
        <w:rPr/>
        <w:t>）长期股权投资的处置 处置长期股权投资，其账面价值与实际取得价款的差额，计入当期损益。</w:t>
      </w:r>
    </w:p>
    <w:p>
      <w:pPr>
        <w:pStyle w:val="BodyText"/>
        <w:spacing w:line="237" w:lineRule="auto" w:before="52"/>
        <w:ind w:right="1132" w:firstLine="380"/>
        <w:jc w:val="both"/>
      </w:pPr>
      <w:r>
        <w:rPr/>
        <w:t>采用权益法核算的长期股权投资，在处置该项投资时，采用与被投资单位直接处置相关资产或负债相同的基础，按相</w:t>
      </w:r>
      <w:r>
        <w:rPr>
          <w:spacing w:val="1"/>
        </w:rPr>
        <w:t> </w:t>
      </w:r>
      <w:r>
        <w:rPr>
          <w:spacing w:val="-2"/>
        </w:rPr>
        <w:t>应比例对原计入其他综合收益的部分进行会计处理。因被投资单位除净损益、其他综合收益和利润分配以外的其他所有者权</w:t>
      </w:r>
      <w:r>
        <w:rPr>
          <w:spacing w:val="-64"/>
        </w:rPr>
        <w:t> </w:t>
      </w:r>
      <w:r>
        <w:rPr>
          <w:spacing w:val="-64"/>
        </w:rPr>
      </w:r>
      <w:r>
        <w:rPr>
          <w:spacing w:val="-2"/>
        </w:rPr>
        <w:t>益变动而确认的所有者权益，按比例结转入当期损益，由于被投资方重新计量设定受益计划净负债或净资产变动而产生的其</w:t>
      </w:r>
      <w:r>
        <w:rPr>
          <w:spacing w:val="-64"/>
        </w:rPr>
        <w:t> </w:t>
      </w:r>
      <w:r>
        <w:rPr>
          <w:spacing w:val="-64"/>
        </w:rPr>
      </w:r>
      <w:r>
        <w:rPr/>
        <w:t>他综合收益除外。</w:t>
      </w:r>
    </w:p>
    <w:p>
      <w:pPr>
        <w:pStyle w:val="BodyText"/>
        <w:spacing w:line="237" w:lineRule="auto" w:before="157"/>
        <w:ind w:right="1131" w:firstLine="380"/>
        <w:jc w:val="both"/>
      </w:pPr>
      <w:r>
        <w:rPr/>
        <w:t>因处置部分股权投资等原因丧失了对被投资单位的共同控制或重大影响的，处置后的剩余股权改按金融工具确认和计</w:t>
      </w:r>
      <w:r>
        <w:rPr>
          <w:spacing w:val="1"/>
        </w:rPr>
        <w:t> </w:t>
      </w:r>
      <w:r>
        <w:rPr>
          <w:spacing w:val="-2"/>
        </w:rPr>
        <w:t>量准则核算，其在丧失共同控制或重大影响之日的公允价值与账面价值之间的差额计入当期损益。原股权投资因采用权益法</w:t>
      </w:r>
      <w:r>
        <w:rPr>
          <w:spacing w:val="-64"/>
        </w:rPr>
        <w:t> </w:t>
      </w:r>
      <w:r>
        <w:rPr>
          <w:spacing w:val="-64"/>
        </w:rPr>
      </w:r>
      <w:r>
        <w:rPr/>
        <w:t>核算而确认的其他综合收益，在终止采用权益法核算时采用与被投资单位直接处置相关资产或负债相同的基础进行会计处</w:t>
      </w:r>
      <w:r>
        <w:rPr>
          <w:spacing w:val="-9"/>
        </w:rPr>
        <w:t> </w:t>
      </w:r>
      <w:r>
        <w:rPr>
          <w:spacing w:val="-9"/>
        </w:rPr>
      </w:r>
      <w:r>
        <w:rPr>
          <w:spacing w:val="-2"/>
        </w:rPr>
        <w:t>理。因被投资方除净损益、其他综合收益和利润分配以外的其他所有者权益变动而确认的所有者权益，在终止采用权益法核</w:t>
      </w:r>
      <w:r>
        <w:rPr>
          <w:spacing w:val="-66"/>
        </w:rPr>
        <w:t> </w:t>
      </w:r>
      <w:r>
        <w:rPr>
          <w:spacing w:val="-66"/>
        </w:rPr>
      </w:r>
      <w:r>
        <w:rPr/>
        <w:t>算时全部转入当期损益。</w:t>
      </w:r>
    </w:p>
    <w:p>
      <w:pPr>
        <w:pStyle w:val="BodyText"/>
        <w:spacing w:line="237" w:lineRule="auto" w:before="156"/>
        <w:ind w:right="1132" w:firstLine="380"/>
        <w:jc w:val="both"/>
      </w:pPr>
      <w:r>
        <w:rPr/>
        <w:t>因处置部分股权投资、因其他投资方对子公司增资而导致本公司持股比例下降等原因丧失了对被投资单位控制权的，</w:t>
      </w:r>
      <w:r>
        <w:rPr>
          <w:spacing w:val="1"/>
        </w:rPr>
        <w:t> </w:t>
      </w:r>
      <w:r>
        <w:rPr>
          <w:spacing w:val="-2"/>
        </w:rPr>
        <w:t>在编制个别财务报表时，剩余股权能够对被投资单位实施共同控制或重大影响的，改按权益法核算，并对该剩余股权视同自</w:t>
      </w:r>
      <w:r>
        <w:rPr>
          <w:spacing w:val="-66"/>
        </w:rPr>
        <w:t> </w:t>
      </w:r>
      <w:r>
        <w:rPr>
          <w:spacing w:val="-66"/>
        </w:rPr>
      </w:r>
      <w:r>
        <w:rPr>
          <w:spacing w:val="-2"/>
        </w:rPr>
        <w:t>取得时即采用权益法核算进行调整；剩余股权不能对被投资单位实施共同控制或施加重大影响的，改按金融工具确认和计量</w:t>
      </w:r>
      <w:r>
        <w:rPr>
          <w:spacing w:val="-64"/>
        </w:rPr>
        <w:t> </w:t>
      </w:r>
      <w:r>
        <w:rPr>
          <w:spacing w:val="-64"/>
        </w:rPr>
      </w:r>
      <w:r>
        <w:rPr/>
        <w:t>准则的有关规定进行会计处理，其在丧失控制之日的公允价值与账面价值间的差额计入当期损益。</w:t>
      </w:r>
    </w:p>
    <w:p>
      <w:pPr>
        <w:pStyle w:val="BodyText"/>
        <w:spacing w:line="240" w:lineRule="auto" w:before="153"/>
        <w:ind w:left="534" w:right="0"/>
        <w:jc w:val="left"/>
      </w:pPr>
      <w:r>
        <w:rPr/>
        <w:t>处置的股权是因追加投资等原因通过企业合并取得的，在编制个别财务报表时，处置后的剩余股权采用成本法或权益</w:t>
      </w:r>
    </w:p>
    <w:p>
      <w:pPr>
        <w:spacing w:after="0" w:line="240" w:lineRule="auto"/>
        <w:jc w:val="left"/>
        <w:sectPr>
          <w:pgSz w:w="11910" w:h="16840"/>
          <w:pgMar w:header="877" w:footer="979" w:top="1060" w:bottom="1160" w:left="980" w:right="0"/>
        </w:sectPr>
      </w:pPr>
    </w:p>
    <w:p>
      <w:pPr>
        <w:spacing w:line="240" w:lineRule="auto" w:before="10"/>
        <w:rPr>
          <w:rFonts w:ascii="宋体" w:hAnsi="宋体" w:cs="宋体" w:eastAsia="宋体" w:hint="default"/>
          <w:sz w:val="22"/>
          <w:szCs w:val="22"/>
        </w:rPr>
      </w:pPr>
    </w:p>
    <w:p>
      <w:pPr>
        <w:pStyle w:val="BodyText"/>
        <w:spacing w:line="240" w:lineRule="auto" w:before="44"/>
        <w:ind w:right="0"/>
        <w:jc w:val="left"/>
      </w:pPr>
      <w:r>
        <w:rPr>
          <w:spacing w:val="-2"/>
        </w:rPr>
        <w:t>法核算的，购买日之前持有的股权投资因采用权益法核算而确认的其他综合收益和其他所有者权益按比例结转；处置后的剩</w:t>
      </w:r>
      <w:r>
        <w:rPr>
          <w:spacing w:val="-64"/>
        </w:rPr>
        <w:t> </w:t>
      </w:r>
      <w:r>
        <w:rPr>
          <w:spacing w:val="-64"/>
        </w:rPr>
      </w:r>
      <w:r>
        <w:rPr/>
        <w:t>余股权改按金融工具确认和计量准则进行会计处理的，其他综合收益和其他所有者权益全部结转。</w:t>
      </w:r>
    </w:p>
    <w:p>
      <w:pPr>
        <w:spacing w:line="240" w:lineRule="auto" w:before="13"/>
        <w:rPr>
          <w:rFonts w:ascii="宋体" w:hAnsi="宋体" w:cs="宋体" w:eastAsia="宋体" w:hint="default"/>
          <w:sz w:val="23"/>
          <w:szCs w:val="23"/>
        </w:rPr>
      </w:pPr>
    </w:p>
    <w:p>
      <w:pPr>
        <w:pStyle w:val="Heading4"/>
        <w:spacing w:line="240" w:lineRule="auto"/>
        <w:ind w:right="0"/>
        <w:jc w:val="left"/>
        <w:rPr>
          <w:b w:val="0"/>
          <w:bCs w:val="0"/>
        </w:rPr>
      </w:pPr>
      <w:bookmarkStart w:name="15、投资性房地产" w:id="186"/>
      <w:bookmarkEnd w:id="186"/>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8952"/>
        <w:jc w:val="left"/>
      </w:pPr>
      <w:r>
        <w:rPr/>
        <w:t>投资性房地产计量模式 不适用</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16、固定资产" w:id="187"/>
      <w:bookmarkEnd w:id="187"/>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确认条件" w:id="188"/>
      <w:bookmarkEnd w:id="188"/>
      <w:r>
        <w:rPr>
          <w:b w:val="0"/>
          <w:bCs w:val="0"/>
        </w:rPr>
      </w:r>
      <w:r>
        <w:rPr/>
        <w:t>（</w:t>
      </w:r>
      <w:r>
        <w:rPr>
          <w:rFonts w:ascii="Times New Roman" w:hAnsi="Times New Roman" w:cs="Times New Roman" w:eastAsia="Times New Roman"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0" w:firstLine="360"/>
        <w:jc w:val="left"/>
      </w:pPr>
      <w:r>
        <w:rPr>
          <w:spacing w:val="-2"/>
        </w:rPr>
        <w:t>固定资产指为生产商品、提供劳务、出租或经营管理而持有，并且使用寿命超过一个会计年度的有形资产。固定资产在</w:t>
      </w:r>
      <w:r>
        <w:rPr/>
        <w:t> </w:t>
      </w:r>
      <w:r>
        <w:rPr>
          <w:spacing w:val="-7"/>
        </w:rPr>
        <w:t>同时满足下列条件时予以确认：（</w:t>
      </w:r>
      <w:r>
        <w:rPr>
          <w:rFonts w:ascii="Times New Roman" w:hAnsi="Times New Roman" w:cs="Times New Roman" w:eastAsia="Times New Roman" w:hint="default"/>
          <w:spacing w:val="-7"/>
        </w:rPr>
        <w:t>1</w:t>
      </w:r>
      <w:r>
        <w:rPr>
          <w:spacing w:val="-7"/>
        </w:rPr>
        <w:t>）与该固定资产有关的经济利益很可能流入企业；（</w:t>
      </w:r>
      <w:r>
        <w:rPr>
          <w:rFonts w:ascii="Times New Roman" w:hAnsi="Times New Roman" w:cs="Times New Roman" w:eastAsia="Times New Roman" w:hint="default"/>
          <w:spacing w:val="-7"/>
        </w:rPr>
        <w:t>2</w:t>
      </w:r>
      <w:r>
        <w:rPr>
          <w:spacing w:val="-7"/>
        </w:rPr>
        <w:t>）该固定资产的成本能够可靠地计量。</w:t>
      </w:r>
    </w:p>
    <w:p>
      <w:pPr>
        <w:spacing w:line="240" w:lineRule="auto" w:before="9"/>
        <w:rPr>
          <w:rFonts w:ascii="宋体" w:hAnsi="宋体" w:cs="宋体" w:eastAsia="宋体" w:hint="default"/>
          <w:sz w:val="20"/>
          <w:szCs w:val="20"/>
        </w:rPr>
      </w:pPr>
    </w:p>
    <w:p>
      <w:pPr>
        <w:pStyle w:val="Heading4"/>
        <w:spacing w:line="240" w:lineRule="auto"/>
        <w:ind w:right="0"/>
        <w:jc w:val="left"/>
        <w:rPr>
          <w:b w:val="0"/>
          <w:bCs w:val="0"/>
        </w:rPr>
      </w:pPr>
      <w:bookmarkStart w:name="（2）折旧方法" w:id="189"/>
      <w:bookmarkEnd w:id="189"/>
      <w:r>
        <w:rPr>
          <w:b w:val="0"/>
          <w:bCs w:val="0"/>
        </w:rPr>
      </w:r>
      <w:r>
        <w:rPr/>
        <w:t>（</w:t>
      </w:r>
      <w:r>
        <w:rPr>
          <w:rFonts w:ascii="Times New Roman" w:hAnsi="Times New Roman" w:cs="Times New Roman" w:eastAsia="Times New Roman" w:hint="default"/>
        </w:rPr>
        <w:t>2</w:t>
      </w:r>
      <w:r>
        <w:rPr/>
        <w:t>）折旧方法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1.90-5.00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19.00-33.33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19.00-33.33</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9.50-25.00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19.00</w:t>
            </w:r>
          </w:p>
        </w:tc>
      </w:tr>
    </w:tbl>
    <w:p>
      <w:pPr>
        <w:pStyle w:val="BodyText"/>
        <w:spacing w:line="316" w:lineRule="auto" w:before="10"/>
        <w:ind w:right="1212" w:firstLine="380"/>
        <w:jc w:val="both"/>
      </w:pPr>
      <w:r>
        <w:rPr/>
        <w:t>固定资产折旧采用年限平均法分类计提，根据固定资产类别、预计使用寿命和预计净残值率确定折旧率。如固定资产 各组成部分的使用寿命不同或者以不同方式为企业提供经济利益，则选择不同折旧率或折旧方法，分别计提折旧。</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3）融资租入固定资产的认定依据、计价和折旧方法" w:id="190"/>
      <w:bookmarkEnd w:id="190"/>
      <w:r>
        <w:rPr>
          <w:b w:val="0"/>
          <w:bCs w:val="0"/>
        </w:rPr>
      </w:r>
      <w:r>
        <w:rPr/>
        <w:t>（</w:t>
      </w:r>
      <w:r>
        <w:rPr>
          <w:rFonts w:ascii="Times New Roman" w:hAnsi="Times New Roman" w:cs="Times New Roman" w:eastAsia="Times New Roman" w:hint="default"/>
        </w:rPr>
        <w:t>3</w:t>
      </w:r>
      <w:r>
        <w:rPr/>
        <w:t>）融资租入固定资产的认定依据、计价和折旧方法</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131" w:firstLine="360"/>
        <w:jc w:val="both"/>
      </w:pPr>
      <w:r>
        <w:rPr>
          <w:spacing w:val="-2"/>
        </w:rPr>
        <w:t>融资租赁方式租入的固定资产，能合理确定租赁期届满时将会取得租赁资产所有权的，在租赁资产尚可使用年限内计提</w:t>
      </w:r>
      <w:r>
        <w:rPr/>
        <w:t> </w:t>
      </w:r>
      <w:r>
        <w:rPr>
          <w:spacing w:val="-2"/>
        </w:rPr>
        <w:t>折旧；无法合理确定租赁期届满时能够取得租赁资产所有权的，在租赁期与租赁资产尚可使用年限两者中较短的期间内计提</w:t>
      </w:r>
      <w:r>
        <w:rPr>
          <w:spacing w:val="-64"/>
        </w:rPr>
        <w:t> </w:t>
      </w:r>
      <w:r>
        <w:rPr>
          <w:spacing w:val="-64"/>
        </w:rPr>
      </w:r>
      <w:r>
        <w:rPr/>
        <w:t>折旧。</w:t>
      </w:r>
    </w:p>
    <w:p>
      <w:pPr>
        <w:spacing w:line="240" w:lineRule="auto" w:before="3"/>
        <w:rPr>
          <w:rFonts w:ascii="宋体" w:hAnsi="宋体" w:cs="宋体" w:eastAsia="宋体" w:hint="default"/>
          <w:sz w:val="22"/>
          <w:szCs w:val="22"/>
        </w:rPr>
      </w:pPr>
    </w:p>
    <w:p>
      <w:pPr>
        <w:pStyle w:val="Heading4"/>
        <w:spacing w:line="240" w:lineRule="auto"/>
        <w:ind w:right="0"/>
        <w:jc w:val="left"/>
        <w:rPr>
          <w:b w:val="0"/>
          <w:bCs w:val="0"/>
        </w:rPr>
      </w:pPr>
      <w:bookmarkStart w:name="17、在建工程" w:id="191"/>
      <w:bookmarkEnd w:id="191"/>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7692"/>
        <w:jc w:val="left"/>
      </w:pPr>
      <w:r>
        <w:rPr/>
        <w:t>公司是否需要遵守特殊行业的披露要求 否</w:t>
      </w:r>
    </w:p>
    <w:p>
      <w:pPr>
        <w:pStyle w:val="BodyText"/>
        <w:spacing w:line="319" w:lineRule="auto" w:before="25"/>
        <w:ind w:right="1131" w:firstLine="380"/>
        <w:jc w:val="both"/>
      </w:pPr>
      <w:r>
        <w:rPr/>
        <w:t>在建工程项目按建造该项资产达到预定可使用状态前所发生的必要支出，作为固定资产的入账价值。所建造的固定资</w:t>
      </w:r>
      <w:r>
        <w:rPr>
          <w:spacing w:val="1"/>
        </w:rPr>
        <w:t> </w:t>
      </w:r>
      <w:r>
        <w:rPr>
          <w:spacing w:val="-2"/>
        </w:rPr>
        <w:t>产在工程已达到预定可使用状态，但尚未办理竣工决算的，自达到预定可使用状态之日起，根据工程预算、造价或者工程实</w:t>
      </w:r>
      <w:r>
        <w:rPr>
          <w:spacing w:val="-66"/>
        </w:rPr>
        <w:t> </w:t>
      </w:r>
      <w:r>
        <w:rPr>
          <w:spacing w:val="-66"/>
        </w:rPr>
      </w:r>
      <w:r>
        <w:rPr>
          <w:spacing w:val="-2"/>
        </w:rPr>
        <w:t>际成本等，按估计的价值转入固定资产，并按本公司固定资产折旧政策计提固定资产的折旧，待办理竣工决算后，再按实际</w:t>
      </w:r>
      <w:r>
        <w:rPr>
          <w:spacing w:val="-66"/>
        </w:rPr>
        <w:t> </w:t>
      </w:r>
      <w:r>
        <w:rPr>
          <w:spacing w:val="-66"/>
        </w:rPr>
      </w:r>
      <w:r>
        <w:rPr/>
        <w:t>成本调整原来的暂估价值，但不调整原已计提的折旧额。</w:t>
      </w:r>
    </w:p>
    <w:p>
      <w:pPr>
        <w:spacing w:after="0" w:line="319" w:lineRule="auto"/>
        <w:jc w:val="both"/>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8、借款费用" w:id="192"/>
      <w:bookmarkEnd w:id="192"/>
      <w:r>
        <w:rPr>
          <w:b w:val="0"/>
          <w:bCs w:val="0"/>
        </w:rPr>
      </w:r>
      <w:r>
        <w:rPr>
          <w:rFonts w:ascii="Times New Roman" w:hAnsi="Times New Roman" w:cs="Times New Roman" w:eastAsia="Times New Roman" w:hint="default"/>
        </w:rPr>
        <w:t>18</w:t>
      </w:r>
      <w:r>
        <w:rPr/>
        <w:t>、借款费用</w:t>
      </w:r>
      <w:r>
        <w:rPr>
          <w:b w:val="0"/>
          <w:bCs w:val="0"/>
        </w:rPr>
      </w:r>
    </w:p>
    <w:p>
      <w:pPr>
        <w:spacing w:line="240" w:lineRule="auto" w:before="5"/>
        <w:rPr>
          <w:rFonts w:ascii="宋体" w:hAnsi="宋体" w:cs="宋体" w:eastAsia="宋体" w:hint="default"/>
          <w:b/>
          <w:bCs/>
          <w:sz w:val="23"/>
          <w:szCs w:val="23"/>
        </w:rPr>
      </w:pPr>
    </w:p>
    <w:p>
      <w:pPr>
        <w:pStyle w:val="BodyText"/>
        <w:spacing w:line="357" w:lineRule="auto"/>
        <w:ind w:left="514" w:right="1118" w:hanging="17"/>
        <w:jc w:val="left"/>
      </w:pPr>
      <w:r>
        <w:rPr>
          <w:rFonts w:ascii="宋体" w:hAnsi="宋体" w:cs="宋体" w:eastAsia="宋体" w:hint="default"/>
        </w:rPr>
        <w:t>1</w:t>
      </w:r>
      <w:r>
        <w:rPr/>
        <w:t>、借款费用资本化的确认原则 借款费用，包括借款利息、折价或者溢价的摊销、辅助费用以及因外币借款而发生的汇兑差额等。 符合资本化条件的资产，是指需要经过相当长时间的购建或者生产活动才能达到预定可使用或者可销售状态的固定资</w:t>
      </w:r>
    </w:p>
    <w:p>
      <w:pPr>
        <w:pStyle w:val="BodyText"/>
        <w:spacing w:line="357" w:lineRule="auto" w:before="25"/>
        <w:ind w:left="514" w:right="6972" w:hanging="360"/>
        <w:jc w:val="left"/>
      </w:pPr>
      <w:r>
        <w:rPr/>
        <w:t>产、投资性房地产和存货等资产。 借款费用同时满足下列条件时开始资本化：</w:t>
      </w:r>
    </w:p>
    <w:p>
      <w:pPr>
        <w:pStyle w:val="BodyText"/>
        <w:spacing w:line="357" w:lineRule="auto" w:before="26"/>
        <w:ind w:right="0" w:firstLine="270"/>
        <w:jc w:val="left"/>
      </w:pPr>
      <w:r>
        <w:rPr>
          <w:spacing w:val="-2"/>
        </w:rPr>
        <w:t>（</w:t>
      </w:r>
      <w:r>
        <w:rPr>
          <w:rFonts w:ascii="宋体" w:hAnsi="宋体" w:cs="宋体" w:eastAsia="宋体" w:hint="default"/>
          <w:spacing w:val="-2"/>
        </w:rPr>
        <w:t>1</w:t>
      </w:r>
      <w:r>
        <w:rPr>
          <w:spacing w:val="-2"/>
        </w:rPr>
        <w:t>）资产支出已经发生，资产支出包括为购建或者生产符合资本化条件的资产而以支付现金、转移非现金资产或者承担</w:t>
      </w:r>
      <w:r>
        <w:rPr/>
        <w:t> 带息债务形式发生的支出；</w:t>
      </w:r>
    </w:p>
    <w:p>
      <w:pPr>
        <w:pStyle w:val="BodyText"/>
        <w:spacing w:line="240" w:lineRule="auto" w:before="26"/>
        <w:ind w:left="424" w:right="0"/>
        <w:jc w:val="left"/>
      </w:pPr>
      <w:r>
        <w:rPr/>
        <w:t>（</w:t>
      </w:r>
      <w:r>
        <w:rPr>
          <w:rFonts w:ascii="宋体" w:hAnsi="宋体" w:cs="宋体" w:eastAsia="宋体" w:hint="default"/>
        </w:rPr>
        <w:t>2</w:t>
      </w:r>
      <w:r>
        <w:rPr/>
        <w:t>）借款费用已经发生；</w:t>
      </w:r>
    </w:p>
    <w:p>
      <w:pPr>
        <w:pStyle w:val="BodyText"/>
        <w:spacing w:line="240" w:lineRule="auto" w:before="113"/>
        <w:ind w:left="424" w:right="0"/>
        <w:jc w:val="left"/>
      </w:pPr>
      <w:r>
        <w:rPr/>
        <w:t>（</w:t>
      </w:r>
      <w:r>
        <w:rPr>
          <w:rFonts w:ascii="宋体" w:hAnsi="宋体" w:cs="宋体" w:eastAsia="宋体" w:hint="default"/>
        </w:rPr>
        <w:t>3</w:t>
      </w:r>
      <w:r>
        <w:rPr/>
        <w:t>）为使资产达到预定可使用或者可销售状态所必要的购建或者生产活动已经开始。</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26"/>
          <w:szCs w:val="26"/>
        </w:rPr>
      </w:pPr>
    </w:p>
    <w:p>
      <w:pPr>
        <w:pStyle w:val="BodyText"/>
        <w:spacing w:line="357" w:lineRule="auto"/>
        <w:ind w:left="514" w:right="0" w:firstLine="20"/>
        <w:jc w:val="left"/>
      </w:pPr>
      <w:r>
        <w:rPr>
          <w:rFonts w:ascii="宋体" w:hAnsi="宋体" w:cs="宋体" w:eastAsia="宋体" w:hint="default"/>
        </w:rPr>
        <w:t>2</w:t>
      </w:r>
      <w:r>
        <w:rPr/>
        <w:t>、借款费用资本化期间 资本化期间，指从借款费用开始资本化时点到停止资本化时点的期间，借款费用暂停资本化的期间不包括在内。 当购建或者生产符合资本化条件的资产达到预定可使用或者可销售状态时，借款费用停止资本化。 当购建或者生产符合资本化条件的资产中部分项目分别完工且可单独使用时，该部分资产借款费用停止资本化。 </w:t>
      </w:r>
      <w:r>
        <w:rPr>
          <w:spacing w:val="-2"/>
        </w:rPr>
        <w:t>购建或者生产的资产的各部分分别完工，但必须等到整体完工后才可使用或可对外销售的，在该资产整体完工时停止借</w:t>
      </w:r>
    </w:p>
    <w:p>
      <w:pPr>
        <w:pStyle w:val="BodyText"/>
        <w:spacing w:line="240" w:lineRule="auto" w:before="26"/>
        <w:ind w:right="0"/>
        <w:jc w:val="left"/>
      </w:pPr>
      <w:r>
        <w:rPr/>
        <w:t>款费用资本化。</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357" w:lineRule="auto"/>
        <w:ind w:left="514" w:right="0" w:firstLine="90"/>
        <w:jc w:val="left"/>
      </w:pPr>
      <w:r>
        <w:rPr>
          <w:rFonts w:ascii="宋体" w:hAnsi="宋体" w:cs="宋体" w:eastAsia="宋体" w:hint="default"/>
        </w:rPr>
        <w:t>3</w:t>
      </w:r>
      <w:r>
        <w:rPr/>
        <w:t>、暂停资本化期间 </w:t>
      </w:r>
      <w:r>
        <w:rPr>
          <w:spacing w:val="-2"/>
        </w:rPr>
        <w:t>符合资本化条件的资产在购建或生产过程中发生的非正常中断、且中断时间连续超过</w:t>
      </w:r>
      <w:r>
        <w:rPr>
          <w:rFonts w:ascii="宋体" w:hAnsi="宋体" w:cs="宋体" w:eastAsia="宋体" w:hint="default"/>
          <w:spacing w:val="-2"/>
        </w:rPr>
        <w:t>3</w:t>
      </w:r>
      <w:r>
        <w:rPr>
          <w:spacing w:val="-2"/>
        </w:rPr>
        <w:t>个月的，则借款费用暂停资本化；</w:t>
      </w:r>
    </w:p>
    <w:p>
      <w:pPr>
        <w:pStyle w:val="BodyText"/>
        <w:spacing w:line="357" w:lineRule="auto" w:before="25"/>
        <w:ind w:right="0"/>
        <w:jc w:val="left"/>
      </w:pPr>
      <w:r>
        <w:rPr>
          <w:spacing w:val="-2"/>
        </w:rPr>
        <w:t>该项中断如是所购建或生产的符合资本化条件的资产达到预定可使用状态或者可销售状态必要的程序，则借款费用继续资本</w:t>
      </w:r>
      <w:r>
        <w:rPr>
          <w:spacing w:val="-64"/>
        </w:rPr>
        <w:t> </w:t>
      </w:r>
      <w:r>
        <w:rPr>
          <w:spacing w:val="-64"/>
        </w:rPr>
      </w:r>
      <w:r>
        <w:rPr/>
        <w:t>化。在中断期间发生的借款费用确认为当期损益，直至资产的购建或者生产活动重新开始后借款费用继续资本化。</w:t>
      </w:r>
    </w:p>
    <w:p>
      <w:pPr>
        <w:spacing w:line="240" w:lineRule="auto" w:before="0"/>
        <w:rPr>
          <w:rFonts w:ascii="宋体" w:hAnsi="宋体" w:cs="宋体" w:eastAsia="宋体" w:hint="default"/>
          <w:sz w:val="18"/>
          <w:szCs w:val="18"/>
        </w:rPr>
      </w:pPr>
    </w:p>
    <w:p>
      <w:pPr>
        <w:pStyle w:val="BodyText"/>
        <w:spacing w:line="357" w:lineRule="auto" w:before="141"/>
        <w:ind w:left="514" w:right="0" w:firstLine="90"/>
        <w:jc w:val="left"/>
      </w:pPr>
      <w:r>
        <w:rPr>
          <w:rFonts w:ascii="宋体" w:hAnsi="宋体" w:cs="宋体" w:eastAsia="宋体" w:hint="default"/>
        </w:rPr>
        <w:t>4</w:t>
      </w:r>
      <w:r>
        <w:rPr/>
        <w:t>、借款费用资本化率、资本化金额的计算方法 </w:t>
      </w:r>
      <w:r>
        <w:rPr>
          <w:spacing w:val="-2"/>
        </w:rPr>
        <w:t>对于为购建或者生产符合资本化条件的资产而借入的专门借款，以专门借款当期实际发生的借款费用，减去尚未动用的</w:t>
      </w:r>
    </w:p>
    <w:p>
      <w:pPr>
        <w:pStyle w:val="BodyText"/>
        <w:spacing w:line="357" w:lineRule="auto" w:before="25"/>
        <w:ind w:left="514" w:right="0" w:hanging="360"/>
        <w:jc w:val="left"/>
      </w:pPr>
      <w:r>
        <w:rPr/>
        <w:t>借款资金存入银行取得的利息收入或进行暂时性投资取得的投资收益后的金额，来确定借款费用的资本化金额。 </w:t>
      </w:r>
      <w:r>
        <w:rPr>
          <w:spacing w:val="-2"/>
        </w:rPr>
        <w:t>对于为购建或者生产符合资本化条件的资产而占用的一般借款，根据累计资产支出超过专门借款部分的资产支出加权平</w:t>
      </w:r>
    </w:p>
    <w:p>
      <w:pPr>
        <w:pStyle w:val="BodyText"/>
        <w:spacing w:line="357" w:lineRule="auto" w:before="26"/>
        <w:ind w:right="1118"/>
        <w:jc w:val="left"/>
      </w:pPr>
      <w:r>
        <w:rPr>
          <w:spacing w:val="-2"/>
        </w:rPr>
        <w:t>均数乘以所占用一般借款的资本化率，计算确定一般借款应予资本化的借款费用金额。资本化率根据一般借款加权平均利率</w:t>
      </w:r>
      <w:r>
        <w:rPr>
          <w:spacing w:val="-64"/>
        </w:rPr>
        <w:t> </w:t>
      </w:r>
      <w:r>
        <w:rPr>
          <w:spacing w:val="-64"/>
        </w:rPr>
      </w:r>
      <w:r>
        <w:rPr/>
        <w:t>计算确定。</w:t>
      </w: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bookmarkStart w:name="19、生物资产" w:id="193"/>
      <w:bookmarkEnd w:id="193"/>
      <w:r>
        <w:rPr>
          <w:b w:val="0"/>
          <w:bCs w:val="0"/>
        </w:rPr>
      </w:r>
      <w:r>
        <w:rPr>
          <w:rFonts w:ascii="Times New Roman" w:hAnsi="Times New Roman" w:cs="Times New Roman" w:eastAsia="Times New Roman" w:hint="default"/>
        </w:rPr>
        <w:t>19</w:t>
      </w:r>
      <w:r>
        <w:rPr/>
        <w:t>、生物资产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0、油气资产" w:id="194"/>
      <w:bookmarkEnd w:id="194"/>
      <w:r>
        <w:rPr>
          <w:b w:val="0"/>
          <w:bCs w:val="0"/>
        </w:rPr>
      </w:r>
      <w:r>
        <w:rPr>
          <w:rFonts w:ascii="Times New Roman" w:hAnsi="Times New Roman" w:cs="Times New Roman" w:eastAsia="Times New Roman" w:hint="default"/>
        </w:rPr>
        <w:t>20</w:t>
      </w:r>
      <w:r>
        <w:rPr/>
        <w:t>、油气资产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无</w:t>
      </w:r>
    </w:p>
    <w:p>
      <w:pPr>
        <w:spacing w:after="0" w:line="240" w:lineRule="auto"/>
        <w:jc w:val="left"/>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1、无形资产" w:id="195"/>
      <w:bookmarkEnd w:id="195"/>
      <w:r>
        <w:rPr>
          <w:b w:val="0"/>
          <w:bCs w:val="0"/>
        </w:rPr>
      </w:r>
      <w:r>
        <w:rPr>
          <w:rFonts w:ascii="Times New Roman" w:hAnsi="Times New Roman" w:cs="Times New Roman" w:eastAsia="Times New Roman" w:hint="default"/>
        </w:rPr>
        <w:t>21</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计价方法、使用寿命、减值测试" w:id="196"/>
      <w:bookmarkEnd w:id="196"/>
      <w:r>
        <w:rPr>
          <w:b w:val="0"/>
          <w:bCs w:val="0"/>
        </w:rPr>
      </w:r>
      <w:r>
        <w:rPr/>
        <w:t>（</w:t>
      </w:r>
      <w:r>
        <w:rPr>
          <w:rFonts w:ascii="Times New Roman" w:hAnsi="Times New Roman" w:cs="Times New Roman" w:eastAsia="Times New Roman" w:hint="default"/>
        </w:rPr>
        <w:t>1</w:t>
      </w:r>
      <w:r>
        <w:rPr/>
        <w:t>）计价方法、使用寿命、减值测试</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223" w:lineRule="exact"/>
        <w:ind w:left="461" w:right="0"/>
        <w:jc w:val="left"/>
      </w:pPr>
      <w:r>
        <w:rPr>
          <w:rFonts w:ascii="宋体" w:hAnsi="宋体" w:cs="宋体" w:eastAsia="宋体" w:hint="default"/>
        </w:rPr>
        <w:t>1</w:t>
      </w:r>
      <w:r>
        <w:rPr/>
        <w:t>、无形资产的计价方法</w:t>
      </w:r>
    </w:p>
    <w:p>
      <w:pPr>
        <w:pStyle w:val="BodyText"/>
        <w:spacing w:line="355" w:lineRule="auto" w:before="115"/>
        <w:ind w:left="514" w:right="0"/>
        <w:jc w:val="left"/>
      </w:pPr>
      <w:r>
        <w:rPr/>
        <w:t>（</w:t>
      </w:r>
      <w:r>
        <w:rPr>
          <w:rFonts w:ascii="宋体" w:hAnsi="宋体" w:cs="宋体" w:eastAsia="宋体" w:hint="default"/>
        </w:rPr>
        <w:t>1</w:t>
      </w:r>
      <w:r>
        <w:rPr/>
        <w:t>）公司取得无形资产时按成本进行初始计量； </w:t>
      </w:r>
      <w:r>
        <w:rPr>
          <w:spacing w:val="-2"/>
        </w:rPr>
        <w:t>外购无形资产的成本，包括购买价款、相关税费以及直接归属于使该项资产达到预定用途所发生的其他支出。购买无形</w:t>
      </w:r>
    </w:p>
    <w:p>
      <w:pPr>
        <w:pStyle w:val="BodyText"/>
        <w:spacing w:line="357" w:lineRule="auto" w:before="28"/>
        <w:ind w:left="514" w:right="0" w:hanging="360"/>
        <w:jc w:val="left"/>
      </w:pPr>
      <w:r>
        <w:rPr/>
        <w:t>资产的价款超过正常信用条件延期支付，实质上具有融资性质的，无形资产的成本以购买价款的现值为基础确定。 </w:t>
      </w:r>
      <w:r>
        <w:rPr>
          <w:spacing w:val="-2"/>
        </w:rPr>
        <w:t>债务重组取得债务人用以抵债的无形资产，以该无形资产的公允价值为基础确定其入账价值，并将重组债务的账面价值</w:t>
      </w:r>
    </w:p>
    <w:p>
      <w:pPr>
        <w:pStyle w:val="BodyText"/>
        <w:spacing w:line="357" w:lineRule="auto" w:before="26"/>
        <w:ind w:left="514" w:right="0" w:hanging="360"/>
        <w:jc w:val="left"/>
      </w:pPr>
      <w:r>
        <w:rPr/>
        <w:t>与该用以抵债的无形资产公允价值之间的差额，计入当期损益。 </w:t>
      </w:r>
      <w:r>
        <w:rPr>
          <w:spacing w:val="-2"/>
        </w:rPr>
        <w:t>在非货币性资产交换具备商业实质且换入资产或换出资产的公允价值能够可靠计量的前提下，非货币性资产交换换入的</w:t>
      </w:r>
    </w:p>
    <w:p>
      <w:pPr>
        <w:pStyle w:val="BodyText"/>
        <w:spacing w:line="357" w:lineRule="auto" w:before="25"/>
        <w:ind w:right="0"/>
        <w:jc w:val="left"/>
      </w:pPr>
      <w:r>
        <w:rPr>
          <w:spacing w:val="-2"/>
        </w:rPr>
        <w:t>无形资产以换出资产的公允价值为基础确定其入账价值，除非有确凿证据表明换入资产的公允价值更加可靠；不满足上述前</w:t>
      </w:r>
      <w:r>
        <w:rPr>
          <w:spacing w:val="-64"/>
        </w:rPr>
        <w:t> </w:t>
      </w:r>
      <w:r>
        <w:rPr>
          <w:spacing w:val="-64"/>
        </w:rPr>
      </w:r>
      <w:r>
        <w:rPr/>
        <w:t>提的非货币性资产交换，以换出资产的账面价值和应支付的相关税费作为换入无形资产的成本，不确认损益。</w:t>
      </w:r>
    </w:p>
    <w:p>
      <w:pPr>
        <w:pStyle w:val="BodyText"/>
        <w:spacing w:line="357" w:lineRule="auto" w:before="26"/>
        <w:ind w:left="514" w:right="7152" w:hanging="90"/>
        <w:jc w:val="left"/>
      </w:pPr>
      <w:r>
        <w:rPr/>
        <w:t>（</w:t>
      </w:r>
      <w:r>
        <w:rPr>
          <w:rFonts w:ascii="宋体" w:hAnsi="宋体" w:cs="宋体" w:eastAsia="宋体" w:hint="default"/>
        </w:rPr>
        <w:t>2</w:t>
      </w:r>
      <w:r>
        <w:rPr/>
        <w:t>）后续计量 在取得无形资产时分析判断其使用寿命。</w:t>
      </w:r>
    </w:p>
    <w:p>
      <w:pPr>
        <w:pStyle w:val="BodyText"/>
        <w:spacing w:line="355" w:lineRule="auto" w:before="26"/>
        <w:ind w:right="0" w:firstLine="360"/>
        <w:jc w:val="left"/>
      </w:pPr>
      <w:r>
        <w:rPr>
          <w:spacing w:val="-2"/>
        </w:rPr>
        <w:t>对于使用寿命有限的无形资产，在为企业带来经济利益的期限内按直线法摊销；无法预见无形资产为企业带来经济利益</w:t>
      </w:r>
      <w:r>
        <w:rPr/>
        <w:t> 期限的，视为使用寿命不确定的无形资产，不予摊销。</w:t>
      </w:r>
    </w:p>
    <w:p>
      <w:pPr>
        <w:spacing w:line="240" w:lineRule="auto" w:before="0"/>
        <w:rPr>
          <w:rFonts w:ascii="宋体" w:hAnsi="宋体" w:cs="宋体" w:eastAsia="宋体" w:hint="default"/>
          <w:sz w:val="18"/>
          <w:szCs w:val="18"/>
        </w:rPr>
      </w:pPr>
    </w:p>
    <w:p>
      <w:pPr>
        <w:pStyle w:val="BodyText"/>
        <w:spacing w:line="240" w:lineRule="auto" w:before="146"/>
        <w:ind w:left="444" w:right="0"/>
        <w:jc w:val="left"/>
      </w:pPr>
      <w:r>
        <w:rPr>
          <w:rFonts w:ascii="Times New Roman" w:hAnsi="Times New Roman" w:cs="Times New Roman" w:eastAsia="Times New Roman" w:hint="default"/>
        </w:rPr>
        <w:t>2</w:t>
      </w:r>
      <w:r>
        <w:rPr/>
        <w:t>、使用寿命有限的无形资产的使用寿命估计情况：</w:t>
      </w:r>
    </w:p>
    <w:p>
      <w:pPr>
        <w:spacing w:line="240" w:lineRule="auto" w:before="11"/>
        <w:rPr>
          <w:rFonts w:ascii="宋体" w:hAnsi="宋体" w:cs="宋体" w:eastAsia="宋体" w:hint="default"/>
          <w:sz w:val="27"/>
          <w:szCs w:val="27"/>
        </w:rPr>
      </w:pPr>
    </w:p>
    <w:tbl>
      <w:tblPr>
        <w:tblW w:w="0" w:type="auto"/>
        <w:jc w:val="left"/>
        <w:tblInd w:w="575" w:type="dxa"/>
        <w:tblLayout w:type="fixed"/>
        <w:tblCellMar>
          <w:top w:w="0" w:type="dxa"/>
          <w:left w:w="0" w:type="dxa"/>
          <w:bottom w:w="0" w:type="dxa"/>
          <w:right w:w="0" w:type="dxa"/>
        </w:tblCellMar>
        <w:tblLook w:val="01E0"/>
      </w:tblPr>
      <w:tblGrid>
        <w:gridCol w:w="1559"/>
        <w:gridCol w:w="2127"/>
        <w:gridCol w:w="1394"/>
      </w:tblGrid>
      <w:tr>
        <w:trPr>
          <w:trHeight w:val="342"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04"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预计使用寿命（年）</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342"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软件</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1"/>
              <w:jc w:val="center"/>
              <w:rPr>
                <w:rFonts w:ascii="Times New Roman" w:hAnsi="Times New Roman" w:cs="Times New Roman" w:eastAsia="Times New Roman" w:hint="default"/>
                <w:sz w:val="18"/>
                <w:szCs w:val="18"/>
              </w:rPr>
            </w:pPr>
            <w:r>
              <w:rPr>
                <w:rFonts w:ascii="Times New Roman"/>
                <w:sz w:val="18"/>
              </w:rPr>
              <w:t>5</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预计使用期限</w:t>
            </w:r>
          </w:p>
        </w:tc>
      </w:tr>
      <w:tr>
        <w:trPr>
          <w:trHeight w:val="342" w:hRule="exact"/>
        </w:trPr>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知识产权（注）</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Times New Roman" w:hAnsi="Times New Roman" w:cs="Times New Roman" w:eastAsia="Times New Roman" w:hint="default"/>
                <w:sz w:val="18"/>
                <w:szCs w:val="18"/>
              </w:rPr>
            </w:pPr>
            <w:r>
              <w:rPr>
                <w:rFonts w:ascii="Times New Roman"/>
                <w:sz w:val="18"/>
              </w:rPr>
              <w:t>10</w:t>
            </w:r>
          </w:p>
        </w:tc>
        <w:tc>
          <w:tcPr>
            <w:tcW w:w="13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预计使用期限</w:t>
            </w:r>
          </w:p>
        </w:tc>
      </w:tr>
    </w:tbl>
    <w:p>
      <w:pPr>
        <w:spacing w:line="240" w:lineRule="auto" w:before="3"/>
        <w:rPr>
          <w:rFonts w:ascii="宋体" w:hAnsi="宋体" w:cs="宋体" w:eastAsia="宋体" w:hint="default"/>
          <w:sz w:val="21"/>
          <w:szCs w:val="21"/>
        </w:rPr>
      </w:pPr>
    </w:p>
    <w:p>
      <w:pPr>
        <w:pStyle w:val="BodyText"/>
        <w:spacing w:line="316" w:lineRule="auto" w:before="44"/>
        <w:ind w:left="444" w:right="0"/>
        <w:jc w:val="left"/>
      </w:pPr>
      <w:r>
        <w:rPr/>
        <w:t>注：知识产权为公司所拥有的零售商业体信息统计与分析管理系统。 每年度终了，对使用寿命有限的无形资产的使用寿命及摊销方法进行复核。 经复核，本年期末无形资产的使用寿命及摊销方法与以前估计未有不同。</w:t>
      </w:r>
    </w:p>
    <w:p>
      <w:pPr>
        <w:spacing w:line="240" w:lineRule="auto" w:before="4"/>
        <w:rPr>
          <w:rFonts w:ascii="宋体" w:hAnsi="宋体" w:cs="宋体" w:eastAsia="宋体" w:hint="default"/>
          <w:sz w:val="25"/>
          <w:szCs w:val="25"/>
        </w:rPr>
      </w:pPr>
    </w:p>
    <w:p>
      <w:pPr>
        <w:pStyle w:val="BodyText"/>
        <w:spacing w:line="300" w:lineRule="auto"/>
        <w:ind w:left="677" w:right="4433" w:hanging="234"/>
        <w:jc w:val="left"/>
      </w:pPr>
      <w:r>
        <w:rPr>
          <w:rFonts w:ascii="Times New Roman" w:hAnsi="Times New Roman" w:cs="Times New Roman" w:eastAsia="Times New Roman" w:hint="default"/>
        </w:rPr>
        <w:t>3</w:t>
      </w:r>
      <w:r>
        <w:rPr/>
        <w:t>、使用寿命不确定的无形资产的判断依据以及对其使用寿命进行复核的程序 截至资产负债表日，本公司没有使用寿命不确定的无形资产。</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2）内部研究开发支出会计政策" w:id="197"/>
      <w:bookmarkEnd w:id="197"/>
      <w:r>
        <w:rPr>
          <w:b w:val="0"/>
          <w:bCs w:val="0"/>
        </w:rPr>
      </w:r>
      <w:r>
        <w:rPr/>
        <w:t>（</w:t>
      </w:r>
      <w:r>
        <w:rPr>
          <w:rFonts w:ascii="Times New Roman" w:hAnsi="Times New Roman" w:cs="Times New Roman" w:eastAsia="Times New Roman" w:hint="default"/>
        </w:rPr>
        <w:t>2</w:t>
      </w:r>
      <w:r>
        <w:rPr/>
        <w:t>）内部研究开发支出会计政策</w:t>
      </w:r>
      <w:r>
        <w:rPr>
          <w:b w:val="0"/>
          <w:bCs w:val="0"/>
        </w:rPr>
      </w:r>
    </w:p>
    <w:p>
      <w:pPr>
        <w:spacing w:line="240" w:lineRule="auto" w:before="8"/>
        <w:rPr>
          <w:rFonts w:ascii="宋体" w:hAnsi="宋体" w:cs="宋体" w:eastAsia="宋体" w:hint="default"/>
          <w:b/>
          <w:bCs/>
          <w:sz w:val="26"/>
          <w:szCs w:val="26"/>
        </w:rPr>
      </w:pPr>
    </w:p>
    <w:p>
      <w:pPr>
        <w:pStyle w:val="BodyText"/>
        <w:spacing w:line="316" w:lineRule="auto"/>
        <w:ind w:left="534" w:right="0"/>
        <w:jc w:val="left"/>
      </w:pPr>
      <w:r>
        <w:rPr/>
        <w:t>划分研究阶段和开发阶段的具体标准：公司内部研究开发项目的支出分为研究阶段支出和开发阶段支出。 研究阶段：为获取并理解新的科学或技术知识等而进行的独创性的有计划调查、研究活动的阶段。 开发阶段：在进行商业性生产或使用前，将研究成果或其他知识应用于某项计划或设计，以生产出新的或具有实质性</w:t>
      </w:r>
    </w:p>
    <w:p>
      <w:pPr>
        <w:pStyle w:val="BodyText"/>
        <w:spacing w:line="240" w:lineRule="auto" w:before="19"/>
        <w:ind w:right="0"/>
        <w:jc w:val="left"/>
      </w:pPr>
      <w:r>
        <w:rPr/>
        <w:t>改进的材料、装置、产品等活动的阶段。</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2、长期资产减值" w:id="198"/>
      <w:bookmarkEnd w:id="198"/>
      <w:r>
        <w:rPr>
          <w:b w:val="0"/>
          <w:bCs w:val="0"/>
        </w:rPr>
      </w:r>
      <w:r>
        <w:rPr>
          <w:rFonts w:ascii="Times New Roman" w:hAnsi="Times New Roman" w:cs="Times New Roman" w:eastAsia="Times New Roman" w:hint="default"/>
        </w:rPr>
        <w:t>22</w:t>
      </w:r>
      <w:r>
        <w:rPr/>
        <w:t>、长期资产减值</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534" w:right="0"/>
        <w:jc w:val="left"/>
      </w:pPr>
      <w:r>
        <w:rPr/>
        <w:t>长期股权投资、采用成本模式计量的投资性房地产、固定资产、在建工程、使用寿命有限的无形资产等长期资产，于</w:t>
      </w:r>
    </w:p>
    <w:p>
      <w:pPr>
        <w:spacing w:after="0" w:line="240" w:lineRule="auto"/>
        <w:jc w:val="left"/>
        <w:sectPr>
          <w:pgSz w:w="11910" w:h="16840"/>
          <w:pgMar w:header="877" w:footer="979" w:top="1060" w:bottom="1160" w:left="980" w:right="0"/>
        </w:sectPr>
      </w:pPr>
    </w:p>
    <w:p>
      <w:pPr>
        <w:spacing w:line="240" w:lineRule="auto" w:before="10"/>
        <w:rPr>
          <w:rFonts w:ascii="宋体" w:hAnsi="宋体" w:cs="宋体" w:eastAsia="宋体" w:hint="default"/>
          <w:sz w:val="22"/>
          <w:szCs w:val="22"/>
        </w:rPr>
      </w:pPr>
    </w:p>
    <w:p>
      <w:pPr>
        <w:pStyle w:val="BodyText"/>
        <w:spacing w:line="357" w:lineRule="auto" w:before="44"/>
        <w:ind w:right="1131"/>
        <w:jc w:val="both"/>
      </w:pPr>
      <w:r>
        <w:rPr>
          <w:spacing w:val="-2"/>
        </w:rPr>
        <w:t>资产负债表日存在减值迹象的，进行减值测试。减值测试结果表明资产的可收回金额低于其账面价值的，按其差额计提减值</w:t>
      </w:r>
      <w:r>
        <w:rPr>
          <w:spacing w:val="-66"/>
        </w:rPr>
        <w:t> </w:t>
      </w:r>
      <w:r>
        <w:rPr>
          <w:spacing w:val="-66"/>
        </w:rPr>
      </w:r>
      <w:r>
        <w:rPr>
          <w:spacing w:val="-2"/>
        </w:rPr>
        <w:t>准备并计入减值损失。可收回金额为资产的公允价值减去处置费用后的净额与资产预计未来现金流量的现值两者之间的较高</w:t>
      </w:r>
      <w:r>
        <w:rPr>
          <w:spacing w:val="-64"/>
        </w:rPr>
        <w:t> </w:t>
      </w:r>
      <w:r>
        <w:rPr>
          <w:spacing w:val="-64"/>
        </w:rPr>
      </w:r>
      <w:r>
        <w:rPr>
          <w:spacing w:val="-2"/>
        </w:rPr>
        <w:t>者。资产减值准备按单项资产为基础计算并确认，如果难以对单项资产的可收回金额进行估计的，以该资产所属的资产组确</w:t>
      </w:r>
      <w:r>
        <w:rPr>
          <w:spacing w:val="-66"/>
        </w:rPr>
        <w:t> </w:t>
      </w:r>
      <w:r>
        <w:rPr>
          <w:spacing w:val="-66"/>
        </w:rPr>
      </w:r>
      <w:r>
        <w:rPr/>
        <w:t>定资产组的可收回金额。资产组是能够独立产生现金流入的最小资产组合。</w:t>
      </w:r>
    </w:p>
    <w:p>
      <w:pPr>
        <w:pStyle w:val="BodyText"/>
        <w:spacing w:line="357" w:lineRule="auto" w:before="27"/>
        <w:ind w:left="534" w:right="0"/>
        <w:jc w:val="left"/>
      </w:pPr>
      <w:r>
        <w:rPr/>
        <w:t>商誉和使用寿命不确定的无形资产至少在每年年度终了进行减值测试。 </w:t>
      </w:r>
      <w:r>
        <w:rPr>
          <w:spacing w:val="-1"/>
        </w:rPr>
        <w:t>本公司进行商誉减值测试，对于因企业合并形成的商誉的账面价值，自购买日起按照合理的方法分摊至相关的资产组；</w:t>
      </w:r>
    </w:p>
    <w:p>
      <w:pPr>
        <w:pStyle w:val="BodyText"/>
        <w:spacing w:line="357" w:lineRule="auto" w:before="26"/>
        <w:ind w:right="1032"/>
        <w:jc w:val="left"/>
      </w:pPr>
      <w:r>
        <w:rPr/>
        <w:t>难以分摊至相关的资产组的，将其分摊至相关的资产组组合。在将商誉的账面价值分摊至相关的资产组或者资产组组合时， </w:t>
      </w:r>
      <w:r>
        <w:rPr>
          <w:spacing w:val="-2"/>
        </w:rPr>
        <w:t>按照各资产组或者资产组组合的公允价值占相关资产组或者资产组组合公允价值总额的比例进行分摊。公允价值难以可靠计</w:t>
      </w:r>
      <w:r>
        <w:rPr>
          <w:spacing w:val="-64"/>
        </w:rPr>
        <w:t> </w:t>
      </w:r>
      <w:r>
        <w:rPr>
          <w:spacing w:val="-64"/>
        </w:rPr>
      </w:r>
      <w:r>
        <w:rPr/>
        <w:t>量的，按照各资产组或者资产组组合的账面价值占相关资产组或者资产组组合账面价值总额的比例进行分摊。</w:t>
      </w:r>
    </w:p>
    <w:p>
      <w:pPr>
        <w:pStyle w:val="BodyText"/>
        <w:spacing w:line="357" w:lineRule="auto" w:before="26"/>
        <w:ind w:right="1032" w:firstLine="380"/>
        <w:jc w:val="left"/>
      </w:pPr>
      <w:r>
        <w:rPr>
          <w:spacing w:val="-1"/>
        </w:rPr>
        <w:t>在对包含商誉的相关资产组或者资产组组合进行减值测试时，如与商誉相关的资产组或者资产组组合存在减值迹象的，</w:t>
      </w:r>
      <w:r>
        <w:rPr/>
        <w:t> </w:t>
      </w:r>
      <w:r>
        <w:rPr>
          <w:spacing w:val="-4"/>
        </w:rPr>
        <w:t>先对不包含商誉的资产组或者资产组组合进行减值测试，计算可收回金额，并与相关账面价值相比较，确认相应的减值损失。</w:t>
      </w:r>
      <w:r>
        <w:rPr>
          <w:spacing w:val="-44"/>
        </w:rPr>
        <w:t> </w:t>
      </w:r>
      <w:r>
        <w:rPr>
          <w:spacing w:val="-44"/>
        </w:rPr>
      </w:r>
      <w:r>
        <w:rPr>
          <w:spacing w:val="-2"/>
        </w:rPr>
        <w:t>再对包含商誉的资产组或者资产组组合进行减值测试，比较这些相关资产组或者资产组组合的账面价值（包括所分摊的商誉</w:t>
      </w:r>
      <w:r>
        <w:rPr>
          <w:spacing w:val="-64"/>
        </w:rPr>
        <w:t> </w:t>
      </w:r>
      <w:r>
        <w:rPr>
          <w:spacing w:val="-64"/>
        </w:rPr>
      </w:r>
      <w:r>
        <w:rPr/>
        <w:t>的账面价值部分）与其可收回金额，如相关资产组或者资产组组合的可收回金额低于其账面价值的，确认商誉的减值损失。 上述资产减值损失一经确认，在以后会计期间不予转回。</w:t>
      </w: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bookmarkStart w:name="23、长期待摊费用" w:id="199"/>
      <w:bookmarkEnd w:id="199"/>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13"/>
        <w:rPr>
          <w:rFonts w:ascii="宋体" w:hAnsi="宋体" w:cs="宋体" w:eastAsia="宋体" w:hint="default"/>
          <w:b/>
          <w:bCs/>
          <w:sz w:val="19"/>
          <w:szCs w:val="19"/>
        </w:rPr>
      </w:pPr>
    </w:p>
    <w:p>
      <w:pPr>
        <w:pStyle w:val="BodyText"/>
        <w:spacing w:line="240" w:lineRule="auto" w:before="44"/>
        <w:ind w:left="534" w:right="0"/>
        <w:jc w:val="left"/>
      </w:pPr>
      <w:r>
        <w:rPr/>
        <w:t>长期待摊费用为已经发生但应由本期和以后各期负担的分摊期限在一年以上的各项费用。本公司长期待摊费用为装修</w:t>
      </w:r>
    </w:p>
    <w:p>
      <w:pPr>
        <w:pStyle w:val="BodyText"/>
        <w:spacing w:line="240" w:lineRule="auto" w:before="115"/>
        <w:ind w:right="0"/>
        <w:jc w:val="left"/>
      </w:pPr>
      <w:r>
        <w:rPr/>
        <w:t>费。</w:t>
      </w:r>
    </w:p>
    <w:p>
      <w:pPr>
        <w:pStyle w:val="BodyText"/>
        <w:spacing w:line="240" w:lineRule="auto" w:before="115"/>
        <w:ind w:left="534" w:right="0"/>
        <w:jc w:val="left"/>
      </w:pPr>
      <w:r>
        <w:rPr/>
        <w:t>摊销方法：长期待摊费用在受益期内平均摊销。</w:t>
      </w:r>
    </w:p>
    <w:p>
      <w:pPr>
        <w:spacing w:line="240" w:lineRule="auto" w:before="0"/>
        <w:rPr>
          <w:rFonts w:ascii="宋体" w:hAnsi="宋体" w:cs="宋体" w:eastAsia="宋体" w:hint="default"/>
          <w:sz w:val="20"/>
          <w:szCs w:val="20"/>
        </w:rPr>
      </w:pPr>
    </w:p>
    <w:p>
      <w:pPr>
        <w:pStyle w:val="Heading4"/>
        <w:spacing w:line="240" w:lineRule="auto" w:before="170"/>
        <w:ind w:right="0"/>
        <w:jc w:val="left"/>
        <w:rPr>
          <w:b w:val="0"/>
          <w:bCs w:val="0"/>
        </w:rPr>
      </w:pPr>
      <w:bookmarkStart w:name="24、职工薪酬" w:id="200"/>
      <w:bookmarkEnd w:id="200"/>
      <w:r>
        <w:rPr>
          <w:b w:val="0"/>
          <w:bCs w:val="0"/>
        </w:rPr>
      </w:r>
      <w:r>
        <w:rPr>
          <w:rFonts w:ascii="Times New Roman" w:hAnsi="Times New Roman" w:cs="Times New Roman" w:eastAsia="Times New Roman" w:hint="default"/>
        </w:rPr>
        <w:t>24</w:t>
      </w:r>
      <w:r>
        <w:rPr/>
        <w:t>、职工薪酬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短期薪酬的会计处理方法" w:id="201"/>
      <w:bookmarkEnd w:id="201"/>
      <w:r>
        <w:rPr>
          <w:b w:val="0"/>
          <w:bCs w:val="0"/>
        </w:rPr>
      </w:r>
      <w:r>
        <w:rPr/>
        <w:t>（</w:t>
      </w:r>
      <w:r>
        <w:rPr>
          <w:rFonts w:ascii="Times New Roman" w:hAnsi="Times New Roman" w:cs="Times New Roman" w:eastAsia="Times New Roman" w:hint="default"/>
        </w:rPr>
        <w:t>1</w:t>
      </w:r>
      <w:r>
        <w:rPr/>
        <w:t>）短期薪酬的会计处理方法</w:t>
      </w:r>
      <w:r>
        <w:rPr>
          <w:b w:val="0"/>
          <w:bCs w:val="0"/>
        </w:rPr>
      </w:r>
    </w:p>
    <w:p>
      <w:pPr>
        <w:spacing w:line="240" w:lineRule="auto" w:before="5"/>
        <w:rPr>
          <w:rFonts w:ascii="宋体" w:hAnsi="宋体" w:cs="宋体" w:eastAsia="宋体" w:hint="default"/>
          <w:b/>
          <w:bCs/>
          <w:sz w:val="23"/>
          <w:szCs w:val="23"/>
        </w:rPr>
      </w:pPr>
    </w:p>
    <w:p>
      <w:pPr>
        <w:pStyle w:val="BodyText"/>
        <w:spacing w:line="357" w:lineRule="auto"/>
        <w:ind w:left="534" w:right="0"/>
        <w:jc w:val="left"/>
      </w:pPr>
      <w:r>
        <w:rPr/>
        <w:t>本公司在职工为本公司提供服务的会计期间，将实际发生的短期薪酬确认为负债，并计入当期损益或相关资产成本。 本公司为职工缴纳的社会保险费和住房公积金，以及按规定提取的工会经费和职工教育经费，在职工为本公司提供服</w:t>
      </w:r>
    </w:p>
    <w:p>
      <w:pPr>
        <w:pStyle w:val="BodyText"/>
        <w:spacing w:line="357" w:lineRule="auto" w:before="25"/>
        <w:ind w:left="534" w:right="4453" w:hanging="381"/>
        <w:jc w:val="left"/>
      </w:pPr>
      <w:r>
        <w:rPr/>
        <w:t>务的会计期间，根据规定的计提基础和计提比例计算确定相应的职工薪酬金额。 职工福利费为非货币性福利的，如能够可靠计量的，按照公允价值计量。</w:t>
      </w: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bookmarkStart w:name="（2）离职后福利的会计处理方法" w:id="202"/>
      <w:bookmarkEnd w:id="202"/>
      <w:r>
        <w:rPr>
          <w:b w:val="0"/>
          <w:bCs w:val="0"/>
        </w:rPr>
      </w:r>
      <w:r>
        <w:rPr/>
        <w:t>（</w:t>
      </w:r>
      <w:r>
        <w:rPr>
          <w:rFonts w:ascii="Times New Roman" w:hAnsi="Times New Roman" w:cs="Times New Roman" w:eastAsia="Times New Roman" w:hint="default"/>
        </w:rPr>
        <w:t>2</w:t>
      </w:r>
      <w:r>
        <w:rPr/>
        <w:t>）离职后福利的会计处理方法</w:t>
      </w:r>
      <w:r>
        <w:rPr>
          <w:b w:val="0"/>
          <w:bCs w:val="0"/>
        </w:rPr>
      </w:r>
    </w:p>
    <w:p>
      <w:pPr>
        <w:spacing w:line="240" w:lineRule="auto" w:before="5"/>
        <w:rPr>
          <w:rFonts w:ascii="宋体" w:hAnsi="宋体" w:cs="宋体" w:eastAsia="宋体" w:hint="default"/>
          <w:b/>
          <w:bCs/>
          <w:sz w:val="23"/>
          <w:szCs w:val="23"/>
        </w:rPr>
      </w:pPr>
    </w:p>
    <w:p>
      <w:pPr>
        <w:pStyle w:val="BodyText"/>
        <w:spacing w:line="338" w:lineRule="auto"/>
        <w:ind w:left="534" w:right="0"/>
        <w:jc w:val="left"/>
      </w:pPr>
      <w:r>
        <w:rPr/>
        <w:t>（</w:t>
      </w:r>
      <w:r>
        <w:rPr>
          <w:rFonts w:ascii="Times New Roman" w:hAnsi="Times New Roman" w:cs="Times New Roman" w:eastAsia="Times New Roman" w:hint="default"/>
        </w:rPr>
        <w:t>1</w:t>
      </w:r>
      <w:r>
        <w:rPr/>
        <w:t>）设定提存计划 本公司按当地政府的相关规定为职工缴纳基本养老保险和失业保险，在职工为本公司提供服务的会计期间，按以当地</w:t>
      </w:r>
    </w:p>
    <w:p>
      <w:pPr>
        <w:pStyle w:val="BodyText"/>
        <w:spacing w:line="355" w:lineRule="auto" w:before="41"/>
        <w:ind w:left="534" w:right="0" w:hanging="381"/>
        <w:jc w:val="left"/>
      </w:pPr>
      <w:r>
        <w:rPr/>
        <w:t>规定的缴纳基数和比例计算应缴纳金额，确认为负债，并计入当期损益或相关资产成本。 除基本养老保险外，本公司还依据国家企业年金制度的相关政策建立了企业年金缴费制度（补充养老保险）。本公司</w:t>
      </w:r>
    </w:p>
    <w:p>
      <w:pPr>
        <w:pStyle w:val="BodyText"/>
        <w:spacing w:line="240" w:lineRule="auto" w:before="28"/>
        <w:ind w:right="0"/>
        <w:jc w:val="left"/>
      </w:pPr>
      <w:r>
        <w:rPr/>
        <w:t>按职工工资总额的一定比例向当地社会保险机构缴费，相应支出计入当期损益或相关资产成本。</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4"/>
          <w:szCs w:val="14"/>
        </w:rPr>
      </w:pPr>
    </w:p>
    <w:p>
      <w:pPr>
        <w:pStyle w:val="BodyText"/>
        <w:spacing w:line="338" w:lineRule="auto"/>
        <w:ind w:left="534" w:right="0"/>
        <w:jc w:val="left"/>
      </w:pPr>
      <w:r>
        <w:rPr/>
        <w:t>（</w:t>
      </w:r>
      <w:r>
        <w:rPr>
          <w:rFonts w:ascii="Times New Roman" w:hAnsi="Times New Roman" w:cs="Times New Roman" w:eastAsia="Times New Roman" w:hint="default"/>
        </w:rPr>
        <w:t>2</w:t>
      </w:r>
      <w:r>
        <w:rPr/>
        <w:t>）设定受益计划 本公司根据预期累计福利单位法确定的公式将设定受益计划产生的福利义务归属于职工提供服务的期间，并计入当期</w:t>
      </w:r>
    </w:p>
    <w:p>
      <w:pPr>
        <w:pStyle w:val="BodyText"/>
        <w:spacing w:line="240" w:lineRule="auto" w:before="41"/>
        <w:ind w:right="0"/>
        <w:jc w:val="left"/>
      </w:pPr>
      <w:r>
        <w:rPr/>
        <w:t>损益或相关资产成本。</w:t>
      </w:r>
    </w:p>
    <w:p>
      <w:pPr>
        <w:spacing w:after="0" w:line="240" w:lineRule="auto"/>
        <w:jc w:val="left"/>
        <w:sectPr>
          <w:pgSz w:w="11910" w:h="16840"/>
          <w:pgMar w:header="877" w:footer="979" w:top="1060" w:bottom="1160" w:left="980" w:right="0"/>
        </w:sectPr>
      </w:pPr>
    </w:p>
    <w:p>
      <w:pPr>
        <w:spacing w:line="240" w:lineRule="auto" w:before="10"/>
        <w:rPr>
          <w:rFonts w:ascii="宋体" w:hAnsi="宋体" w:cs="宋体" w:eastAsia="宋体" w:hint="default"/>
          <w:sz w:val="22"/>
          <w:szCs w:val="22"/>
        </w:rPr>
      </w:pPr>
    </w:p>
    <w:p>
      <w:pPr>
        <w:pStyle w:val="BodyText"/>
        <w:spacing w:line="357" w:lineRule="auto" w:before="44"/>
        <w:ind w:right="0" w:firstLine="380"/>
        <w:jc w:val="left"/>
      </w:pPr>
      <w:r>
        <w:rPr>
          <w:spacing w:val="4"/>
        </w:rPr>
        <w:t>设定受益计划义务现值减去设定受益计划资产公允价值所形成的赤字或盈余确认为一项设定受益计划净负债或净资</w:t>
      </w:r>
      <w:r>
        <w:rPr/>
        <w:t> 产。设定受益计划存在盈余的，本公司以设定受益计划的盈余和资产上限两项的孰低者计量设定受益计划净资产。</w:t>
      </w:r>
    </w:p>
    <w:p>
      <w:pPr>
        <w:pStyle w:val="BodyText"/>
        <w:spacing w:line="355" w:lineRule="auto" w:before="26"/>
        <w:ind w:right="0" w:firstLine="380"/>
        <w:jc w:val="left"/>
      </w:pPr>
      <w:r>
        <w:rPr/>
        <w:t>所有设定受益计划义务，包括预期在职工提供服务的年度报告期间结束后的十二个月内支付的义务，根据资产负债表</w:t>
      </w:r>
      <w:r>
        <w:rPr>
          <w:spacing w:val="1"/>
        </w:rPr>
        <w:t> </w:t>
      </w:r>
      <w:r>
        <w:rPr/>
        <w:t>日与设定受益计划义务期限和币种相匹配的国债或活跃市场上的高质量公司债券的市场收益率予以折现。</w:t>
      </w:r>
    </w:p>
    <w:p>
      <w:pPr>
        <w:pStyle w:val="BodyText"/>
        <w:spacing w:line="357" w:lineRule="auto" w:before="29"/>
        <w:ind w:right="1132" w:firstLine="380"/>
        <w:jc w:val="both"/>
      </w:pPr>
      <w:r>
        <w:rPr/>
        <w:t>设定受益计划产生的服务成本和设定受益计划净负债或净资产的利息净额计入当期损益或相关资产成本；重新计量设</w:t>
      </w:r>
      <w:r>
        <w:rPr>
          <w:spacing w:val="1"/>
        </w:rPr>
        <w:t> </w:t>
      </w:r>
      <w:r>
        <w:rPr>
          <w:spacing w:val="-2"/>
        </w:rPr>
        <w:t>定受益计划净负债或净资产所产生的变动计入其他综合收益，并且在后续会计期间不转回至损益，在原设定受益计划终止时</w:t>
      </w:r>
      <w:r>
        <w:rPr>
          <w:spacing w:val="-64"/>
        </w:rPr>
        <w:t> </w:t>
      </w:r>
      <w:r>
        <w:rPr>
          <w:spacing w:val="-64"/>
        </w:rPr>
      </w:r>
      <w:r>
        <w:rPr/>
        <w:t>在权益范围内将原计入其他综合收益的部分全部结转至未分配利润。</w:t>
      </w:r>
    </w:p>
    <w:p>
      <w:pPr>
        <w:pStyle w:val="BodyText"/>
        <w:spacing w:line="355" w:lineRule="auto" w:before="26"/>
        <w:ind w:left="534" w:right="1372"/>
        <w:jc w:val="left"/>
      </w:pPr>
      <w:r>
        <w:rPr/>
        <w:t>在设定受益计划结算时，按在结算日确定的设定受益计划义务现值和结算价格两者的差额，确认结算利得或损失。 详见本附注</w:t>
      </w: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t>三十一</w:t>
      </w:r>
      <w:r>
        <w:rPr>
          <w:rFonts w:ascii="Times New Roman" w:hAnsi="Times New Roman" w:cs="Times New Roman" w:eastAsia="Times New Roman" w:hint="default"/>
        </w:rPr>
        <w:t>)</w:t>
      </w:r>
      <w:r>
        <w:rPr>
          <w:rFonts w:ascii="Times New Roman" w:hAnsi="Times New Roman" w:cs="Times New Roman" w:eastAsia="Times New Roman" w:hint="default"/>
          <w:spacing w:val="24"/>
        </w:rPr>
        <w:t> </w:t>
      </w:r>
      <w:r>
        <w:rPr/>
        <w:t>应付职工薪酬</w:t>
      </w:r>
      <w:r>
        <w:rPr>
          <w:rFonts w:ascii="Times New Roman" w:hAnsi="Times New Roman" w:cs="Times New Roman" w:eastAsia="Times New Roman" w:hint="default"/>
        </w:rPr>
        <w:t>”</w:t>
      </w:r>
      <w:r>
        <w:rPr/>
        <w:t>。</w:t>
      </w:r>
    </w:p>
    <w:p>
      <w:pPr>
        <w:spacing w:line="240" w:lineRule="auto" w:before="8"/>
        <w:rPr>
          <w:rFonts w:ascii="宋体" w:hAnsi="宋体" w:cs="宋体" w:eastAsia="宋体" w:hint="default"/>
          <w:sz w:val="24"/>
          <w:szCs w:val="24"/>
        </w:rPr>
      </w:pPr>
    </w:p>
    <w:p>
      <w:pPr>
        <w:pStyle w:val="Heading4"/>
        <w:spacing w:line="240" w:lineRule="auto"/>
        <w:ind w:right="0"/>
        <w:jc w:val="both"/>
        <w:rPr>
          <w:b w:val="0"/>
          <w:bCs w:val="0"/>
        </w:rPr>
      </w:pPr>
      <w:bookmarkStart w:name="（3）辞退福利的会计处理方法" w:id="203"/>
      <w:bookmarkEnd w:id="203"/>
      <w:r>
        <w:rPr>
          <w:b w:val="0"/>
          <w:bCs w:val="0"/>
        </w:rPr>
      </w:r>
      <w:r>
        <w:rPr/>
        <w:t>（</w:t>
      </w:r>
      <w:r>
        <w:rPr>
          <w:rFonts w:ascii="Times New Roman" w:hAnsi="Times New Roman" w:cs="Times New Roman" w:eastAsia="Times New Roman" w:hint="default"/>
        </w:rPr>
        <w:t>3</w:t>
      </w:r>
      <w:r>
        <w:rPr/>
        <w:t>）辞退福利的会计处理方法</w:t>
      </w:r>
      <w:r>
        <w:rPr>
          <w:b w:val="0"/>
          <w:bCs w:val="0"/>
        </w:rPr>
      </w:r>
    </w:p>
    <w:p>
      <w:pPr>
        <w:spacing w:line="240" w:lineRule="auto" w:before="5"/>
        <w:rPr>
          <w:rFonts w:ascii="宋体" w:hAnsi="宋体" w:cs="宋体" w:eastAsia="宋体" w:hint="default"/>
          <w:b/>
          <w:bCs/>
          <w:sz w:val="23"/>
          <w:szCs w:val="23"/>
        </w:rPr>
      </w:pPr>
    </w:p>
    <w:p>
      <w:pPr>
        <w:pStyle w:val="BodyText"/>
        <w:spacing w:line="357" w:lineRule="auto"/>
        <w:ind w:right="0" w:firstLine="380"/>
        <w:jc w:val="left"/>
      </w:pPr>
      <w:r>
        <w:rPr/>
        <w:t>本公司在不能单方面撤回因解除劳动关系计划或裁减建议所提供的辞退福利时，或确认与涉及支付辞退福利的重组相</w:t>
      </w:r>
      <w:r>
        <w:rPr>
          <w:spacing w:val="1"/>
        </w:rPr>
        <w:t> </w:t>
      </w:r>
      <w:r>
        <w:rPr/>
        <w:t>关的成本或费用时（两者孰早），确认辞退福利产生的职工薪酬负债，并计入当期损益。</w:t>
      </w:r>
    </w:p>
    <w:p>
      <w:pPr>
        <w:spacing w:line="240" w:lineRule="auto" w:before="3"/>
        <w:rPr>
          <w:rFonts w:ascii="宋体" w:hAnsi="宋体" w:cs="宋体" w:eastAsia="宋体" w:hint="default"/>
          <w:sz w:val="26"/>
          <w:szCs w:val="26"/>
        </w:rPr>
      </w:pPr>
    </w:p>
    <w:p>
      <w:pPr>
        <w:pStyle w:val="Heading4"/>
        <w:spacing w:line="240" w:lineRule="auto"/>
        <w:ind w:right="0"/>
        <w:jc w:val="both"/>
        <w:rPr>
          <w:b w:val="0"/>
          <w:bCs w:val="0"/>
        </w:rPr>
      </w:pPr>
      <w:bookmarkStart w:name="（4）其他长期职工福利的会计处理方法" w:id="204"/>
      <w:bookmarkEnd w:id="204"/>
      <w:r>
        <w:rPr>
          <w:b w:val="0"/>
          <w:bCs w:val="0"/>
        </w:rPr>
      </w:r>
      <w:r>
        <w:rPr/>
        <w:t>（</w:t>
      </w:r>
      <w:r>
        <w:rPr>
          <w:rFonts w:ascii="Times New Roman" w:hAnsi="Times New Roman" w:cs="Times New Roman" w:eastAsia="Times New Roman"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bookmarkStart w:name="25、预计负债" w:id="205"/>
      <w:bookmarkEnd w:id="205"/>
      <w:r>
        <w:rPr>
          <w:b w:val="0"/>
          <w:bCs w:val="0"/>
        </w:rPr>
      </w:r>
      <w:r>
        <w:rPr>
          <w:rFonts w:ascii="Times New Roman" w:hAnsi="Times New Roman" w:cs="Times New Roman" w:eastAsia="Times New Roman" w:hint="default"/>
        </w:rPr>
        <w:t>25</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bookmarkStart w:name="26、股份支付" w:id="206"/>
      <w:bookmarkEnd w:id="206"/>
      <w:r>
        <w:rPr>
          <w:b w:val="0"/>
          <w:bCs w:val="0"/>
        </w:rPr>
      </w:r>
      <w:r>
        <w:rPr>
          <w:rFonts w:ascii="Times New Roman" w:hAnsi="Times New Roman" w:cs="Times New Roman" w:eastAsia="Times New Roman" w:hint="default"/>
        </w:rPr>
        <w:t>26</w:t>
      </w:r>
      <w:r>
        <w:rPr/>
        <w:t>、股份支付</w:t>
      </w:r>
      <w:r>
        <w:rPr>
          <w:b w:val="0"/>
          <w:bCs w:val="0"/>
        </w:rPr>
      </w:r>
    </w:p>
    <w:p>
      <w:pPr>
        <w:spacing w:line="240" w:lineRule="auto" w:before="5"/>
        <w:rPr>
          <w:rFonts w:ascii="宋体" w:hAnsi="宋体" w:cs="宋体" w:eastAsia="宋体" w:hint="default"/>
          <w:b/>
          <w:bCs/>
          <w:sz w:val="23"/>
          <w:szCs w:val="23"/>
        </w:rPr>
      </w:pPr>
    </w:p>
    <w:p>
      <w:pPr>
        <w:pStyle w:val="BodyText"/>
        <w:spacing w:line="240" w:lineRule="auto"/>
        <w:ind w:left="534" w:right="0"/>
        <w:jc w:val="left"/>
      </w:pPr>
      <w:r>
        <w:rPr/>
        <w:t>股份支付是为了获取职工提供服务而授予权益工具或者承担以权益工具为基础确定的负债的交易。</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BodyText"/>
        <w:spacing w:line="345" w:lineRule="auto"/>
        <w:ind w:left="534" w:right="1118"/>
        <w:jc w:val="left"/>
      </w:pPr>
      <w:r>
        <w:rPr>
          <w:rFonts w:ascii="Times New Roman" w:hAnsi="Times New Roman" w:cs="Times New Roman" w:eastAsia="Times New Roman" w:hint="default"/>
        </w:rPr>
        <w:t>1</w:t>
      </w:r>
      <w:r>
        <w:rPr/>
        <w:t>、以权益结算的股份支付及权益工具 以权益结算的股份支付换取职工提供服务的，以授予职工权益工具的公允价值计量。 对于最终未能行权的股份支付，不确认成本或费用，除非行权条件是市场条件或非可行权条件，此时无论是否满足市</w:t>
      </w:r>
    </w:p>
    <w:p>
      <w:pPr>
        <w:pStyle w:val="BodyText"/>
        <w:spacing w:line="357" w:lineRule="auto" w:before="35"/>
        <w:ind w:left="534" w:right="0" w:hanging="381"/>
        <w:jc w:val="left"/>
      </w:pPr>
      <w:r>
        <w:rPr/>
        <w:t>场条件或非可行权条件，只要满足所有可行权条件中的非市场条件，即视为可行权。 如果取消了以权益结算的股份支付，则于取消日作为加速行权处理，立即确认尚未确认的金额。职工或其他方能够选</w:t>
      </w:r>
    </w:p>
    <w:p>
      <w:pPr>
        <w:pStyle w:val="BodyText"/>
        <w:spacing w:line="357" w:lineRule="auto" w:before="26"/>
        <w:ind w:right="1131"/>
        <w:jc w:val="both"/>
      </w:pPr>
      <w:r>
        <w:rPr>
          <w:spacing w:val="-2"/>
        </w:rPr>
        <w:t>择满足非可行权条件但在等待期内未满足的，作为取消以权益结算的股份支付处理。但是，如果授予新的权益工具，并在新</w:t>
      </w:r>
      <w:r>
        <w:rPr>
          <w:spacing w:val="-66"/>
        </w:rPr>
        <w:t> </w:t>
      </w:r>
      <w:r>
        <w:rPr>
          <w:spacing w:val="-66"/>
        </w:rPr>
      </w:r>
      <w:r>
        <w:rPr>
          <w:spacing w:val="-2"/>
        </w:rPr>
        <w:t>权益工具授予日认定所授予的新权益工具是用于替代被取消的权益工具的，则以与处理原权益工具条款和条件修改相同的方</w:t>
      </w:r>
      <w:r>
        <w:rPr>
          <w:spacing w:val="-64"/>
        </w:rPr>
        <w:t> </w:t>
      </w:r>
      <w:r>
        <w:rPr>
          <w:spacing w:val="-64"/>
        </w:rPr>
      </w:r>
      <w:r>
        <w:rPr/>
        <w:t>式，对所授予的替代权益工具进行处理。</w:t>
      </w:r>
    </w:p>
    <w:p>
      <w:pPr>
        <w:spacing w:line="240" w:lineRule="auto" w:before="10"/>
        <w:rPr>
          <w:rFonts w:ascii="宋体" w:hAnsi="宋体" w:cs="宋体" w:eastAsia="宋体" w:hint="default"/>
          <w:sz w:val="25"/>
          <w:szCs w:val="25"/>
        </w:rPr>
      </w:pPr>
    </w:p>
    <w:p>
      <w:pPr>
        <w:pStyle w:val="BodyText"/>
        <w:spacing w:line="338" w:lineRule="auto"/>
        <w:ind w:left="534" w:right="0"/>
        <w:jc w:val="left"/>
      </w:pPr>
      <w:r>
        <w:rPr>
          <w:rFonts w:ascii="Times New Roman" w:hAnsi="Times New Roman" w:cs="Times New Roman" w:eastAsia="Times New Roman" w:hint="default"/>
        </w:rPr>
        <w:t>2</w:t>
      </w:r>
      <w:r>
        <w:rPr/>
        <w:t>、以现金结算的股份支付及权益工具 以现金结算的股份支付，按照承担的以股份或其他权益工具为基础计算确定的负债的公允价值计量。授予后立即可行</w:t>
      </w:r>
    </w:p>
    <w:p>
      <w:pPr>
        <w:pStyle w:val="BodyText"/>
        <w:spacing w:line="357" w:lineRule="auto" w:before="40"/>
        <w:ind w:right="1131"/>
        <w:jc w:val="both"/>
      </w:pPr>
      <w:r>
        <w:rPr>
          <w:spacing w:val="-2"/>
        </w:rPr>
        <w:t>权的，在授予日以承担负债的公允价值计入成本或费用，相应增加负债；完成等待期内的服务或达到规定业绩条件才可行权</w:t>
      </w:r>
      <w:r>
        <w:rPr>
          <w:spacing w:val="-66"/>
        </w:rPr>
        <w:t> </w:t>
      </w:r>
      <w:r>
        <w:rPr>
          <w:spacing w:val="-66"/>
        </w:rPr>
      </w:r>
      <w:r>
        <w:rPr>
          <w:spacing w:val="-2"/>
        </w:rPr>
        <w:t>的，在等待期内以对可行权情况的最佳估计为基础，按照承担负债的公允价值，将当期取得的服务计入相关成本或费用，增</w:t>
      </w:r>
      <w:r>
        <w:rPr>
          <w:spacing w:val="-66"/>
        </w:rPr>
        <w:t> </w:t>
      </w:r>
      <w:r>
        <w:rPr>
          <w:spacing w:val="-66"/>
        </w:rPr>
      </w:r>
      <w:r>
        <w:rPr/>
        <w:t>加相应负债。在相关负债结算前的每个资产负债表日以及结算日，对负债的公允价值重新计量，其变动计入当期损益。</w:t>
      </w:r>
    </w:p>
    <w:p>
      <w:pPr>
        <w:spacing w:after="0" w:line="357" w:lineRule="auto"/>
        <w:jc w:val="both"/>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7、优先股、永续债等其他金融工具" w:id="207"/>
      <w:bookmarkEnd w:id="207"/>
      <w:r>
        <w:rPr>
          <w:b w:val="0"/>
          <w:bCs w:val="0"/>
        </w:rPr>
      </w:r>
      <w:r>
        <w:rPr>
          <w:rFonts w:ascii="Times New Roman" w:hAnsi="Times New Roman" w:cs="Times New Roman" w:eastAsia="Times New Roman" w:hint="default"/>
        </w:rPr>
        <w:t>27</w:t>
      </w:r>
      <w:r>
        <w:rPr/>
        <w:t>、优先股、永续债等其他金融工具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8、收入" w:id="208"/>
      <w:bookmarkEnd w:id="208"/>
      <w:r>
        <w:rPr>
          <w:b w:val="0"/>
          <w:bCs w:val="0"/>
        </w:rPr>
      </w:r>
      <w:r>
        <w:rPr>
          <w:rFonts w:ascii="Times New Roman" w:hAnsi="Times New Roman" w:cs="Times New Roman" w:eastAsia="Times New Roman" w:hint="default"/>
        </w:rPr>
        <w:t>28</w:t>
      </w:r>
      <w:r>
        <w:rPr/>
        <w:t>、收入</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692"/>
        <w:jc w:val="left"/>
      </w:pPr>
      <w:r>
        <w:rPr/>
        <w:t>公司是否需要遵守特殊行业的披露要求 否</w:t>
      </w:r>
    </w:p>
    <w:p>
      <w:pPr>
        <w:pStyle w:val="BodyText"/>
        <w:spacing w:line="236" w:lineRule="exact"/>
        <w:ind w:left="534" w:right="0"/>
        <w:jc w:val="left"/>
      </w:pPr>
      <w:r>
        <w:rPr>
          <w:rFonts w:ascii="Times New Roman" w:hAnsi="Times New Roman" w:cs="Times New Roman" w:eastAsia="Times New Roman" w:hint="default"/>
        </w:rPr>
        <w:t>1</w:t>
      </w:r>
      <w:r>
        <w:rPr/>
        <w:t>、提供服务收入</w:t>
      </w:r>
    </w:p>
    <w:p>
      <w:pPr>
        <w:pStyle w:val="BodyText"/>
        <w:spacing w:line="357" w:lineRule="auto" w:before="101"/>
        <w:ind w:left="534" w:right="2452"/>
        <w:jc w:val="left"/>
      </w:pPr>
      <w:r>
        <w:rPr/>
        <w:t>提供服务交易的结果能够可靠估计是指同时满足： 第一，本公司已将商品所有权上的主要风险和报酬转移给购货方； 第二，本公司既没有保留通常与所有权相联系的继续管理权，也没有对已售出的商品实施有效控制； 第三，收入的金额能够可靠地计量；</w:t>
      </w:r>
    </w:p>
    <w:p>
      <w:pPr>
        <w:pStyle w:val="BodyText"/>
        <w:spacing w:line="357" w:lineRule="auto" w:before="26"/>
        <w:ind w:left="534" w:right="6052"/>
        <w:jc w:val="left"/>
      </w:pPr>
      <w:r>
        <w:rPr/>
        <w:t>第四，相关经济利益很可能流入公司； 第五，相关的已发生或将发生的成本能够可靠地计量。 公司确认收入的标准为：</w:t>
      </w:r>
    </w:p>
    <w:p>
      <w:pPr>
        <w:pStyle w:val="BodyText"/>
        <w:spacing w:line="338" w:lineRule="auto" w:before="26"/>
        <w:ind w:left="534" w:right="1192" w:hanging="111"/>
        <w:jc w:val="left"/>
      </w:pPr>
      <w:r>
        <w:rPr/>
        <w:t>（</w:t>
      </w:r>
      <w:r>
        <w:rPr>
          <w:rFonts w:ascii="Times New Roman" w:hAnsi="Times New Roman" w:cs="Times New Roman" w:eastAsia="Times New Roman" w:hint="default"/>
        </w:rPr>
        <w:t>1</w:t>
      </w:r>
      <w:r>
        <w:rPr/>
        <w:t>）常年顾问服务收入 公司与客户签订年度（或某一约定期限内的）营销传播顾问服务合同（合同期限通常为连续</w:t>
      </w:r>
      <w:r>
        <w:rPr>
          <w:rFonts w:ascii="Times New Roman" w:hAnsi="Times New Roman" w:cs="Times New Roman" w:eastAsia="Times New Roman" w:hint="default"/>
        </w:rPr>
        <w:t>12</w:t>
      </w:r>
      <w:r>
        <w:rPr/>
        <w:t>个月），合同会约定固</w:t>
      </w:r>
    </w:p>
    <w:p>
      <w:pPr>
        <w:pStyle w:val="BodyText"/>
        <w:spacing w:line="240" w:lineRule="auto" w:before="19"/>
        <w:ind w:right="0"/>
        <w:jc w:val="left"/>
      </w:pPr>
      <w:r>
        <w:rPr/>
        <w:t>定期限（月或季度）的服务费金额，公司按合同约定提供服务并定期（按月或按季度）予以确认收入。</w:t>
      </w:r>
    </w:p>
    <w:p>
      <w:pPr>
        <w:pStyle w:val="BodyText"/>
        <w:spacing w:line="336" w:lineRule="auto" w:before="115"/>
        <w:ind w:left="534" w:right="1192" w:hanging="74"/>
        <w:jc w:val="left"/>
      </w:pPr>
      <w:r>
        <w:rPr/>
        <w:t>（</w:t>
      </w:r>
      <w:r>
        <w:rPr>
          <w:rFonts w:ascii="Times New Roman" w:hAnsi="Times New Roman" w:cs="Times New Roman" w:eastAsia="Times New Roman" w:hint="default"/>
        </w:rPr>
        <w:t>2</w:t>
      </w:r>
      <w:r>
        <w:rPr/>
        <w:t>）项目服务收入 公司按项目合同的约定为客户提供专属化的营销传播服务，项目服务结束后，公司收到客户确认的完工证明时予以确</w:t>
      </w:r>
    </w:p>
    <w:p>
      <w:pPr>
        <w:pStyle w:val="BodyText"/>
        <w:spacing w:line="240" w:lineRule="auto" w:before="43"/>
        <w:ind w:right="0"/>
        <w:jc w:val="left"/>
      </w:pPr>
      <w:r>
        <w:rPr/>
        <w:t>认收入。</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BodyText"/>
        <w:spacing w:line="338" w:lineRule="auto"/>
        <w:ind w:left="534" w:right="6592"/>
        <w:jc w:val="left"/>
      </w:pPr>
      <w:r>
        <w:rPr>
          <w:rFonts w:ascii="Times New Roman" w:hAnsi="Times New Roman" w:cs="Times New Roman" w:eastAsia="Times New Roman" w:hint="default"/>
        </w:rPr>
        <w:t>2</w:t>
      </w:r>
      <w:r>
        <w:rPr/>
        <w:t>、使用费收入 根据有关合同或协议，按权责发生制确认收入。</w:t>
      </w:r>
    </w:p>
    <w:p>
      <w:pPr>
        <w:spacing w:line="240" w:lineRule="auto" w:before="10"/>
        <w:rPr>
          <w:rFonts w:ascii="宋体" w:hAnsi="宋体" w:cs="宋体" w:eastAsia="宋体" w:hint="default"/>
          <w:sz w:val="26"/>
          <w:szCs w:val="26"/>
        </w:rPr>
      </w:pPr>
    </w:p>
    <w:p>
      <w:pPr>
        <w:pStyle w:val="BodyText"/>
        <w:spacing w:line="338" w:lineRule="auto"/>
        <w:ind w:left="534" w:right="5692"/>
        <w:jc w:val="left"/>
      </w:pPr>
      <w:r>
        <w:rPr>
          <w:rFonts w:ascii="Times New Roman" w:hAnsi="Times New Roman" w:cs="Times New Roman" w:eastAsia="Times New Roman" w:hint="default"/>
        </w:rPr>
        <w:t>3</w:t>
      </w:r>
      <w:r>
        <w:rPr/>
        <w:t>、利息收入 按照他人使用本公司货币资金的时间和实际利率计算确定。</w:t>
      </w:r>
    </w:p>
    <w:p>
      <w:pPr>
        <w:spacing w:line="240" w:lineRule="auto" w:before="0"/>
        <w:rPr>
          <w:rFonts w:ascii="宋体" w:hAnsi="宋体" w:cs="宋体" w:eastAsia="宋体" w:hint="default"/>
          <w:sz w:val="18"/>
          <w:szCs w:val="18"/>
        </w:rPr>
      </w:pPr>
    </w:p>
    <w:p>
      <w:pPr>
        <w:pStyle w:val="Heading4"/>
        <w:spacing w:line="240" w:lineRule="auto" w:before="122"/>
        <w:ind w:right="0"/>
        <w:jc w:val="left"/>
        <w:rPr>
          <w:b w:val="0"/>
          <w:bCs w:val="0"/>
        </w:rPr>
      </w:pPr>
      <w:bookmarkStart w:name="29、政府补助" w:id="209"/>
      <w:bookmarkEnd w:id="209"/>
      <w:r>
        <w:rPr>
          <w:b w:val="0"/>
          <w:bCs w:val="0"/>
        </w:rPr>
      </w:r>
      <w:r>
        <w:rPr>
          <w:rFonts w:ascii="Times New Roman" w:hAnsi="Times New Roman" w:cs="Times New Roman" w:eastAsia="Times New Roman" w:hint="default"/>
        </w:rPr>
        <w:t>29</w:t>
      </w:r>
      <w:r>
        <w:rPr/>
        <w:t>、政府补助</w:t>
      </w:r>
      <w:r>
        <w:rPr>
          <w:b w:val="0"/>
          <w:bCs w:val="0"/>
        </w:rPr>
      </w:r>
    </w:p>
    <w:p>
      <w:pPr>
        <w:spacing w:line="240" w:lineRule="auto" w:before="5"/>
        <w:rPr>
          <w:rFonts w:ascii="宋体" w:hAnsi="宋体" w:cs="宋体" w:eastAsia="宋体" w:hint="default"/>
          <w:b/>
          <w:bCs/>
          <w:sz w:val="23"/>
          <w:szCs w:val="23"/>
        </w:rPr>
      </w:pPr>
    </w:p>
    <w:p>
      <w:pPr>
        <w:pStyle w:val="BodyText"/>
        <w:spacing w:line="336" w:lineRule="auto"/>
        <w:ind w:left="534" w:right="1118"/>
        <w:jc w:val="left"/>
      </w:pPr>
      <w:r>
        <w:rPr>
          <w:rFonts w:ascii="Times New Roman" w:hAnsi="Times New Roman" w:cs="Times New Roman" w:eastAsia="Times New Roman" w:hint="default"/>
        </w:rPr>
        <w:t>1</w:t>
      </w:r>
      <w:r>
        <w:rPr/>
        <w:t>、类型 政府补助，是本公司从政府无偿取得的货币性资产与非货币性资产。分为与资产相关的政府补助和与收益相关的政府</w:t>
      </w:r>
    </w:p>
    <w:p>
      <w:pPr>
        <w:pStyle w:val="BodyText"/>
        <w:spacing w:line="240" w:lineRule="auto" w:before="43"/>
        <w:ind w:right="0"/>
        <w:jc w:val="left"/>
      </w:pPr>
      <w:r>
        <w:rPr/>
        <w:t>补助。</w:t>
      </w:r>
    </w:p>
    <w:p>
      <w:pPr>
        <w:pStyle w:val="BodyText"/>
        <w:spacing w:line="357" w:lineRule="auto" w:before="115"/>
        <w:ind w:right="0" w:firstLine="380"/>
        <w:jc w:val="left"/>
      </w:pPr>
      <w:r>
        <w:rPr/>
        <w:t>与资产相关的政府补助，是指本公司取得的、用于购建或以其他方式形成长期资产的政府补助。与收益相关的政府补</w:t>
      </w:r>
      <w:r>
        <w:rPr>
          <w:spacing w:val="1"/>
        </w:rPr>
        <w:t> </w:t>
      </w:r>
      <w:r>
        <w:rPr/>
        <w:t>助，是指除与资产相关的政府补助之外的政府补助。</w:t>
      </w:r>
    </w:p>
    <w:p>
      <w:pPr>
        <w:pStyle w:val="BodyText"/>
        <w:spacing w:line="355" w:lineRule="auto" w:before="26"/>
        <w:ind w:right="1118" w:firstLine="380"/>
        <w:jc w:val="left"/>
      </w:pPr>
      <w:r>
        <w:rPr/>
        <w:t>本公司将政府补助划分为与资产相关的具体标准为：政府补助批准文件明确指出补助用于购建或以其他方式形成长期</w:t>
      </w:r>
      <w:r>
        <w:rPr>
          <w:spacing w:val="1"/>
        </w:rPr>
        <w:t> </w:t>
      </w:r>
      <w:r>
        <w:rPr/>
        <w:t>资产的。</w:t>
      </w:r>
    </w:p>
    <w:p>
      <w:pPr>
        <w:pStyle w:val="BodyText"/>
        <w:spacing w:line="357" w:lineRule="auto" w:before="28"/>
        <w:ind w:right="0" w:firstLine="380"/>
        <w:jc w:val="left"/>
      </w:pPr>
      <w:r>
        <w:rPr/>
        <w:t>本公司将政府补助划分为与收益相关的具体标准为：政府补助批准文件明确指出补助用于购建或以其他方式形成长期</w:t>
      </w:r>
      <w:r>
        <w:rPr>
          <w:spacing w:val="1"/>
        </w:rPr>
        <w:t> </w:t>
      </w:r>
      <w:r>
        <w:rPr/>
        <w:t>资产之外的情况。</w:t>
      </w:r>
    </w:p>
    <w:p>
      <w:pPr>
        <w:pStyle w:val="BodyText"/>
        <w:spacing w:line="240" w:lineRule="auto" w:before="26"/>
        <w:ind w:left="534" w:right="0"/>
        <w:jc w:val="left"/>
      </w:pPr>
      <w:r>
        <w:rPr/>
        <w:t>对于政府文件未明确规定补助对象的，本公司将该政府补助划分为与资产相关或与收益相关的判断依据为：是否用于</w:t>
      </w:r>
    </w:p>
    <w:p>
      <w:pPr>
        <w:spacing w:after="0" w:line="240" w:lineRule="auto"/>
        <w:jc w:val="left"/>
        <w:sectPr>
          <w:pgSz w:w="11910" w:h="16840"/>
          <w:pgMar w:header="877" w:footer="979" w:top="1060" w:bottom="1160" w:left="980" w:right="0"/>
        </w:sectPr>
      </w:pPr>
    </w:p>
    <w:p>
      <w:pPr>
        <w:spacing w:line="240" w:lineRule="auto" w:before="10"/>
        <w:rPr>
          <w:rFonts w:ascii="宋体" w:hAnsi="宋体" w:cs="宋体" w:eastAsia="宋体" w:hint="default"/>
          <w:sz w:val="22"/>
          <w:szCs w:val="22"/>
        </w:rPr>
      </w:pPr>
    </w:p>
    <w:p>
      <w:pPr>
        <w:pStyle w:val="BodyText"/>
        <w:spacing w:line="240" w:lineRule="auto" w:before="44"/>
        <w:ind w:right="0"/>
        <w:jc w:val="left"/>
      </w:pPr>
      <w:r>
        <w:rPr/>
        <w:t>购建或以其他方式形成长期资产。</w:t>
      </w: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4"/>
          <w:szCs w:val="14"/>
        </w:rPr>
      </w:pPr>
    </w:p>
    <w:p>
      <w:pPr>
        <w:pStyle w:val="BodyText"/>
        <w:spacing w:line="336" w:lineRule="auto"/>
        <w:ind w:left="534" w:right="7312"/>
        <w:jc w:val="left"/>
      </w:pPr>
      <w:r>
        <w:rPr>
          <w:rFonts w:ascii="Times New Roman" w:hAnsi="Times New Roman" w:cs="Times New Roman" w:eastAsia="Times New Roman" w:hint="default"/>
        </w:rPr>
        <w:t>2</w:t>
      </w:r>
      <w:r>
        <w:rPr/>
        <w:t>、确认时点 企业以实际收到政府补助为确认时点。</w:t>
      </w:r>
    </w:p>
    <w:p>
      <w:pPr>
        <w:spacing w:line="240" w:lineRule="auto" w:before="0"/>
        <w:rPr>
          <w:rFonts w:ascii="宋体" w:hAnsi="宋体" w:cs="宋体" w:eastAsia="宋体" w:hint="default"/>
          <w:sz w:val="18"/>
          <w:szCs w:val="18"/>
        </w:rPr>
      </w:pPr>
    </w:p>
    <w:p>
      <w:pPr>
        <w:pStyle w:val="BodyText"/>
        <w:spacing w:line="338" w:lineRule="auto" w:before="118"/>
        <w:ind w:left="534" w:right="1118"/>
        <w:jc w:val="left"/>
      </w:pPr>
      <w:r>
        <w:rPr>
          <w:rFonts w:ascii="Times New Roman" w:hAnsi="Times New Roman" w:cs="Times New Roman" w:eastAsia="Times New Roman" w:hint="default"/>
        </w:rPr>
        <w:t>3</w:t>
      </w:r>
      <w:r>
        <w:rPr/>
        <w:t>、会计处理 与资产相关的政府补助，冲减相关资产账面价值或确认为递延收益。确认为递延收益的，在相关资产使用寿命内按照</w:t>
      </w:r>
    </w:p>
    <w:p>
      <w:pPr>
        <w:pStyle w:val="BodyText"/>
        <w:spacing w:line="357" w:lineRule="auto" w:before="40"/>
        <w:ind w:right="1118"/>
        <w:jc w:val="left"/>
      </w:pPr>
      <w:r>
        <w:rPr>
          <w:spacing w:val="-2"/>
        </w:rPr>
        <w:t>合理、系统的方法分期计入当期损益（与本公司日常活动相关的，计入其他收益；与本公司日常活动无关的，计入营业外收</w:t>
      </w:r>
      <w:r>
        <w:rPr>
          <w:spacing w:val="-66"/>
        </w:rPr>
        <w:t> </w:t>
      </w:r>
      <w:r>
        <w:rPr>
          <w:spacing w:val="-66"/>
        </w:rPr>
      </w:r>
      <w:r>
        <w:rPr/>
        <w:t>入）；</w:t>
      </w:r>
    </w:p>
    <w:p>
      <w:pPr>
        <w:pStyle w:val="BodyText"/>
        <w:spacing w:line="357" w:lineRule="auto" w:before="26"/>
        <w:ind w:right="1032" w:firstLine="380"/>
        <w:jc w:val="left"/>
      </w:pPr>
      <w:r>
        <w:rPr/>
        <w:t>与收益相关的政府补助，用于补偿本公司以后期间的相关成本费用或损失的，确认为递延收益，并在确认相关成本费</w:t>
      </w:r>
      <w:r>
        <w:rPr>
          <w:spacing w:val="1"/>
        </w:rPr>
        <w:t> </w:t>
      </w:r>
      <w:r>
        <w:rPr/>
        <w:t>用或损失的期间，计入当期损益（与本公司日常活动相关的，计入其他收益；与本公司日常活动无关的，计入营业外收入）</w:t>
      </w:r>
      <w:r>
        <w:rPr/>
        <w:t> </w:t>
      </w:r>
      <w:r>
        <w:rPr>
          <w:spacing w:val="-2"/>
        </w:rPr>
        <w:t>或冲减相关成本费用或损失；用于补偿本公司已发生的相关成本费用或损失的，直接计入当期损益（与本公司日常活动相关</w:t>
      </w:r>
      <w:r>
        <w:rPr>
          <w:spacing w:val="-66"/>
        </w:rPr>
        <w:t> </w:t>
      </w:r>
      <w:r>
        <w:rPr>
          <w:spacing w:val="-66"/>
        </w:rPr>
      </w:r>
      <w:r>
        <w:rPr/>
        <w:t>的，计入其他收益；与本公司日常活动无关的，计入营业外收入）或冲减相关成本费用或损失。</w:t>
      </w:r>
    </w:p>
    <w:p>
      <w:pPr>
        <w:spacing w:line="240" w:lineRule="auto" w:before="10"/>
        <w:rPr>
          <w:rFonts w:ascii="宋体" w:hAnsi="宋体" w:cs="宋体" w:eastAsia="宋体" w:hint="default"/>
          <w:sz w:val="25"/>
          <w:szCs w:val="25"/>
        </w:rPr>
      </w:pPr>
    </w:p>
    <w:p>
      <w:pPr>
        <w:pStyle w:val="BodyText"/>
        <w:spacing w:line="240" w:lineRule="auto"/>
        <w:ind w:left="534" w:right="0"/>
        <w:jc w:val="left"/>
      </w:pPr>
      <w:r>
        <w:rPr/>
        <w:t>本公司取得的政策性优惠贷款贴息，区分以下两种情况，分别进行会计处理：</w:t>
      </w:r>
    </w:p>
    <w:p>
      <w:pPr>
        <w:pStyle w:val="BodyText"/>
        <w:spacing w:line="338" w:lineRule="auto" w:before="115"/>
        <w:ind w:right="0" w:firstLine="307"/>
        <w:jc w:val="left"/>
      </w:pPr>
      <w:r>
        <w:rPr/>
        <w:t>（</w:t>
      </w:r>
      <w:r>
        <w:rPr>
          <w:rFonts w:ascii="Times New Roman" w:hAnsi="Times New Roman" w:cs="Times New Roman" w:eastAsia="Times New Roman" w:hint="default"/>
        </w:rPr>
        <w:t>1</w:t>
      </w:r>
      <w:r>
        <w:rPr/>
        <w:t>）财政将贴息资金拨付给贷款银行，由贷款银行以政策性优惠利率向本公司提供贷款的，本公司以实际收到的借款 金额作为借款的入账价值，按照借款本金和该政策性优惠利率计算相关借款费用。</w:t>
      </w:r>
    </w:p>
    <w:p>
      <w:pPr>
        <w:pStyle w:val="BodyText"/>
        <w:spacing w:line="240" w:lineRule="auto" w:before="40"/>
        <w:ind w:left="461" w:right="0"/>
        <w:jc w:val="left"/>
      </w:pPr>
      <w:r>
        <w:rPr/>
        <w:t>（</w:t>
      </w:r>
      <w:r>
        <w:rPr>
          <w:rFonts w:ascii="Times New Roman" w:hAnsi="Times New Roman" w:cs="Times New Roman" w:eastAsia="Times New Roman" w:hint="default"/>
        </w:rPr>
        <w:t>2</w:t>
      </w:r>
      <w:r>
        <w:rPr/>
        <w:t>）财政将贴息资金直接拨付给本公司的，本公司将对应的贴息冲减相关借款费用。</w:t>
      </w: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13"/>
          <w:szCs w:val="13"/>
        </w:rPr>
      </w:pPr>
    </w:p>
    <w:p>
      <w:pPr>
        <w:pStyle w:val="Heading4"/>
        <w:spacing w:line="240" w:lineRule="auto"/>
        <w:ind w:right="0"/>
        <w:jc w:val="left"/>
        <w:rPr>
          <w:b w:val="0"/>
          <w:bCs w:val="0"/>
        </w:rPr>
      </w:pPr>
      <w:bookmarkStart w:name="30、递延所得税资产/递延所得税负债" w:id="210"/>
      <w:bookmarkEnd w:id="210"/>
      <w:r>
        <w:rPr>
          <w:b w:val="0"/>
          <w:bCs w:val="0"/>
        </w:rPr>
      </w:r>
      <w:r>
        <w:rPr>
          <w:rFonts w:ascii="Times New Roman" w:hAnsi="Times New Roman" w:cs="Times New Roman" w:eastAsia="Times New Roman" w:hint="default"/>
        </w:rPr>
        <w:t>30</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5"/>
        <w:rPr>
          <w:rFonts w:ascii="宋体" w:hAnsi="宋体" w:cs="宋体" w:eastAsia="宋体" w:hint="default"/>
          <w:b/>
          <w:bCs/>
          <w:sz w:val="23"/>
          <w:szCs w:val="23"/>
        </w:rPr>
      </w:pPr>
    </w:p>
    <w:p>
      <w:pPr>
        <w:pStyle w:val="BodyText"/>
        <w:spacing w:line="357" w:lineRule="auto"/>
        <w:ind w:right="1131" w:firstLine="380"/>
        <w:jc w:val="both"/>
      </w:pPr>
      <w:r>
        <w:rPr/>
        <w:t>对于可抵扣暂时性差异确认递延所得税资产，以未来期间很可能取得的用来抵扣可抵扣暂时性差异的应纳税所得额为</w:t>
      </w:r>
      <w:r>
        <w:rPr>
          <w:spacing w:val="1"/>
        </w:rPr>
        <w:t> </w:t>
      </w:r>
      <w:r>
        <w:rPr>
          <w:spacing w:val="-2"/>
        </w:rPr>
        <w:t>限。对于能够结转以后年度的可抵扣亏损和税款抵减，以很可能获得用来抵扣可抵扣亏损和税款抵减的未来应纳税所得额为</w:t>
      </w:r>
      <w:r>
        <w:rPr>
          <w:spacing w:val="-64"/>
        </w:rPr>
        <w:t> </w:t>
      </w:r>
      <w:r>
        <w:rPr>
          <w:spacing w:val="-64"/>
        </w:rPr>
      </w:r>
      <w:r>
        <w:rPr/>
        <w:t>限，确认相应的递延所得税资产。</w:t>
      </w:r>
    </w:p>
    <w:p>
      <w:pPr>
        <w:pStyle w:val="BodyText"/>
        <w:spacing w:line="355" w:lineRule="auto" w:before="26"/>
        <w:ind w:left="534" w:right="0"/>
        <w:jc w:val="left"/>
      </w:pPr>
      <w:r>
        <w:rPr/>
        <w:t>对于应纳税暂时性差异，除特殊情况外，确认递延所得税负债。 不确认递延所得税资产或递延所得税负债的特殊情况包括：商誉的初始确认；除企业合并以外的发生时既不影响会计</w:t>
      </w:r>
    </w:p>
    <w:p>
      <w:pPr>
        <w:pStyle w:val="BodyText"/>
        <w:spacing w:line="357" w:lineRule="auto" w:before="28"/>
        <w:ind w:left="534" w:right="0" w:hanging="381"/>
        <w:jc w:val="left"/>
      </w:pPr>
      <w:r>
        <w:rPr/>
        <w:t>利润也不影响应纳税所得额（或可抵扣亏损）的其他交易或事项。 当拥有以净额结算的法定权利，且意图以净额结算或取得资产、清偿负债同时进行时，当期所得税资产及当期所得税</w:t>
      </w:r>
    </w:p>
    <w:p>
      <w:pPr>
        <w:pStyle w:val="BodyText"/>
        <w:spacing w:line="357" w:lineRule="auto" w:before="26"/>
        <w:ind w:left="534" w:right="0" w:hanging="381"/>
        <w:jc w:val="left"/>
      </w:pPr>
      <w:r>
        <w:rPr/>
        <w:t>负债以抵销后的净额列报。 当拥有以净额结算当期所得税资产及当期所得税负债的法定权利，且递延所得税资产及递延所得税负债是与同一税收</w:t>
      </w:r>
    </w:p>
    <w:p>
      <w:pPr>
        <w:pStyle w:val="BodyText"/>
        <w:spacing w:line="357" w:lineRule="auto" w:before="25"/>
        <w:ind w:right="1131"/>
        <w:jc w:val="both"/>
      </w:pPr>
      <w:r>
        <w:rPr>
          <w:spacing w:val="-2"/>
        </w:rPr>
        <w:t>征管部门对同一纳税主体征收的所得税相关或者是对不同的纳税主体相关，但在未来每一具有重要性的递延所得税资产及负</w:t>
      </w:r>
      <w:r>
        <w:rPr>
          <w:spacing w:val="-64"/>
        </w:rPr>
        <w:t> </w:t>
      </w:r>
      <w:r>
        <w:rPr>
          <w:spacing w:val="-64"/>
        </w:rPr>
      </w:r>
      <w:r>
        <w:rPr>
          <w:spacing w:val="-2"/>
        </w:rPr>
        <w:t>债转回的期间内，涉及的纳税主体意图以净额结算当期所得税资产和负债或是同时取得资产、清偿负债时，递延所得税资产</w:t>
      </w:r>
      <w:r>
        <w:rPr>
          <w:spacing w:val="-66"/>
        </w:rPr>
        <w:t> </w:t>
      </w:r>
      <w:r>
        <w:rPr>
          <w:spacing w:val="-66"/>
        </w:rPr>
      </w:r>
      <w:r>
        <w:rPr/>
        <w:t>及递延所得税负债以抵销后的净额列报。</w:t>
      </w: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bookmarkStart w:name="31、租赁" w:id="211"/>
      <w:bookmarkEnd w:id="211"/>
      <w:r>
        <w:rPr>
          <w:b w:val="0"/>
          <w:bCs w:val="0"/>
        </w:rPr>
      </w:r>
      <w:r>
        <w:rPr>
          <w:rFonts w:ascii="Times New Roman" w:hAnsi="Times New Roman" w:cs="Times New Roman" w:eastAsia="Times New Roman" w:hint="default"/>
        </w:rPr>
        <w:t>31</w:t>
      </w:r>
      <w:r>
        <w:rPr/>
        <w:t>、租赁</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经营租赁的会计处理方法" w:id="212"/>
      <w:bookmarkEnd w:id="212"/>
      <w:r>
        <w:rPr>
          <w:b w:val="0"/>
          <w:bCs w:val="0"/>
        </w:rPr>
      </w:r>
      <w:r>
        <w:rPr/>
        <w:t>（</w:t>
      </w:r>
      <w:r>
        <w:rPr>
          <w:rFonts w:ascii="Times New Roman" w:hAnsi="Times New Roman" w:cs="Times New Roman" w:eastAsia="Times New Roman" w:hint="default"/>
        </w:rPr>
        <w:t>1</w:t>
      </w:r>
      <w:r>
        <w:rPr/>
        <w:t>）经营租赁的会计处理方法</w:t>
      </w:r>
      <w:r>
        <w:rPr>
          <w:b w:val="0"/>
          <w:bCs w:val="0"/>
        </w:rPr>
      </w:r>
    </w:p>
    <w:p>
      <w:pPr>
        <w:spacing w:line="240" w:lineRule="auto" w:before="5"/>
        <w:rPr>
          <w:rFonts w:ascii="宋体" w:hAnsi="宋体" w:cs="宋体" w:eastAsia="宋体" w:hint="default"/>
          <w:b/>
          <w:bCs/>
          <w:sz w:val="23"/>
          <w:szCs w:val="23"/>
        </w:rPr>
      </w:pPr>
    </w:p>
    <w:p>
      <w:pPr>
        <w:pStyle w:val="BodyText"/>
        <w:spacing w:line="338" w:lineRule="auto"/>
        <w:ind w:right="0" w:firstLine="380"/>
        <w:jc w:val="left"/>
      </w:pPr>
      <w:r>
        <w:rPr>
          <w:spacing w:val="-1"/>
        </w:rPr>
        <w:t>（</w:t>
      </w:r>
      <w:r>
        <w:rPr>
          <w:rFonts w:ascii="Times New Roman" w:hAnsi="Times New Roman" w:cs="Times New Roman" w:eastAsia="Times New Roman" w:hint="default"/>
          <w:spacing w:val="-1"/>
        </w:rPr>
        <w:t>1</w:t>
      </w:r>
      <w:r>
        <w:rPr>
          <w:spacing w:val="-1"/>
        </w:rPr>
        <w:t>）公司租入资产所支付的租赁费，在不扣除免租期的整个租赁期内，按直线法进行分摊，计入当期费用。公司支付</w:t>
      </w:r>
      <w:r>
        <w:rPr/>
        <w:t> 的与租赁交易相关的初始直接费用，计入当期费用。</w:t>
      </w:r>
    </w:p>
    <w:p>
      <w:pPr>
        <w:pStyle w:val="BodyText"/>
        <w:spacing w:line="240" w:lineRule="auto" w:before="41"/>
        <w:ind w:left="534" w:right="0"/>
        <w:jc w:val="left"/>
      </w:pPr>
      <w:r>
        <w:rPr/>
        <w:t>资产出租方承担了应由公司承担的与租赁相关的费用时，公司将该部分费用从租金总额中扣除，按扣除后的租金费用</w:t>
      </w:r>
    </w:p>
    <w:p>
      <w:pPr>
        <w:spacing w:after="0" w:line="240" w:lineRule="auto"/>
        <w:jc w:val="left"/>
        <w:sectPr>
          <w:pgSz w:w="11910" w:h="16840"/>
          <w:pgMar w:header="877" w:footer="979" w:top="1060" w:bottom="1160" w:left="980" w:right="0"/>
        </w:sectPr>
      </w:pPr>
    </w:p>
    <w:p>
      <w:pPr>
        <w:spacing w:line="240" w:lineRule="auto" w:before="10"/>
        <w:rPr>
          <w:rFonts w:ascii="宋体" w:hAnsi="宋体" w:cs="宋体" w:eastAsia="宋体" w:hint="default"/>
          <w:sz w:val="22"/>
          <w:szCs w:val="22"/>
        </w:rPr>
      </w:pPr>
    </w:p>
    <w:p>
      <w:pPr>
        <w:pStyle w:val="BodyText"/>
        <w:spacing w:line="240" w:lineRule="auto" w:before="44"/>
        <w:ind w:right="0"/>
        <w:jc w:val="left"/>
      </w:pPr>
      <w:r>
        <w:rPr/>
        <w:t>在租赁期内分摊，计入当期费用。</w:t>
      </w:r>
    </w:p>
    <w:p>
      <w:pPr>
        <w:pStyle w:val="BodyText"/>
        <w:spacing w:line="345" w:lineRule="auto" w:before="115"/>
        <w:ind w:right="1131" w:firstLine="380"/>
        <w:jc w:val="both"/>
      </w:pPr>
      <w:r>
        <w:rPr>
          <w:spacing w:val="-1"/>
        </w:rPr>
        <w:t>（</w:t>
      </w:r>
      <w:r>
        <w:rPr>
          <w:rFonts w:ascii="Times New Roman" w:hAnsi="Times New Roman" w:cs="Times New Roman" w:eastAsia="Times New Roman" w:hint="default"/>
          <w:spacing w:val="-1"/>
        </w:rPr>
        <w:t>2</w:t>
      </w:r>
      <w:r>
        <w:rPr>
          <w:spacing w:val="-1"/>
        </w:rPr>
        <w:t>）公司出租资产所收取的租赁费，在不扣除免租期的整个租赁期内，按直线法进行分摊，确认为租赁相关收入。公</w:t>
      </w:r>
      <w:r>
        <w:rPr/>
        <w:t> </w:t>
      </w:r>
      <w:r>
        <w:rPr>
          <w:spacing w:val="-2"/>
        </w:rPr>
        <w:t>司支付的与租赁交易相关的初始直接费用，计入当期费用；如金额较大的，则予以资本化，在整个租赁期间内按照与租赁相</w:t>
      </w:r>
      <w:r>
        <w:rPr>
          <w:spacing w:val="-66"/>
        </w:rPr>
        <w:t> </w:t>
      </w:r>
      <w:r>
        <w:rPr>
          <w:spacing w:val="-66"/>
        </w:rPr>
      </w:r>
      <w:r>
        <w:rPr/>
        <w:t>关收入确认相同的基础分期计入当期收益。</w:t>
      </w:r>
    </w:p>
    <w:p>
      <w:pPr>
        <w:pStyle w:val="BodyText"/>
        <w:spacing w:line="357" w:lineRule="auto" w:before="36"/>
        <w:ind w:right="1133" w:firstLine="380"/>
        <w:jc w:val="both"/>
      </w:pPr>
      <w:r>
        <w:rPr/>
        <w:t>公司承担了应由承租方承担的与租赁相关的费用时，公司将该部分费用从租金收入总额中扣除，按扣除后的租金费用 在租赁期内分配。</w:t>
      </w:r>
    </w:p>
    <w:p>
      <w:pPr>
        <w:spacing w:line="240" w:lineRule="auto" w:before="3"/>
        <w:rPr>
          <w:rFonts w:ascii="宋体" w:hAnsi="宋体" w:cs="宋体" w:eastAsia="宋体" w:hint="default"/>
          <w:sz w:val="26"/>
          <w:szCs w:val="26"/>
        </w:rPr>
      </w:pPr>
    </w:p>
    <w:p>
      <w:pPr>
        <w:pStyle w:val="Heading4"/>
        <w:spacing w:line="240" w:lineRule="auto"/>
        <w:ind w:right="0"/>
        <w:jc w:val="left"/>
        <w:rPr>
          <w:b w:val="0"/>
          <w:bCs w:val="0"/>
        </w:rPr>
      </w:pPr>
      <w:bookmarkStart w:name="（2）融资租赁的会计处理方法" w:id="213"/>
      <w:bookmarkEnd w:id="213"/>
      <w:r>
        <w:rPr>
          <w:b w:val="0"/>
          <w:bCs w:val="0"/>
        </w:rPr>
      </w:r>
      <w:r>
        <w:rPr/>
        <w:t>（</w:t>
      </w:r>
      <w:r>
        <w:rPr>
          <w:rFonts w:ascii="Times New Roman" w:hAnsi="Times New Roman" w:cs="Times New Roman" w:eastAsia="Times New Roman" w:hint="default"/>
        </w:rPr>
        <w:t>2</w:t>
      </w:r>
      <w:r>
        <w:rPr/>
        <w:t>）融资租赁的会计处理方法</w:t>
      </w:r>
      <w:r>
        <w:rPr>
          <w:b w:val="0"/>
          <w:bCs w:val="0"/>
        </w:rPr>
      </w:r>
    </w:p>
    <w:p>
      <w:pPr>
        <w:spacing w:line="240" w:lineRule="auto" w:before="5"/>
        <w:rPr>
          <w:rFonts w:ascii="宋体" w:hAnsi="宋体" w:cs="宋体" w:eastAsia="宋体" w:hint="default"/>
          <w:b/>
          <w:bCs/>
          <w:sz w:val="23"/>
          <w:szCs w:val="23"/>
        </w:rPr>
      </w:pPr>
    </w:p>
    <w:p>
      <w:pPr>
        <w:pStyle w:val="BodyText"/>
        <w:spacing w:line="345" w:lineRule="auto"/>
        <w:ind w:right="1131" w:firstLine="380"/>
        <w:jc w:val="both"/>
      </w:pPr>
      <w:r>
        <w:rPr>
          <w:spacing w:val="-1"/>
        </w:rPr>
        <w:t>（</w:t>
      </w:r>
      <w:r>
        <w:rPr>
          <w:rFonts w:ascii="Times New Roman" w:hAnsi="Times New Roman" w:cs="Times New Roman" w:eastAsia="Times New Roman" w:hint="default"/>
          <w:spacing w:val="-1"/>
        </w:rPr>
        <w:t>1</w:t>
      </w:r>
      <w:r>
        <w:rPr>
          <w:spacing w:val="-1"/>
        </w:rPr>
        <w:t>）融资租入资产：公司在承租开始日，将租赁资产公允价值与最低租赁付款额现值两者中较低者作为租入资产的入</w:t>
      </w:r>
      <w:r>
        <w:rPr/>
        <w:t> </w:t>
      </w:r>
      <w:r>
        <w:rPr>
          <w:spacing w:val="-2"/>
        </w:rPr>
        <w:t>账价值，将最低租赁付款额作为长期应付款的入账价值，其差额作为未确认的融资费用。公司采用实际利率法对未确认的融</w:t>
      </w:r>
      <w:r>
        <w:rPr>
          <w:spacing w:val="-66"/>
        </w:rPr>
        <w:t> </w:t>
      </w:r>
      <w:r>
        <w:rPr>
          <w:spacing w:val="-66"/>
        </w:rPr>
      </w:r>
      <w:r>
        <w:rPr/>
        <w:t>资费用，在资产租赁期间内摊销，计入财务费用。公司发生的初始直接费用，计入租入资产价值。</w:t>
      </w:r>
    </w:p>
    <w:p>
      <w:pPr>
        <w:pStyle w:val="BodyText"/>
        <w:spacing w:line="348" w:lineRule="auto" w:before="35"/>
        <w:ind w:right="1028" w:firstLine="380"/>
        <w:jc w:val="left"/>
      </w:pPr>
      <w:r>
        <w:rPr>
          <w:spacing w:val="-2"/>
        </w:rPr>
        <w:t>（</w:t>
      </w:r>
      <w:r>
        <w:rPr>
          <w:rFonts w:ascii="Times New Roman" w:hAnsi="Times New Roman" w:cs="Times New Roman" w:eastAsia="Times New Roman" w:hint="default"/>
          <w:spacing w:val="-2"/>
        </w:rPr>
        <w:t>2</w:t>
      </w:r>
      <w:r>
        <w:rPr>
          <w:spacing w:val="-2"/>
        </w:rPr>
        <w:t>）融资租出资产：公司在租赁开始日，将应收融资租赁款，未担保余值之和与其现值的差额确认为未实现融资收益，</w:t>
      </w:r>
      <w:r>
        <w:rPr/>
        <w:t> </w:t>
      </w:r>
      <w:r>
        <w:rPr>
          <w:spacing w:val="-2"/>
        </w:rPr>
        <w:t>在将来收到租金的各期间内确认为租赁收入。公司发生的与出租交易相关的初始直接费用，计入应收融资租赁款的初始计量</w:t>
      </w:r>
      <w:r>
        <w:rPr>
          <w:spacing w:val="-64"/>
        </w:rPr>
        <w:t> </w:t>
      </w:r>
      <w:r>
        <w:rPr>
          <w:spacing w:val="-64"/>
        </w:rPr>
      </w:r>
      <w:r>
        <w:rPr/>
        <w:t>中，并减少租赁期内确认的收益金额。</w:t>
      </w:r>
    </w:p>
    <w:p>
      <w:pPr>
        <w:spacing w:line="240" w:lineRule="auto" w:before="10"/>
        <w:rPr>
          <w:rFonts w:ascii="宋体" w:hAnsi="宋体" w:cs="宋体" w:eastAsia="宋体" w:hint="default"/>
          <w:sz w:val="26"/>
          <w:szCs w:val="26"/>
        </w:rPr>
      </w:pPr>
    </w:p>
    <w:p>
      <w:pPr>
        <w:spacing w:line="547" w:lineRule="auto" w:before="0"/>
        <w:ind w:left="154" w:right="6812" w:firstLine="0"/>
        <w:jc w:val="left"/>
        <w:rPr>
          <w:rFonts w:ascii="宋体" w:hAnsi="宋体" w:cs="宋体" w:eastAsia="宋体" w:hint="default"/>
          <w:sz w:val="21"/>
          <w:szCs w:val="21"/>
        </w:rPr>
      </w:pPr>
      <w:bookmarkStart w:name="32、其他重要的会计政策和会计估计" w:id="214"/>
      <w:bookmarkEnd w:id="214"/>
      <w:r>
        <w:rPr/>
      </w:r>
      <w:r>
        <w:rPr>
          <w:rFonts w:ascii="Times New Roman" w:hAnsi="Times New Roman" w:cs="Times New Roman" w:eastAsia="Times New Roman" w:hint="default"/>
          <w:b/>
          <w:bCs/>
          <w:sz w:val="21"/>
          <w:szCs w:val="21"/>
        </w:rPr>
        <w:t>32</w:t>
      </w:r>
      <w:r>
        <w:rPr>
          <w:rFonts w:ascii="宋体" w:hAnsi="宋体" w:cs="宋体" w:eastAsia="宋体" w:hint="default"/>
          <w:b/>
          <w:bCs/>
          <w:sz w:val="21"/>
          <w:szCs w:val="21"/>
        </w:rPr>
        <w:t>、其他重要的会计政策和会计估计</w:t>
      </w:r>
      <w:r>
        <w:rPr>
          <w:rFonts w:ascii="宋体" w:hAnsi="宋体" w:cs="宋体" w:eastAsia="宋体" w:hint="default"/>
          <w:b/>
          <w:bCs/>
          <w:w w:val="99"/>
          <w:sz w:val="21"/>
          <w:szCs w:val="21"/>
        </w:rPr>
        <w:t> </w:t>
      </w:r>
      <w:r>
        <w:rPr>
          <w:rFonts w:ascii="宋体" w:hAnsi="宋体" w:cs="宋体" w:eastAsia="宋体" w:hint="default"/>
          <w:sz w:val="18"/>
          <w:szCs w:val="18"/>
        </w:rPr>
        <w:t>本公司回购股份支付的回购款计入</w:t>
      </w:r>
      <w:r>
        <w:rPr>
          <w:rFonts w:ascii="Times New Roman" w:hAnsi="Times New Roman" w:cs="Times New Roman" w:eastAsia="Times New Roman" w:hint="default"/>
          <w:sz w:val="18"/>
          <w:szCs w:val="18"/>
        </w:rPr>
        <w:t>“</w:t>
      </w:r>
      <w:r>
        <w:rPr>
          <w:rFonts w:ascii="宋体" w:hAnsi="宋体" w:cs="宋体" w:eastAsia="宋体" w:hint="default"/>
          <w:sz w:val="18"/>
          <w:szCs w:val="18"/>
        </w:rPr>
        <w:t>库存股</w:t>
      </w:r>
      <w:r>
        <w:rPr>
          <w:rFonts w:ascii="Times New Roman" w:hAnsi="Times New Roman" w:cs="Times New Roman" w:eastAsia="Times New Roman" w:hint="default"/>
          <w:sz w:val="18"/>
          <w:szCs w:val="18"/>
        </w:rPr>
        <w:t>”</w:t>
      </w:r>
      <w:r>
        <w:rPr>
          <w:rFonts w:ascii="宋体" w:hAnsi="宋体" w:cs="宋体" w:eastAsia="宋体" w:hint="default"/>
          <w:sz w:val="18"/>
          <w:szCs w:val="18"/>
        </w:rPr>
        <w:t>科目。 </w:t>
      </w:r>
      <w:bookmarkStart w:name="33、重要会计政策和会计估计变更" w:id="215"/>
      <w:bookmarkEnd w:id="215"/>
      <w:r>
        <w:rPr>
          <w:rFonts w:ascii="宋体" w:hAnsi="宋体" w:cs="宋体" w:eastAsia="宋体" w:hint="default"/>
          <w:sz w:val="18"/>
          <w:szCs w:val="18"/>
        </w:rPr>
      </w:r>
      <w:r>
        <w:rPr>
          <w:rFonts w:ascii="Times New Roman" w:hAnsi="Times New Roman" w:cs="Times New Roman" w:eastAsia="Times New Roman" w:hint="default"/>
          <w:b/>
          <w:bCs/>
          <w:sz w:val="21"/>
          <w:szCs w:val="21"/>
        </w:rPr>
        <w:t>33</w:t>
      </w:r>
      <w:r>
        <w:rPr>
          <w:rFonts w:ascii="宋体" w:hAnsi="宋体" w:cs="宋体" w:eastAsia="宋体" w:hint="default"/>
          <w:b/>
          <w:bCs/>
          <w:sz w:val="21"/>
          <w:szCs w:val="21"/>
        </w:rPr>
        <w:t>、重要会计政策和会计估计变更</w:t>
      </w:r>
      <w:r>
        <w:rPr>
          <w:rFonts w:ascii="宋体" w:hAnsi="宋体" w:cs="宋体" w:eastAsia="宋体" w:hint="default"/>
          <w:sz w:val="21"/>
          <w:szCs w:val="21"/>
        </w:rPr>
      </w:r>
    </w:p>
    <w:p>
      <w:pPr>
        <w:pStyle w:val="Heading4"/>
        <w:spacing w:line="240" w:lineRule="auto" w:before="25"/>
        <w:ind w:right="0"/>
        <w:jc w:val="left"/>
        <w:rPr>
          <w:b w:val="0"/>
          <w:bCs w:val="0"/>
        </w:rPr>
      </w:pPr>
      <w:bookmarkStart w:name="（1）重要会计政策变更" w:id="216"/>
      <w:bookmarkEnd w:id="216"/>
      <w:r>
        <w:rPr>
          <w:b w:val="0"/>
          <w:bCs w:val="0"/>
        </w:rPr>
      </w:r>
      <w:r>
        <w:rPr/>
        <w:t>（</w:t>
      </w:r>
      <w:r>
        <w:rPr>
          <w:rFonts w:ascii="Times New Roman" w:hAnsi="Times New Roman" w:cs="Times New Roman" w:eastAsia="Times New Roman" w:hint="default"/>
        </w:rPr>
        <w:t>1</w:t>
      </w:r>
      <w:r>
        <w:rPr/>
        <w:t>）重要会计政策变更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3"/>
          <w:szCs w:val="13"/>
        </w:rPr>
      </w:pPr>
    </w:p>
    <w:p>
      <w:pPr>
        <w:pStyle w:val="BodyText"/>
        <w:spacing w:line="240" w:lineRule="auto"/>
        <w:ind w:left="0" w:right="1151"/>
        <w:jc w:val="right"/>
      </w:pPr>
      <w:r>
        <w:rPr/>
        <w:pict>
          <v:shape style="position:absolute;margin-left:56.459999pt;margin-top:-69.918282pt;width:479.25pt;height:232.45pt;mso-position-horizontal-relative:page;mso-position-vertical-relative:paragraph;z-index:198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254"/>
                    <w:gridCol w:w="992"/>
                    <w:gridCol w:w="4324"/>
                  </w:tblGrid>
                  <w:tr>
                    <w:trPr>
                      <w:trHeight w:val="401" w:hRule="exact"/>
                    </w:trPr>
                    <w:tc>
                      <w:tcPr>
                        <w:tcW w:w="4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4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31"/>
                          <w:jc w:val="right"/>
                          <w:rPr>
                            <w:rFonts w:ascii="宋体" w:hAnsi="宋体" w:cs="宋体" w:eastAsia="宋体" w:hint="default"/>
                            <w:sz w:val="18"/>
                            <w:szCs w:val="18"/>
                          </w:rPr>
                        </w:pPr>
                        <w:r>
                          <w:rPr>
                            <w:rFonts w:ascii="宋体" w:hAnsi="宋体" w:cs="宋体" w:eastAsia="宋体" w:hint="default"/>
                            <w:sz w:val="18"/>
                            <w:szCs w:val="18"/>
                          </w:rPr>
                          <w:t>审批程序</w:t>
                        </w:r>
                      </w:p>
                    </w:tc>
                    <w:tc>
                      <w:tcPr>
                        <w:tcW w:w="4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2898"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9"/>
                          <w:ind w:left="22" w:right="23"/>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）资产负债表中</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 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Times New Roman" w:hAnsi="Times New Roman" w:cs="Times New Roman" w:eastAsia="Times New Roman" w:hint="default"/>
                            <w:w w:val="100"/>
                            <w:sz w:val="18"/>
                            <w:szCs w:val="18"/>
                          </w:rPr>
                          <w:t> </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应收利息</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 </w:t>
                        </w:r>
                        <w:r>
                          <w:rPr>
                            <w:rFonts w:ascii="宋体" w:hAnsi="宋体" w:cs="宋体" w:eastAsia="宋体" w:hint="default"/>
                            <w:spacing w:val="-3"/>
                            <w:sz w:val="18"/>
                            <w:szCs w:val="18"/>
                          </w:rPr>
                          <w:t>收股利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其他应收款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列示；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应付利息</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和</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应付股</w:t>
                        </w:r>
                        <w:r>
                          <w:rPr>
                            <w:rFonts w:ascii="宋体" w:hAnsi="宋体" w:cs="宋体" w:eastAsia="宋体" w:hint="default"/>
                            <w:spacing w:val="-75"/>
                            <w:sz w:val="18"/>
                            <w:szCs w:val="18"/>
                          </w:rPr>
                          <w:t> </w:t>
                        </w:r>
                        <w:r>
                          <w:rPr>
                            <w:rFonts w:ascii="宋体" w:hAnsi="宋体" w:cs="宋体" w:eastAsia="宋体" w:hint="default"/>
                            <w:spacing w:val="-3"/>
                            <w:sz w:val="18"/>
                            <w:szCs w:val="18"/>
                          </w:rPr>
                          <w:t>利</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其他应付款</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列示；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固定资产清理</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固定</w:t>
                        </w:r>
                        <w:r>
                          <w:rPr>
                            <w:rFonts w:ascii="宋体" w:hAnsi="宋体" w:cs="宋体" w:eastAsia="宋体" w:hint="default"/>
                            <w:spacing w:val="-75"/>
                            <w:sz w:val="18"/>
                            <w:szCs w:val="18"/>
                          </w:rPr>
                          <w:t> </w:t>
                        </w:r>
                        <w:r>
                          <w:rPr>
                            <w:rFonts w:ascii="宋体" w:hAnsi="宋体" w:cs="宋体" w:eastAsia="宋体" w:hint="default"/>
                            <w:spacing w:val="-3"/>
                            <w:sz w:val="18"/>
                            <w:szCs w:val="18"/>
                          </w:rPr>
                          <w:t>资产</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列示；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工程物资</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并入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在建工程</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列示；</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专项应</w:t>
                        </w:r>
                        <w:r>
                          <w:rPr>
                            <w:rFonts w:ascii="宋体" w:hAnsi="宋体" w:cs="宋体" w:eastAsia="宋体" w:hint="default"/>
                            <w:spacing w:val="-75"/>
                            <w:sz w:val="18"/>
                            <w:szCs w:val="18"/>
                          </w:rPr>
                          <w:t> </w:t>
                        </w:r>
                        <w:r>
                          <w:rPr>
                            <w:rFonts w:ascii="宋体" w:hAnsi="宋体" w:cs="宋体" w:eastAsia="宋体" w:hint="default"/>
                            <w:sz w:val="18"/>
                            <w:szCs w:val="18"/>
                          </w:rPr>
                          <w:t>付款</w:t>
                        </w:r>
                        <w:r>
                          <w:rPr>
                            <w:rFonts w:ascii="Times New Roman" w:hAnsi="Times New Roman" w:cs="Times New Roman" w:eastAsia="Times New Roman" w:hint="default"/>
                            <w:sz w:val="18"/>
                            <w:szCs w:val="18"/>
                          </w:rPr>
                          <w:t>”</w:t>
                        </w:r>
                        <w:r>
                          <w:rPr>
                            <w:rFonts w:ascii="宋体" w:hAnsi="宋体" w:cs="宋体" w:eastAsia="宋体" w:hint="default"/>
                            <w:sz w:val="18"/>
                            <w:szCs w:val="18"/>
                          </w:rPr>
                          <w:t>并入</w:t>
                        </w:r>
                        <w:r>
                          <w:rPr>
                            <w:rFonts w:ascii="Times New Roman" w:hAnsi="Times New Roman" w:cs="Times New Roman" w:eastAsia="Times New Roman" w:hint="default"/>
                            <w:sz w:val="18"/>
                            <w:szCs w:val="18"/>
                          </w:rPr>
                          <w:t>“</w:t>
                        </w:r>
                        <w:r>
                          <w:rPr>
                            <w:rFonts w:ascii="宋体" w:hAnsi="宋体" w:cs="宋体" w:eastAsia="宋体" w:hint="default"/>
                            <w:sz w:val="18"/>
                            <w:szCs w:val="18"/>
                          </w:rPr>
                          <w:t>长期应付款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列示。比较数据相应调整。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right="59"/>
                          <w:jc w:val="right"/>
                          <w:rPr>
                            <w:rFonts w:ascii="宋体" w:hAnsi="宋体" w:cs="宋体" w:eastAsia="宋体" w:hint="default"/>
                            <w:sz w:val="18"/>
                            <w:szCs w:val="18"/>
                          </w:rPr>
                        </w:pPr>
                        <w:r>
                          <w:rPr>
                            <w:rFonts w:ascii="宋体" w:hAnsi="宋体" w:cs="宋体" w:eastAsia="宋体" w:hint="default"/>
                            <w:sz w:val="18"/>
                            <w:szCs w:val="18"/>
                          </w:rPr>
                          <w:t>董事会审批</w:t>
                        </w:r>
                      </w:p>
                    </w:tc>
                    <w:tc>
                      <w:tcPr>
                        <w:tcW w:w="432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08"/>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应收账款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合并列示为</w:t>
                        </w:r>
                        <w:r>
                          <w:rPr>
                            <w:rFonts w:ascii="Times New Roman" w:hAnsi="Times New Roman" w:cs="Times New Roman" w:eastAsia="Times New Roman" w:hint="default"/>
                            <w:sz w:val="18"/>
                            <w:szCs w:val="18"/>
                          </w:rPr>
                          <w:t>“</w:t>
                        </w:r>
                        <w:r>
                          <w:rPr>
                            <w:rFonts w:ascii="宋体" w:hAnsi="宋体" w:cs="宋体" w:eastAsia="宋体" w:hint="default"/>
                            <w:sz w:val="18"/>
                            <w:szCs w:val="18"/>
                          </w:rPr>
                          <w:t>应收票据及应收 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157,524,826.45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元，上期金额</w:t>
                        </w:r>
                      </w:p>
                      <w:p>
                        <w:pPr>
                          <w:pStyle w:val="TableParagraph"/>
                          <w:spacing w:line="240" w:lineRule="auto" w:before="1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288,919,821.15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合并列示</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为</w:t>
                        </w:r>
                        <w:r>
                          <w:rPr>
                            <w:rFonts w:ascii="Times New Roman" w:hAnsi="Times New Roman" w:cs="Times New Roman" w:eastAsia="Times New Roman" w:hint="default"/>
                            <w:sz w:val="18"/>
                            <w:szCs w:val="18"/>
                          </w:rPr>
                          <w:t>“</w:t>
                        </w:r>
                        <w:r>
                          <w:rPr>
                            <w:rFonts w:ascii="宋体" w:hAnsi="宋体" w:cs="宋体" w:eastAsia="宋体" w:hint="default"/>
                            <w:sz w:val="18"/>
                            <w:szCs w:val="18"/>
                          </w:rPr>
                          <w:t>应付票据及应付账款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41,677,219.28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上期金额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87,500,950.66 </w:t>
                        </w:r>
                        <w:r>
                          <w:rPr>
                            <w:rFonts w:ascii="宋体" w:hAnsi="宋体" w:cs="宋体" w:eastAsia="宋体" w:hint="default"/>
                            <w:sz w:val="18"/>
                            <w:szCs w:val="18"/>
                          </w:rPr>
                          <w:t>元</w:t>
                        </w:r>
                        <w:r>
                          <w:rPr>
                            <w:rFonts w:ascii="宋体" w:hAnsi="宋体" w:cs="宋体" w:eastAsia="宋体" w:hint="default"/>
                            <w:spacing w:val="-77"/>
                            <w:sz w:val="18"/>
                            <w:szCs w:val="18"/>
                          </w:rPr>
                          <w:t>；</w:t>
                        </w:r>
                        <w:r>
                          <w:rPr>
                            <w:rFonts w:ascii="宋体" w:hAnsi="宋体" w:cs="宋体" w:eastAsia="宋体" w:hint="default"/>
                            <w:spacing w:val="-2"/>
                            <w:sz w:val="18"/>
                            <w:szCs w:val="18"/>
                          </w:rPr>
                          <w:t>调</w:t>
                        </w:r>
                        <w:r>
                          <w:rPr>
                            <w:rFonts w:ascii="宋体" w:hAnsi="宋体" w:cs="宋体" w:eastAsia="宋体" w:hint="default"/>
                            <w:sz w:val="18"/>
                            <w:szCs w:val="18"/>
                          </w:rPr>
                          <w:t>增</w:t>
                        </w:r>
                        <w:r>
                          <w:rPr>
                            <w:rFonts w:ascii="Times New Roman" w:hAnsi="Times New Roman" w:cs="Times New Roman" w:eastAsia="Times New Roman" w:hint="default"/>
                            <w:spacing w:val="-1"/>
                            <w:w w:val="100"/>
                            <w:sz w:val="18"/>
                            <w:szCs w:val="18"/>
                          </w:rPr>
                          <w:t>“</w:t>
                        </w:r>
                        <w:r>
                          <w:rPr>
                            <w:rFonts w:ascii="宋体" w:hAnsi="宋体" w:cs="宋体" w:eastAsia="宋体" w:hint="default"/>
                            <w:sz w:val="18"/>
                            <w:szCs w:val="18"/>
                          </w:rPr>
                          <w:t>其他应收</w:t>
                        </w:r>
                        <w:r>
                          <w:rPr>
                            <w:rFonts w:ascii="宋体" w:hAnsi="宋体" w:cs="宋体" w:eastAsia="宋体" w:hint="default"/>
                            <w:spacing w:val="1"/>
                            <w:sz w:val="18"/>
                            <w:szCs w:val="18"/>
                          </w:rPr>
                          <w:t>款</w:t>
                        </w:r>
                        <w:r>
                          <w:rPr>
                            <w:rFonts w:ascii="Times New Roman" w:hAnsi="Times New Roman" w:cs="Times New Roman" w:eastAsia="Times New Roman" w:hint="default"/>
                            <w:w w:val="100"/>
                            <w:sz w:val="18"/>
                            <w:szCs w:val="18"/>
                          </w:rPr>
                          <w:t>”</w:t>
                        </w:r>
                        <w:r>
                          <w:rPr>
                            <w:rFonts w:ascii="宋体" w:hAnsi="宋体" w:cs="宋体" w:eastAsia="宋体" w:hint="default"/>
                            <w:sz w:val="18"/>
                            <w:szCs w:val="18"/>
                          </w:rPr>
                          <w:t>本期金额</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0.00 </w:t>
                        </w:r>
                        <w:r>
                          <w:rPr>
                            <w:rFonts w:ascii="宋体" w:hAnsi="宋体" w:cs="宋体" w:eastAsia="宋体" w:hint="default"/>
                            <w:sz w:val="18"/>
                            <w:szCs w:val="18"/>
                          </w:rPr>
                          <w:t>元，上期金额 </w:t>
                        </w:r>
                        <w:r>
                          <w:rPr>
                            <w:rFonts w:ascii="Times New Roman" w:hAnsi="Times New Roman" w:cs="Times New Roman" w:eastAsia="Times New Roman" w:hint="default"/>
                            <w:sz w:val="18"/>
                            <w:szCs w:val="18"/>
                          </w:rPr>
                          <w:t>0.00 </w:t>
                        </w:r>
                        <w:r>
                          <w:rPr>
                            <w:rFonts w:ascii="宋体" w:hAnsi="宋体" w:cs="宋体" w:eastAsia="宋体" w:hint="default"/>
                            <w:sz w:val="18"/>
                            <w:szCs w:val="18"/>
                          </w:rPr>
                          <w:t>元；调</w:t>
                        </w:r>
                        <w:r>
                          <w:rPr>
                            <w:rFonts w:ascii="宋体" w:hAnsi="宋体" w:cs="宋体" w:eastAsia="宋体" w:hint="default"/>
                            <w:spacing w:val="-47"/>
                            <w:sz w:val="18"/>
                            <w:szCs w:val="18"/>
                          </w:rPr>
                          <w:t> </w:t>
                        </w:r>
                        <w:r>
                          <w:rPr>
                            <w:rFonts w:ascii="宋体" w:hAnsi="宋体" w:cs="宋体" w:eastAsia="宋体" w:hint="default"/>
                            <w:sz w:val="18"/>
                            <w:szCs w:val="18"/>
                          </w:rPr>
                          <w:t>增</w:t>
                        </w:r>
                        <w:r>
                          <w:rPr>
                            <w:rFonts w:ascii="Times New Roman" w:hAnsi="Times New Roman" w:cs="Times New Roman" w:eastAsia="Times New Roman" w:hint="default"/>
                            <w:sz w:val="18"/>
                            <w:szCs w:val="18"/>
                          </w:rPr>
                          <w:t>“</w:t>
                        </w:r>
                        <w:r>
                          <w:rPr>
                            <w:rFonts w:ascii="宋体" w:hAnsi="宋体" w:cs="宋体" w:eastAsia="宋体" w:hint="default"/>
                            <w:sz w:val="18"/>
                            <w:szCs w:val="18"/>
                          </w:rPr>
                          <w:t>其他应付款</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1,809,106.51</w:t>
                        </w:r>
                        <w:r>
                          <w:rPr>
                            <w:rFonts w:ascii="Times New Roman" w:hAnsi="Times New Roman" w:cs="Times New Roman" w:eastAsia="Times New Roman" w:hint="default"/>
                            <w:spacing w:val="-6"/>
                            <w:sz w:val="18"/>
                            <w:szCs w:val="18"/>
                          </w:rPr>
                          <w:t> </w:t>
                        </w:r>
                        <w:r>
                          <w:rPr>
                            <w:rFonts w:ascii="宋体" w:hAnsi="宋体" w:cs="宋体" w:eastAsia="宋体" w:hint="default"/>
                            <w:spacing w:val="-3"/>
                            <w:sz w:val="18"/>
                            <w:szCs w:val="18"/>
                          </w:rPr>
                          <w:t>元，上期金额</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元；调增</w:t>
                        </w:r>
                        <w:r>
                          <w:rPr>
                            <w:rFonts w:ascii="Times New Roman" w:hAnsi="Times New Roman" w:cs="Times New Roman" w:eastAsia="Times New Roman" w:hint="default"/>
                            <w:sz w:val="18"/>
                            <w:szCs w:val="18"/>
                          </w:rPr>
                          <w:t>“</w:t>
                        </w:r>
                        <w:r>
                          <w:rPr>
                            <w:rFonts w:ascii="宋体" w:hAnsi="宋体" w:cs="宋体" w:eastAsia="宋体" w:hint="default"/>
                            <w:sz w:val="18"/>
                            <w:szCs w:val="18"/>
                          </w:rPr>
                          <w:t>固定资产</w:t>
                        </w:r>
                        <w:r>
                          <w:rPr>
                            <w:rFonts w:ascii="Times New Roman" w:hAnsi="Times New Roman" w:cs="Times New Roman" w:eastAsia="Times New Roman" w:hint="default"/>
                            <w:sz w:val="18"/>
                            <w:szCs w:val="18"/>
                          </w:rPr>
                          <w:t>”</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本期金额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pacing w:val="-11"/>
                            <w:sz w:val="18"/>
                            <w:szCs w:val="18"/>
                          </w:rPr>
                          <w:t>元，上期金额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元；调增</w:t>
                        </w:r>
                        <w:r>
                          <w:rPr>
                            <w:rFonts w:ascii="Times New Roman" w:hAnsi="Times New Roman" w:cs="Times New Roman" w:eastAsia="Times New Roman" w:hint="default"/>
                            <w:spacing w:val="-6"/>
                            <w:sz w:val="18"/>
                            <w:szCs w:val="18"/>
                          </w:rPr>
                          <w:t>“</w:t>
                        </w:r>
                        <w:r>
                          <w:rPr>
                            <w:rFonts w:ascii="宋体" w:hAnsi="宋体" w:cs="宋体" w:eastAsia="宋体" w:hint="default"/>
                            <w:spacing w:val="-6"/>
                            <w:sz w:val="18"/>
                            <w:szCs w:val="18"/>
                          </w:rPr>
                          <w:t>长期应付款</w:t>
                        </w:r>
                        <w:r>
                          <w:rPr>
                            <w:rFonts w:ascii="Times New Roman" w:hAnsi="Times New Roman" w:cs="Times New Roman" w:eastAsia="Times New Roman" w:hint="default"/>
                            <w:spacing w:val="-6"/>
                            <w:sz w:val="18"/>
                            <w:szCs w:val="18"/>
                          </w:rPr>
                          <w:t>”</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本期金额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元，上期金额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tc>
                  </w:tr>
                  <w:tr>
                    <w:trPr>
                      <w:trHeight w:val="1340" w:hRule="exact"/>
                    </w:trPr>
                    <w:tc>
                      <w:tcPr>
                        <w:tcW w:w="425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52"/>
                          <w:ind w:left="22"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）在利润表中新增</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项目，将原</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 用</w:t>
                        </w:r>
                        <w:r>
                          <w:rPr>
                            <w:rFonts w:ascii="Times New Roman" w:hAnsi="Times New Roman" w:cs="Times New Roman" w:eastAsia="Times New Roman" w:hint="default"/>
                            <w:sz w:val="18"/>
                            <w:szCs w:val="18"/>
                          </w:rPr>
                          <w:t>”</w:t>
                        </w:r>
                        <w:r>
                          <w:rPr>
                            <w:rFonts w:ascii="宋体" w:hAnsi="宋体" w:cs="宋体" w:eastAsia="宋体" w:hint="default"/>
                            <w:sz w:val="18"/>
                            <w:szCs w:val="18"/>
                          </w:rPr>
                          <w:t>中的研发费用重分类至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单独列示；在利 润表中财务费用项下新增</w:t>
                        </w:r>
                        <w:r>
                          <w:rPr>
                            <w:rFonts w:ascii="Times New Roman" w:hAnsi="Times New Roman" w:cs="Times New Roman" w:eastAsia="Times New Roman" w:hint="default"/>
                            <w:sz w:val="18"/>
                            <w:szCs w:val="18"/>
                          </w:rPr>
                          <w:t>“</w:t>
                        </w:r>
                        <w:r>
                          <w:rPr>
                            <w:rFonts w:ascii="宋体" w:hAnsi="宋体" w:cs="宋体" w:eastAsia="宋体" w:hint="default"/>
                            <w:sz w:val="18"/>
                            <w:szCs w:val="18"/>
                          </w:rPr>
                          <w:t>其中：利息费用</w:t>
                        </w:r>
                        <w:r>
                          <w:rPr>
                            <w:rFonts w:ascii="Times New Roman" w:hAnsi="Times New Roman" w:cs="Times New Roman" w:eastAsia="Times New Roman" w:hint="default"/>
                            <w:sz w:val="18"/>
                            <w:szCs w:val="18"/>
                          </w:rPr>
                          <w:t>”</w:t>
                        </w:r>
                        <w:r>
                          <w:rPr>
                            <w:rFonts w:ascii="宋体" w:hAnsi="宋体" w:cs="宋体" w:eastAsia="宋体" w:hint="default"/>
                            <w:sz w:val="18"/>
                            <w:szCs w:val="18"/>
                          </w:rPr>
                          <w:t>和</w:t>
                        </w:r>
                        <w:r>
                          <w:rPr>
                            <w:rFonts w:ascii="Times New Roman" w:hAnsi="Times New Roman" w:cs="Times New Roman" w:eastAsia="Times New Roman" w:hint="default"/>
                            <w:sz w:val="18"/>
                            <w:szCs w:val="18"/>
                          </w:rPr>
                          <w:t>“</w:t>
                        </w:r>
                        <w:r>
                          <w:rPr>
                            <w:rFonts w:ascii="宋体" w:hAnsi="宋体" w:cs="宋体" w:eastAsia="宋体" w:hint="default"/>
                            <w:sz w:val="18"/>
                            <w:szCs w:val="18"/>
                          </w:rPr>
                          <w:t>利息收 入</w:t>
                        </w:r>
                        <w:r>
                          <w:rPr>
                            <w:rFonts w:ascii="Times New Roman" w:hAnsi="Times New Roman" w:cs="Times New Roman" w:eastAsia="Times New Roman" w:hint="default"/>
                            <w:sz w:val="18"/>
                            <w:szCs w:val="18"/>
                          </w:rPr>
                          <w:t>”</w:t>
                        </w:r>
                        <w:r>
                          <w:rPr>
                            <w:rFonts w:ascii="宋体" w:hAnsi="宋体" w:cs="宋体" w:eastAsia="宋体" w:hint="default"/>
                            <w:sz w:val="18"/>
                            <w:szCs w:val="18"/>
                          </w:rPr>
                          <w:t>项目。比较数据相应调整。</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right="59"/>
                          <w:jc w:val="right"/>
                          <w:rPr>
                            <w:rFonts w:ascii="宋体" w:hAnsi="宋体" w:cs="宋体" w:eastAsia="宋体" w:hint="default"/>
                            <w:sz w:val="18"/>
                            <w:szCs w:val="18"/>
                          </w:rPr>
                        </w:pPr>
                        <w:r>
                          <w:rPr>
                            <w:rFonts w:ascii="宋体" w:hAnsi="宋体" w:cs="宋体" w:eastAsia="宋体" w:hint="default"/>
                            <w:sz w:val="18"/>
                            <w:szCs w:val="18"/>
                          </w:rPr>
                          <w:t>董事会审批</w:t>
                        </w:r>
                      </w:p>
                    </w:tc>
                    <w:tc>
                      <w:tcPr>
                        <w:tcW w:w="4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调减</w:t>
                        </w:r>
                        <w:r>
                          <w:rPr>
                            <w:rFonts w:ascii="Times New Roman" w:hAnsi="Times New Roman" w:cs="Times New Roman" w:eastAsia="Times New Roman" w:hint="default"/>
                            <w:sz w:val="18"/>
                            <w:szCs w:val="18"/>
                          </w:rPr>
                          <w:t>“</w:t>
                        </w:r>
                        <w:r>
                          <w:rPr>
                            <w:rFonts w:ascii="宋体" w:hAnsi="宋体" w:cs="宋体" w:eastAsia="宋体" w:hint="default"/>
                            <w:sz w:val="18"/>
                            <w:szCs w:val="18"/>
                          </w:rPr>
                          <w:t>管理费用</w:t>
                        </w:r>
                        <w:r>
                          <w:rPr>
                            <w:rFonts w:ascii="Times New Roman" w:hAnsi="Times New Roman" w:cs="Times New Roman" w:eastAsia="Times New Roman" w:hint="default"/>
                            <w:sz w:val="18"/>
                            <w:szCs w:val="18"/>
                          </w:rPr>
                          <w:t>”</w:t>
                        </w:r>
                        <w:r>
                          <w:rPr>
                            <w:rFonts w:ascii="宋体" w:hAnsi="宋体" w:cs="宋体" w:eastAsia="宋体" w:hint="default"/>
                            <w:sz w:val="18"/>
                            <w:szCs w:val="18"/>
                          </w:rPr>
                          <w:t>本期金额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14,684,127.72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元，上期金额</w:t>
                        </w:r>
                      </w:p>
                      <w:p>
                        <w:pPr>
                          <w:pStyle w:val="TableParagraph"/>
                          <w:spacing w:line="240" w:lineRule="auto" w:before="63"/>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18,842,176.87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元，重分类至</w:t>
                        </w:r>
                        <w:r>
                          <w:rPr>
                            <w:rFonts w:ascii="Times New Roman" w:hAnsi="Times New Roman" w:cs="Times New Roman" w:eastAsia="Times New Roman" w:hint="default"/>
                            <w:sz w:val="18"/>
                            <w:szCs w:val="18"/>
                          </w:rPr>
                          <w:t>“</w:t>
                        </w:r>
                        <w:r>
                          <w:rPr>
                            <w:rFonts w:ascii="宋体" w:hAnsi="宋体" w:cs="宋体" w:eastAsia="宋体" w:hint="default"/>
                            <w:sz w:val="18"/>
                            <w:szCs w:val="18"/>
                          </w:rPr>
                          <w:t>研发费用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pStyle w:val="BodyText"/>
        <w:spacing w:line="300" w:lineRule="auto" w:before="44"/>
        <w:ind w:right="1038" w:firstLine="325"/>
        <w:jc w:val="left"/>
      </w:pPr>
      <w:r>
        <w:rPr>
          <w:spacing w:val="-1"/>
        </w:rPr>
        <w:t>财政部于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15</w:t>
      </w:r>
      <w:r>
        <w:rPr>
          <w:spacing w:val="-1"/>
        </w:rPr>
        <w:t>日发布了《财政部关于修订印发</w:t>
      </w:r>
      <w:r>
        <w:rPr>
          <w:rFonts w:ascii="Times New Roman" w:hAnsi="Times New Roman" w:cs="Times New Roman" w:eastAsia="Times New Roman" w:hint="default"/>
          <w:spacing w:val="-1"/>
        </w:rPr>
        <w:t>2018</w:t>
      </w:r>
      <w:r>
        <w:rPr>
          <w:spacing w:val="-1"/>
        </w:rPr>
        <w:t>年度一般企业财务报表格式的通知》（财会（</w:t>
      </w:r>
      <w:r>
        <w:rPr>
          <w:rFonts w:ascii="Times New Roman" w:hAnsi="Times New Roman" w:cs="Times New Roman" w:eastAsia="Times New Roman" w:hint="default"/>
          <w:spacing w:val="-1"/>
        </w:rPr>
        <w:t>2018</w:t>
      </w:r>
      <w:r>
        <w:rPr>
          <w:spacing w:val="-1"/>
        </w:rPr>
        <w:t>）</w:t>
      </w:r>
      <w:r>
        <w:rPr>
          <w:rFonts w:ascii="Times New Roman" w:hAnsi="Times New Roman" w:cs="Times New Roman" w:eastAsia="Times New Roman" w:hint="default"/>
          <w:spacing w:val="-1"/>
        </w:rPr>
        <w:t>15</w:t>
      </w:r>
      <w:r>
        <w:rPr>
          <w:spacing w:val="-1"/>
        </w:rPr>
        <w:t>号），</w:t>
      </w:r>
      <w:r>
        <w:rPr/>
        <w:t> 对一般企业财务报表格式进行了修订。</w:t>
      </w:r>
    </w:p>
    <w:p>
      <w:pPr>
        <w:spacing w:after="0" w:line="300" w:lineRule="auto"/>
        <w:jc w:val="left"/>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重要会计估计变更" w:id="217"/>
      <w:bookmarkEnd w:id="217"/>
      <w:r>
        <w:rPr>
          <w:b w:val="0"/>
          <w:bCs w:val="0"/>
        </w:rPr>
      </w:r>
      <w:r>
        <w:rPr/>
        <w:t>（</w:t>
      </w:r>
      <w:r>
        <w:rPr>
          <w:rFonts w:ascii="Times New Roman" w:hAnsi="Times New Roman" w:cs="Times New Roman" w:eastAsia="Times New Roman" w:hint="default"/>
        </w:rPr>
        <w:t>2</w:t>
      </w:r>
      <w:r>
        <w:rPr/>
        <w:t>）重要会计估计变更</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4、其他" w:id="218"/>
      <w:bookmarkEnd w:id="218"/>
      <w:r>
        <w:rPr>
          <w:b w:val="0"/>
          <w:bCs w:val="0"/>
        </w:rPr>
      </w:r>
      <w:r>
        <w:rPr>
          <w:rFonts w:ascii="Times New Roman" w:hAnsi="Times New Roman" w:cs="Times New Roman" w:eastAsia="Times New Roman" w:hint="default"/>
        </w:rPr>
        <w:t>34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六、税项" w:id="219"/>
      <w:bookmarkEnd w:id="219"/>
      <w:r>
        <w:rPr>
          <w:b w:val="0"/>
          <w:bCs w:val="0"/>
        </w:rPr>
      </w:r>
      <w:r>
        <w:rPr/>
        <w:t>六、税项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主要税种及税率" w:id="220"/>
      <w:bookmarkEnd w:id="220"/>
      <w:r>
        <w:rPr>
          <w:b w:val="0"/>
          <w:bCs w:val="0"/>
        </w:rPr>
      </w:r>
      <w:r>
        <w:rPr>
          <w:rFonts w:ascii="Times New Roman" w:hAnsi="Times New Roman" w:cs="Times New Roman" w:eastAsia="Times New Roman" w:hint="default"/>
        </w:rPr>
        <w:t>1</w:t>
      </w:r>
      <w:r>
        <w:rPr/>
        <w:t>、主要税种及税率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3900"/>
        <w:gridCol w:w="248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9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4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318" w:hRule="exact"/>
        </w:trPr>
        <w:tc>
          <w:tcPr>
            <w:tcW w:w="3190" w:type="dxa"/>
            <w:tcBorders>
              <w:top w:val="single" w:sz="4" w:space="0" w:color="000000"/>
              <w:left w:val="single" w:sz="4" w:space="0" w:color="000000"/>
              <w:bottom w:val="nil" w:sz="6" w:space="0" w:color="auto"/>
              <w:right w:val="single" w:sz="4" w:space="0" w:color="000000"/>
            </w:tcBorders>
            <w:shd w:val="clear" w:color="auto" w:fill="D2D2D2"/>
          </w:tcPr>
          <w:p>
            <w:pPr/>
          </w:p>
        </w:tc>
        <w:tc>
          <w:tcPr>
            <w:tcW w:w="3900" w:type="dxa"/>
            <w:vMerge w:val="restart"/>
            <w:tcBorders>
              <w:top w:val="single" w:sz="4" w:space="0" w:color="000000"/>
              <w:left w:val="single" w:sz="9" w:space="0" w:color="D2D2D2"/>
              <w:right w:val="single" w:sz="4" w:space="0" w:color="000000"/>
            </w:tcBorders>
          </w:tcPr>
          <w:p>
            <w:pPr>
              <w:pStyle w:val="TableParagraph"/>
              <w:spacing w:line="316" w:lineRule="auto" w:before="52"/>
              <w:ind w:left="16" w:right="85"/>
              <w:jc w:val="both"/>
              <w:rPr>
                <w:rFonts w:ascii="宋体" w:hAnsi="宋体" w:cs="宋体" w:eastAsia="宋体" w:hint="default"/>
                <w:sz w:val="18"/>
                <w:szCs w:val="18"/>
              </w:rPr>
            </w:pPr>
            <w:r>
              <w:rPr>
                <w:rFonts w:ascii="宋体" w:hAnsi="宋体" w:cs="宋体" w:eastAsia="宋体" w:hint="default"/>
                <w:sz w:val="18"/>
                <w:szCs w:val="18"/>
              </w:rPr>
              <w:t>按税法规定计算的销售货物和应税劳务收入为基 础计算销项税额，在扣除当期允许抵扣的进项税 额后，差额部分为应交增值税</w:t>
            </w:r>
          </w:p>
        </w:tc>
        <w:tc>
          <w:tcPr>
            <w:tcW w:w="24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或</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p>
        </w:tc>
      </w:tr>
      <w:tr>
        <w:trPr>
          <w:trHeight w:val="391" w:hRule="exact"/>
        </w:trPr>
        <w:tc>
          <w:tcPr>
            <w:tcW w:w="319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900" w:type="dxa"/>
            <w:vMerge/>
            <w:tcBorders>
              <w:left w:val="single" w:sz="9" w:space="0" w:color="D2D2D2"/>
              <w:right w:val="single" w:sz="4" w:space="0" w:color="000000"/>
            </w:tcBorders>
          </w:tcPr>
          <w:p>
            <w:pPr/>
          </w:p>
        </w:tc>
        <w:tc>
          <w:tcPr>
            <w:tcW w:w="2480" w:type="dxa"/>
            <w:vMerge/>
            <w:tcBorders>
              <w:left w:val="single" w:sz="4" w:space="0" w:color="000000"/>
              <w:right w:val="single" w:sz="4" w:space="0" w:color="000000"/>
            </w:tcBorders>
          </w:tcPr>
          <w:p>
            <w:pPr/>
          </w:p>
        </w:tc>
      </w:tr>
      <w:tr>
        <w:trPr>
          <w:trHeight w:val="317" w:hRule="exact"/>
        </w:trPr>
        <w:tc>
          <w:tcPr>
            <w:tcW w:w="3190" w:type="dxa"/>
            <w:tcBorders>
              <w:top w:val="nil" w:sz="6" w:space="0" w:color="auto"/>
              <w:left w:val="single" w:sz="4" w:space="0" w:color="000000"/>
              <w:bottom w:val="single" w:sz="4" w:space="0" w:color="000000"/>
              <w:right w:val="single" w:sz="4" w:space="0" w:color="000000"/>
            </w:tcBorders>
            <w:shd w:val="clear" w:color="auto" w:fill="D2D2D2"/>
          </w:tcPr>
          <w:p>
            <w:pPr/>
          </w:p>
        </w:tc>
        <w:tc>
          <w:tcPr>
            <w:tcW w:w="3900" w:type="dxa"/>
            <w:vMerge/>
            <w:tcBorders>
              <w:left w:val="single" w:sz="9" w:space="0" w:color="D2D2D2"/>
              <w:bottom w:val="single" w:sz="4" w:space="0" w:color="000000"/>
              <w:right w:val="single" w:sz="4" w:space="0" w:color="000000"/>
            </w:tcBorders>
          </w:tcPr>
          <w:p>
            <w:pPr/>
          </w:p>
        </w:tc>
        <w:tc>
          <w:tcPr>
            <w:tcW w:w="2480" w:type="dxa"/>
            <w:vMerge/>
            <w:tcBorders>
              <w:left w:val="single" w:sz="4" w:space="0" w:color="000000"/>
              <w:bottom w:val="single" w:sz="4" w:space="0" w:color="000000"/>
              <w:right w:val="single" w:sz="4" w:space="0" w:color="000000"/>
            </w:tcBorders>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9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9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按实际缴纳的增值税及消费税计缴</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9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52"/>
              <w:ind w:left="10" w:right="0"/>
              <w:jc w:val="left"/>
              <w:rPr>
                <w:rFonts w:ascii="宋体" w:hAnsi="宋体" w:cs="宋体" w:eastAsia="宋体" w:hint="default"/>
                <w:sz w:val="18"/>
                <w:szCs w:val="18"/>
              </w:rPr>
            </w:pPr>
            <w:r>
              <w:rPr>
                <w:rFonts w:ascii="宋体" w:hAnsi="宋体" w:cs="宋体" w:eastAsia="宋体" w:hint="default"/>
                <w:sz w:val="18"/>
                <w:szCs w:val="18"/>
              </w:rPr>
              <w:t>按应纳税所得额计缴</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宋体" w:hAnsi="宋体" w:cs="宋体" w:eastAsia="宋体" w:hint="default"/>
                <w:sz w:val="18"/>
                <w:szCs w:val="18"/>
              </w:rPr>
              <w:t>、</w:t>
            </w:r>
            <w:r>
              <w:rPr>
                <w:rFonts w:ascii="Times New Roman" w:hAnsi="Times New Roman" w:cs="Times New Roman" w:eastAsia="Times New Roman" w:hint="default"/>
                <w:sz w:val="18"/>
                <w:szCs w:val="18"/>
              </w:rPr>
              <w:t>20%</w:t>
            </w:r>
            <w:r>
              <w:rPr>
                <w:rFonts w:ascii="宋体" w:hAnsi="宋体" w:cs="宋体" w:eastAsia="宋体" w:hint="default"/>
                <w:sz w:val="18"/>
                <w:szCs w:val="18"/>
              </w:rPr>
              <w:t>、境外适用税率</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90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5"/>
              <w:jc w:val="left"/>
              <w:rPr>
                <w:rFonts w:ascii="宋体" w:hAnsi="宋体" w:cs="宋体" w:eastAsia="宋体" w:hint="default"/>
                <w:sz w:val="18"/>
                <w:szCs w:val="18"/>
              </w:rPr>
            </w:pPr>
            <w:r>
              <w:rPr>
                <w:rFonts w:ascii="宋体" w:hAnsi="宋体" w:cs="宋体" w:eastAsia="宋体" w:hint="default"/>
                <w:sz w:val="18"/>
                <w:szCs w:val="18"/>
              </w:rPr>
              <w:t>广告服务应税收入扣除允许抵扣的广告成本后的 差额</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土地增值税</w:t>
            </w:r>
          </w:p>
        </w:tc>
        <w:tc>
          <w:tcPr>
            <w:tcW w:w="3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按转让房地产所取得的增值额和规定的税率计缴</w:t>
            </w:r>
          </w:p>
        </w:tc>
        <w:tc>
          <w:tcPr>
            <w:tcW w:w="2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平方米</w:t>
            </w:r>
          </w:p>
        </w:tc>
      </w:tr>
    </w:tbl>
    <w:p>
      <w:pPr>
        <w:pStyle w:val="BodyText"/>
        <w:spacing w:line="240" w:lineRule="auto" w:before="51"/>
        <w:ind w:right="0"/>
        <w:jc w:val="left"/>
      </w:pPr>
      <w:r>
        <w:rPr/>
        <w:t>存在不同企业所得税税率纳税主体的，披露情况说明</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1027"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宣亚国际有限公司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2"/>
              <w:ind w:left="22" w:right="42"/>
              <w:jc w:val="both"/>
              <w:rPr>
                <w:rFonts w:ascii="宋体" w:hAnsi="宋体" w:cs="宋体" w:eastAsia="宋体" w:hint="default"/>
                <w:sz w:val="18"/>
                <w:szCs w:val="18"/>
              </w:rPr>
            </w:pPr>
            <w:r>
              <w:rPr>
                <w:rFonts w:ascii="宋体" w:hAnsi="宋体" w:cs="宋体" w:eastAsia="宋体" w:hint="default"/>
                <w:sz w:val="18"/>
                <w:szCs w:val="18"/>
              </w:rPr>
              <w:t>注册于美国，公司相关税项适用于当地税率，其中联邦政府 所得税率为应纳税所得的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到</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39%</w:t>
            </w:r>
            <w:r>
              <w:rPr>
                <w:rFonts w:ascii="宋体" w:hAnsi="宋体" w:cs="宋体" w:eastAsia="宋体" w:hint="default"/>
                <w:sz w:val="18"/>
                <w:szCs w:val="18"/>
              </w:rPr>
              <w:t>、公司所处州的州所得 税率为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8.84%</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税收优惠" w:id="221"/>
      <w:bookmarkEnd w:id="221"/>
      <w:r>
        <w:rPr>
          <w:b w:val="0"/>
          <w:bCs w:val="0"/>
        </w:rPr>
      </w:r>
      <w:r>
        <w:rPr>
          <w:rFonts w:ascii="Times New Roman" w:hAnsi="Times New Roman" w:cs="Times New Roman" w:eastAsia="Times New Roman" w:hint="default"/>
        </w:rPr>
        <w:t>2</w:t>
      </w:r>
      <w:r>
        <w:rPr/>
        <w:t>、税收优惠</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9" w:firstLine="433"/>
        <w:jc w:val="left"/>
      </w:pPr>
      <w:r>
        <w:rPr>
          <w:rFonts w:ascii="宋体" w:hAnsi="宋体" w:cs="宋体" w:eastAsia="宋体" w:hint="default"/>
        </w:rPr>
        <w:t>1</w:t>
      </w:r>
      <w:r>
        <w:rPr/>
        <w:t>、宣亚国际品牌管理（北京）股份有限公司根据《中华人民共和国企业所得税法》（中华人民共和国主席令第</w:t>
      </w:r>
      <w:r>
        <w:rPr>
          <w:rFonts w:ascii="宋体" w:hAnsi="宋体" w:cs="宋体" w:eastAsia="宋体" w:hint="default"/>
        </w:rPr>
        <w:t>63</w:t>
      </w:r>
      <w:r>
        <w:rPr/>
        <w:t>号） 第二十六条；《中国人民共和国企业所得税法实施条例》（中华人民共和国国务院令第</w:t>
      </w:r>
      <w:r>
        <w:rPr>
          <w:rFonts w:ascii="宋体" w:hAnsi="宋体" w:cs="宋体" w:eastAsia="宋体" w:hint="default"/>
        </w:rPr>
        <w:t>512</w:t>
      </w:r>
      <w:r>
        <w:rPr/>
        <w:t>号）第八十二条、第八十三条、 第八十四条，享受符合合条件居民企业之间的股息、红利等权益性投资收益免征企业所得税；</w:t>
      </w:r>
    </w:p>
    <w:p>
      <w:pPr>
        <w:pStyle w:val="BodyText"/>
        <w:spacing w:line="316" w:lineRule="auto" w:before="19"/>
        <w:ind w:right="0" w:firstLine="360"/>
        <w:jc w:val="left"/>
      </w:pPr>
      <w:r>
        <w:rPr>
          <w:spacing w:val="-2"/>
        </w:rPr>
        <w:t>根据《中华人民共和国企业所得税法》（中华人民共和国主席令第</w:t>
      </w:r>
      <w:r>
        <w:rPr>
          <w:rFonts w:ascii="宋体" w:hAnsi="宋体" w:cs="宋体" w:eastAsia="宋体" w:hint="default"/>
          <w:spacing w:val="-2"/>
        </w:rPr>
        <w:t>63</w:t>
      </w:r>
      <w:r>
        <w:rPr>
          <w:spacing w:val="-2"/>
        </w:rPr>
        <w:t>号）第三十条及《中华人民共和国企业所得税法实</w:t>
      </w:r>
      <w:r>
        <w:rPr/>
        <w:t> 施条例》（中华人民共和国国务院令第</w:t>
      </w:r>
      <w:r>
        <w:rPr>
          <w:rFonts w:ascii="宋体" w:hAnsi="宋体" w:cs="宋体" w:eastAsia="宋体" w:hint="default"/>
        </w:rPr>
        <w:t>512</w:t>
      </w:r>
      <w:r>
        <w:rPr/>
        <w:t>号）第九十五条规定，安置残疾人员所支付的工资</w:t>
      </w:r>
      <w:r>
        <w:rPr>
          <w:rFonts w:ascii="宋体" w:hAnsi="宋体" w:cs="宋体" w:eastAsia="宋体" w:hint="default"/>
        </w:rPr>
        <w:t>100%</w:t>
      </w:r>
      <w:r>
        <w:rPr/>
        <w:t>加计扣除。</w:t>
      </w:r>
    </w:p>
    <w:p>
      <w:pPr>
        <w:pStyle w:val="BodyText"/>
        <w:spacing w:line="240" w:lineRule="auto" w:before="19"/>
        <w:ind w:left="604" w:right="0"/>
        <w:jc w:val="left"/>
      </w:pPr>
      <w:r>
        <w:rPr>
          <w:rFonts w:ascii="宋体" w:hAnsi="宋体" w:cs="宋体" w:eastAsia="宋体" w:hint="default"/>
        </w:rPr>
        <w:t>2</w:t>
      </w:r>
      <w:r>
        <w:rPr/>
        <w:t>、北京品推宝移动科技有限公司根据《中华人民共和国企业所得税法》（中华人民共和国主席令第</w:t>
      </w:r>
      <w:r>
        <w:rPr>
          <w:rFonts w:ascii="宋体" w:hAnsi="宋体" w:cs="宋体" w:eastAsia="宋体" w:hint="default"/>
        </w:rPr>
        <w:t>63</w:t>
      </w:r>
      <w:r>
        <w:rPr/>
        <w:t>号）第三十条；</w:t>
      </w:r>
    </w:p>
    <w:p>
      <w:pPr>
        <w:pStyle w:val="BodyText"/>
        <w:spacing w:line="319" w:lineRule="auto" w:before="76"/>
        <w:ind w:right="1122"/>
        <w:jc w:val="left"/>
      </w:pPr>
      <w:r>
        <w:rPr/>
        <w:t>《中国人民共和国企业所得税法实施条例》（中华人民共和国国务院令第</w:t>
      </w:r>
      <w:r>
        <w:rPr>
          <w:rFonts w:ascii="宋体" w:hAnsi="宋体" w:cs="宋体" w:eastAsia="宋体" w:hint="default"/>
        </w:rPr>
        <w:t>512</w:t>
      </w:r>
      <w:r>
        <w:rPr/>
        <w:t>号）第九十五条规定，享受为安置残疾人员所 支付的工资</w:t>
      </w:r>
      <w:r>
        <w:rPr>
          <w:rFonts w:ascii="宋体" w:hAnsi="宋体" w:cs="宋体" w:eastAsia="宋体" w:hint="default"/>
        </w:rPr>
        <w:t>100%</w:t>
      </w:r>
      <w:r>
        <w:rPr/>
        <w:t>加计扣除。</w:t>
      </w:r>
    </w:p>
    <w:p>
      <w:pPr>
        <w:pStyle w:val="BodyText"/>
        <w:spacing w:line="316" w:lineRule="auto" w:before="17"/>
        <w:ind w:right="1132" w:firstLine="450"/>
        <w:jc w:val="both"/>
      </w:pPr>
      <w:r>
        <w:rPr>
          <w:rFonts w:ascii="宋体" w:hAnsi="宋体" w:cs="宋体" w:eastAsia="宋体" w:hint="default"/>
          <w:spacing w:val="-2"/>
        </w:rPr>
        <w:t>3</w:t>
      </w:r>
      <w:r>
        <w:rPr>
          <w:spacing w:val="-2"/>
        </w:rPr>
        <w:t>、北京宣亚国际数字技术有限公司自</w:t>
      </w:r>
      <w:r>
        <w:rPr>
          <w:rFonts w:ascii="宋体" w:hAnsi="宋体" w:cs="宋体" w:eastAsia="宋体" w:hint="default"/>
          <w:spacing w:val="-2"/>
        </w:rPr>
        <w:t>2017</w:t>
      </w:r>
      <w:r>
        <w:rPr>
          <w:spacing w:val="-2"/>
        </w:rPr>
        <w:t>年起符合《中华人民共和国企业所得税法》及其实施条例规定的小型微利企</w:t>
      </w:r>
      <w:r>
        <w:rPr/>
        <w:t> </w:t>
      </w:r>
      <w:r>
        <w:rPr>
          <w:spacing w:val="-2"/>
        </w:rPr>
        <w:t>业。即对年应纳税所得额低于</w:t>
      </w:r>
      <w:r>
        <w:rPr>
          <w:rFonts w:ascii="宋体" w:hAnsi="宋体" w:cs="宋体" w:eastAsia="宋体" w:hint="default"/>
          <w:spacing w:val="-2"/>
        </w:rPr>
        <w:t>20</w:t>
      </w:r>
      <w:r>
        <w:rPr>
          <w:spacing w:val="-2"/>
        </w:rPr>
        <w:t>万元（含</w:t>
      </w:r>
      <w:r>
        <w:rPr>
          <w:rFonts w:ascii="宋体" w:hAnsi="宋体" w:cs="宋体" w:eastAsia="宋体" w:hint="default"/>
          <w:spacing w:val="-2"/>
        </w:rPr>
        <w:t>20</w:t>
      </w:r>
      <w:r>
        <w:rPr>
          <w:spacing w:val="-2"/>
        </w:rPr>
        <w:t>万元）的小型微利企业，其所得减按</w:t>
      </w:r>
      <w:r>
        <w:rPr>
          <w:rFonts w:ascii="宋体" w:hAnsi="宋体" w:cs="宋体" w:eastAsia="宋体" w:hint="default"/>
          <w:spacing w:val="-2"/>
        </w:rPr>
        <w:t>50%</w:t>
      </w:r>
      <w:r>
        <w:rPr>
          <w:spacing w:val="-2"/>
        </w:rPr>
        <w:t>计入应纳税所得额，按</w:t>
      </w:r>
      <w:r>
        <w:rPr>
          <w:rFonts w:ascii="宋体" w:hAnsi="宋体" w:cs="宋体" w:eastAsia="宋体" w:hint="default"/>
          <w:spacing w:val="-2"/>
        </w:rPr>
        <w:t>20%</w:t>
      </w:r>
      <w:r>
        <w:rPr>
          <w:spacing w:val="-2"/>
        </w:rPr>
        <w:t>的税率缴纳企</w:t>
      </w:r>
      <w:r>
        <w:rPr>
          <w:spacing w:val="-57"/>
        </w:rPr>
        <w:t> </w:t>
      </w:r>
      <w:r>
        <w:rPr>
          <w:spacing w:val="-57"/>
        </w:rPr>
      </w:r>
      <w:r>
        <w:rPr/>
        <w:t>业所得税。</w:t>
      </w:r>
    </w:p>
    <w:p>
      <w:pPr>
        <w:spacing w:after="0" w:line="316" w:lineRule="auto"/>
        <w:jc w:val="both"/>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其他" w:id="222"/>
      <w:bookmarkEnd w:id="222"/>
      <w:r>
        <w:rPr>
          <w:b w:val="0"/>
          <w:bCs w:val="0"/>
        </w:rPr>
      </w:r>
      <w:r>
        <w:rPr>
          <w:rFonts w:ascii="Times New Roman" w:hAnsi="Times New Roman" w:cs="Times New Roman" w:eastAsia="Times New Roman"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312" w:lineRule="auto"/>
        <w:ind w:right="1027" w:firstLine="380"/>
        <w:jc w:val="left"/>
      </w:pPr>
      <w:r>
        <w:rPr/>
        <w:t>宣亚国际品牌管理（北京）股份有限公司、宣亚国际品牌管理（湖南）有限公司、北京品推宝移动科技有限公司、秦 </w:t>
      </w:r>
      <w:r>
        <w:rPr>
          <w:spacing w:val="-2"/>
        </w:rPr>
        <w:t>皇岛宣亚公共关系顾问有限公司、北京宣亚国际数字技术有限公司、北京宣亚国际品牌咨询有限公司、北京新兵连文化传媒</w:t>
      </w:r>
      <w:r>
        <w:rPr>
          <w:spacing w:val="-66"/>
        </w:rPr>
        <w:t> </w:t>
      </w:r>
      <w:r>
        <w:rPr>
          <w:spacing w:val="-66"/>
        </w:rPr>
      </w:r>
      <w:r>
        <w:rPr>
          <w:spacing w:val="-1"/>
        </w:rPr>
        <w:t>有限公司、珠海宣亚互动数字营销有限公司、北京金色区块网络科技有限公司为增值税一般纳税人，增值税率适用</w:t>
      </w:r>
      <w:r>
        <w:rPr>
          <w:rFonts w:ascii="Times New Roman" w:hAnsi="Times New Roman" w:cs="Times New Roman" w:eastAsia="Times New Roman" w:hint="default"/>
          <w:spacing w:val="-1"/>
        </w:rPr>
        <w:t>6%</w:t>
      </w:r>
      <w:r>
        <w:rPr>
          <w:spacing w:val="-1"/>
        </w:rPr>
        <w:t>计缴；</w:t>
      </w:r>
      <w:r>
        <w:rPr>
          <w:spacing w:val="-85"/>
        </w:rPr>
        <w:t> </w:t>
      </w:r>
      <w:r>
        <w:rPr/>
        <w:t>广州宣亚品牌管理有限公司为小规模纳税人，增值税适用</w:t>
      </w:r>
      <w:r>
        <w:rPr>
          <w:rFonts w:ascii="Times New Roman" w:hAnsi="Times New Roman" w:cs="Times New Roman" w:eastAsia="Times New Roman" w:hint="default"/>
        </w:rPr>
        <w:t>3%</w:t>
      </w:r>
      <w:r>
        <w:rPr/>
        <w:t>征收率。</w:t>
      </w:r>
    </w:p>
    <w:p>
      <w:pPr>
        <w:spacing w:line="240" w:lineRule="auto" w:before="7"/>
        <w:rPr>
          <w:rFonts w:ascii="宋体" w:hAnsi="宋体" w:cs="宋体" w:eastAsia="宋体" w:hint="default"/>
          <w:sz w:val="19"/>
          <w:szCs w:val="19"/>
        </w:rPr>
      </w:pPr>
    </w:p>
    <w:p>
      <w:pPr>
        <w:pStyle w:val="Heading2"/>
        <w:spacing w:line="240" w:lineRule="auto"/>
        <w:ind w:right="0"/>
        <w:jc w:val="left"/>
        <w:rPr>
          <w:b w:val="0"/>
          <w:bCs w:val="0"/>
        </w:rPr>
      </w:pPr>
      <w:bookmarkStart w:name="七、合并财务报表项目注释" w:id="223"/>
      <w:bookmarkEnd w:id="223"/>
      <w:r>
        <w:rPr>
          <w:b w:val="0"/>
          <w:bCs w:val="0"/>
        </w:rPr>
      </w:r>
      <w:r>
        <w:rPr/>
        <w:t>七、合并财务报表项目注释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货币资金" w:id="224"/>
      <w:bookmarkEnd w:id="224"/>
      <w:r>
        <w:rPr>
          <w:b w:val="0"/>
          <w:bCs w:val="0"/>
        </w:rPr>
      </w:r>
      <w:r>
        <w:rPr>
          <w:rFonts w:ascii="Times New Roman" w:hAnsi="Times New Roman" w:cs="Times New Roman" w:eastAsia="Times New Roman" w:hint="default"/>
        </w:rPr>
        <w:t>1</w:t>
      </w:r>
      <w:r>
        <w:rPr/>
        <w:t>、货币资金</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196.90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2,196.42</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210,948,685.49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259,038,284.46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886.34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210,949,768.73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259,040,480.88</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40,124,971.23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1,928,539.47</w:t>
            </w:r>
          </w:p>
        </w:tc>
      </w:tr>
    </w:tbl>
    <w:p>
      <w:pPr>
        <w:pStyle w:val="BodyText"/>
        <w:spacing w:line="240" w:lineRule="auto" w:before="51"/>
        <w:ind w:right="0"/>
        <w:jc w:val="left"/>
      </w:pPr>
      <w:r>
        <w:rPr/>
        <w:t>其他说明</w:t>
      </w:r>
    </w:p>
    <w:p>
      <w:pPr>
        <w:pStyle w:val="BodyText"/>
        <w:spacing w:line="240" w:lineRule="auto" w:before="116"/>
        <w:ind w:left="444" w:right="0"/>
        <w:jc w:val="left"/>
      </w:pPr>
      <w:r>
        <w:rPr/>
        <w:t>受到限制的货币资金明细如下：</w:t>
      </w:r>
    </w:p>
    <w:p>
      <w:pPr>
        <w:spacing w:line="240" w:lineRule="auto" w:before="13"/>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195"/>
        <w:gridCol w:w="3195"/>
        <w:gridCol w:w="3192"/>
      </w:tblGrid>
      <w:tr>
        <w:trPr>
          <w:trHeight w:val="335" w:hRule="exact"/>
        </w:trPr>
        <w:tc>
          <w:tcPr>
            <w:tcW w:w="319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2"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7" w:hRule="exact"/>
        </w:trPr>
        <w:tc>
          <w:tcPr>
            <w:tcW w:w="319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存出投资款</w:t>
            </w:r>
          </w:p>
        </w:tc>
        <w:tc>
          <w:tcPr>
            <w:tcW w:w="3195"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left="1" w:right="0"/>
              <w:jc w:val="center"/>
              <w:rPr>
                <w:rFonts w:ascii="Times New Roman" w:hAnsi="Times New Roman" w:cs="Times New Roman" w:eastAsia="Times New Roman" w:hint="default"/>
                <w:sz w:val="18"/>
                <w:szCs w:val="18"/>
              </w:rPr>
            </w:pPr>
            <w:r>
              <w:rPr>
                <w:rFonts w:ascii="Times New Roman"/>
                <w:sz w:val="18"/>
              </w:rPr>
              <w:t>886.34</w:t>
            </w:r>
          </w:p>
        </w:tc>
        <w:tc>
          <w:tcPr>
            <w:tcW w:w="319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0.00</w:t>
            </w:r>
          </w:p>
        </w:tc>
      </w:tr>
      <w:tr>
        <w:trPr>
          <w:trHeight w:val="348" w:hRule="exact"/>
        </w:trPr>
        <w:tc>
          <w:tcPr>
            <w:tcW w:w="319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Times New Roman" w:hAnsi="Times New Roman" w:cs="Times New Roman" w:eastAsia="Times New Roman" w:hint="default"/>
                <w:sz w:val="18"/>
                <w:szCs w:val="18"/>
              </w:rPr>
            </w:pPr>
            <w:r>
              <w:rPr>
                <w:rFonts w:ascii="Times New Roman"/>
                <w:sz w:val="18"/>
              </w:rPr>
              <w:t>886.34</w:t>
            </w:r>
          </w:p>
        </w:tc>
        <w:tc>
          <w:tcPr>
            <w:tcW w:w="3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3"/>
          <w:szCs w:val="23"/>
        </w:rPr>
      </w:pPr>
    </w:p>
    <w:p>
      <w:pPr>
        <w:pStyle w:val="Heading4"/>
        <w:spacing w:line="240" w:lineRule="auto" w:before="35"/>
        <w:ind w:right="0"/>
        <w:jc w:val="left"/>
        <w:rPr>
          <w:b w:val="0"/>
          <w:bCs w:val="0"/>
        </w:rPr>
      </w:pPr>
      <w:bookmarkStart w:name="2、以公允价值计量且其变动计入当期损益的金融资产" w:id="225"/>
      <w:bookmarkEnd w:id="225"/>
      <w:r>
        <w:rPr>
          <w:b w:val="0"/>
          <w:bCs w:val="0"/>
        </w:rPr>
      </w:r>
      <w:r>
        <w:rPr>
          <w:rFonts w:ascii="Times New Roman" w:hAnsi="Times New Roman" w:cs="Times New Roman" w:eastAsia="Times New Roman" w:hint="default"/>
        </w:rPr>
        <w:t>2</w:t>
      </w:r>
      <w:r>
        <w:rPr/>
        <w:t>、以公允价值计量且其变动计入当期损益的金融资产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衍生金融资产" w:id="226"/>
      <w:bookmarkEnd w:id="226"/>
      <w:r>
        <w:rPr>
          <w:b w:val="0"/>
          <w:bCs w:val="0"/>
        </w:rPr>
      </w:r>
      <w:r>
        <w:rPr>
          <w:rFonts w:ascii="Times New Roman" w:hAnsi="Times New Roman" w:cs="Times New Roman" w:eastAsia="Times New Roman" w:hint="default"/>
        </w:rPr>
        <w:t>3</w:t>
      </w:r>
      <w:r>
        <w:rPr/>
        <w:t>、衍生金融资产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应收票据及应收账款" w:id="227"/>
      <w:bookmarkEnd w:id="227"/>
      <w:r>
        <w:rPr>
          <w:b w:val="0"/>
          <w:bCs w:val="0"/>
        </w:rPr>
      </w:r>
      <w:r>
        <w:rPr>
          <w:rFonts w:ascii="Times New Roman" w:hAnsi="Times New Roman" w:cs="Times New Roman" w:eastAsia="Times New Roman" w:hint="default"/>
        </w:rPr>
        <w:t>4</w:t>
      </w:r>
      <w:r>
        <w:rPr/>
        <w:t>、应收票据及应收账款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16,984,595.19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35,225,088.50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140,540,231.26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253,694,732.65</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157,524,826.45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288,919,821.15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left="1094" w:right="3032"/>
        <w:jc w:val="left"/>
        <w:rPr>
          <w:b w:val="0"/>
          <w:bCs w:val="0"/>
        </w:rPr>
      </w:pPr>
      <w:bookmarkStart w:name="（1）应收票据" w:id="228"/>
      <w:bookmarkEnd w:id="228"/>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094" w:right="3032"/>
        <w:jc w:val="left"/>
      </w:pPr>
      <w:r>
        <w:rPr>
          <w:rFonts w:ascii="Times New Roman" w:hAnsi="Times New Roman" w:cs="Times New Roman" w:eastAsia="Times New Roman" w:hint="default"/>
        </w:rPr>
        <w:t>1)</w:t>
      </w:r>
      <w:r>
        <w:rPr/>
        <w:t>应收票据分类列示</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0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16,984,595.19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35,225,088.50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16,984,595.19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35,225,088.50</w:t>
            </w:r>
          </w:p>
        </w:tc>
      </w:tr>
    </w:tbl>
    <w:p>
      <w:pPr>
        <w:pStyle w:val="BodyText"/>
        <w:spacing w:line="240" w:lineRule="auto" w:before="51"/>
        <w:ind w:left="1094" w:right="3032"/>
        <w:jc w:val="left"/>
      </w:pPr>
      <w:r>
        <w:rPr>
          <w:rFonts w:ascii="Times New Roman" w:hAnsi="Times New Roman" w:cs="Times New Roman" w:eastAsia="Times New Roman" w:hint="default"/>
        </w:rPr>
        <w:t>2)</w:t>
      </w:r>
      <w:r>
        <w:rPr/>
        <w:t>期末公司已质押的应收票据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00" w:type="dxa"/>
        <w:tblLayout w:type="fixed"/>
        <w:tblCellMar>
          <w:top w:w="0" w:type="dxa"/>
          <w:left w:w="0" w:type="dxa"/>
          <w:bottom w:w="0" w:type="dxa"/>
          <w:right w:w="0" w:type="dxa"/>
        </w:tblCellMar>
        <w:tblLook w:val="01E0"/>
      </w:tblPr>
      <w:tblGrid>
        <w:gridCol w:w="3096"/>
        <w:gridCol w:w="6461"/>
      </w:tblGrid>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期末已质押金额</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6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6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094" w:right="3032"/>
        <w:jc w:val="left"/>
      </w:pPr>
      <w:r>
        <w:rPr>
          <w:rFonts w:ascii="Times New Roman" w:hAnsi="Times New Roman" w:cs="Times New Roman" w:eastAsia="Times New Roman" w:hint="default"/>
        </w:rPr>
        <w:t>3)</w:t>
      </w:r>
      <w:r>
        <w:rPr/>
        <w:t>期末公司已背书或贴现且在资产负债表日尚未到期的应收票据</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0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82"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left="1094" w:right="3032"/>
        <w:jc w:val="left"/>
      </w:pPr>
      <w:r>
        <w:rPr>
          <w:rFonts w:ascii="Times New Roman" w:hAnsi="Times New Roman" w:cs="Times New Roman" w:eastAsia="Times New Roman" w:hint="default"/>
        </w:rPr>
        <w:t>4)</w:t>
      </w:r>
      <w:r>
        <w:rPr/>
        <w:t>期末公司因出票人未履约而将其转应收账款的票据</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100" w:type="dxa"/>
        <w:tblLayout w:type="fixed"/>
        <w:tblCellMar>
          <w:top w:w="0" w:type="dxa"/>
          <w:left w:w="0" w:type="dxa"/>
          <w:bottom w:w="0" w:type="dxa"/>
          <w:right w:w="0" w:type="dxa"/>
        </w:tblCellMar>
        <w:tblLook w:val="01E0"/>
      </w:tblPr>
      <w:tblGrid>
        <w:gridCol w:w="3096"/>
        <w:gridCol w:w="6461"/>
      </w:tblGrid>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4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期末转应收账款金额</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6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0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46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left="1094" w:right="3032"/>
        <w:jc w:val="left"/>
        <w:rPr>
          <w:b w:val="0"/>
          <w:bCs w:val="0"/>
        </w:rPr>
      </w:pPr>
      <w:bookmarkStart w:name="（2）应收账款" w:id="229"/>
      <w:bookmarkEnd w:id="229"/>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1094" w:right="3032"/>
        <w:jc w:val="left"/>
      </w:pPr>
      <w:r>
        <w:rPr>
          <w:rFonts w:ascii="Times New Roman" w:hAnsi="Times New Roman" w:cs="Times New Roman" w:eastAsia="Times New Roman" w:hint="default"/>
        </w:rPr>
        <w:t>1)</w:t>
      </w:r>
      <w:r>
        <w:rPr/>
        <w:t>应收账款分类披露</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6" w:type="dxa"/>
        <w:tblLayout w:type="fixed"/>
        <w:tblCellMar>
          <w:top w:w="0" w:type="dxa"/>
          <w:left w:w="0" w:type="dxa"/>
          <w:bottom w:w="0" w:type="dxa"/>
          <w:right w:w="0" w:type="dxa"/>
        </w:tblCellMar>
        <w:tblLook w:val="01E0"/>
      </w:tblPr>
      <w:tblGrid>
        <w:gridCol w:w="1124"/>
        <w:gridCol w:w="1277"/>
        <w:gridCol w:w="991"/>
        <w:gridCol w:w="1134"/>
        <w:gridCol w:w="708"/>
        <w:gridCol w:w="1277"/>
        <w:gridCol w:w="1274"/>
        <w:gridCol w:w="710"/>
        <w:gridCol w:w="1134"/>
        <w:gridCol w:w="709"/>
        <w:gridCol w:w="1276"/>
      </w:tblGrid>
      <w:tr>
        <w:trPr>
          <w:trHeight w:val="397" w:hRule="exact"/>
        </w:trPr>
        <w:tc>
          <w:tcPr>
            <w:tcW w:w="1124" w:type="dxa"/>
            <w:vMerge w:val="restart"/>
            <w:tcBorders>
              <w:top w:val="single" w:sz="4" w:space="0" w:color="000000"/>
              <w:left w:val="single" w:sz="4" w:space="0" w:color="000000"/>
              <w:right w:val="single" w:sz="4" w:space="0" w:color="000000"/>
            </w:tcBorders>
            <w:shd w:val="clear" w:color="auto" w:fill="D2D2D2"/>
          </w:tcPr>
          <w:p>
            <w:pPr/>
          </w:p>
        </w:tc>
        <w:tc>
          <w:tcPr>
            <w:tcW w:w="538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10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6" w:hRule="exact"/>
        </w:trPr>
        <w:tc>
          <w:tcPr>
            <w:tcW w:w="1124" w:type="dxa"/>
            <w:vMerge/>
            <w:tcBorders>
              <w:left w:val="single" w:sz="4" w:space="0" w:color="000000"/>
              <w:bottom w:val="nil" w:sz="6" w:space="0" w:color="auto"/>
              <w:right w:val="single" w:sz="4" w:space="0" w:color="000000"/>
            </w:tcBorders>
            <w:shd w:val="clear" w:color="auto" w:fill="D2D2D2"/>
          </w:tcPr>
          <w:p>
            <w:pPr/>
          </w:p>
        </w:tc>
        <w:tc>
          <w:tcPr>
            <w:tcW w:w="226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9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vMerge w:val="restart"/>
            <w:tcBorders>
              <w:top w:val="single" w:sz="4" w:space="0" w:color="000000"/>
              <w:left w:val="single" w:sz="4" w:space="0" w:color="000000"/>
              <w:right w:val="single" w:sz="4" w:space="0" w:color="000000"/>
            </w:tcBorders>
            <w:shd w:val="clear" w:color="auto" w:fill="D2D2D2"/>
          </w:tcPr>
          <w:p>
            <w:pPr/>
          </w:p>
        </w:tc>
      </w:tr>
      <w:tr>
        <w:trPr>
          <w:trHeight w:val="221" w:hRule="exact"/>
        </w:trPr>
        <w:tc>
          <w:tcPr>
            <w:tcW w:w="112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70"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2268" w:type="dxa"/>
            <w:gridSpan w:val="2"/>
            <w:vMerge/>
            <w:tcBorders>
              <w:left w:val="single" w:sz="4" w:space="0" w:color="000000"/>
              <w:bottom w:val="single" w:sz="4" w:space="0" w:color="000000"/>
              <w:right w:val="single" w:sz="4" w:space="0" w:color="000000"/>
            </w:tcBorders>
            <w:shd w:val="clear" w:color="auto" w:fill="D2D2D2"/>
          </w:tcPr>
          <w:p>
            <w:pPr/>
          </w:p>
        </w:tc>
        <w:tc>
          <w:tcPr>
            <w:tcW w:w="1842" w:type="dxa"/>
            <w:gridSpan w:val="2"/>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984" w:type="dxa"/>
            <w:gridSpan w:val="2"/>
            <w:vMerge/>
            <w:tcBorders>
              <w:left w:val="single" w:sz="4" w:space="0" w:color="000000"/>
              <w:bottom w:val="single" w:sz="4" w:space="0" w:color="000000"/>
              <w:right w:val="single" w:sz="4" w:space="0" w:color="000000"/>
            </w:tcBorders>
            <w:shd w:val="clear" w:color="auto" w:fill="D2D2D2"/>
          </w:tcPr>
          <w:p>
            <w:pPr/>
          </w:p>
        </w:tc>
        <w:tc>
          <w:tcPr>
            <w:tcW w:w="1843" w:type="dxa"/>
            <w:gridSpan w:val="2"/>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1124" w:type="dxa"/>
            <w:vMerge/>
            <w:tcBorders>
              <w:left w:val="single" w:sz="4" w:space="0" w:color="000000"/>
              <w:bottom w:val="nil" w:sz="6" w:space="0" w:color="auto"/>
              <w:right w:val="single" w:sz="4" w:space="0" w:color="000000"/>
            </w:tcBorders>
            <w:shd w:val="clear" w:color="auto" w:fill="D2D2D2"/>
          </w:tcPr>
          <w:p>
            <w:pP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51"/>
              <w:ind w:left="169" w:right="16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259" w:right="78"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124" w:type="dxa"/>
            <w:vMerge w:val="restart"/>
            <w:tcBorders>
              <w:top w:val="nil" w:sz="6" w:space="0" w:color="auto"/>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201" w:hRule="exact"/>
        </w:trPr>
        <w:tc>
          <w:tcPr>
            <w:tcW w:w="1124"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r>
      <w:tr>
        <w:trPr>
          <w:trHeight w:val="181" w:hRule="exact"/>
        </w:trPr>
        <w:tc>
          <w:tcPr>
            <w:tcW w:w="1124"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r>
      <w:tr>
        <w:trPr>
          <w:trHeight w:val="986" w:hRule="exact"/>
        </w:trPr>
        <w:tc>
          <w:tcPr>
            <w:tcW w:w="1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00"/>
              <w:jc w:val="both"/>
              <w:rPr>
                <w:rFonts w:ascii="宋体" w:hAnsi="宋体" w:cs="宋体" w:eastAsia="宋体" w:hint="default"/>
                <w:sz w:val="18"/>
                <w:szCs w:val="18"/>
              </w:rPr>
            </w:pPr>
            <w:r>
              <w:rPr>
                <w:rFonts w:ascii="宋体" w:hAnsi="宋体" w:cs="宋体" w:eastAsia="宋体" w:hint="default"/>
                <w:sz w:val="18"/>
                <w:szCs w:val="18"/>
              </w:rPr>
              <w:t>单项金额重 大并单独计 提坏账准备</w:t>
            </w:r>
          </w:p>
        </w:tc>
        <w:tc>
          <w:tcPr>
            <w:tcW w:w="12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87" w:right="0"/>
              <w:jc w:val="left"/>
              <w:rPr>
                <w:rFonts w:ascii="Times New Roman" w:hAnsi="Times New Roman" w:cs="Times New Roman" w:eastAsia="Times New Roman" w:hint="default"/>
                <w:sz w:val="18"/>
                <w:szCs w:val="18"/>
              </w:rPr>
            </w:pPr>
            <w:r>
              <w:rPr>
                <w:rFonts w:ascii="Times New Roman"/>
                <w:sz w:val="18"/>
              </w:rPr>
              <w:t>3,230,762.00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494" w:right="0"/>
              <w:jc w:val="left"/>
              <w:rPr>
                <w:rFonts w:ascii="Times New Roman" w:hAnsi="Times New Roman" w:cs="Times New Roman" w:eastAsia="Times New Roman" w:hint="default"/>
                <w:sz w:val="18"/>
                <w:szCs w:val="18"/>
              </w:rPr>
            </w:pPr>
            <w:r>
              <w:rPr>
                <w:rFonts w:ascii="Times New Roman"/>
                <w:sz w:val="18"/>
              </w:rPr>
              <w:t>2.19%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57" w:right="0"/>
              <w:jc w:val="left"/>
              <w:rPr>
                <w:rFonts w:ascii="Times New Roman" w:hAnsi="Times New Roman" w:cs="Times New Roman" w:eastAsia="Times New Roman" w:hint="default"/>
                <w:sz w:val="18"/>
                <w:szCs w:val="18"/>
              </w:rPr>
            </w:pPr>
            <w:r>
              <w:rPr>
                <w:rFonts w:ascii="Times New Roman"/>
                <w:sz w:val="18"/>
              </w:rPr>
              <w:t>3,230,762.00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31" w:right="0"/>
              <w:jc w:val="left"/>
              <w:rPr>
                <w:rFonts w:ascii="Times New Roman" w:hAnsi="Times New Roman" w:cs="Times New Roman" w:eastAsia="Times New Roman" w:hint="default"/>
                <w:sz w:val="18"/>
                <w:szCs w:val="18"/>
              </w:rPr>
            </w:pPr>
            <w:r>
              <w:rPr>
                <w:rFonts w:ascii="Times New Roman"/>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97" w:right="0"/>
              <w:jc w:val="left"/>
              <w:rPr>
                <w:rFonts w:ascii="Times New Roman" w:hAnsi="Times New Roman" w:cs="Times New Roman" w:eastAsia="Times New Roman" w:hint="default"/>
                <w:sz w:val="18"/>
                <w:szCs w:val="18"/>
              </w:rPr>
            </w:pPr>
            <w:r>
              <w:rPr>
                <w:rFonts w:ascii="Times New Roman"/>
                <w:sz w:val="18"/>
              </w:rPr>
              <w:t>3,230,762.00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211" w:right="0"/>
              <w:jc w:val="left"/>
              <w:rPr>
                <w:rFonts w:ascii="Times New Roman" w:hAnsi="Times New Roman" w:cs="Times New Roman" w:eastAsia="Times New Roman" w:hint="default"/>
                <w:sz w:val="18"/>
                <w:szCs w:val="18"/>
              </w:rPr>
            </w:pPr>
            <w:r>
              <w:rPr>
                <w:rFonts w:ascii="Times New Roman"/>
                <w:sz w:val="18"/>
              </w:rPr>
              <w:t>1.24%</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left="156" w:right="0"/>
              <w:jc w:val="left"/>
              <w:rPr>
                <w:rFonts w:ascii="Times New Roman" w:hAnsi="Times New Roman" w:cs="Times New Roman" w:eastAsia="Times New Roman" w:hint="default"/>
                <w:sz w:val="18"/>
                <w:szCs w:val="18"/>
              </w:rPr>
            </w:pPr>
            <w:r>
              <w:rPr>
                <w:rFonts w:ascii="Times New Roman"/>
                <w:sz w:val="18"/>
              </w:rPr>
              <w:t>3,230,762.00</w:t>
            </w:r>
          </w:p>
        </w:tc>
        <w:tc>
          <w:tcPr>
            <w:tcW w:w="709" w:type="dxa"/>
            <w:tcBorders>
              <w:top w:val="single" w:sz="8" w:space="0" w:color="D2D2D2"/>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3"/>
              <w:ind w:left="31" w:right="0"/>
              <w:jc w:val="lef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4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1112"/>
        <w:gridCol w:w="1289"/>
        <w:gridCol w:w="991"/>
        <w:gridCol w:w="1134"/>
        <w:gridCol w:w="708"/>
        <w:gridCol w:w="1277"/>
        <w:gridCol w:w="1274"/>
        <w:gridCol w:w="710"/>
        <w:gridCol w:w="1134"/>
        <w:gridCol w:w="709"/>
        <w:gridCol w:w="1276"/>
      </w:tblGrid>
      <w:tr>
        <w:trPr>
          <w:trHeight w:val="397" w:hRule="exact"/>
        </w:trPr>
        <w:tc>
          <w:tcPr>
            <w:tcW w:w="1112" w:type="dxa"/>
            <w:vMerge w:val="restart"/>
            <w:tcBorders>
              <w:top w:val="single" w:sz="4" w:space="0" w:color="000000"/>
              <w:left w:val="single" w:sz="4" w:space="0" w:color="000000"/>
              <w:right w:val="single" w:sz="4" w:space="0" w:color="000000"/>
            </w:tcBorders>
            <w:shd w:val="clear" w:color="auto" w:fill="D2D2D2"/>
          </w:tcPr>
          <w:p>
            <w:pPr/>
          </w:p>
        </w:tc>
        <w:tc>
          <w:tcPr>
            <w:tcW w:w="540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10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6" w:hRule="exact"/>
        </w:trPr>
        <w:tc>
          <w:tcPr>
            <w:tcW w:w="1112" w:type="dxa"/>
            <w:vMerge/>
            <w:tcBorders>
              <w:left w:val="single" w:sz="4" w:space="0" w:color="000000"/>
              <w:bottom w:val="nil" w:sz="6" w:space="0" w:color="auto"/>
              <w:right w:val="single" w:sz="4" w:space="0" w:color="000000"/>
            </w:tcBorders>
            <w:shd w:val="clear" w:color="auto" w:fill="D2D2D2"/>
          </w:tcPr>
          <w:p>
            <w:pPr/>
          </w:p>
        </w:tc>
        <w:tc>
          <w:tcPr>
            <w:tcW w:w="228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2"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84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9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vMerge w:val="restart"/>
            <w:tcBorders>
              <w:top w:val="single" w:sz="4" w:space="0" w:color="000000"/>
              <w:left w:val="single" w:sz="4" w:space="0" w:color="000000"/>
              <w:right w:val="single" w:sz="4" w:space="0" w:color="000000"/>
            </w:tcBorders>
            <w:shd w:val="clear" w:color="auto" w:fill="D2D2D2"/>
          </w:tcPr>
          <w:p>
            <w:pPr/>
          </w:p>
        </w:tc>
      </w:tr>
      <w:tr>
        <w:trPr>
          <w:trHeight w:val="221" w:hRule="exact"/>
        </w:trPr>
        <w:tc>
          <w:tcPr>
            <w:tcW w:w="11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280" w:type="dxa"/>
            <w:gridSpan w:val="2"/>
            <w:vMerge/>
            <w:tcBorders>
              <w:left w:val="single" w:sz="4" w:space="0" w:color="000000"/>
              <w:bottom w:val="single" w:sz="4" w:space="0" w:color="000000"/>
              <w:right w:val="single" w:sz="4" w:space="0" w:color="000000"/>
            </w:tcBorders>
            <w:shd w:val="clear" w:color="auto" w:fill="D2D2D2"/>
          </w:tcPr>
          <w:p>
            <w:pPr/>
          </w:p>
        </w:tc>
        <w:tc>
          <w:tcPr>
            <w:tcW w:w="1842" w:type="dxa"/>
            <w:gridSpan w:val="2"/>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984" w:type="dxa"/>
            <w:gridSpan w:val="2"/>
            <w:vMerge/>
            <w:tcBorders>
              <w:left w:val="single" w:sz="4" w:space="0" w:color="000000"/>
              <w:bottom w:val="single" w:sz="4" w:space="0" w:color="000000"/>
              <w:right w:val="single" w:sz="4" w:space="0" w:color="000000"/>
            </w:tcBorders>
            <w:shd w:val="clear" w:color="auto" w:fill="D2D2D2"/>
          </w:tcPr>
          <w:p>
            <w:pPr/>
          </w:p>
        </w:tc>
        <w:tc>
          <w:tcPr>
            <w:tcW w:w="1843" w:type="dxa"/>
            <w:gridSpan w:val="2"/>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1112" w:type="dxa"/>
            <w:vMerge/>
            <w:tcBorders>
              <w:left w:val="single" w:sz="4" w:space="0" w:color="000000"/>
              <w:bottom w:val="nil" w:sz="6" w:space="0" w:color="auto"/>
              <w:right w:val="single" w:sz="4" w:space="0" w:color="000000"/>
            </w:tcBorders>
            <w:shd w:val="clear" w:color="auto" w:fill="D2D2D2"/>
          </w:tcPr>
          <w:p>
            <w:pPr/>
          </w:p>
        </w:tc>
        <w:tc>
          <w:tcPr>
            <w:tcW w:w="1289" w:type="dxa"/>
            <w:tcBorders>
              <w:top w:val="single" w:sz="4" w:space="0" w:color="000000"/>
              <w:left w:val="single" w:sz="4" w:space="0" w:color="000000"/>
              <w:bottom w:val="nil" w:sz="6" w:space="0" w:color="auto"/>
              <w:right w:val="single" w:sz="4" w:space="0" w:color="000000"/>
            </w:tcBorders>
            <w:shd w:val="clear" w:color="auto" w:fill="D2D2D2"/>
          </w:tcPr>
          <w:p>
            <w:pP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51"/>
              <w:ind w:left="169" w:right="167"/>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273"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71"/>
              <w:ind w:left="259" w:right="78"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112" w:type="dxa"/>
            <w:vMerge w:val="restart"/>
            <w:tcBorders>
              <w:top w:val="nil" w:sz="6" w:space="0" w:color="auto"/>
              <w:left w:val="single" w:sz="4" w:space="0" w:color="000000"/>
              <w:right w:val="single" w:sz="4" w:space="0" w:color="000000"/>
            </w:tcBorders>
            <w:shd w:val="clear" w:color="auto" w:fill="D2D2D2"/>
          </w:tcPr>
          <w:p>
            <w:pPr/>
          </w:p>
        </w:tc>
        <w:tc>
          <w:tcPr>
            <w:tcW w:w="12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10"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112" w:type="dxa"/>
            <w:vMerge/>
            <w:tcBorders>
              <w:left w:val="single" w:sz="4" w:space="0" w:color="000000"/>
              <w:right w:val="single" w:sz="4" w:space="0" w:color="000000"/>
            </w:tcBorders>
            <w:shd w:val="clear" w:color="auto" w:fill="D2D2D2"/>
          </w:tcPr>
          <w:p>
            <w:pPr/>
          </w:p>
        </w:tc>
        <w:tc>
          <w:tcPr>
            <w:tcW w:w="1289" w:type="dxa"/>
            <w:vMerge/>
            <w:tcBorders>
              <w:left w:val="single" w:sz="4" w:space="0" w:color="000000"/>
              <w:bottom w:val="nil" w:sz="6" w:space="0" w:color="auto"/>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r>
      <w:tr>
        <w:trPr>
          <w:trHeight w:val="180" w:hRule="exact"/>
        </w:trPr>
        <w:tc>
          <w:tcPr>
            <w:tcW w:w="1112" w:type="dxa"/>
            <w:vMerge/>
            <w:tcBorders>
              <w:left w:val="single" w:sz="4" w:space="0" w:color="000000"/>
              <w:bottom w:val="single" w:sz="4" w:space="0" w:color="000000"/>
              <w:right w:val="single" w:sz="4" w:space="0" w:color="000000"/>
            </w:tcBorders>
            <w:shd w:val="clear" w:color="auto" w:fill="D2D2D2"/>
          </w:tcPr>
          <w:p>
            <w:pPr/>
          </w:p>
        </w:tc>
        <w:tc>
          <w:tcPr>
            <w:tcW w:w="1289" w:type="dxa"/>
            <w:tcBorders>
              <w:top w:val="nil" w:sz="6" w:space="0" w:color="auto"/>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r>
      <w:tr>
        <w:trPr>
          <w:trHeight w:val="362"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
              <w:ind w:left="11" w:right="0"/>
              <w:jc w:val="left"/>
              <w:rPr>
                <w:rFonts w:ascii="宋体" w:hAnsi="宋体" w:cs="宋体" w:eastAsia="宋体" w:hint="default"/>
                <w:sz w:val="18"/>
                <w:szCs w:val="18"/>
              </w:rPr>
            </w:pPr>
            <w:r>
              <w:rPr>
                <w:rFonts w:ascii="宋体" w:hAnsi="宋体" w:cs="宋体" w:eastAsia="宋体" w:hint="default"/>
                <w:sz w:val="18"/>
                <w:szCs w:val="18"/>
              </w:rPr>
              <w:t>的应收账款</w:t>
            </w:r>
          </w:p>
        </w:tc>
        <w:tc>
          <w:tcPr>
            <w:tcW w:w="1289" w:type="dxa"/>
            <w:tcBorders>
              <w:top w:val="single" w:sz="4" w:space="0" w:color="000000"/>
              <w:left w:val="single" w:sz="13" w:space="0" w:color="D2D2D2"/>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12" w:space="0" w:color="D2D2D2"/>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8"/>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的应收账款</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144,222,934.77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97.81%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3,682,703.51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140,540,231.26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257,729,588.05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98.76%</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4,034,855.40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253,694,732.65</w:t>
            </w:r>
          </w:p>
        </w:tc>
      </w:tr>
      <w:tr>
        <w:trPr>
          <w:trHeight w:val="1650"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88"/>
              <w:jc w:val="both"/>
              <w:rPr>
                <w:rFonts w:ascii="宋体" w:hAnsi="宋体" w:cs="宋体" w:eastAsia="宋体" w:hint="default"/>
                <w:sz w:val="18"/>
                <w:szCs w:val="18"/>
              </w:rPr>
            </w:pPr>
            <w:r>
              <w:rPr>
                <w:rFonts w:ascii="宋体" w:hAnsi="宋体" w:cs="宋体" w:eastAsia="宋体" w:hint="default"/>
                <w:sz w:val="18"/>
                <w:szCs w:val="18"/>
              </w:rPr>
              <w:t>单项金额不 重大但单独 计提坏账准 备的应收账 款</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147,453,696.77</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6,913,465.51</w:t>
            </w:r>
          </w:p>
        </w:tc>
        <w:tc>
          <w:tcPr>
            <w:tcW w:w="708"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140,540,231.26</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260,960,350.05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7,265,617.40</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253,694,732.65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40" w:right="0"/>
        </w:sectPr>
      </w:pPr>
    </w:p>
    <w:p>
      <w:pPr>
        <w:pStyle w:val="BodyText"/>
        <w:spacing w:line="240" w:lineRule="auto" w:before="51"/>
        <w:ind w:left="1094" w:right="-20"/>
        <w:jc w:val="left"/>
      </w:pPr>
      <w:r>
        <w:rPr/>
        <w:t>期末单项金额重大并单项计提坏账准备的应收账款：</w:t>
      </w:r>
    </w:p>
    <w:p>
      <w:pPr>
        <w:pStyle w:val="BodyText"/>
        <w:spacing w:line="240" w:lineRule="auto" w:before="117"/>
        <w:ind w:left="109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075" w:right="1111"/>
        <w:jc w:val="center"/>
      </w:pPr>
      <w:r>
        <w:rPr/>
        <w:t>单位： 元</w:t>
      </w:r>
    </w:p>
    <w:p>
      <w:pPr>
        <w:spacing w:after="0" w:line="240" w:lineRule="auto"/>
        <w:jc w:val="center"/>
        <w:sectPr>
          <w:type w:val="continuous"/>
          <w:pgSz w:w="11910" w:h="16840"/>
          <w:pgMar w:top="1060" w:bottom="1160" w:left="40" w:right="0"/>
          <w:cols w:num="2" w:equalWidth="0">
            <w:col w:w="5235" w:space="3595"/>
            <w:col w:w="3040"/>
          </w:cols>
        </w:sectPr>
      </w:pPr>
    </w:p>
    <w:p>
      <w:pPr>
        <w:spacing w:line="240" w:lineRule="auto" w:before="1"/>
        <w:rPr>
          <w:rFonts w:ascii="宋体" w:hAnsi="宋体" w:cs="宋体" w:eastAsia="宋体" w:hint="default"/>
          <w:sz w:val="8"/>
          <w:szCs w:val="8"/>
        </w:rPr>
      </w:pPr>
    </w:p>
    <w:tbl>
      <w:tblPr>
        <w:tblW w:w="0" w:type="auto"/>
        <w:jc w:val="left"/>
        <w:tblInd w:w="1089" w:type="dxa"/>
        <w:tblLayout w:type="fixed"/>
        <w:tblCellMar>
          <w:top w:w="0" w:type="dxa"/>
          <w:left w:w="0" w:type="dxa"/>
          <w:bottom w:w="0" w:type="dxa"/>
          <w:right w:w="0" w:type="dxa"/>
        </w:tblCellMar>
        <w:tblLook w:val="01E0"/>
      </w:tblPr>
      <w:tblGrid>
        <w:gridCol w:w="3533"/>
        <w:gridCol w:w="1713"/>
        <w:gridCol w:w="1559"/>
        <w:gridCol w:w="1276"/>
        <w:gridCol w:w="1490"/>
      </w:tblGrid>
      <w:tr>
        <w:trPr>
          <w:trHeight w:val="402" w:hRule="exact"/>
        </w:trPr>
        <w:tc>
          <w:tcPr>
            <w:tcW w:w="35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956"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603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3533" w:type="dxa"/>
            <w:vMerge/>
            <w:tcBorders>
              <w:left w:val="single" w:sz="4" w:space="0" w:color="000000"/>
              <w:bottom w:val="single" w:sz="4" w:space="0" w:color="000000"/>
              <w:right w:val="single" w:sz="4" w:space="0" w:color="000000"/>
            </w:tcBorders>
            <w:shd w:val="clear" w:color="auto" w:fill="D2D2D2"/>
          </w:tcPr>
          <w:p>
            <w:pP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9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72"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78"/>
              <w:jc w:val="righ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乐视控股（北京）有限公司</w:t>
            </w:r>
          </w:p>
        </w:tc>
        <w:tc>
          <w:tcPr>
            <w:tcW w:w="1713"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1,803,003.00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1,803,003.00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4"/>
              <w:jc w:val="righ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乐视体育文化产业发展（北京）有限公司</w:t>
            </w:r>
          </w:p>
        </w:tc>
        <w:tc>
          <w:tcPr>
            <w:tcW w:w="1713"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99,500.00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99,500.00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4"/>
              <w:jc w:val="righ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法乐第（北京）网络科技有限公司</w:t>
            </w:r>
          </w:p>
        </w:tc>
        <w:tc>
          <w:tcPr>
            <w:tcW w:w="1713"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1,328,259.00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1,328,259.00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c>
          <w:tcPr>
            <w:tcW w:w="1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74"/>
              <w:jc w:val="righ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402" w:hRule="exact"/>
        </w:trPr>
        <w:tc>
          <w:tcPr>
            <w:tcW w:w="3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3,230,762.00</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3,230,762.00</w:t>
            </w:r>
          </w:p>
        </w:tc>
        <w:tc>
          <w:tcPr>
            <w:tcW w:w="12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40" w:right="0"/>
        </w:sectPr>
      </w:pPr>
    </w:p>
    <w:p>
      <w:pPr>
        <w:pStyle w:val="BodyText"/>
        <w:spacing w:line="240" w:lineRule="auto" w:before="51"/>
        <w:ind w:left="1094" w:right="-20"/>
        <w:jc w:val="left"/>
      </w:pPr>
      <w:r>
        <w:rPr/>
        <w:t>组合中，按账龄分析法计提坏账准备的应收账款：</w:t>
      </w:r>
    </w:p>
    <w:p>
      <w:pPr>
        <w:pStyle w:val="BodyText"/>
        <w:spacing w:line="240" w:lineRule="auto" w:before="117"/>
        <w:ind w:left="109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075" w:right="1111"/>
        <w:jc w:val="center"/>
      </w:pPr>
      <w:r>
        <w:rPr/>
        <w:t>单位： 元</w:t>
      </w:r>
    </w:p>
    <w:p>
      <w:pPr>
        <w:spacing w:after="0" w:line="240" w:lineRule="auto"/>
        <w:jc w:val="center"/>
        <w:sectPr>
          <w:type w:val="continuous"/>
          <w:pgSz w:w="11910" w:h="16840"/>
          <w:pgMar w:top="1060" w:bottom="1160" w:left="40" w:right="0"/>
          <w:cols w:num="2" w:equalWidth="0">
            <w:col w:w="5055" w:space="3775"/>
            <w:col w:w="3040"/>
          </w:cols>
        </w:sectPr>
      </w:pPr>
    </w:p>
    <w:p>
      <w:pPr>
        <w:spacing w:line="240" w:lineRule="auto" w:before="0"/>
        <w:rPr>
          <w:rFonts w:ascii="宋体" w:hAnsi="宋体" w:cs="宋体" w:eastAsia="宋体" w:hint="default"/>
          <w:sz w:val="8"/>
          <w:szCs w:val="8"/>
        </w:rPr>
      </w:pPr>
    </w:p>
    <w:tbl>
      <w:tblPr>
        <w:tblW w:w="0" w:type="auto"/>
        <w:jc w:val="left"/>
        <w:tblInd w:w="108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717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2392" w:type="dxa"/>
            <w:vMerge/>
            <w:tcBorders>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118,473,653.40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21,115,187.47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1,055,759.40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2,867,356.86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860,207.07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1,766,737.04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1,766,737.04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144,222,934.77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3,682,703.51</w:t>
            </w:r>
          </w:p>
        </w:tc>
        <w:tc>
          <w:tcPr>
            <w:tcW w:w="239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454" w:right="3032" w:hanging="360"/>
        <w:jc w:val="left"/>
        <w:rPr>
          <w:rFonts w:ascii="Times New Roman" w:hAnsi="Times New Roman" w:cs="Times New Roman" w:eastAsia="Times New Roman" w:hint="default"/>
        </w:rPr>
      </w:pPr>
      <w:r>
        <w:rPr/>
        <w:t>确定该组合依据的说明： 确定该组合依据的说明详见</w:t>
      </w:r>
      <w:r>
        <w:rPr>
          <w:rFonts w:ascii="Times New Roman" w:hAnsi="Times New Roman" w:cs="Times New Roman" w:eastAsia="Times New Roman" w:hint="default"/>
        </w:rPr>
        <w:t>“</w:t>
      </w:r>
      <w:r>
        <w:rPr/>
        <w:t>本附注五、重要会计政策及会计估计（</w:t>
      </w:r>
      <w:r>
        <w:rPr>
          <w:rFonts w:ascii="Times New Roman" w:hAnsi="Times New Roman" w:cs="Times New Roman" w:eastAsia="Times New Roman" w:hint="default"/>
        </w:rPr>
        <w:t>11</w:t>
      </w:r>
      <w:r>
        <w:rPr/>
        <w:t>）应收票据及应收账款</w:t>
      </w:r>
      <w:r>
        <w:rPr>
          <w:rFonts w:ascii="Times New Roman" w:hAnsi="Times New Roman" w:cs="Times New Roman" w:eastAsia="Times New Roman" w:hint="default"/>
        </w:rPr>
        <w:t>”</w:t>
      </w:r>
    </w:p>
    <w:p>
      <w:pPr>
        <w:pStyle w:val="BodyText"/>
        <w:spacing w:line="240" w:lineRule="auto" w:before="6"/>
        <w:ind w:left="1094" w:right="3032"/>
        <w:jc w:val="left"/>
      </w:pPr>
      <w:r>
        <w:rPr/>
        <w:t>组合中，采用余额百分比法计提坏账准备的应收账款：</w:t>
      </w:r>
    </w:p>
    <w:p>
      <w:pPr>
        <w:spacing w:after="0" w:line="240" w:lineRule="auto"/>
        <w:jc w:val="left"/>
        <w:sectPr>
          <w:type w:val="continuous"/>
          <w:pgSz w:w="11910" w:h="16840"/>
          <w:pgMar w:top="1060" w:bottom="1160" w:left="40" w:right="0"/>
        </w:sectPr>
      </w:pPr>
    </w:p>
    <w:p>
      <w:pPr>
        <w:spacing w:line="240" w:lineRule="auto" w:before="13"/>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79" w:top="1060" w:bottom="1160" w:left="980" w:right="0"/>
        </w:sectPr>
      </w:pPr>
    </w:p>
    <w:p>
      <w:pPr>
        <w:pStyle w:val="BodyText"/>
        <w:spacing w:line="338" w:lineRule="auto" w:before="44"/>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组合中，采用其他方法计提坏账准备的应收账款：</w:t>
      </w:r>
    </w:p>
    <w:p>
      <w:pPr>
        <w:pStyle w:val="BodyText"/>
        <w:spacing w:line="345" w:lineRule="auto" w:before="42"/>
        <w:ind w:right="730" w:firstLine="290"/>
        <w:jc w:val="left"/>
      </w:pPr>
      <w:r>
        <w:rPr/>
        <w:t>无 </w:t>
      </w:r>
      <w:r>
        <w:rPr>
          <w:rFonts w:ascii="Times New Roman" w:hAnsi="Times New Roman" w:cs="Times New Roman" w:eastAsia="Times New Roman" w:hint="default"/>
        </w:rPr>
        <w:t>2)</w:t>
      </w:r>
      <w:r>
        <w:rPr/>
        <w:t>本期计提、收回或转回的坏账准备情况 本期计提坏账准备金额</w:t>
      </w:r>
      <w:r>
        <w:rPr>
          <w:spacing w:val="-47"/>
        </w:rPr>
        <w:t> </w:t>
      </w:r>
      <w:r>
        <w:rPr>
          <w:rFonts w:ascii="Times New Roman" w:hAnsi="Times New Roman" w:cs="Times New Roman" w:eastAsia="Times New Roman" w:hint="default"/>
        </w:rPr>
        <w:t>1,015,471.55</w:t>
      </w:r>
      <w:r>
        <w:rPr>
          <w:rFonts w:ascii="Times New Roman" w:hAnsi="Times New Roman" w:cs="Times New Roman" w:eastAsia="Times New Roman" w:hint="default"/>
          <w:spacing w:val="-2"/>
        </w:rPr>
        <w:t> </w:t>
      </w:r>
      <w:r>
        <w:rPr/>
        <w:t>元。 </w:t>
      </w: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20"/>
          <w:szCs w:val="20"/>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60" w:left="980" w:right="0"/>
          <w:cols w:num="2" w:equalWidth="0">
            <w:col w:w="4115" w:space="4715"/>
            <w:col w:w="2100"/>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2"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1,367,623.44</w:t>
            </w:r>
          </w:p>
        </w:tc>
      </w:tr>
    </w:tbl>
    <w:p>
      <w:pPr>
        <w:pStyle w:val="BodyText"/>
        <w:spacing w:line="240" w:lineRule="auto" w:before="51"/>
        <w:ind w:right="0"/>
        <w:jc w:val="left"/>
      </w:pPr>
      <w:r>
        <w:rPr/>
        <w:t>其中重要的应收账款核销情况：</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31"/>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1"/>
              <w:ind w:left="22" w:right="123"/>
              <w:jc w:val="left"/>
              <w:rPr>
                <w:rFonts w:ascii="宋体" w:hAnsi="宋体" w:cs="宋体" w:eastAsia="宋体" w:hint="default"/>
                <w:sz w:val="18"/>
                <w:szCs w:val="18"/>
              </w:rPr>
            </w:pPr>
            <w:r>
              <w:rPr>
                <w:rFonts w:ascii="宋体" w:hAnsi="宋体" w:cs="宋体" w:eastAsia="宋体" w:hint="default"/>
                <w:sz w:val="18"/>
                <w:szCs w:val="18"/>
              </w:rPr>
              <w:t>武汉斗鱼网络科技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1,367,623.44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479"/>
              <w:jc w:val="right"/>
              <w:rPr>
                <w:rFonts w:ascii="宋体" w:hAnsi="宋体" w:cs="宋体" w:eastAsia="宋体" w:hint="default"/>
                <w:sz w:val="18"/>
                <w:szCs w:val="18"/>
              </w:rPr>
            </w:pPr>
            <w:r>
              <w:rPr>
                <w:rFonts w:ascii="宋体" w:hAnsi="宋体" w:cs="宋体" w:eastAsia="宋体" w:hint="default"/>
                <w:sz w:val="18"/>
                <w:szCs w:val="18"/>
              </w:rPr>
              <w:t>法院调解和解</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1,367,623.44</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40" w:lineRule="auto" w:before="51"/>
        <w:ind w:right="6822"/>
        <w:jc w:val="left"/>
      </w:pPr>
      <w:r>
        <w:rPr>
          <w:rFonts w:ascii="Times New Roman" w:hAnsi="Times New Roman" w:cs="Times New Roman" w:eastAsia="Times New Roman" w:hint="default"/>
        </w:rPr>
        <w:t>4)</w:t>
      </w:r>
      <w:r>
        <w:rPr/>
        <w:t>按欠款方归集的期末余额前五名的应收账款情况</w:t>
      </w:r>
      <w:r>
        <w:rPr>
          <w:w w:val="99"/>
        </w:rPr>
        <w:t> </w:t>
      </w:r>
      <w:r>
        <w:rPr/>
        <w:t>公司是否需要遵守特殊行业的披露要求</w:t>
      </w:r>
    </w:p>
    <w:p>
      <w:pPr>
        <w:pStyle w:val="BodyText"/>
        <w:spacing w:line="240" w:lineRule="auto" w:before="40"/>
        <w:ind w:right="0"/>
        <w:jc w:val="left"/>
      </w:pPr>
      <w:r>
        <w:rPr/>
        <w:t>否</w: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2"/>
          <w:szCs w:val="12"/>
        </w:rPr>
      </w:pPr>
    </w:p>
    <w:tbl>
      <w:tblPr>
        <w:tblW w:w="0" w:type="auto"/>
        <w:jc w:val="left"/>
        <w:tblInd w:w="146" w:type="dxa"/>
        <w:tblLayout w:type="fixed"/>
        <w:tblCellMar>
          <w:top w:w="0" w:type="dxa"/>
          <w:left w:w="0" w:type="dxa"/>
          <w:bottom w:w="0" w:type="dxa"/>
          <w:right w:w="0" w:type="dxa"/>
        </w:tblCellMar>
        <w:tblLook w:val="01E0"/>
      </w:tblPr>
      <w:tblGrid>
        <w:gridCol w:w="3261"/>
        <w:gridCol w:w="1701"/>
        <w:gridCol w:w="2976"/>
        <w:gridCol w:w="1560"/>
      </w:tblGrid>
      <w:tr>
        <w:trPr>
          <w:trHeight w:val="341" w:hRule="exact"/>
        </w:trPr>
        <w:tc>
          <w:tcPr>
            <w:tcW w:w="3261"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6"/>
              <w:ind w:left="2" w:right="0"/>
              <w:jc w:val="left"/>
              <w:rPr>
                <w:rFonts w:ascii="宋体" w:hAnsi="宋体" w:cs="宋体" w:eastAsia="宋体" w:hint="default"/>
                <w:sz w:val="18"/>
                <w:szCs w:val="18"/>
              </w:rPr>
            </w:pPr>
            <w:r>
              <w:rPr>
                <w:rFonts w:ascii="宋体" w:hAnsi="宋体" w:cs="宋体" w:eastAsia="宋体" w:hint="default"/>
                <w:sz w:val="18"/>
                <w:szCs w:val="18"/>
              </w:rPr>
              <w:t>债务人名称</w:t>
            </w:r>
          </w:p>
        </w:tc>
        <w:tc>
          <w:tcPr>
            <w:tcW w:w="1701"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6"/>
              <w:ind w:right="0"/>
              <w:jc w:val="right"/>
              <w:rPr>
                <w:rFonts w:ascii="宋体" w:hAnsi="宋体" w:cs="宋体" w:eastAsia="宋体" w:hint="default"/>
                <w:sz w:val="18"/>
                <w:szCs w:val="18"/>
              </w:rPr>
            </w:pPr>
            <w:r>
              <w:rPr>
                <w:rFonts w:ascii="宋体" w:hAnsi="宋体" w:cs="宋体" w:eastAsia="宋体" w:hint="default"/>
                <w:sz w:val="18"/>
                <w:szCs w:val="18"/>
              </w:rPr>
              <w:t>应收账款账面余额</w:t>
            </w:r>
          </w:p>
        </w:tc>
        <w:tc>
          <w:tcPr>
            <w:tcW w:w="2976"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6"/>
              <w:ind w:right="1"/>
              <w:jc w:val="right"/>
              <w:rPr>
                <w:rFonts w:ascii="Times New Roman" w:hAnsi="Times New Roman" w:cs="Times New Roman" w:eastAsia="Times New Roman" w:hint="default"/>
                <w:sz w:val="18"/>
                <w:szCs w:val="18"/>
              </w:rPr>
            </w:pPr>
            <w:r>
              <w:rPr>
                <w:rFonts w:ascii="宋体" w:hAnsi="宋体" w:cs="宋体" w:eastAsia="宋体" w:hint="default"/>
                <w:sz w:val="18"/>
                <w:szCs w:val="18"/>
              </w:rPr>
              <w:t>占应收账款合计数的比例</w:t>
            </w:r>
            <w:r>
              <w:rPr>
                <w:rFonts w:ascii="Times New Roman" w:hAnsi="Times New Roman" w:cs="Times New Roman" w:eastAsia="Times New Roman" w:hint="default"/>
                <w:sz w:val="18"/>
                <w:szCs w:val="18"/>
              </w:rPr>
              <w:t>(%)</w:t>
            </w:r>
          </w:p>
        </w:tc>
        <w:tc>
          <w:tcPr>
            <w:tcW w:w="1560"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16"/>
              <w:ind w:right="1"/>
              <w:jc w:val="right"/>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8" w:hRule="exact"/>
        </w:trPr>
        <w:tc>
          <w:tcPr>
            <w:tcW w:w="3261"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长安马自达汽车销售分公司</w:t>
            </w:r>
          </w:p>
        </w:tc>
        <w:tc>
          <w:tcPr>
            <w:tcW w:w="1701"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1"/>
              <w:jc w:val="right"/>
              <w:rPr>
                <w:rFonts w:ascii="Times New Roman" w:hAnsi="Times New Roman" w:cs="Times New Roman" w:eastAsia="Times New Roman" w:hint="default"/>
                <w:sz w:val="18"/>
                <w:szCs w:val="18"/>
              </w:rPr>
            </w:pPr>
            <w:r>
              <w:rPr>
                <w:rFonts w:ascii="Times New Roman"/>
                <w:spacing w:val="-1"/>
                <w:sz w:val="18"/>
              </w:rPr>
              <w:t>23,167,397.00</w:t>
            </w:r>
          </w:p>
        </w:tc>
        <w:tc>
          <w:tcPr>
            <w:tcW w:w="2976"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5"/>
              <w:ind w:right="0"/>
              <w:jc w:val="right"/>
              <w:rPr>
                <w:rFonts w:ascii="Times New Roman" w:hAnsi="Times New Roman" w:cs="Times New Roman" w:eastAsia="Times New Roman" w:hint="default"/>
                <w:sz w:val="18"/>
                <w:szCs w:val="18"/>
              </w:rPr>
            </w:pPr>
            <w:r>
              <w:rPr>
                <w:rFonts w:ascii="Times New Roman"/>
                <w:sz w:val="18"/>
              </w:rPr>
              <w:t>15.71</w:t>
            </w:r>
          </w:p>
        </w:tc>
        <w:tc>
          <w:tcPr>
            <w:tcW w:w="1560" w:type="dxa"/>
            <w:tcBorders>
              <w:top w:val="single" w:sz="10" w:space="0" w:color="000000"/>
              <w:left w:val="single" w:sz="6" w:space="0" w:color="000000"/>
              <w:bottom w:val="single" w:sz="6" w:space="0" w:color="000000"/>
              <w:right w:val="single" w:sz="6" w:space="0" w:color="000000"/>
            </w:tcBorders>
          </w:tcPr>
          <w:p>
            <w:pPr/>
          </w:p>
        </w:tc>
      </w:tr>
      <w:tr>
        <w:trPr>
          <w:trHeight w:val="347" w:hRule="exact"/>
        </w:trPr>
        <w:tc>
          <w:tcPr>
            <w:tcW w:w="3261"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沃尔沃汽车（亚太）投资控股有限公司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1"/>
              <w:jc w:val="right"/>
              <w:rPr>
                <w:rFonts w:ascii="Times New Roman" w:hAnsi="Times New Roman" w:cs="Times New Roman" w:eastAsia="Times New Roman" w:hint="default"/>
                <w:sz w:val="18"/>
                <w:szCs w:val="18"/>
              </w:rPr>
            </w:pPr>
            <w:r>
              <w:rPr>
                <w:rFonts w:ascii="Times New Roman"/>
                <w:spacing w:val="-1"/>
                <w:sz w:val="18"/>
              </w:rPr>
              <w:t>14,176,956.10</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9.61</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z w:val="18"/>
              </w:rPr>
              <w:t>233,765.49</w:t>
            </w:r>
          </w:p>
        </w:tc>
      </w:tr>
      <w:tr>
        <w:trPr>
          <w:trHeight w:val="347" w:hRule="exact"/>
        </w:trPr>
        <w:tc>
          <w:tcPr>
            <w:tcW w:w="3261"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比亚迪汽车销售有限公司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12,285,939.00</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8.33</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10,217.70</w:t>
            </w:r>
          </w:p>
        </w:tc>
      </w:tr>
      <w:tr>
        <w:trPr>
          <w:trHeight w:val="347" w:hRule="exact"/>
        </w:trPr>
        <w:tc>
          <w:tcPr>
            <w:tcW w:w="3261"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长安福特汽车有限公司销售分公司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11,280,692.67</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7.65</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26,832.63</w:t>
            </w:r>
          </w:p>
        </w:tc>
      </w:tr>
      <w:tr>
        <w:trPr>
          <w:trHeight w:val="347" w:hRule="exact"/>
        </w:trPr>
        <w:tc>
          <w:tcPr>
            <w:tcW w:w="3261"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中维地产海南有限公司</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10,000,000.00</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6.78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500,000.00</w:t>
            </w:r>
          </w:p>
        </w:tc>
      </w:tr>
      <w:tr>
        <w:trPr>
          <w:trHeight w:val="348" w:hRule="exact"/>
        </w:trPr>
        <w:tc>
          <w:tcPr>
            <w:tcW w:w="3261"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7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Times New Roman" w:hAnsi="Times New Roman" w:cs="Times New Roman" w:eastAsia="Times New Roman" w:hint="default"/>
                <w:sz w:val="18"/>
                <w:szCs w:val="18"/>
              </w:rPr>
            </w:pPr>
            <w:r>
              <w:rPr>
                <w:rFonts w:ascii="Times New Roman"/>
                <w:spacing w:val="-1"/>
                <w:sz w:val="18"/>
              </w:rPr>
              <w:t>70,910,984.77</w:t>
            </w:r>
          </w:p>
        </w:tc>
        <w:tc>
          <w:tcPr>
            <w:tcW w:w="29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48.08</w:t>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0"/>
              <w:jc w:val="right"/>
              <w:rPr>
                <w:rFonts w:ascii="Times New Roman" w:hAnsi="Times New Roman" w:cs="Times New Roman" w:eastAsia="Times New Roman" w:hint="default"/>
                <w:sz w:val="18"/>
                <w:szCs w:val="18"/>
              </w:rPr>
            </w:pPr>
            <w:r>
              <w:rPr>
                <w:rFonts w:ascii="Times New Roman"/>
                <w:sz w:val="18"/>
              </w:rPr>
              <w:t>770,815.82</w:t>
            </w:r>
          </w:p>
        </w:tc>
      </w:tr>
    </w:tbl>
    <w:p>
      <w:pPr>
        <w:spacing w:line="240" w:lineRule="auto" w:before="5"/>
        <w:rPr>
          <w:rFonts w:ascii="宋体" w:hAnsi="宋体" w:cs="宋体" w:eastAsia="宋体" w:hint="default"/>
          <w:sz w:val="24"/>
          <w:szCs w:val="24"/>
        </w:rPr>
      </w:pPr>
    </w:p>
    <w:p>
      <w:pPr>
        <w:pStyle w:val="BodyText"/>
        <w:spacing w:line="338" w:lineRule="auto" w:before="44"/>
        <w:ind w:left="444" w:right="5782" w:hanging="291"/>
        <w:jc w:val="left"/>
      </w:pPr>
      <w:r>
        <w:rPr>
          <w:rFonts w:ascii="Times New Roman" w:hAnsi="Times New Roman" w:cs="Times New Roman" w:eastAsia="Times New Roman" w:hint="default"/>
        </w:rPr>
        <w:t>5)</w:t>
      </w:r>
      <w:r>
        <w:rPr/>
        <w:t>因金融资产转移而终止确认的应收账款</w:t>
      </w:r>
      <w:r>
        <w:rPr>
          <w:w w:val="99"/>
        </w:rPr>
        <w:t> </w:t>
      </w:r>
      <w:r>
        <w:rPr/>
        <w:t>公司报告期各期末无因金融资产转移而终止确认的应收账款</w:t>
      </w:r>
    </w:p>
    <w:p>
      <w:pPr>
        <w:pStyle w:val="BodyText"/>
        <w:spacing w:line="338" w:lineRule="auto" w:before="43"/>
        <w:ind w:left="444" w:right="5422" w:hanging="291"/>
        <w:jc w:val="left"/>
      </w:pPr>
      <w:r>
        <w:rPr>
          <w:rFonts w:ascii="Times New Roman" w:hAnsi="Times New Roman" w:cs="Times New Roman" w:eastAsia="Times New Roman" w:hint="default"/>
        </w:rPr>
        <w:t>6)</w:t>
      </w:r>
      <w:r>
        <w:rPr/>
        <w:t>转移应收账款且继续涉入形成的资产、负债金额</w:t>
      </w:r>
      <w:r>
        <w:rPr>
          <w:w w:val="99"/>
        </w:rPr>
        <w:t> </w:t>
      </w:r>
      <w:r>
        <w:rPr/>
        <w:t>公司报告期各期末无转移应收账款且继续涉入形成的资产、负债</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5、预付款项" w:id="230"/>
      <w:bookmarkEnd w:id="230"/>
      <w:r>
        <w:rPr>
          <w:b w:val="0"/>
          <w:bCs w:val="0"/>
        </w:rPr>
      </w:r>
      <w:r>
        <w:rPr>
          <w:rFonts w:ascii="Times New Roman" w:hAnsi="Times New Roman" w:cs="Times New Roman" w:eastAsia="Times New Roman" w:hint="default"/>
        </w:rPr>
        <w:t>5</w:t>
      </w:r>
      <w:r>
        <w:rPr/>
        <w:t>、预付款项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预付款项按账龄列示" w:id="231"/>
      <w:bookmarkEnd w:id="231"/>
      <w:r>
        <w:rPr>
          <w:b w:val="0"/>
          <w:bCs w:val="0"/>
        </w:rPr>
      </w:r>
      <w:r>
        <w:rPr/>
        <w:t>（</w:t>
      </w:r>
      <w:r>
        <w:rPr>
          <w:rFonts w:ascii="Times New Roman" w:hAnsi="Times New Roman" w:cs="Times New Roman" w:eastAsia="Times New Roman" w:hint="default"/>
        </w:rPr>
        <w:t>1</w:t>
      </w:r>
      <w:r>
        <w:rPr/>
        <w:t>）预付款项按账龄列示</w:t>
      </w:r>
      <w:r>
        <w:rPr>
          <w:b w:val="0"/>
          <w:bCs w:val="0"/>
        </w:rPr>
      </w:r>
    </w:p>
    <w:p>
      <w:pPr>
        <w:spacing w:after="0" w:line="240" w:lineRule="auto"/>
        <w:jc w:val="left"/>
        <w:sectPr>
          <w:type w:val="continuous"/>
          <w:pgSz w:w="11910" w:h="16840"/>
          <w:pgMar w:top="1060" w:bottom="1160" w:left="980" w:right="0"/>
        </w:sectPr>
      </w:pPr>
    </w:p>
    <w:p>
      <w:pPr>
        <w:spacing w:line="240" w:lineRule="auto" w:before="13"/>
        <w:rPr>
          <w:rFonts w:ascii="宋体" w:hAnsi="宋体" w:cs="宋体" w:eastAsia="宋体" w:hint="default"/>
          <w:b/>
          <w:bCs/>
          <w:sz w:val="25"/>
          <w:szCs w:val="25"/>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5"/>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3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账龄</w:t>
            </w:r>
          </w:p>
        </w:tc>
        <w:tc>
          <w:tcPr>
            <w:tcW w:w="3830" w:type="dxa"/>
            <w:gridSpan w:val="2"/>
            <w:vMerge/>
            <w:tcBorders>
              <w:left w:val="single" w:sz="4" w:space="0" w:color="000000"/>
              <w:bottom w:val="single" w:sz="4" w:space="0" w:color="000000"/>
              <w:right w:val="single" w:sz="4" w:space="0" w:color="000000"/>
            </w:tcBorders>
            <w:shd w:val="clear" w:color="auto" w:fill="D2D2D2"/>
          </w:tcPr>
          <w:p>
            <w:pPr/>
          </w:p>
        </w:tc>
        <w:tc>
          <w:tcPr>
            <w:tcW w:w="3830"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01" w:type="dxa"/>
            <w:vMerge/>
            <w:tcBorders>
              <w:left w:val="single" w:sz="4" w:space="0" w:color="000000"/>
              <w:bottom w:val="nil" w:sz="6" w:space="0" w:color="auto"/>
              <w:right w:val="single" w:sz="4" w:space="0" w:color="000000"/>
            </w:tcBorders>
            <w:shd w:val="clear" w:color="auto" w:fill="D2D2D2"/>
          </w:tcPr>
          <w:p>
            <w:pP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6"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33,246.75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28.14%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126,377.11</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99.84%</w:t>
            </w: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9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84,905.66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71.86%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196.87</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0.16%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9"/>
              <w:jc w:val="right"/>
              <w:rPr>
                <w:rFonts w:ascii="Times New Roman" w:hAnsi="Times New Roman" w:cs="Times New Roman" w:eastAsia="Times New Roman" w:hint="default"/>
                <w:sz w:val="18"/>
                <w:szCs w:val="18"/>
              </w:rPr>
            </w:pPr>
            <w:r>
              <w:rPr>
                <w:rFonts w:ascii="Times New Roman"/>
                <w:spacing w:val="-1"/>
                <w:sz w:val="18"/>
              </w:rPr>
              <w:t>118,152.41</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91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126,573.98</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38" w:lineRule="auto" w:before="51"/>
        <w:ind w:left="534" w:right="5895" w:hanging="381"/>
        <w:jc w:val="left"/>
      </w:pPr>
      <w:r>
        <w:rPr/>
        <w:t>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年且金额重要的预付款项未及时结算原因的说明： 公司无账龄超过一年且金额重大的预付款项。</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2）按预付对象归集的期末余额前五名的预付款情况" w:id="232"/>
      <w:bookmarkEnd w:id="232"/>
      <w:r>
        <w:rPr>
          <w:b w:val="0"/>
          <w:bCs w:val="0"/>
        </w:rPr>
      </w:r>
      <w:r>
        <w:rPr/>
        <w:t>（</w:t>
      </w:r>
      <w:r>
        <w:rPr>
          <w:rFonts w:ascii="Times New Roman" w:hAnsi="Times New Roman" w:cs="Times New Roman" w:eastAsia="Times New Roman" w:hint="default"/>
        </w:rPr>
        <w:t>2</w:t>
      </w:r>
      <w:r>
        <w:rPr/>
        <w:t>）按预付对象归集的期末余额前五名的预付款情况</w:t>
      </w:r>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9"/>
          <w:szCs w:val="29"/>
        </w:rPr>
      </w:pPr>
    </w:p>
    <w:tbl>
      <w:tblPr>
        <w:tblW w:w="0" w:type="auto"/>
        <w:jc w:val="left"/>
        <w:tblInd w:w="146" w:type="dxa"/>
        <w:tblLayout w:type="fixed"/>
        <w:tblCellMar>
          <w:top w:w="0" w:type="dxa"/>
          <w:left w:w="0" w:type="dxa"/>
          <w:bottom w:w="0" w:type="dxa"/>
          <w:right w:w="0" w:type="dxa"/>
        </w:tblCellMar>
        <w:tblLook w:val="01E0"/>
      </w:tblPr>
      <w:tblGrid>
        <w:gridCol w:w="4288"/>
        <w:gridCol w:w="1805"/>
        <w:gridCol w:w="3548"/>
      </w:tblGrid>
      <w:tr>
        <w:trPr>
          <w:trHeight w:val="422" w:hRule="exact"/>
        </w:trPr>
        <w:tc>
          <w:tcPr>
            <w:tcW w:w="428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预付对象</w:t>
            </w:r>
          </w:p>
        </w:tc>
        <w:tc>
          <w:tcPr>
            <w:tcW w:w="1805"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6"/>
              <w:ind w:left="535"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354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56"/>
              <w:ind w:left="280" w:right="0"/>
              <w:jc w:val="left"/>
              <w:rPr>
                <w:rFonts w:ascii="宋体" w:hAnsi="宋体" w:cs="宋体" w:eastAsia="宋体" w:hint="default"/>
                <w:sz w:val="18"/>
                <w:szCs w:val="18"/>
              </w:rPr>
            </w:pPr>
            <w:r>
              <w:rPr>
                <w:rFonts w:ascii="宋体" w:hAnsi="宋体" w:cs="宋体" w:eastAsia="宋体" w:hint="default"/>
                <w:sz w:val="18"/>
                <w:szCs w:val="18"/>
              </w:rPr>
              <w:t>占预付款项期末余额合计数的比例</w:t>
            </w:r>
            <w:r>
              <w:rPr>
                <w:rFonts w:ascii="宋体" w:hAnsi="宋体" w:cs="宋体" w:eastAsia="宋体" w:hint="default"/>
                <w:sz w:val="18"/>
                <w:szCs w:val="18"/>
              </w:rPr>
              <w:t>(%)</w:t>
            </w:r>
          </w:p>
        </w:tc>
      </w:tr>
      <w:tr>
        <w:trPr>
          <w:trHeight w:val="427" w:hRule="exact"/>
        </w:trPr>
        <w:tc>
          <w:tcPr>
            <w:tcW w:w="428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北京金三科技股份有限公司</w:t>
            </w:r>
          </w:p>
        </w:tc>
        <w:tc>
          <w:tcPr>
            <w:tcW w:w="1805" w:type="dxa"/>
            <w:tcBorders>
              <w:top w:val="single" w:sz="10" w:space="0" w:color="000000"/>
              <w:left w:val="single" w:sz="7" w:space="0" w:color="000000"/>
              <w:bottom w:val="single" w:sz="6" w:space="0" w:color="000000"/>
              <w:right w:val="single" w:sz="6" w:space="0" w:color="000000"/>
            </w:tcBorders>
          </w:tcPr>
          <w:p>
            <w:pPr>
              <w:pStyle w:val="TableParagraph"/>
              <w:spacing w:line="240" w:lineRule="auto" w:before="56"/>
              <w:ind w:right="0"/>
              <w:jc w:val="right"/>
              <w:rPr>
                <w:rFonts w:ascii="宋体" w:hAnsi="宋体" w:cs="宋体" w:eastAsia="宋体" w:hint="default"/>
                <w:sz w:val="18"/>
                <w:szCs w:val="18"/>
              </w:rPr>
            </w:pPr>
            <w:r>
              <w:rPr>
                <w:rFonts w:ascii="宋体"/>
                <w:sz w:val="18"/>
              </w:rPr>
              <w:t>84,905.66</w:t>
            </w:r>
          </w:p>
        </w:tc>
        <w:tc>
          <w:tcPr>
            <w:tcW w:w="3548"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56"/>
              <w:ind w:right="1"/>
              <w:jc w:val="right"/>
              <w:rPr>
                <w:rFonts w:ascii="宋体" w:hAnsi="宋体" w:cs="宋体" w:eastAsia="宋体" w:hint="default"/>
                <w:sz w:val="18"/>
                <w:szCs w:val="18"/>
              </w:rPr>
            </w:pPr>
            <w:r>
              <w:rPr>
                <w:rFonts w:ascii="宋体"/>
                <w:sz w:val="18"/>
              </w:rPr>
              <w:t>71.86</w:t>
            </w:r>
          </w:p>
        </w:tc>
      </w:tr>
      <w:tr>
        <w:trPr>
          <w:trHeight w:val="427" w:hRule="exact"/>
        </w:trPr>
        <w:tc>
          <w:tcPr>
            <w:tcW w:w="428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中国石化销售有限公司</w:t>
            </w:r>
          </w:p>
        </w:tc>
        <w:tc>
          <w:tcPr>
            <w:tcW w:w="180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33,246.75</w:t>
            </w:r>
          </w:p>
        </w:tc>
        <w:tc>
          <w:tcPr>
            <w:tcW w:w="3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28.14</w:t>
            </w:r>
          </w:p>
        </w:tc>
      </w:tr>
      <w:tr>
        <w:trPr>
          <w:trHeight w:val="427" w:hRule="exact"/>
        </w:trPr>
        <w:tc>
          <w:tcPr>
            <w:tcW w:w="4288" w:type="dxa"/>
            <w:tcBorders>
              <w:top w:val="single" w:sz="6" w:space="0" w:color="000000"/>
              <w:left w:val="single" w:sz="6" w:space="0" w:color="000000"/>
              <w:bottom w:val="single" w:sz="6" w:space="0" w:color="000000"/>
              <w:right w:val="single" w:sz="6" w:space="0" w:color="000000"/>
            </w:tcBorders>
            <w:shd w:val="clear" w:color="auto" w:fill="D0CECE"/>
          </w:tcPr>
          <w:p>
            <w:pPr>
              <w:pStyle w:val="TableParagraph"/>
              <w:spacing w:line="240" w:lineRule="auto" w:before="62"/>
              <w:ind w:left="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5" w:type="dxa"/>
            <w:tcBorders>
              <w:top w:val="single" w:sz="6" w:space="0" w:color="000000"/>
              <w:left w:val="single" w:sz="7" w:space="0" w:color="000000"/>
              <w:bottom w:val="single" w:sz="6" w:space="0" w:color="000000"/>
              <w:right w:val="single" w:sz="6" w:space="0" w:color="000000"/>
            </w:tcBorders>
          </w:tcPr>
          <w:p>
            <w:pPr>
              <w:pStyle w:val="TableParagraph"/>
              <w:spacing w:line="240" w:lineRule="auto" w:before="62"/>
              <w:ind w:right="0"/>
              <w:jc w:val="right"/>
              <w:rPr>
                <w:rFonts w:ascii="宋体" w:hAnsi="宋体" w:cs="宋体" w:eastAsia="宋体" w:hint="default"/>
                <w:sz w:val="18"/>
                <w:szCs w:val="18"/>
              </w:rPr>
            </w:pPr>
            <w:r>
              <w:rPr>
                <w:rFonts w:ascii="宋体"/>
                <w:sz w:val="18"/>
              </w:rPr>
              <w:t>118,152.41</w:t>
            </w:r>
          </w:p>
        </w:tc>
        <w:tc>
          <w:tcPr>
            <w:tcW w:w="3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1"/>
              <w:jc w:val="right"/>
              <w:rPr>
                <w:rFonts w:ascii="宋体" w:hAnsi="宋体" w:cs="宋体" w:eastAsia="宋体" w:hint="default"/>
                <w:sz w:val="18"/>
                <w:szCs w:val="18"/>
              </w:rPr>
            </w:pPr>
            <w:r>
              <w:rPr>
                <w:rFonts w:ascii="宋体"/>
                <w:sz w:val="18"/>
              </w:rPr>
              <w:t>100.00</w:t>
            </w:r>
          </w:p>
        </w:tc>
      </w:tr>
    </w:tbl>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pStyle w:val="Heading4"/>
        <w:spacing w:line="240" w:lineRule="auto" w:before="35"/>
        <w:ind w:right="0"/>
        <w:jc w:val="left"/>
        <w:rPr>
          <w:b w:val="0"/>
          <w:bCs w:val="0"/>
        </w:rPr>
      </w:pPr>
      <w:bookmarkStart w:name="6、其他应收款" w:id="233"/>
      <w:bookmarkEnd w:id="233"/>
      <w:r>
        <w:rPr>
          <w:b w:val="0"/>
          <w:bCs w:val="0"/>
        </w:rPr>
      </w:r>
      <w:r>
        <w:rPr>
          <w:rFonts w:ascii="Times New Roman" w:hAnsi="Times New Roman" w:cs="Times New Roman" w:eastAsia="Times New Roman" w:hint="default"/>
        </w:rPr>
        <w:t>6</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4,773,939.89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18,518,926.70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4,773,939.89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18,518,926.70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 w:id="234"/>
      <w:bookmarkEnd w:id="234"/>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应收股利" w:id="235"/>
      <w:bookmarkEnd w:id="235"/>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无</w:t>
      </w:r>
    </w:p>
    <w:p>
      <w:pPr>
        <w:spacing w:after="0" w:line="240"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4"/>
        <w:spacing w:line="240" w:lineRule="auto" w:before="35"/>
        <w:ind w:left="954" w:right="0"/>
        <w:jc w:val="left"/>
        <w:rPr>
          <w:b w:val="0"/>
          <w:bCs w:val="0"/>
        </w:rPr>
      </w:pPr>
      <w:bookmarkStart w:name="（3）其他应收款" w:id="236"/>
      <w:bookmarkEnd w:id="236"/>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954"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08" w:type="dxa"/>
        <w:tblLayout w:type="fixed"/>
        <w:tblCellMar>
          <w:top w:w="0" w:type="dxa"/>
          <w:left w:w="0" w:type="dxa"/>
          <w:bottom w:w="0" w:type="dxa"/>
          <w:right w:w="0" w:type="dxa"/>
        </w:tblCellMar>
        <w:tblLook w:val="01E0"/>
      </w:tblPr>
      <w:tblGrid>
        <w:gridCol w:w="2246"/>
        <w:gridCol w:w="1133"/>
        <w:gridCol w:w="762"/>
        <w:gridCol w:w="762"/>
        <w:gridCol w:w="757"/>
        <w:gridCol w:w="1134"/>
        <w:gridCol w:w="1276"/>
        <w:gridCol w:w="851"/>
        <w:gridCol w:w="566"/>
        <w:gridCol w:w="709"/>
        <w:gridCol w:w="1134"/>
      </w:tblGrid>
      <w:tr>
        <w:trPr>
          <w:trHeight w:val="397" w:hRule="exact"/>
        </w:trPr>
        <w:tc>
          <w:tcPr>
            <w:tcW w:w="2246" w:type="dxa"/>
            <w:vMerge w:val="restart"/>
            <w:tcBorders>
              <w:top w:val="single" w:sz="4" w:space="0" w:color="000000"/>
              <w:left w:val="single" w:sz="4" w:space="0" w:color="000000"/>
              <w:right w:val="single" w:sz="4" w:space="0" w:color="000000"/>
            </w:tcBorders>
            <w:shd w:val="clear" w:color="auto" w:fill="D2D2D2"/>
          </w:tcPr>
          <w:p>
            <w:pPr/>
          </w:p>
        </w:tc>
        <w:tc>
          <w:tcPr>
            <w:tcW w:w="454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53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86" w:hRule="exact"/>
        </w:trPr>
        <w:tc>
          <w:tcPr>
            <w:tcW w:w="2246" w:type="dxa"/>
            <w:vMerge/>
            <w:tcBorders>
              <w:left w:val="single" w:sz="4" w:space="0" w:color="000000"/>
              <w:bottom w:val="nil" w:sz="6" w:space="0" w:color="auto"/>
              <w:right w:val="single" w:sz="4" w:space="0" w:color="000000"/>
            </w:tcBorders>
            <w:shd w:val="clear" w:color="auto" w:fill="D2D2D2"/>
          </w:tcPr>
          <w:p>
            <w:pPr/>
          </w:p>
        </w:tc>
        <w:tc>
          <w:tcPr>
            <w:tcW w:w="189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5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9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
        </w:tc>
        <w:tc>
          <w:tcPr>
            <w:tcW w:w="212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6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27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7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vMerge w:val="restart"/>
            <w:tcBorders>
              <w:top w:val="single" w:sz="4" w:space="0" w:color="000000"/>
              <w:left w:val="single" w:sz="4" w:space="0" w:color="000000"/>
              <w:right w:val="single" w:sz="4" w:space="0" w:color="000000"/>
            </w:tcBorders>
            <w:shd w:val="clear" w:color="auto" w:fill="D2D2D2"/>
          </w:tcPr>
          <w:p>
            <w:pPr/>
          </w:p>
        </w:tc>
      </w:tr>
      <w:tr>
        <w:trPr>
          <w:trHeight w:val="221" w:hRule="exact"/>
        </w:trPr>
        <w:tc>
          <w:tcPr>
            <w:tcW w:w="22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95" w:type="dxa"/>
            <w:gridSpan w:val="2"/>
            <w:vMerge/>
            <w:tcBorders>
              <w:left w:val="single" w:sz="4" w:space="0" w:color="000000"/>
              <w:bottom w:val="single" w:sz="4" w:space="0" w:color="000000"/>
              <w:right w:val="single" w:sz="4" w:space="0" w:color="000000"/>
            </w:tcBorders>
            <w:shd w:val="clear" w:color="auto" w:fill="D2D2D2"/>
          </w:tcPr>
          <w:p>
            <w:pPr/>
          </w:p>
        </w:tc>
        <w:tc>
          <w:tcPr>
            <w:tcW w:w="1520"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2127" w:type="dxa"/>
            <w:gridSpan w:val="2"/>
            <w:vMerge/>
            <w:tcBorders>
              <w:left w:val="single" w:sz="4" w:space="0" w:color="000000"/>
              <w:bottom w:val="single" w:sz="4" w:space="0" w:color="000000"/>
              <w:right w:val="single" w:sz="4" w:space="0" w:color="000000"/>
            </w:tcBorders>
            <w:shd w:val="clear" w:color="auto" w:fill="D2D2D2"/>
          </w:tcPr>
          <w:p>
            <w:pPr/>
          </w:p>
        </w:tc>
        <w:tc>
          <w:tcPr>
            <w:tcW w:w="1276"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2246" w:type="dxa"/>
            <w:vMerge/>
            <w:tcBorders>
              <w:left w:val="single" w:sz="4" w:space="0" w:color="000000"/>
              <w:bottom w:val="single" w:sz="4" w:space="0" w:color="FFFFFF"/>
              <w:right w:val="single" w:sz="4" w:space="0" w:color="000000"/>
            </w:tcBorders>
            <w:shd w:val="clear" w:color="auto" w:fill="D2D2D2"/>
          </w:tcPr>
          <w:p>
            <w:pPr/>
          </w:p>
        </w:tc>
        <w:tc>
          <w:tcPr>
            <w:tcW w:w="113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757"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51"/>
              <w:ind w:left="193" w:right="192"/>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60" w:lineRule="auto" w:before="51"/>
              <w:ind w:left="169" w:right="168"/>
              <w:jc w:val="left"/>
              <w:rPr>
                <w:rFonts w:ascii="宋体" w:hAnsi="宋体" w:cs="宋体" w:eastAsia="宋体" w:hint="default"/>
                <w:sz w:val="18"/>
                <w:szCs w:val="18"/>
              </w:rPr>
            </w:pPr>
            <w:r>
              <w:rPr>
                <w:rFonts w:ascii="宋体" w:hAnsi="宋体" w:cs="宋体" w:eastAsia="宋体" w:hint="default"/>
                <w:sz w:val="18"/>
                <w:szCs w:val="18"/>
              </w:rPr>
              <w:t>计提 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1"/>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2246" w:type="dxa"/>
            <w:vMerge w:val="restart"/>
            <w:tcBorders>
              <w:top w:val="single" w:sz="4" w:space="0" w:color="FFFFFF"/>
              <w:left w:val="single" w:sz="4" w:space="0" w:color="000000"/>
              <w:right w:val="single" w:sz="4" w:space="0" w:color="000000"/>
            </w:tcBorders>
            <w:shd w:val="clear" w:color="auto" w:fill="D2D2D2"/>
          </w:tcPr>
          <w:p>
            <w:pPr/>
          </w:p>
        </w:tc>
        <w:tc>
          <w:tcPr>
            <w:tcW w:w="113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8"/>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7"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5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4"/>
              <w:ind w:left="98"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tcBorders>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2246"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62" w:type="dxa"/>
            <w:vMerge/>
            <w:tcBorders>
              <w:left w:val="single" w:sz="4" w:space="0" w:color="000000"/>
              <w:bottom w:val="nil" w:sz="6" w:space="0" w:color="auto"/>
              <w:right w:val="single" w:sz="4" w:space="0" w:color="000000"/>
            </w:tcBorders>
            <w:shd w:val="clear" w:color="auto" w:fill="D2D2D2"/>
          </w:tcPr>
          <w:p>
            <w:pPr/>
          </w:p>
        </w:tc>
        <w:tc>
          <w:tcPr>
            <w:tcW w:w="757"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
        </w:tc>
      </w:tr>
      <w:tr>
        <w:trPr>
          <w:trHeight w:val="181" w:hRule="exact"/>
        </w:trPr>
        <w:tc>
          <w:tcPr>
            <w:tcW w:w="2246" w:type="dxa"/>
            <w:vMerge/>
            <w:tcBorders>
              <w:left w:val="single" w:sz="4" w:space="0" w:color="000000"/>
              <w:bottom w:val="single" w:sz="4" w:space="0" w:color="000000"/>
              <w:right w:val="single" w:sz="4" w:space="0" w:color="000000"/>
            </w:tcBorders>
            <w:shd w:val="clear" w:color="auto" w:fill="D2D2D2"/>
          </w:tcPr>
          <w:p>
            <w:pPr/>
          </w:p>
        </w:tc>
        <w:tc>
          <w:tcPr>
            <w:tcW w:w="1133"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62" w:type="dxa"/>
            <w:tcBorders>
              <w:top w:val="nil" w:sz="6" w:space="0" w:color="auto"/>
              <w:left w:val="single" w:sz="4" w:space="0" w:color="000000"/>
              <w:bottom w:val="single" w:sz="4" w:space="0" w:color="000000"/>
              <w:right w:val="single" w:sz="4" w:space="0" w:color="000000"/>
            </w:tcBorders>
            <w:shd w:val="clear" w:color="auto" w:fill="D2D2D2"/>
          </w:tcPr>
          <w:p>
            <w:pPr/>
          </w:p>
        </w:tc>
        <w:tc>
          <w:tcPr>
            <w:tcW w:w="757"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134"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3"/>
              <w:jc w:val="left"/>
              <w:rPr>
                <w:rFonts w:ascii="宋体" w:hAnsi="宋体" w:cs="宋体" w:eastAsia="宋体" w:hint="default"/>
                <w:sz w:val="18"/>
                <w:szCs w:val="18"/>
              </w:rPr>
            </w:pPr>
            <w:r>
              <w:rPr>
                <w:rFonts w:ascii="宋体" w:hAnsi="宋体" w:cs="宋体" w:eastAsia="宋体" w:hint="default"/>
                <w:sz w:val="18"/>
                <w:szCs w:val="18"/>
              </w:rPr>
              <w:t>单项金额重大并单独计提坏 账准备的其他应收款</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3"/>
              <w:jc w:val="left"/>
              <w:rPr>
                <w:rFonts w:ascii="宋体" w:hAnsi="宋体" w:cs="宋体" w:eastAsia="宋体" w:hint="default"/>
                <w:sz w:val="18"/>
                <w:szCs w:val="18"/>
              </w:rPr>
            </w:pPr>
            <w:r>
              <w:rPr>
                <w:rFonts w:ascii="宋体" w:hAnsi="宋体" w:cs="宋体" w:eastAsia="宋体" w:hint="default"/>
                <w:sz w:val="18"/>
                <w:szCs w:val="18"/>
              </w:rPr>
              <w:t>按信用风险特征组合计提坏 账准备的其他应收款</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4,773,939.89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4,773,939.89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18,518,926.70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18,518,926.70</w:t>
            </w:r>
          </w:p>
        </w:tc>
      </w:tr>
      <w:tr>
        <w:trPr>
          <w:trHeight w:val="714"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63"/>
              <w:jc w:val="left"/>
              <w:rPr>
                <w:rFonts w:ascii="宋体" w:hAnsi="宋体" w:cs="宋体" w:eastAsia="宋体" w:hint="default"/>
                <w:sz w:val="18"/>
                <w:szCs w:val="18"/>
              </w:rPr>
            </w:pPr>
            <w:r>
              <w:rPr>
                <w:rFonts w:ascii="宋体" w:hAnsi="宋体" w:cs="宋体" w:eastAsia="宋体" w:hint="default"/>
                <w:sz w:val="18"/>
                <w:szCs w:val="18"/>
              </w:rPr>
              <w:t>单项金额不重大但单独计提 坏账准备的其他应收款</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2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4,773,939.89</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4,773,939.89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18,518,926.70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18,518,926.70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180" w:right="0"/>
        </w:sectPr>
      </w:pPr>
    </w:p>
    <w:p>
      <w:pPr>
        <w:pStyle w:val="BodyText"/>
        <w:spacing w:line="240" w:lineRule="auto" w:before="51"/>
        <w:ind w:left="954" w:right="1149"/>
        <w:jc w:val="left"/>
      </w:pPr>
      <w:r>
        <w:rPr/>
        <w:t>期末单项金额重大并单项计提坏账准备的其他应收款：</w:t>
      </w:r>
    </w:p>
    <w:p>
      <w:pPr>
        <w:pStyle w:val="BodyText"/>
        <w:spacing w:line="338" w:lineRule="auto" w:before="117"/>
        <w:ind w:left="954" w:right="15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38" w:lineRule="auto" w:before="44"/>
        <w:ind w:left="954" w:right="1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40" w:lineRule="auto" w:before="42"/>
        <w:ind w:left="954" w:right="15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0"/>
        <w:ind w:left="954" w:right="1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954" w:right="1149"/>
        <w:jc w:val="left"/>
      </w:pPr>
      <w:r>
        <w:rPr>
          <w:rFonts w:ascii="Times New Roman" w:hAnsi="Times New Roman" w:cs="Times New Roman" w:eastAsia="Times New Roman" w:hint="default"/>
        </w:rPr>
        <w:t>2)</w:t>
      </w:r>
      <w:r>
        <w:rPr/>
        <w:t>本期计提、收回或转回的坏账准备情况</w:t>
      </w:r>
    </w:p>
    <w:p>
      <w:pPr>
        <w:pStyle w:val="BodyText"/>
        <w:spacing w:line="240" w:lineRule="auto" w:before="103"/>
        <w:ind w:left="954" w:right="-17"/>
        <w:jc w:val="left"/>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00" w:lineRule="auto" w:before="101"/>
        <w:ind w:left="954" w:right="2949"/>
        <w:jc w:val="left"/>
      </w:pPr>
      <w:r>
        <w:rPr>
          <w:rFonts w:ascii="Times New Roman" w:hAnsi="Times New Roman" w:cs="Times New Roman" w:eastAsia="Times New Roman" w:hint="default"/>
        </w:rPr>
        <w:t>3)</w:t>
      </w:r>
      <w:r>
        <w:rPr/>
        <w:t>本期实际核销的其他应收款情况</w:t>
      </w:r>
      <w:r>
        <w:rPr>
          <w:w w:val="99"/>
        </w:rPr>
        <w:t> </w:t>
      </w:r>
      <w:r>
        <w:rPr/>
        <w:t>报告期内无实际核销的其他应收款</w:t>
      </w:r>
    </w:p>
    <w:p>
      <w:pPr>
        <w:pStyle w:val="BodyText"/>
        <w:spacing w:line="240" w:lineRule="auto" w:before="72"/>
        <w:ind w:left="954" w:right="1149"/>
        <w:jc w:val="left"/>
      </w:pP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26"/>
          <w:szCs w:val="26"/>
        </w:rPr>
      </w:pPr>
    </w:p>
    <w:p>
      <w:pPr>
        <w:pStyle w:val="BodyText"/>
        <w:spacing w:line="240" w:lineRule="auto"/>
        <w:ind w:left="953" w:right="0"/>
        <w:jc w:val="left"/>
      </w:pPr>
      <w:r>
        <w:rPr/>
        <w:t>单位： 元</w:t>
      </w:r>
    </w:p>
    <w:p>
      <w:pPr>
        <w:spacing w:after="0" w:line="240" w:lineRule="auto"/>
        <w:jc w:val="left"/>
        <w:sectPr>
          <w:type w:val="continuous"/>
          <w:pgSz w:w="11910" w:h="16840"/>
          <w:pgMar w:top="1060" w:bottom="1160" w:left="180" w:right="0"/>
          <w:cols w:num="2" w:equalWidth="0">
            <w:col w:w="6624" w:space="2205"/>
            <w:col w:w="2901"/>
          </w:cols>
        </w:sectPr>
      </w:pPr>
    </w:p>
    <w:p>
      <w:pPr>
        <w:spacing w:line="240" w:lineRule="auto" w:before="13"/>
        <w:rPr>
          <w:rFonts w:ascii="宋体" w:hAnsi="宋体" w:cs="宋体" w:eastAsia="宋体" w:hint="default"/>
          <w:sz w:val="7"/>
          <w:szCs w:val="7"/>
        </w:rPr>
      </w:pPr>
    </w:p>
    <w:tbl>
      <w:tblPr>
        <w:tblW w:w="0" w:type="auto"/>
        <w:jc w:val="left"/>
        <w:tblInd w:w="949" w:type="dxa"/>
        <w:tblLayout w:type="fixed"/>
        <w:tblCellMar>
          <w:top w:w="0" w:type="dxa"/>
          <w:left w:w="0" w:type="dxa"/>
          <w:bottom w:w="0" w:type="dxa"/>
          <w:right w:w="0" w:type="dxa"/>
        </w:tblCellMar>
        <w:tblLook w:val="01E0"/>
      </w:tblPr>
      <w:tblGrid>
        <w:gridCol w:w="3188"/>
        <w:gridCol w:w="3191"/>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4,683,690.72</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2,491,426.58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72,455.50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1,119,186.10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代扣代缴款项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17,793.67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8,314.02</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14,900,000.00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4,773,939.89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18,518,926.70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80" w:right="0"/>
        </w:sectPr>
      </w:pPr>
    </w:p>
    <w:p>
      <w:pPr>
        <w:spacing w:line="240" w:lineRule="auto" w:before="13"/>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835"/>
        <w:gridCol w:w="993"/>
        <w:gridCol w:w="1559"/>
        <w:gridCol w:w="989"/>
        <w:gridCol w:w="1596"/>
        <w:gridCol w:w="1595"/>
      </w:tblGrid>
      <w:tr>
        <w:trPr>
          <w:trHeight w:val="714"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8"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71"/>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北京斯普汇德文化中心</w:t>
            </w:r>
            <w:r>
              <w:rPr>
                <w:rFonts w:ascii="Times New Roman" w:hAnsi="Times New Roman" w:cs="Times New Roman" w:eastAsia="Times New Roman" w:hint="default"/>
                <w:sz w:val="18"/>
                <w:szCs w:val="18"/>
              </w:rPr>
              <w:t>(</w:t>
            </w:r>
            <w:r>
              <w:rPr>
                <w:rFonts w:ascii="宋体" w:hAnsi="宋体" w:cs="宋体" w:eastAsia="宋体" w:hint="default"/>
                <w:sz w:val="18"/>
                <w:szCs w:val="18"/>
              </w:rPr>
              <w:t>有限合伙</w:t>
            </w:r>
            <w:r>
              <w:rPr>
                <w:rFonts w:ascii="Times New Roman" w:hAnsi="Times New Roman" w:cs="Times New Roman" w:eastAsia="Times New Roman" w:hint="default"/>
                <w:sz w:val="18"/>
                <w:szCs w:val="18"/>
              </w:rPr>
              <w:t>)</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2,117,942.52</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44.36%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北京国棉文化创意发展有限公司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1,024,688.78</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21.46%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上海长峰房地产开发有限公司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782,010.00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16.38%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广州汇美发展有限公司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265,753.80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5.57%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南京前途汽车销售有限公司</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100,000.00</w:t>
            </w:r>
          </w:p>
        </w:tc>
        <w:tc>
          <w:tcPr>
            <w:tcW w:w="9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4,290,395.10</w:t>
            </w:r>
          </w:p>
        </w:tc>
        <w:tc>
          <w:tcPr>
            <w:tcW w:w="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45" w:lineRule="auto" w:before="51"/>
        <w:ind w:right="5532"/>
        <w:jc w:val="left"/>
      </w:pPr>
      <w:r>
        <w:rPr>
          <w:rFonts w:ascii="Times New Roman" w:hAnsi="Times New Roman" w:cs="Times New Roman" w:eastAsia="Times New Roman" w:hint="default"/>
        </w:rPr>
        <w:t>6)</w:t>
      </w:r>
      <w:r>
        <w:rPr/>
        <w:t>涉及政府补助的应收款项</w:t>
      </w:r>
      <w:r>
        <w:rPr>
          <w:w w:val="99"/>
        </w:rPr>
        <w:t> </w:t>
      </w:r>
      <w:r>
        <w:rPr/>
        <w:t>公司报告期各期末无涉及政府补助的其他应收款</w:t>
      </w:r>
      <w:r>
        <w:rPr>
          <w:w w:val="99"/>
        </w:rPr>
        <w:t> </w:t>
      </w:r>
      <w:r>
        <w:rPr>
          <w:rFonts w:ascii="Times New Roman" w:hAnsi="Times New Roman" w:cs="Times New Roman" w:eastAsia="Times New Roman" w:hint="default"/>
        </w:rPr>
        <w:t>7)</w:t>
      </w:r>
      <w:r>
        <w:rPr/>
        <w:t>因金融资产转移而终止确认的其他应收款</w:t>
      </w:r>
      <w:r>
        <w:rPr>
          <w:w w:val="99"/>
        </w:rPr>
        <w:t> </w:t>
      </w:r>
      <w:r>
        <w:rPr/>
        <w:t>公司报告期各期末无因金融资产转移而终止确认的其他应收款</w:t>
      </w:r>
      <w:r>
        <w:rPr>
          <w:w w:val="99"/>
        </w:rPr>
        <w:t> </w:t>
      </w:r>
      <w:r>
        <w:rPr>
          <w:rFonts w:ascii="Times New Roman" w:hAnsi="Times New Roman" w:cs="Times New Roman" w:eastAsia="Times New Roman" w:hint="default"/>
        </w:rPr>
        <w:t>8)</w:t>
      </w:r>
      <w:r>
        <w:rPr/>
        <w:t>转移其他应收款且继续涉入形成的资产、负债金额</w:t>
      </w:r>
      <w:r>
        <w:rPr>
          <w:w w:val="99"/>
        </w:rPr>
        <w:t> </w:t>
      </w:r>
      <w:r>
        <w:rPr/>
        <w:t>公司报告期各期末无转移其他应收款且继续涉入形成的资产、负债</w:t>
      </w:r>
    </w:p>
    <w:p>
      <w:pPr>
        <w:spacing w:line="240" w:lineRule="auto" w:before="11"/>
        <w:rPr>
          <w:rFonts w:ascii="宋体" w:hAnsi="宋体" w:cs="宋体" w:eastAsia="宋体" w:hint="default"/>
          <w:sz w:val="20"/>
          <w:szCs w:val="20"/>
        </w:rPr>
      </w:pPr>
    </w:p>
    <w:p>
      <w:pPr>
        <w:pStyle w:val="Heading4"/>
        <w:spacing w:line="240" w:lineRule="auto"/>
        <w:ind w:right="0"/>
        <w:jc w:val="left"/>
        <w:rPr>
          <w:b w:val="0"/>
          <w:bCs w:val="0"/>
        </w:rPr>
      </w:pPr>
      <w:bookmarkStart w:name="7、存货" w:id="237"/>
      <w:bookmarkEnd w:id="237"/>
      <w:r>
        <w:rPr>
          <w:b w:val="0"/>
          <w:bCs w:val="0"/>
        </w:rPr>
      </w:r>
      <w:r>
        <w:rPr>
          <w:rFonts w:ascii="Times New Roman" w:hAnsi="Times New Roman" w:cs="Times New Roman" w:eastAsia="Times New Roman" w:hint="default"/>
        </w:rPr>
        <w:t>7</w:t>
      </w:r>
      <w:r>
        <w:rPr/>
        <w:t>、存货</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right="7512"/>
        <w:jc w:val="left"/>
      </w:pPr>
      <w:r>
        <w:rPr/>
        <w:t>公司是否需要遵守房地产行业的披露要求 否</w:t>
      </w:r>
    </w:p>
    <w:p>
      <w:pPr>
        <w:spacing w:line="240" w:lineRule="auto" w:before="1"/>
        <w:rPr>
          <w:rFonts w:ascii="宋体" w:hAnsi="宋体" w:cs="宋体" w:eastAsia="宋体" w:hint="default"/>
          <w:sz w:val="20"/>
          <w:szCs w:val="20"/>
        </w:rPr>
      </w:pPr>
    </w:p>
    <w:p>
      <w:pPr>
        <w:pStyle w:val="Heading4"/>
        <w:spacing w:line="240" w:lineRule="auto"/>
        <w:ind w:right="0"/>
        <w:jc w:val="left"/>
        <w:rPr>
          <w:b w:val="0"/>
          <w:bCs w:val="0"/>
        </w:rPr>
      </w:pPr>
      <w:bookmarkStart w:name="（1）存货分类" w:id="238"/>
      <w:bookmarkEnd w:id="238"/>
      <w:r>
        <w:rPr>
          <w:b w:val="0"/>
          <w:bCs w:val="0"/>
        </w:rPr>
      </w:r>
      <w:r>
        <w:rPr/>
        <w:t>（</w:t>
      </w:r>
      <w:r>
        <w:rPr>
          <w:rFonts w:ascii="Times New Roman" w:hAnsi="Times New Roman" w:cs="Times New Roman" w:eastAsia="Times New Roman" w:hint="default"/>
        </w:rPr>
        <w:t>1</w:t>
      </w:r>
      <w:r>
        <w:rPr/>
        <w:t>）存货分类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项目成本</w:t>
            </w:r>
          </w:p>
        </w:tc>
        <w:tc>
          <w:tcPr>
            <w:tcW w:w="1368"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15,786,848.77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1,140,670.47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14,646,178.30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8,564,171.78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1,060,670.47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7,503,501.31</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288" w:right="0"/>
              <w:jc w:val="left"/>
              <w:rPr>
                <w:rFonts w:ascii="Times New Roman" w:hAnsi="Times New Roman" w:cs="Times New Roman" w:eastAsia="Times New Roman" w:hint="default"/>
                <w:sz w:val="18"/>
                <w:szCs w:val="18"/>
              </w:rPr>
            </w:pPr>
            <w:r>
              <w:rPr>
                <w:rFonts w:ascii="Times New Roman"/>
                <w:sz w:val="18"/>
              </w:rPr>
              <w:t>15,786,848.77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1,140,670.47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9" w:right="0"/>
              <w:jc w:val="left"/>
              <w:rPr>
                <w:rFonts w:ascii="Times New Roman" w:hAnsi="Times New Roman" w:cs="Times New Roman" w:eastAsia="Times New Roman" w:hint="default"/>
                <w:sz w:val="18"/>
                <w:szCs w:val="18"/>
              </w:rPr>
            </w:pPr>
            <w:r>
              <w:rPr>
                <w:rFonts w:ascii="Times New Roman"/>
                <w:sz w:val="18"/>
              </w:rPr>
              <w:t>14,646,178.30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8,564,171.78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1,060,670.47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7,503,501.31</w:t>
            </w:r>
          </w:p>
        </w:tc>
      </w:tr>
    </w:tbl>
    <w:p>
      <w:pPr>
        <w:pStyle w:val="BodyText"/>
        <w:spacing w:line="340" w:lineRule="auto" w:before="51"/>
        <w:ind w:right="2473"/>
        <w:jc w:val="left"/>
      </w:pPr>
      <w:r>
        <w:rPr/>
        <w:t>公司是否需遵守《深圳证券交易所行业信息披露指引第</w:t>
      </w:r>
      <w:r>
        <w:rPr>
          <w:spacing w:val="-45"/>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上市公司从事种业、种植业务》的披露要求 否</w:t>
      </w:r>
    </w:p>
    <w:p>
      <w:pPr>
        <w:pStyle w:val="BodyText"/>
        <w:spacing w:line="338" w:lineRule="auto" w:before="40"/>
        <w:ind w:right="1573"/>
        <w:jc w:val="left"/>
      </w:pPr>
      <w:r>
        <w:rPr/>
        <w:t>公司是否需遵守《深圳证券交易所创业板行业信息披露指引第</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上市公司从事广播电影电视业务》的披露要求 否</w:t>
      </w:r>
    </w:p>
    <w:p>
      <w:pPr>
        <w:pStyle w:val="BodyText"/>
        <w:spacing w:line="338" w:lineRule="auto" w:before="43"/>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340" w:lineRule="auto" w:before="42"/>
        <w:ind w:right="2751"/>
        <w:jc w:val="left"/>
      </w:pPr>
      <w:r>
        <w:rPr/>
        <w:t>公司需遵守《深圳证券交易所行业信息披露指引第</w:t>
      </w:r>
      <w:r>
        <w:rPr>
          <w:spacing w:val="-45"/>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上市公司从事珠宝相关业务》的披露要求 否</w:t>
      </w:r>
    </w:p>
    <w:p>
      <w:pPr>
        <w:spacing w:after="0" w:line="3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存货跌价准备" w:id="239"/>
      <w:bookmarkEnd w:id="239"/>
      <w:r>
        <w:rPr>
          <w:b w:val="0"/>
          <w:bCs w:val="0"/>
        </w:rPr>
      </w:r>
      <w:r>
        <w:rPr/>
        <w:t>（</w:t>
      </w:r>
      <w:r>
        <w:rPr>
          <w:rFonts w:ascii="Times New Roman" w:hAnsi="Times New Roman" w:cs="Times New Roman" w:eastAsia="Times New Roman" w:hint="default"/>
        </w:rPr>
        <w:t>2</w:t>
      </w:r>
      <w:r>
        <w:rPr/>
        <w:t>）存货跌价准备</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2"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1"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项目成本</w:t>
            </w:r>
          </w:p>
        </w:tc>
        <w:tc>
          <w:tcPr>
            <w:tcW w:w="1368"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1,060,670.47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1,140,670.47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1,060,670.47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1,140,670.47</w:t>
            </w:r>
          </w:p>
        </w:tc>
      </w:tr>
    </w:tbl>
    <w:p>
      <w:pPr>
        <w:spacing w:line="240" w:lineRule="auto" w:before="3"/>
        <w:rPr>
          <w:rFonts w:ascii="宋体" w:hAnsi="宋体" w:cs="宋体" w:eastAsia="宋体" w:hint="default"/>
          <w:sz w:val="21"/>
          <w:szCs w:val="21"/>
        </w:rPr>
      </w:pPr>
    </w:p>
    <w:p>
      <w:pPr>
        <w:pStyle w:val="BodyText"/>
        <w:spacing w:line="240" w:lineRule="auto" w:before="44"/>
        <w:ind w:right="0"/>
        <w:jc w:val="left"/>
      </w:pPr>
      <w:r>
        <w:rPr/>
        <w:t>乐视项目全额计提存货跌价准备</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存货期末余额含有借款费用资本化金额的说明" w:id="240"/>
      <w:bookmarkEnd w:id="240"/>
      <w:r>
        <w:rPr>
          <w:b w:val="0"/>
          <w:bCs w:val="0"/>
        </w:rPr>
      </w:r>
      <w:r>
        <w:rPr/>
        <w:t>（</w:t>
      </w:r>
      <w:r>
        <w:rPr>
          <w:rFonts w:ascii="Times New Roman" w:hAnsi="Times New Roman" w:cs="Times New Roman" w:eastAsia="Times New Roman" w:hint="default"/>
        </w:rPr>
        <w:t>3</w:t>
      </w:r>
      <w:r>
        <w:rPr/>
        <w:t>）存货期末余额含有借款费用资本化金额的说明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期末建造合同形成的已完工未结算资产情况" w:id="241"/>
      <w:bookmarkEnd w:id="241"/>
      <w:r>
        <w:rPr>
          <w:b w:val="0"/>
          <w:bCs w:val="0"/>
        </w:rPr>
      </w:r>
      <w:r>
        <w:rPr/>
        <w:t>（</w:t>
      </w:r>
      <w:r>
        <w:rPr>
          <w:rFonts w:ascii="Times New Roman" w:hAnsi="Times New Roman" w:cs="Times New Roman" w:eastAsia="Times New Roman" w:hint="default"/>
        </w:rPr>
        <w:t>4</w:t>
      </w:r>
      <w:r>
        <w:rPr/>
        <w:t>）期末建造合同形成的已完工未结算资产情况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8、持有待售资产" w:id="242"/>
      <w:bookmarkEnd w:id="242"/>
      <w:r>
        <w:rPr>
          <w:b w:val="0"/>
          <w:bCs w:val="0"/>
        </w:rPr>
      </w:r>
      <w:r>
        <w:rPr>
          <w:rFonts w:ascii="Times New Roman" w:hAnsi="Times New Roman" w:cs="Times New Roman" w:eastAsia="Times New Roman" w:hint="default"/>
        </w:rPr>
        <w:t>8</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9、一年内到期的非流动资产" w:id="243"/>
      <w:bookmarkEnd w:id="243"/>
      <w:r>
        <w:rPr>
          <w:b w:val="0"/>
          <w:bCs w:val="0"/>
        </w:rPr>
      </w:r>
      <w:r>
        <w:rPr>
          <w:rFonts w:ascii="Times New Roman" w:hAnsi="Times New Roman" w:cs="Times New Roman" w:eastAsia="Times New Roman" w:hint="default"/>
        </w:rPr>
        <w:t>9</w:t>
      </w:r>
      <w:r>
        <w:rPr/>
        <w:t>、一年内到期的非流动资产</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27"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10、其他流动资产" w:id="244"/>
      <w:bookmarkEnd w:id="244"/>
      <w:r>
        <w:rPr>
          <w:b w:val="0"/>
          <w:bCs w:val="0"/>
        </w:rPr>
      </w:r>
      <w:r>
        <w:rPr>
          <w:rFonts w:ascii="Times New Roman" w:hAnsi="Times New Roman" w:cs="Times New Roman" w:eastAsia="Times New Roman" w:hint="default"/>
        </w:rPr>
        <w:t>10</w:t>
      </w:r>
      <w:r>
        <w:rPr/>
        <w:t>、其他流动资产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预付装修款</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10,256,000.00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待摊费用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740,863.48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1,788,307.28</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预缴企业所得税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548,495.71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232,796.80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待抵扣增值税进项税</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532,749.10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8,990.23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12,078,108.29</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2,030,094.31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1、可供出售金融资产" w:id="245"/>
      <w:bookmarkEnd w:id="245"/>
      <w:r>
        <w:rPr>
          <w:b w:val="0"/>
          <w:bCs w:val="0"/>
        </w:rPr>
      </w:r>
      <w:r>
        <w:rPr>
          <w:rFonts w:ascii="Times New Roman" w:hAnsi="Times New Roman" w:cs="Times New Roman" w:eastAsia="Times New Roman" w:hint="default"/>
        </w:rPr>
        <w:t>11</w:t>
      </w:r>
      <w:r>
        <w:rPr/>
        <w:t>、可供出售金融资产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可供出售金融资产情况" w:id="246"/>
      <w:bookmarkEnd w:id="246"/>
      <w:r>
        <w:rPr>
          <w:b w:val="0"/>
          <w:bCs w:val="0"/>
        </w:rPr>
      </w: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9"/>
        <w:gridCol w:w="1195"/>
        <w:gridCol w:w="1196"/>
        <w:gridCol w:w="1196"/>
        <w:gridCol w:w="1248"/>
        <w:gridCol w:w="1367"/>
        <w:gridCol w:w="1367"/>
      </w:tblGrid>
      <w:tr>
        <w:trPr>
          <w:trHeight w:val="206" w:hRule="exact"/>
        </w:trPr>
        <w:tc>
          <w:tcPr>
            <w:tcW w:w="1989" w:type="dxa"/>
            <w:tcBorders>
              <w:top w:val="single" w:sz="4" w:space="0" w:color="000000"/>
              <w:left w:val="single" w:sz="4" w:space="0" w:color="000000"/>
              <w:bottom w:val="nil" w:sz="6" w:space="0" w:color="auto"/>
              <w:right w:val="single" w:sz="4" w:space="0" w:color="000000"/>
            </w:tcBorders>
            <w:shd w:val="clear" w:color="auto" w:fill="D2D2D2"/>
          </w:tcPr>
          <w:p>
            <w:pPr/>
          </w:p>
        </w:tc>
        <w:tc>
          <w:tcPr>
            <w:tcW w:w="3587"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98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8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587" w:type="dxa"/>
            <w:gridSpan w:val="3"/>
            <w:vMerge/>
            <w:tcBorders>
              <w:left w:val="single" w:sz="4" w:space="0" w:color="000000"/>
              <w:bottom w:val="single" w:sz="4" w:space="0" w:color="000000"/>
              <w:right w:val="single" w:sz="4" w:space="0" w:color="000000"/>
            </w:tcBorders>
            <w:shd w:val="clear" w:color="auto" w:fill="D2D2D2"/>
          </w:tcPr>
          <w:p>
            <w:pPr/>
          </w:p>
        </w:tc>
        <w:tc>
          <w:tcPr>
            <w:tcW w:w="398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9" w:type="dxa"/>
            <w:vMerge/>
            <w:tcBorders>
              <w:left w:val="single" w:sz="4" w:space="0" w:color="000000"/>
              <w:bottom w:val="nil" w:sz="6" w:space="0" w:color="auto"/>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5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98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24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可供出售权益工具：</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50,233,669.58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50,233,669.58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19,388,694.11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19,388,694.11</w:t>
            </w:r>
          </w:p>
        </w:tc>
      </w:tr>
      <w:tr>
        <w:trPr>
          <w:trHeight w:val="402"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按成本计量的</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50,233,669.58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50,233,669.58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19,388,694.11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19,388,694.11</w:t>
            </w:r>
          </w:p>
        </w:tc>
      </w:tr>
      <w:tr>
        <w:trPr>
          <w:trHeight w:val="403" w:hRule="exact"/>
        </w:trPr>
        <w:tc>
          <w:tcPr>
            <w:tcW w:w="19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50,233,669.58</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50,233,669.58</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19,388,694.11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19,388,694.11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期末按成本计量的可供出售金融资产" w:id="247"/>
      <w:bookmarkEnd w:id="247"/>
      <w:r>
        <w:rPr>
          <w:b w:val="0"/>
          <w:bCs w:val="0"/>
        </w:rPr>
      </w:r>
      <w:r>
        <w:rPr/>
        <w:t>（</w:t>
      </w:r>
      <w:r>
        <w:rPr>
          <w:rFonts w:ascii="Times New Roman" w:hAnsi="Times New Roman" w:cs="Times New Roman" w:eastAsia="Times New Roman" w:hint="default"/>
        </w:rPr>
        <w:t>2</w:t>
      </w:r>
      <w:r>
        <w:rPr/>
        <w:t>）期末按成本计量的可供出售金融资产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86" w:type="dxa"/>
        <w:tblLayout w:type="fixed"/>
        <w:tblCellMar>
          <w:top w:w="0" w:type="dxa"/>
          <w:left w:w="0" w:type="dxa"/>
          <w:bottom w:w="0" w:type="dxa"/>
          <w:right w:w="0" w:type="dxa"/>
        </w:tblCellMar>
        <w:tblLook w:val="01E0"/>
      </w:tblPr>
      <w:tblGrid>
        <w:gridCol w:w="863"/>
        <w:gridCol w:w="1122"/>
        <w:gridCol w:w="1134"/>
        <w:gridCol w:w="425"/>
        <w:gridCol w:w="1277"/>
        <w:gridCol w:w="566"/>
        <w:gridCol w:w="696"/>
        <w:gridCol w:w="870"/>
        <w:gridCol w:w="870"/>
        <w:gridCol w:w="870"/>
        <w:gridCol w:w="870"/>
      </w:tblGrid>
      <w:tr>
        <w:trPr>
          <w:trHeight w:val="401" w:hRule="exact"/>
        </w:trPr>
        <w:tc>
          <w:tcPr>
            <w:tcW w:w="8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335" w:right="65"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395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30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减值准备</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116"/>
              <w:ind w:left="69" w:right="68"/>
              <w:jc w:val="center"/>
              <w:rPr>
                <w:rFonts w:ascii="宋体" w:hAnsi="宋体" w:cs="宋体" w:eastAsia="宋体" w:hint="default"/>
                <w:sz w:val="18"/>
                <w:szCs w:val="18"/>
              </w:rPr>
            </w:pPr>
            <w:r>
              <w:rPr>
                <w:rFonts w:ascii="宋体" w:hAnsi="宋体" w:cs="宋体" w:eastAsia="宋体" w:hint="default"/>
                <w:sz w:val="18"/>
                <w:szCs w:val="18"/>
              </w:rPr>
              <w:t>在被投资 单位持股 比例</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20"/>
                <w:szCs w:val="20"/>
              </w:rPr>
            </w:pPr>
          </w:p>
          <w:p>
            <w:pPr>
              <w:pStyle w:val="TableParagraph"/>
              <w:spacing w:line="316" w:lineRule="auto"/>
              <w:ind w:left="249" w:right="68"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55" w:hRule="exact"/>
        </w:trPr>
        <w:tc>
          <w:tcPr>
            <w:tcW w:w="863" w:type="dxa"/>
            <w:vMerge/>
            <w:tcBorders>
              <w:left w:val="single" w:sz="4" w:space="0" w:color="000000"/>
              <w:bottom w:val="single" w:sz="4" w:space="0" w:color="000000"/>
              <w:right w:val="single" w:sz="4" w:space="0" w:color="000000"/>
            </w:tcBorders>
            <w:shd w:val="clear" w:color="auto" w:fill="D2D2D2"/>
          </w:tcPr>
          <w:p>
            <w:pPr/>
          </w:p>
        </w:tc>
        <w:tc>
          <w:tcPr>
            <w:tcW w:w="1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1"/>
              <w:ind w:left="26" w:right="26"/>
              <w:jc w:val="left"/>
              <w:rPr>
                <w:rFonts w:ascii="宋体" w:hAnsi="宋体" w:cs="宋体" w:eastAsia="宋体" w:hint="default"/>
                <w:sz w:val="18"/>
                <w:szCs w:val="18"/>
              </w:rPr>
            </w:pPr>
            <w:r>
              <w:rPr>
                <w:rFonts w:ascii="宋体" w:hAnsi="宋体" w:cs="宋体" w:eastAsia="宋体" w:hint="default"/>
                <w:sz w:val="18"/>
                <w:szCs w:val="18"/>
              </w:rPr>
              <w:t>本期 减少</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z w:val="18"/>
                <w:szCs w:val="18"/>
              </w:rPr>
              <w:t>期初</w:t>
            </w:r>
          </w:p>
        </w:tc>
        <w:tc>
          <w:tcPr>
            <w:tcW w:w="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2"/>
              <w:ind w:left="161" w:right="162"/>
              <w:jc w:val="left"/>
              <w:rPr>
                <w:rFonts w:ascii="宋体" w:hAnsi="宋体" w:cs="宋体" w:eastAsia="宋体" w:hint="default"/>
                <w:sz w:val="18"/>
                <w:szCs w:val="18"/>
              </w:rPr>
            </w:pPr>
            <w:r>
              <w:rPr>
                <w:rFonts w:ascii="宋体" w:hAnsi="宋体" w:cs="宋体" w:eastAsia="宋体" w:hint="default"/>
                <w:sz w:val="18"/>
                <w:szCs w:val="18"/>
              </w:rPr>
              <w:t>本期 增加</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69"/>
              <w:jc w:val="right"/>
              <w:rPr>
                <w:rFonts w:ascii="宋体" w:hAnsi="宋体" w:cs="宋体" w:eastAsia="宋体" w:hint="default"/>
                <w:sz w:val="18"/>
                <w:szCs w:val="18"/>
              </w:rPr>
            </w:pPr>
            <w:r>
              <w:rPr>
                <w:rFonts w:ascii="宋体" w:hAnsi="宋体" w:cs="宋体" w:eastAsia="宋体" w:hint="default"/>
                <w:sz w:val="18"/>
                <w:szCs w:val="18"/>
              </w:rPr>
              <w:t>本期减少</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9" w:right="0"/>
              <w:jc w:val="left"/>
              <w:rPr>
                <w:rFonts w:ascii="宋体" w:hAnsi="宋体" w:cs="宋体" w:eastAsia="宋体" w:hint="default"/>
                <w:sz w:val="18"/>
                <w:szCs w:val="18"/>
              </w:rPr>
            </w:pPr>
            <w:r>
              <w:rPr>
                <w:rFonts w:ascii="宋体" w:hAnsi="宋体" w:cs="宋体" w:eastAsia="宋体" w:hint="default"/>
                <w:sz w:val="18"/>
                <w:szCs w:val="18"/>
              </w:rPr>
              <w:t>期末</w:t>
            </w: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北京周同 科技有限 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23,352,274.00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23,352,274.00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秒啊（北 京）科技 有限公司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17,500,000.00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17,500,000.00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86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北京爱点 互动科技 有限公司</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4,300,000.00</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4,300,000.00</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86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62" w:lineRule="auto" w:before="91"/>
              <w:ind w:left="22" w:right="169"/>
              <w:jc w:val="left"/>
              <w:rPr>
                <w:rFonts w:ascii="Times New Roman" w:hAnsi="Times New Roman" w:cs="Times New Roman" w:eastAsia="Times New Roman" w:hint="default"/>
                <w:sz w:val="18"/>
                <w:szCs w:val="18"/>
              </w:rPr>
            </w:pPr>
            <w:r>
              <w:rPr>
                <w:rFonts w:ascii="Times New Roman"/>
                <w:sz w:val="18"/>
              </w:rPr>
              <w:t>Sunshine Partners</w:t>
            </w:r>
            <w:r>
              <w:rPr>
                <w:rFonts w:ascii="Times New Roman"/>
                <w:w w:val="99"/>
                <w:sz w:val="18"/>
              </w:rPr>
              <w:t> </w:t>
            </w:r>
            <w:r>
              <w:rPr>
                <w:rFonts w:ascii="Times New Roman"/>
                <w:sz w:val="18"/>
              </w:rPr>
              <w:t>Group</w:t>
            </w:r>
            <w:r>
              <w:rPr>
                <w:rFonts w:ascii="Times New Roman"/>
                <w:w w:val="99"/>
                <w:sz w:val="18"/>
              </w:rPr>
              <w:t> </w:t>
            </w:r>
            <w:r>
              <w:rPr>
                <w:rFonts w:ascii="Times New Roman"/>
                <w:sz w:val="18"/>
              </w:rPr>
              <w:t>Limited</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3,089,098.04</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3,089,098.04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6.41%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86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62" w:lineRule="auto" w:before="91"/>
              <w:ind w:left="22" w:right="88"/>
              <w:jc w:val="left"/>
              <w:rPr>
                <w:rFonts w:ascii="Times New Roman" w:hAnsi="Times New Roman" w:cs="Times New Roman" w:eastAsia="Times New Roman" w:hint="default"/>
                <w:sz w:val="18"/>
                <w:szCs w:val="18"/>
              </w:rPr>
            </w:pPr>
            <w:r>
              <w:rPr>
                <w:rFonts w:ascii="Times New Roman"/>
                <w:sz w:val="18"/>
              </w:rPr>
              <w:t>MUHO</w:t>
            </w:r>
            <w:r>
              <w:rPr>
                <w:rFonts w:ascii="Times New Roman"/>
                <w:spacing w:val="-1"/>
                <w:w w:val="99"/>
                <w:sz w:val="18"/>
              </w:rPr>
              <w:t> </w:t>
            </w:r>
            <w:r>
              <w:rPr>
                <w:rFonts w:ascii="Times New Roman"/>
                <w:sz w:val="18"/>
              </w:rPr>
              <w:t>LIMITED</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1,888,694.11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103,603.43</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1,992,297.54</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5.71%</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19,388,694.11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30,844,975.47</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50,233,669.58</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7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0"/>
        <w:jc w:val="left"/>
      </w:pPr>
      <w:r>
        <w:rPr/>
        <w:t>其他说明</w:t>
      </w:r>
    </w:p>
    <w:p>
      <w:pPr>
        <w:pStyle w:val="BodyText"/>
        <w:spacing w:line="300" w:lineRule="auto" w:before="116"/>
        <w:ind w:right="0"/>
        <w:jc w:val="left"/>
      </w:pPr>
      <w:r>
        <w:rPr>
          <w:rFonts w:ascii="Times New Roman" w:hAnsi="Times New Roman" w:cs="Times New Roman" w:eastAsia="Times New Roman" w:hint="default"/>
          <w:spacing w:val="-1"/>
        </w:rPr>
        <w:t>1.</w:t>
      </w:r>
      <w:r>
        <w:rPr>
          <w:spacing w:val="-1"/>
        </w:rPr>
        <w:t>本公司子公司北京品推宝移动科技有限公司于</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11</w:t>
      </w:r>
      <w:r>
        <w:rPr>
          <w:spacing w:val="-1"/>
        </w:rPr>
        <w:t>月</w:t>
      </w:r>
      <w:r>
        <w:rPr>
          <w:rFonts w:ascii="Times New Roman" w:hAnsi="Times New Roman" w:cs="Times New Roman" w:eastAsia="Times New Roman" w:hint="default"/>
          <w:spacing w:val="-1"/>
        </w:rPr>
        <w:t>26</w:t>
      </w:r>
      <w:r>
        <w:rPr>
          <w:spacing w:val="-1"/>
        </w:rPr>
        <w:t>日与宁波森蕊源投资管理有限公司签订协议，拟将其持有的秒</w:t>
      </w:r>
      <w:r>
        <w:rPr>
          <w:spacing w:val="-71"/>
        </w:rPr>
        <w:t> </w:t>
      </w:r>
      <w:r>
        <w:rPr>
          <w:spacing w:val="-71"/>
        </w:rPr>
      </w:r>
      <w:r>
        <w:rPr/>
        <w:t>啊（北京）科技有限公司</w:t>
      </w:r>
      <w:r>
        <w:rPr>
          <w:rFonts w:ascii="Times New Roman" w:hAnsi="Times New Roman" w:cs="Times New Roman" w:eastAsia="Times New Roman" w:hint="default"/>
        </w:rPr>
        <w:t>10%</w:t>
      </w:r>
      <w:r>
        <w:rPr/>
        <w:t>股权转让给该公司，目前股权转让尚未完成。</w:t>
      </w:r>
    </w:p>
    <w:p>
      <w:pPr>
        <w:pStyle w:val="BodyText"/>
        <w:spacing w:line="240" w:lineRule="auto" w:before="13"/>
        <w:ind w:right="0"/>
        <w:jc w:val="left"/>
      </w:pPr>
      <w:r>
        <w:rPr>
          <w:rFonts w:ascii="Times New Roman" w:hAnsi="Times New Roman" w:cs="Times New Roman" w:eastAsia="Times New Roman" w:hint="default"/>
        </w:rPr>
        <w:t>2.</w:t>
      </w:r>
      <w:r>
        <w:rPr/>
        <w:t>对</w:t>
      </w:r>
      <w:r>
        <w:rPr>
          <w:rFonts w:ascii="Times New Roman" w:hAnsi="Times New Roman" w:cs="Times New Roman" w:eastAsia="Times New Roman" w:hint="default"/>
        </w:rPr>
        <w:t>MUHO</w:t>
      </w:r>
      <w:r>
        <w:rPr>
          <w:rFonts w:ascii="Times New Roman" w:hAnsi="Times New Roman" w:cs="Times New Roman" w:eastAsia="Times New Roman" w:hint="default"/>
          <w:spacing w:val="-6"/>
        </w:rPr>
        <w:t> </w:t>
      </w:r>
      <w:r>
        <w:rPr>
          <w:rFonts w:ascii="Times New Roman" w:hAnsi="Times New Roman" w:cs="Times New Roman" w:eastAsia="Times New Roman" w:hint="default"/>
        </w:rPr>
        <w:t>LIMITED</w:t>
      </w:r>
      <w:r>
        <w:rPr/>
        <w:t>的投资本年增加额</w:t>
      </w:r>
      <w:r>
        <w:rPr>
          <w:rFonts w:ascii="Times New Roman" w:hAnsi="Times New Roman" w:cs="Times New Roman" w:eastAsia="Times New Roman" w:hint="default"/>
        </w:rPr>
        <w:t>103,603.43</w:t>
      </w:r>
      <w:r>
        <w:rPr/>
        <w:t>元为汇率变化影响。</w:t>
      </w:r>
    </w:p>
    <w:p>
      <w:pPr>
        <w:spacing w:after="0" w:line="240" w:lineRule="auto"/>
        <w:jc w:val="left"/>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2、持有至到期投资" w:id="248"/>
      <w:bookmarkEnd w:id="248"/>
      <w:r>
        <w:rPr>
          <w:b w:val="0"/>
          <w:bCs w:val="0"/>
        </w:rPr>
      </w:r>
      <w:r>
        <w:rPr>
          <w:rFonts w:ascii="Times New Roman" w:hAnsi="Times New Roman" w:cs="Times New Roman" w:eastAsia="Times New Roman" w:hint="default"/>
        </w:rPr>
        <w:t>12</w:t>
      </w:r>
      <w:r>
        <w:rPr/>
        <w:t>、持有至到期投资</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13、长期应收款" w:id="249"/>
      <w:bookmarkEnd w:id="249"/>
      <w:r>
        <w:rPr>
          <w:b w:val="0"/>
          <w:bCs w:val="0"/>
        </w:rPr>
      </w:r>
      <w:r>
        <w:rPr>
          <w:rFonts w:ascii="Times New Roman" w:hAnsi="Times New Roman" w:cs="Times New Roman" w:eastAsia="Times New Roman" w:hint="default"/>
        </w:rPr>
        <w:t>13</w:t>
      </w:r>
      <w:r>
        <w:rPr/>
        <w:t>、长期应收款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14、长期股权投资" w:id="250"/>
      <w:bookmarkEnd w:id="250"/>
      <w:r>
        <w:rPr>
          <w:b w:val="0"/>
          <w:bCs w:val="0"/>
        </w:rPr>
      </w:r>
      <w:r>
        <w:rPr>
          <w:rFonts w:ascii="Times New Roman" w:hAnsi="Times New Roman" w:cs="Times New Roman" w:eastAsia="Times New Roman" w:hint="default"/>
        </w:rPr>
        <w:t>14</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1048"/>
        <w:gridCol w:w="1268"/>
        <w:gridCol w:w="432"/>
        <w:gridCol w:w="1134"/>
        <w:gridCol w:w="426"/>
        <w:gridCol w:w="479"/>
        <w:gridCol w:w="798"/>
        <w:gridCol w:w="798"/>
        <w:gridCol w:w="476"/>
        <w:gridCol w:w="1120"/>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9" w:lineRule="auto"/>
              <w:ind w:left="302" w:right="33"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104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5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812"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12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5"/>
                <w:szCs w:val="2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338" w:hRule="exact"/>
        </w:trPr>
        <w:tc>
          <w:tcPr>
            <w:tcW w:w="796" w:type="dxa"/>
            <w:vMerge/>
            <w:tcBorders>
              <w:left w:val="single" w:sz="4" w:space="0" w:color="000000"/>
              <w:bottom w:val="single" w:sz="4" w:space="0" w:color="000000"/>
              <w:right w:val="single" w:sz="4" w:space="0" w:color="000000"/>
            </w:tcBorders>
            <w:shd w:val="clear" w:color="auto" w:fill="D2D2D2"/>
          </w:tcPr>
          <w:p>
            <w:pPr/>
          </w:p>
        </w:tc>
        <w:tc>
          <w:tcPr>
            <w:tcW w:w="1048" w:type="dxa"/>
            <w:vMerge/>
            <w:tcBorders>
              <w:left w:val="single" w:sz="4" w:space="0" w:color="000000"/>
              <w:bottom w:val="single" w:sz="4" w:space="0" w:color="000000"/>
              <w:right w:val="single" w:sz="4" w:space="0" w:color="000000"/>
            </w:tcBorders>
            <w:shd w:val="clear" w:color="auto" w:fill="D2D2D2"/>
          </w:tcPr>
          <w:p>
            <w:pPr/>
          </w:p>
        </w:tc>
        <w:tc>
          <w:tcPr>
            <w:tcW w:w="1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31" w:right="29"/>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112" w:right="109"/>
              <w:jc w:val="center"/>
              <w:rPr>
                <w:rFonts w:ascii="宋体" w:hAnsi="宋体" w:cs="宋体" w:eastAsia="宋体" w:hint="default"/>
                <w:sz w:val="18"/>
                <w:szCs w:val="18"/>
              </w:rPr>
            </w:pPr>
            <w:r>
              <w:rPr>
                <w:rFonts w:ascii="宋体" w:hAnsi="宋体" w:cs="宋体" w:eastAsia="宋体" w:hint="default"/>
                <w:sz w:val="18"/>
                <w:szCs w:val="18"/>
              </w:rPr>
              <w:t>权益法下确 认的投资损 益</w:t>
            </w:r>
          </w:p>
        </w:tc>
        <w:tc>
          <w:tcPr>
            <w:tcW w:w="4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7" w:right="26"/>
              <w:jc w:val="both"/>
              <w:rPr>
                <w:rFonts w:ascii="宋体" w:hAnsi="宋体" w:cs="宋体" w:eastAsia="宋体" w:hint="default"/>
                <w:sz w:val="18"/>
                <w:szCs w:val="18"/>
              </w:rPr>
            </w:pPr>
            <w:r>
              <w:rPr>
                <w:rFonts w:ascii="宋体" w:hAnsi="宋体" w:cs="宋体" w:eastAsia="宋体" w:hint="default"/>
                <w:sz w:val="18"/>
                <w:szCs w:val="18"/>
              </w:rPr>
              <w:t>其他 综合 收益 调整</w:t>
            </w:r>
          </w:p>
        </w:tc>
        <w:tc>
          <w:tcPr>
            <w:tcW w:w="4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53" w:right="53"/>
              <w:jc w:val="both"/>
              <w:rPr>
                <w:rFonts w:ascii="宋体" w:hAnsi="宋体" w:cs="宋体" w:eastAsia="宋体" w:hint="default"/>
                <w:sz w:val="18"/>
                <w:szCs w:val="18"/>
              </w:rPr>
            </w:pPr>
            <w:r>
              <w:rPr>
                <w:rFonts w:ascii="宋体" w:hAnsi="宋体" w:cs="宋体" w:eastAsia="宋体" w:hint="default"/>
                <w:sz w:val="18"/>
                <w:szCs w:val="18"/>
              </w:rPr>
              <w:t>其他 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53"/>
              <w:jc w:val="right"/>
              <w:rPr>
                <w:rFonts w:ascii="宋体" w:hAnsi="宋体" w:cs="宋体" w:eastAsia="宋体" w:hint="default"/>
                <w:sz w:val="18"/>
                <w:szCs w:val="18"/>
              </w:rPr>
            </w:pPr>
            <w:r>
              <w:rPr>
                <w:rFonts w:ascii="宋体" w:hAnsi="宋体" w:cs="宋体" w:eastAsia="宋体" w:hint="default"/>
                <w:sz w:val="18"/>
                <w:szCs w:val="18"/>
              </w:rPr>
              <w:t>其他</w:t>
            </w:r>
          </w:p>
        </w:tc>
        <w:tc>
          <w:tcPr>
            <w:tcW w:w="1120"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4"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338" w:hRule="exact"/>
        </w:trPr>
        <w:tc>
          <w:tcPr>
            <w:tcW w:w="79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链极智能 科技（上 海）有限 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-1,794,847.40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28,205,152.60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北京威维 体育文化 有限公司</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7,483,551.02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901,393.20</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8,384,944.22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7,483,551.02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-893,454.20</w:t>
            </w:r>
            <w:r>
              <w:rPr>
                <w:rFonts w:ascii="Times New Roman"/>
                <w:sz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36,590,096.82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7,483,551.02</w:t>
            </w:r>
          </w:p>
        </w:tc>
        <w:tc>
          <w:tcPr>
            <w:tcW w:w="1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-893,454.20</w:t>
            </w:r>
            <w:r>
              <w:rPr>
                <w:rFonts w:ascii="Times New Roman"/>
                <w:sz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4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36,590,096.82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5、投资性房地产" w:id="251"/>
      <w:bookmarkEnd w:id="251"/>
      <w:r>
        <w:rPr>
          <w:b w:val="0"/>
          <w:bCs w:val="0"/>
        </w:rPr>
      </w:r>
      <w:r>
        <w:rPr>
          <w:rFonts w:ascii="Times New Roman" w:hAnsi="Times New Roman" w:cs="Times New Roman" w:eastAsia="Times New Roman" w:hint="default"/>
        </w:rPr>
        <w:t>15</w:t>
      </w:r>
      <w:r>
        <w:rPr/>
        <w:t>、投资性房地产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投资性房地产" w:id="252"/>
      <w:bookmarkEnd w:id="252"/>
      <w:r>
        <w:rPr>
          <w:b w:val="0"/>
          <w:bCs w:val="0"/>
        </w:rPr>
      </w:r>
      <w:r>
        <w:rPr/>
        <w:t>（</w:t>
      </w:r>
      <w:r>
        <w:rPr>
          <w:rFonts w:ascii="Times New Roman" w:hAnsi="Times New Roman" w:cs="Times New Roman" w:eastAsia="Times New Roman" w:hint="default"/>
        </w:rPr>
        <w:t>1</w:t>
      </w:r>
      <w:r>
        <w:rPr/>
        <w:t>）采用成本计量模式的投资性房地产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采用公允价值计量模式的投资性房地产" w:id="253"/>
      <w:bookmarkEnd w:id="253"/>
      <w:r>
        <w:rPr>
          <w:b w:val="0"/>
          <w:bCs w:val="0"/>
        </w:rPr>
      </w:r>
      <w:r>
        <w:rPr/>
        <w:t>（</w:t>
      </w:r>
      <w:r>
        <w:rPr>
          <w:rFonts w:ascii="Times New Roman" w:hAnsi="Times New Roman" w:cs="Times New Roman" w:eastAsia="Times New Roman"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未办妥产权证书的投资性房地产情况" w:id="254"/>
      <w:bookmarkEnd w:id="254"/>
      <w:r>
        <w:rPr>
          <w:b w:val="0"/>
          <w:bCs w:val="0"/>
        </w:rPr>
      </w:r>
      <w:r>
        <w:rPr/>
        <w:t>（</w:t>
      </w:r>
      <w:r>
        <w:rPr>
          <w:rFonts w:ascii="Times New Roman" w:hAnsi="Times New Roman" w:cs="Times New Roman" w:eastAsia="Times New Roman" w:hint="default"/>
        </w:rPr>
        <w:t>3</w:t>
      </w:r>
      <w:r>
        <w:rPr/>
        <w:t>）未办妥产权证书的投资性房地产情况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44" w:right="0"/>
        <w:jc w:val="left"/>
      </w:pPr>
      <w:r>
        <w:rPr/>
        <w:t>无</w:t>
      </w:r>
    </w:p>
    <w:p>
      <w:pPr>
        <w:spacing w:after="0" w:line="240" w:lineRule="auto"/>
        <w:jc w:val="left"/>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6、固定资产" w:id="255"/>
      <w:bookmarkEnd w:id="255"/>
      <w:r>
        <w:rPr>
          <w:b w:val="0"/>
          <w:bCs w:val="0"/>
        </w:rPr>
      </w:r>
      <w:r>
        <w:rPr>
          <w:rFonts w:ascii="Times New Roman" w:hAnsi="Times New Roman" w:cs="Times New Roman" w:eastAsia="Times New Roman" w:hint="default"/>
        </w:rPr>
        <w:t>16</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1"/>
        <w:gridCol w:w="3200"/>
        <w:gridCol w:w="3188"/>
      </w:tblGrid>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6,952,349.64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8,945,905.72</w:t>
            </w:r>
          </w:p>
        </w:tc>
      </w:tr>
      <w:tr>
        <w:trPr>
          <w:trHeight w:val="402"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6,952,349.64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8,945,905.72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固定资产情况" w:id="256"/>
      <w:bookmarkEnd w:id="256"/>
      <w:r>
        <w:rPr>
          <w:b w:val="0"/>
          <w:bCs w:val="0"/>
        </w:rPr>
      </w:r>
      <w:r>
        <w:rPr/>
        <w:t>（</w:t>
      </w:r>
      <w:r>
        <w:rPr>
          <w:rFonts w:ascii="Times New Roman" w:hAnsi="Times New Roman" w:cs="Times New Roman" w:eastAsia="Times New Roman"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13" w:space="0" w:color="D2D2D2"/>
              <w:bottom w:val="single" w:sz="4" w:space="0" w:color="000000"/>
              <w:right w:val="single" w:sz="4" w:space="0" w:color="000000"/>
            </w:tcBorders>
            <w:shd w:val="clear" w:color="auto" w:fill="D0CECE"/>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36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3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3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3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9,779,745.27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1,596,607.19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6,155,826.72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3,681,975.24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17,854.00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21,232,008.42</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73,756.74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442,623.03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157,844.50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680,524.27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73,756.74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442,623.03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157,844.50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680,524.27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）在建工</w:t>
            </w:r>
            <w:r>
              <w:rPr>
                <w:rFonts w:ascii="宋体" w:hAnsi="宋体" w:cs="宋体" w:eastAsia="宋体" w:hint="default"/>
                <w:sz w:val="18"/>
                <w:szCs w:val="18"/>
              </w:rPr>
              <w:t> 程转入</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）企业合</w:t>
            </w:r>
            <w:r>
              <w:rPr>
                <w:rFonts w:ascii="宋体" w:hAnsi="宋体" w:cs="宋体" w:eastAsia="宋体" w:hint="default"/>
                <w:sz w:val="18"/>
                <w:szCs w:val="18"/>
              </w:rPr>
              <w:t> 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407,600.00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68,786.57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476,386.57</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407,600.00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68,786.57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476,386.57</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9,445,902.01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1,602,907.19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6,529,663.18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3,839,819.74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17,854.00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21,436,146.12</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5,520,342.29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1,505,416.85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5,105,308.22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138,074.04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16,961.30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12,286,102.70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1,800,580.15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34,405.78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572,808.14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197,910.21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2,605,704.28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1,800,580.15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34,405.78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572,808.14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197,910.21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2,605,704.28</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407,600.00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408,010.50</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407,600.00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410.50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408,010.50</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6,913,322.44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1,539,822.63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5,677,705.86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335,984.25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16,961.30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14,483,796.48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 w:firstLine="340"/>
              <w:jc w:val="left"/>
              <w:rPr>
                <w:rFonts w:ascii="宋体" w:hAnsi="宋体" w:cs="宋体" w:eastAsia="宋体" w:hint="default"/>
                <w:sz w:val="18"/>
                <w:szCs w:val="18"/>
              </w:rPr>
            </w:pPr>
            <w:r>
              <w:rPr>
                <w:rFonts w:ascii="宋体" w:hAnsi="宋体" w:cs="宋体" w:eastAsia="宋体" w:hint="default"/>
                <w:spacing w:val="-4"/>
                <w:sz w:val="18"/>
                <w:szCs w:val="18"/>
              </w:rPr>
              <w:t>（</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）处置或</w:t>
            </w:r>
            <w:r>
              <w:rPr>
                <w:rFonts w:ascii="宋体" w:hAnsi="宋体" w:cs="宋体" w:eastAsia="宋体" w:hint="default"/>
                <w:sz w:val="18"/>
                <w:szCs w:val="18"/>
              </w:rPr>
              <w:t> 报废</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2,532,579.57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63,084.56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851,957.32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3,503,835.49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6,952,349.64</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期初账面价 值</w:t>
            </w:r>
          </w:p>
        </w:tc>
        <w:tc>
          <w:tcPr>
            <w:tcW w:w="137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4,259,402.98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91,190.34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1,050,518.50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3,543,901.20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892.70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8,945,905.72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暂时闲置的固定资产情况" w:id="257"/>
      <w:bookmarkEnd w:id="257"/>
      <w:r>
        <w:rPr>
          <w:b w:val="0"/>
          <w:bCs w:val="0"/>
        </w:rPr>
      </w: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通过融资租赁租入的固定资产情况" w:id="258"/>
      <w:bookmarkEnd w:id="258"/>
      <w:r>
        <w:rPr>
          <w:b w:val="0"/>
          <w:bCs w:val="0"/>
        </w:rPr>
      </w:r>
      <w:r>
        <w:rPr/>
        <w:t>（</w:t>
      </w:r>
      <w:r>
        <w:rPr>
          <w:rFonts w:ascii="Times New Roman" w:hAnsi="Times New Roman" w:cs="Times New Roman" w:eastAsia="Times New Roman" w:hint="default"/>
        </w:rPr>
        <w:t>3</w:t>
      </w:r>
      <w:r>
        <w:rPr/>
        <w:t>）通过融资租赁租入的固定资产情况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4）通过经营租赁租出的固定资产" w:id="259"/>
      <w:bookmarkEnd w:id="259"/>
      <w:r>
        <w:rPr>
          <w:b w:val="0"/>
          <w:bCs w:val="0"/>
        </w:rPr>
      </w: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5）未办妥产权证书的固定资产情况" w:id="260"/>
      <w:bookmarkEnd w:id="260"/>
      <w:r>
        <w:rPr>
          <w:b w:val="0"/>
          <w:bCs w:val="0"/>
        </w:rPr>
      </w:r>
      <w:r>
        <w:rPr/>
        <w:t>（</w:t>
      </w:r>
      <w:r>
        <w:rPr>
          <w:rFonts w:ascii="Times New Roman" w:hAnsi="Times New Roman" w:cs="Times New Roman" w:eastAsia="Times New Roman" w:hint="default"/>
        </w:rPr>
        <w:t>5</w:t>
      </w:r>
      <w:r>
        <w:rPr/>
        <w:t>）未办妥产权证书的固定资产情况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6）固定资产清理" w:id="261"/>
      <w:bookmarkEnd w:id="261"/>
      <w:r>
        <w:rPr>
          <w:b w:val="0"/>
          <w:bCs w:val="0"/>
        </w:rPr>
      </w:r>
      <w:r>
        <w:rPr/>
        <w:t>（</w:t>
      </w:r>
      <w:r>
        <w:rPr>
          <w:rFonts w:ascii="Times New Roman" w:hAnsi="Times New Roman" w:cs="Times New Roman" w:eastAsia="Times New Roman" w:hint="default"/>
        </w:rPr>
        <w:t>6</w:t>
      </w:r>
      <w:r>
        <w:rPr/>
        <w:t>）固定资产清理</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17、在建工程" w:id="262"/>
      <w:bookmarkEnd w:id="262"/>
      <w:r>
        <w:rPr>
          <w:b w:val="0"/>
          <w:bCs w:val="0"/>
        </w:rPr>
      </w:r>
      <w:r>
        <w:rPr>
          <w:rFonts w:ascii="Times New Roman" w:hAnsi="Times New Roman" w:cs="Times New Roman" w:eastAsia="Times New Roman" w:hint="default"/>
        </w:rPr>
        <w:t>17</w:t>
      </w:r>
      <w:r>
        <w:rPr/>
        <w:t>、在建工程</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18、生产性生物资产" w:id="263"/>
      <w:bookmarkEnd w:id="263"/>
      <w:r>
        <w:rPr>
          <w:b w:val="0"/>
          <w:bCs w:val="0"/>
        </w:rPr>
      </w:r>
      <w:r>
        <w:rPr>
          <w:rFonts w:ascii="Times New Roman" w:hAnsi="Times New Roman" w:cs="Times New Roman" w:eastAsia="Times New Roman" w:hint="default"/>
        </w:rPr>
        <w:t>18</w:t>
      </w:r>
      <w:r>
        <w:rPr/>
        <w:t>、生产性生物资产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采用成本计量模式的生产性生物资产" w:id="264"/>
      <w:bookmarkEnd w:id="264"/>
      <w:r>
        <w:rPr>
          <w:b w:val="0"/>
          <w:bCs w:val="0"/>
        </w:rPr>
      </w:r>
      <w:r>
        <w:rPr/>
        <w:t>（</w:t>
      </w:r>
      <w:r>
        <w:rPr>
          <w:rFonts w:ascii="Times New Roman" w:hAnsi="Times New Roman" w:cs="Times New Roman" w:eastAsia="Times New Roman" w:hint="default"/>
        </w:rPr>
        <w:t>1</w:t>
      </w:r>
      <w:r>
        <w:rPr/>
        <w:t>）采用成本计量模式的生产性生物资产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采用公允价值计量模式的生产性生物资产" w:id="265"/>
      <w:bookmarkEnd w:id="265"/>
      <w:r>
        <w:rPr>
          <w:b w:val="0"/>
          <w:bCs w:val="0"/>
        </w:rPr>
      </w:r>
      <w:r>
        <w:rPr/>
        <w:t>（</w:t>
      </w:r>
      <w:r>
        <w:rPr>
          <w:rFonts w:ascii="Times New Roman" w:hAnsi="Times New Roman" w:cs="Times New Roman" w:eastAsia="Times New Roman" w:hint="default"/>
        </w:rPr>
        <w:t>2</w:t>
      </w:r>
      <w:r>
        <w:rPr/>
        <w:t>）采用公允价值计量模式的生产性生物资产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19、油气资产" w:id="266"/>
      <w:bookmarkEnd w:id="266"/>
      <w:r>
        <w:rPr>
          <w:b w:val="0"/>
          <w:bCs w:val="0"/>
        </w:rPr>
      </w:r>
      <w:r>
        <w:rPr>
          <w:rFonts w:ascii="Times New Roman" w:hAnsi="Times New Roman" w:cs="Times New Roman" w:eastAsia="Times New Roman" w:hint="default"/>
        </w:rPr>
        <w:t>19</w:t>
      </w:r>
      <w:r>
        <w:rPr/>
        <w:t>、油气资产</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0、无形资产" w:id="267"/>
      <w:bookmarkEnd w:id="267"/>
      <w:r>
        <w:rPr>
          <w:b w:val="0"/>
          <w:bCs w:val="0"/>
        </w:rPr>
      </w:r>
      <w:r>
        <w:rPr>
          <w:rFonts w:ascii="Times New Roman" w:hAnsi="Times New Roman" w:cs="Times New Roman" w:eastAsia="Times New Roman" w:hint="default"/>
        </w:rPr>
        <w:t>20</w:t>
      </w:r>
      <w:r>
        <w:rPr/>
        <w:t>、无形资产</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无形资产情况" w:id="268"/>
      <w:bookmarkEnd w:id="268"/>
      <w:r>
        <w:rPr>
          <w:b w:val="0"/>
          <w:bCs w:val="0"/>
        </w:rPr>
      </w:r>
      <w:r>
        <w:rPr/>
        <w:t>（</w:t>
      </w:r>
      <w:r>
        <w:rPr>
          <w:rFonts w:ascii="Times New Roman" w:hAnsi="Times New Roman" w:cs="Times New Roman" w:eastAsia="Times New Roman" w:hint="default"/>
        </w:rPr>
        <w:t>1</w:t>
      </w:r>
      <w:r>
        <w:rPr/>
        <w:t>）无形资产情况</w:t>
      </w:r>
      <w:r>
        <w:rPr>
          <w:b w:val="0"/>
          <w:bCs w:val="0"/>
        </w:rPr>
      </w:r>
    </w:p>
    <w:p>
      <w:pPr>
        <w:spacing w:line="240" w:lineRule="auto" w:before="8"/>
        <w:rPr>
          <w:rFonts w:ascii="宋体" w:hAnsi="宋体" w:cs="宋体" w:eastAsia="宋体" w:hint="default"/>
          <w:b/>
          <w:bCs/>
          <w:sz w:val="26"/>
          <w:szCs w:val="26"/>
        </w:rPr>
      </w:pPr>
    </w:p>
    <w:p>
      <w:pPr>
        <w:pStyle w:val="BodyText"/>
        <w:spacing w:line="340" w:lineRule="auto"/>
        <w:ind w:right="1753"/>
        <w:jc w:val="left"/>
      </w:pPr>
      <w:r>
        <w:rPr/>
        <w:t>公司是否需遵守《深圳证券交易所创业板行业信息披露指引第</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号</w:t>
      </w:r>
      <w:r>
        <w:rPr>
          <w:rFonts w:ascii="Times New Roman" w:hAnsi="Times New Roman" w:cs="Times New Roman" w:eastAsia="Times New Roman" w:hint="default"/>
        </w:rPr>
        <w:t>——</w:t>
      </w:r>
      <w:r>
        <w:rPr/>
        <w:t>上市公司从事互联网游戏业务》的披露要求 否</w:t>
      </w:r>
    </w:p>
    <w:p>
      <w:pPr>
        <w:pStyle w:val="BodyText"/>
        <w:spacing w:line="240" w:lineRule="auto" w:before="4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9" w:space="0" w:color="D0CECE"/>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10" w:space="0" w:color="D2D2D2"/>
              <w:bottom w:val="single" w:sz="4" w:space="0" w:color="000000"/>
              <w:right w:val="single" w:sz="4" w:space="0" w:color="000000"/>
            </w:tcBorders>
            <w:shd w:val="clear" w:color="auto" w:fill="D0CECE"/>
          </w:tcPr>
          <w:p>
            <w:pPr>
              <w:pStyle w:val="TableParagraph"/>
              <w:spacing w:line="240" w:lineRule="auto" w:before="52"/>
              <w:ind w:left="310" w:right="0"/>
              <w:jc w:val="left"/>
              <w:rPr>
                <w:rFonts w:ascii="宋体" w:hAnsi="宋体" w:cs="宋体" w:eastAsia="宋体" w:hint="default"/>
                <w:sz w:val="18"/>
                <w:szCs w:val="18"/>
              </w:rPr>
            </w:pPr>
            <w:r>
              <w:rPr>
                <w:rFonts w:ascii="宋体" w:hAnsi="宋体" w:cs="宋体" w:eastAsia="宋体" w:hint="default"/>
                <w:sz w:val="18"/>
                <w:szCs w:val="18"/>
              </w:rPr>
              <w:t>知识产权</w:t>
            </w:r>
          </w:p>
        </w:tc>
        <w:tc>
          <w:tcPr>
            <w:tcW w:w="1367"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软件</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12,027,003.44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14,907,003.44</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）购置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32" w:right="0"/>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）内部</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0" w:firstLine="521"/>
              <w:jc w:val="lef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w:t>
            </w:r>
            <w:r>
              <w:rPr>
                <w:rFonts w:ascii="宋体" w:hAnsi="宋体" w:cs="宋体" w:eastAsia="宋体" w:hint="default"/>
                <w:spacing w:val="-5"/>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05" w:firstLine="18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2,880,000.00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12,027,003.44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14,907,003.44</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5"/>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1,464,000.00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11,332,122.58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12,796,122.58</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288,000.00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418,497.30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706,497.30</w:t>
            </w: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288,000.00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418,497.30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706,497.30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56"/>
        <w:gridCol w:w="1378"/>
        <w:gridCol w:w="1368"/>
        <w:gridCol w:w="1367"/>
        <w:gridCol w:w="1367"/>
        <w:gridCol w:w="1367"/>
        <w:gridCol w:w="1367"/>
      </w:tblGrid>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1,752,000.00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11,750,619.88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13,502,619.88</w:t>
            </w: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期初余额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）计提</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本期减少 金额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）处置</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期末余额</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期末账面 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1,128,000.00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276,383.56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1,404,383.56</w:t>
            </w:r>
          </w:p>
        </w:tc>
      </w:tr>
      <w:tr>
        <w:trPr>
          <w:trHeight w:val="714"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2" w:lineRule="auto" w:before="51"/>
              <w:ind w:left="22" w:right="105" w:firstLine="36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期初账面 价值</w:t>
            </w:r>
          </w:p>
        </w:tc>
        <w:tc>
          <w:tcPr>
            <w:tcW w:w="1378" w:type="dxa"/>
            <w:tcBorders>
              <w:top w:val="single" w:sz="4" w:space="0" w:color="000000"/>
              <w:left w:val="single" w:sz="13" w:space="0" w:color="D2D2D2"/>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1,416,000.00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694,880.86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2,110,880.86</w:t>
            </w:r>
          </w:p>
        </w:tc>
      </w:tr>
    </w:tbl>
    <w:p>
      <w:pPr>
        <w:pStyle w:val="BodyText"/>
        <w:spacing w:line="240" w:lineRule="auto" w:before="51"/>
        <w:ind w:right="0"/>
        <w:jc w:val="left"/>
      </w:pPr>
      <w:r>
        <w:rPr/>
        <w:t>本期末通过公司内部研发形成的无形资产占无形资产余额的比例</w:t>
      </w:r>
      <w:r>
        <w:rPr>
          <w:spacing w:val="-45"/>
        </w:rPr>
        <w:t> </w:t>
      </w:r>
      <w:r>
        <w:rPr>
          <w:rFonts w:ascii="Times New Roman" w:hAnsi="Times New Roman" w:cs="Times New Roman" w:eastAsia="Times New Roman" w:hint="default"/>
        </w:rPr>
        <w:t>0.00%</w:t>
      </w:r>
      <w:r>
        <w:rPr/>
        <w:t>。</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2）未办妥产权证书的土地使用权情况" w:id="269"/>
      <w:bookmarkEnd w:id="269"/>
      <w:r>
        <w:rPr>
          <w:b w:val="0"/>
          <w:bCs w:val="0"/>
        </w:rPr>
      </w:r>
      <w:r>
        <w:rPr/>
        <w:t>（</w:t>
      </w:r>
      <w:r>
        <w:rPr>
          <w:rFonts w:ascii="Times New Roman" w:hAnsi="Times New Roman" w:cs="Times New Roman" w:eastAsia="Times New Roman" w:hint="default"/>
        </w:rPr>
        <w:t>2</w:t>
      </w:r>
      <w:r>
        <w:rPr/>
        <w:t>）未办妥产权证书的土地使用权情况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9852"/>
        <w:jc w:val="left"/>
      </w:pPr>
      <w:r>
        <w:rPr/>
        <w:t>无 其他说明：</w:t>
      </w:r>
    </w:p>
    <w:p>
      <w:pPr>
        <w:pStyle w:val="BodyText"/>
        <w:spacing w:line="240" w:lineRule="auto" w:before="26"/>
        <w:ind w:right="0"/>
        <w:jc w:val="left"/>
      </w:pPr>
      <w:r>
        <w:rPr/>
        <w:t>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日，本公司无形资产不存在可变现净值低于账面价值的情形，未计提减值准备</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bookmarkStart w:name="21、开发支出" w:id="270"/>
      <w:bookmarkEnd w:id="270"/>
      <w:r>
        <w:rPr>
          <w:b w:val="0"/>
          <w:bCs w:val="0"/>
        </w:rPr>
      </w:r>
      <w:r>
        <w:rPr>
          <w:rFonts w:ascii="Times New Roman" w:hAnsi="Times New Roman" w:cs="Times New Roman" w:eastAsia="Times New Roman" w:hint="default"/>
        </w:rPr>
        <w:t>21</w:t>
      </w:r>
      <w:r>
        <w:rPr/>
        <w:t>、开发支出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79" w:right="10134"/>
        <w:jc w:val="center"/>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2、商誉" w:id="271"/>
      <w:bookmarkEnd w:id="271"/>
      <w:r>
        <w:rPr>
          <w:b w:val="0"/>
          <w:bCs w:val="0"/>
        </w:rPr>
      </w:r>
      <w:r>
        <w:rPr>
          <w:rFonts w:ascii="Times New Roman" w:hAnsi="Times New Roman" w:cs="Times New Roman" w:eastAsia="Times New Roman" w:hint="default"/>
        </w:rPr>
        <w:t>22</w:t>
      </w:r>
      <w:r>
        <w:rPr/>
        <w:t>、商誉</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商誉账面原值" w:id="272"/>
      <w:bookmarkEnd w:id="272"/>
      <w:r>
        <w:rPr>
          <w:b w:val="0"/>
          <w:bCs w:val="0"/>
        </w:rPr>
      </w:r>
      <w:r>
        <w:rPr/>
        <w:t>（</w:t>
      </w:r>
      <w:r>
        <w:rPr>
          <w:rFonts w:ascii="Times New Roman" w:hAnsi="Times New Roman" w:cs="Times New Roman" w:eastAsia="Times New Roman"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60"/>
        <w:gridCol w:w="1174"/>
        <w:gridCol w:w="1368"/>
        <w:gridCol w:w="1367"/>
        <w:gridCol w:w="1367"/>
        <w:gridCol w:w="1367"/>
        <w:gridCol w:w="1367"/>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4" w:right="54" w:hanging="90"/>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北京宣亚国际品牌 咨询有限公司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31" w:right="0"/>
              <w:jc w:val="left"/>
              <w:rPr>
                <w:rFonts w:ascii="Times New Roman" w:hAnsi="Times New Roman" w:cs="Times New Roman" w:eastAsia="Times New Roman" w:hint="default"/>
                <w:sz w:val="18"/>
                <w:szCs w:val="18"/>
              </w:rPr>
            </w:pPr>
            <w:r>
              <w:rPr>
                <w:rFonts w:ascii="Times New Roman"/>
                <w:sz w:val="18"/>
              </w:rPr>
              <w:t>663,918.71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4" w:right="0"/>
              <w:jc w:val="left"/>
              <w:rPr>
                <w:rFonts w:ascii="Times New Roman" w:hAnsi="Times New Roman" w:cs="Times New Roman" w:eastAsia="Times New Roman" w:hint="default"/>
                <w:sz w:val="18"/>
                <w:szCs w:val="18"/>
              </w:rPr>
            </w:pPr>
            <w:r>
              <w:rPr>
                <w:rFonts w:ascii="Times New Roman"/>
                <w:sz w:val="18"/>
              </w:rPr>
              <w:t>663,918.71</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60"/>
        <w:gridCol w:w="1174"/>
        <w:gridCol w:w="1368"/>
        <w:gridCol w:w="1367"/>
        <w:gridCol w:w="1367"/>
        <w:gridCol w:w="1367"/>
        <w:gridCol w:w="1367"/>
      </w:tblGrid>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44" w:right="54" w:hanging="90"/>
              <w:jc w:val="left"/>
              <w:rPr>
                <w:rFonts w:ascii="宋体" w:hAnsi="宋体" w:cs="宋体" w:eastAsia="宋体" w:hint="default"/>
                <w:sz w:val="18"/>
                <w:szCs w:val="18"/>
              </w:rPr>
            </w:pPr>
            <w:r>
              <w:rPr>
                <w:rFonts w:ascii="宋体" w:hAnsi="宋体" w:cs="宋体" w:eastAsia="宋体" w:hint="default"/>
                <w:sz w:val="18"/>
                <w:szCs w:val="18"/>
              </w:rPr>
              <w:t>被投资单位名称或 形成商誉的事项</w:t>
            </w:r>
          </w:p>
        </w:tc>
        <w:tc>
          <w:tcPr>
            <w:tcW w:w="11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87"/>
              <w:jc w:val="left"/>
              <w:rPr>
                <w:rFonts w:ascii="宋体" w:hAnsi="宋体" w:cs="宋体" w:eastAsia="宋体" w:hint="default"/>
                <w:sz w:val="18"/>
                <w:szCs w:val="18"/>
              </w:rPr>
            </w:pPr>
            <w:r>
              <w:rPr>
                <w:rFonts w:ascii="宋体" w:hAnsi="宋体" w:cs="宋体" w:eastAsia="宋体" w:hint="default"/>
                <w:sz w:val="18"/>
                <w:szCs w:val="18"/>
              </w:rPr>
              <w:t>北京新兵连文化传 媒有限公司</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134,772.35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134,772.35</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1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798,691.06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798,691.06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商誉减值准备" w:id="273"/>
      <w:bookmarkEnd w:id="273"/>
      <w:r>
        <w:rPr>
          <w:b w:val="0"/>
          <w:bCs w:val="0"/>
        </w:rPr>
      </w:r>
      <w:r>
        <w:rPr/>
        <w:t>（</w:t>
      </w:r>
      <w:r>
        <w:rPr>
          <w:rFonts w:ascii="Times New Roman" w:hAnsi="Times New Roman" w:cs="Times New Roman" w:eastAsia="Times New Roman" w:hint="default"/>
        </w:rPr>
        <w:t>2</w:t>
      </w:r>
      <w:r>
        <w:rPr/>
        <w:t>）商誉减值准备</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92" w:firstLine="380"/>
        <w:jc w:val="left"/>
      </w:pPr>
      <w:r>
        <w:rPr/>
        <w:t>根据公司经营情况与管理层近年对公司市场发展的开拓及预测假设，公司未来现金流量预计高于资产组和资产组组合 的可收回金额，基于上述原因商誉未计提减值准备。</w:t>
      </w:r>
    </w:p>
    <w:p>
      <w:pPr>
        <w:spacing w:line="240" w:lineRule="auto" w:before="7"/>
        <w:rPr>
          <w:rFonts w:ascii="宋体" w:hAnsi="宋体" w:cs="宋体" w:eastAsia="宋体" w:hint="default"/>
          <w:sz w:val="22"/>
          <w:szCs w:val="22"/>
        </w:rPr>
      </w:pPr>
    </w:p>
    <w:p>
      <w:pPr>
        <w:pStyle w:val="Heading4"/>
        <w:spacing w:line="240" w:lineRule="auto"/>
        <w:ind w:right="0"/>
        <w:jc w:val="left"/>
        <w:rPr>
          <w:b w:val="0"/>
          <w:bCs w:val="0"/>
        </w:rPr>
      </w:pPr>
      <w:bookmarkStart w:name="23、长期待摊费用" w:id="274"/>
      <w:bookmarkEnd w:id="274"/>
      <w:r>
        <w:rPr>
          <w:b w:val="0"/>
          <w:bCs w:val="0"/>
        </w:rPr>
      </w:r>
      <w:r>
        <w:rPr>
          <w:rFonts w:ascii="Times New Roman" w:hAnsi="Times New Roman" w:cs="Times New Roman" w:eastAsia="Times New Roman" w:hint="default"/>
        </w:rPr>
        <w:t>23</w:t>
      </w:r>
      <w:r>
        <w:rPr/>
        <w:t>、长期待摊费用</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办公室装修</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869,880.93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1,438,630.20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1,494,004.01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814,507.12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869,880.93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1,438,630.20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1,494,004.01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814,507.12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4、递延所得税资产/递延所得税负债" w:id="275"/>
      <w:bookmarkEnd w:id="275"/>
      <w:r>
        <w:rPr>
          <w:b w:val="0"/>
          <w:bCs w:val="0"/>
        </w:rPr>
      </w:r>
      <w:r>
        <w:rPr>
          <w:rFonts w:ascii="Times New Roman" w:hAnsi="Times New Roman" w:cs="Times New Roman" w:eastAsia="Times New Roman" w:hint="default"/>
        </w:rPr>
        <w:t>24</w:t>
      </w:r>
      <w:r>
        <w:rPr/>
        <w:t>、递延所得税资产</w:t>
      </w:r>
      <w:r>
        <w:rPr>
          <w:rFonts w:ascii="Times New Roman" w:hAnsi="Times New Roman" w:cs="Times New Roman" w:eastAsia="Times New Roman" w:hint="default"/>
        </w:rPr>
        <w:t>/</w:t>
      </w:r>
      <w:r>
        <w:rPr/>
        <w:t>递延所得税负债</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未经抵销的递延所得税资产" w:id="276"/>
      <w:bookmarkEnd w:id="276"/>
      <w:r>
        <w:rPr>
          <w:b w:val="0"/>
          <w:bCs w:val="0"/>
        </w:rPr>
      </w:r>
      <w:r>
        <w:rPr/>
        <w:t>（</w:t>
      </w:r>
      <w:r>
        <w:rPr>
          <w:rFonts w:ascii="Times New Roman" w:hAnsi="Times New Roman" w:cs="Times New Roman" w:eastAsia="Times New Roman"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5"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2"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3"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6,913,465.51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1,728,366.38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7,265,617.40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1,816,404.35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2,430,341.68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607,585.42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3,147,991.81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786,997.97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1,140,670.47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285,167.63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1,060,670.47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265,167.62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未支付的职工薪酬</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68,165.00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17,041.25</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10,484,477.66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2,621,119.43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11,542,444.68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2,885,611.19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未经抵销的递延所得税负债" w:id="277"/>
      <w:bookmarkEnd w:id="277"/>
      <w:r>
        <w:rPr>
          <w:b w:val="0"/>
          <w:bCs w:val="0"/>
        </w:rPr>
      </w:r>
      <w:r>
        <w:rPr/>
        <w:t>（</w:t>
      </w:r>
      <w:r>
        <w:rPr>
          <w:rFonts w:ascii="Times New Roman" w:hAnsi="Times New Roman" w:cs="Times New Roman" w:eastAsia="Times New Roman" w:hint="default"/>
        </w:rPr>
        <w:t>2</w:t>
      </w:r>
      <w:r>
        <w:rPr/>
        <w:t>）未经抵销的递延所得税负债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4"/>
        <w:spacing w:line="240" w:lineRule="auto" w:before="35"/>
        <w:ind w:right="0"/>
        <w:jc w:val="left"/>
        <w:rPr>
          <w:b w:val="0"/>
          <w:bCs w:val="0"/>
        </w:rPr>
      </w:pPr>
      <w:bookmarkStart w:name="（3）以抵销后净额列示的递延所得税资产或负债" w:id="278"/>
      <w:bookmarkEnd w:id="278"/>
      <w:r>
        <w:rPr>
          <w:b w:val="0"/>
          <w:bCs w:val="0"/>
        </w:rPr>
      </w:r>
      <w:r>
        <w:rPr/>
        <w:t>（</w:t>
      </w:r>
      <w:r>
        <w:rPr>
          <w:rFonts w:ascii="Times New Roman" w:hAnsi="Times New Roman" w:cs="Times New Roman" w:eastAsia="Times New Roman" w:hint="default"/>
        </w:rPr>
        <w:t>3</w:t>
      </w:r>
      <w:r>
        <w:rPr/>
        <w:t>）以抵销后净额列示的递延所得税资产或负债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161"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3"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411" w:right="51"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1"/>
              <w:ind w:left="321" w:right="50"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c>
          <w:tcPr>
            <w:tcW w:w="1914" w:type="dxa"/>
            <w:vMerge/>
            <w:tcBorders>
              <w:left w:val="single" w:sz="4" w:space="0" w:color="000000"/>
              <w:right w:val="single" w:sz="4" w:space="0" w:color="000000"/>
            </w:tcBorders>
            <w:shd w:val="clear" w:color="auto" w:fill="D2D2D2"/>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2,621,119.43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2,885,611.19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未确认递延所得税资产明细" w:id="279"/>
      <w:bookmarkEnd w:id="279"/>
      <w:r>
        <w:rPr>
          <w:b w:val="0"/>
          <w:bCs w:val="0"/>
        </w:rPr>
      </w:r>
      <w:r>
        <w:rPr/>
        <w:t>（</w:t>
      </w:r>
      <w:r>
        <w:rPr>
          <w:rFonts w:ascii="Times New Roman" w:hAnsi="Times New Roman" w:cs="Times New Roman" w:eastAsia="Times New Roman"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852,438.37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910,320.32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852,438.37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910,320.32</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未确认递延所得税资产的可抵扣亏损将于以下年度到期" w:id="280"/>
      <w:bookmarkEnd w:id="280"/>
      <w:r>
        <w:rPr>
          <w:b w:val="0"/>
          <w:bCs w:val="0"/>
        </w:rPr>
      </w:r>
      <w:r>
        <w:rPr/>
        <w:t>（</w:t>
      </w:r>
      <w:r>
        <w:rPr>
          <w:rFonts w:ascii="Times New Roman" w:hAnsi="Times New Roman" w:cs="Times New Roman" w:eastAsia="Times New Roman"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528,408.65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152,974.22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152,974.22</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228,937.45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228,937.45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470,526.70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852,438.37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910,320.32</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5、其他非流动资产" w:id="281"/>
      <w:bookmarkEnd w:id="281"/>
      <w:r>
        <w:rPr>
          <w:b w:val="0"/>
          <w:bCs w:val="0"/>
        </w:rPr>
      </w:r>
      <w:r>
        <w:rPr>
          <w:rFonts w:ascii="Times New Roman" w:hAnsi="Times New Roman" w:cs="Times New Roman" w:eastAsia="Times New Roman" w:hint="default"/>
        </w:rPr>
        <w:t>25</w:t>
      </w:r>
      <w:r>
        <w:rPr/>
        <w:t>、其他非流动资产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预付投资款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6、短期借款" w:id="282"/>
      <w:bookmarkEnd w:id="282"/>
      <w:r>
        <w:rPr>
          <w:b w:val="0"/>
          <w:bCs w:val="0"/>
        </w:rPr>
      </w:r>
      <w:r>
        <w:rPr>
          <w:rFonts w:ascii="Times New Roman" w:hAnsi="Times New Roman" w:cs="Times New Roman" w:eastAsia="Times New Roman" w:hint="default"/>
        </w:rPr>
        <w:t>26</w:t>
      </w:r>
      <w:r>
        <w:rPr/>
        <w:t>、短期借款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无</w:t>
      </w:r>
    </w:p>
    <w:p>
      <w:pPr>
        <w:spacing w:after="0" w:line="240" w:lineRule="auto"/>
        <w:jc w:val="left"/>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7、以公允价值计量且其变动计入当期损益的金融负债" w:id="283"/>
      <w:bookmarkEnd w:id="283"/>
      <w:r>
        <w:rPr>
          <w:b w:val="0"/>
          <w:bCs w:val="0"/>
        </w:rPr>
      </w:r>
      <w:r>
        <w:rPr>
          <w:rFonts w:ascii="Times New Roman" w:hAnsi="Times New Roman" w:cs="Times New Roman" w:eastAsia="Times New Roman" w:hint="default"/>
        </w:rPr>
        <w:t>27</w:t>
      </w:r>
      <w:r>
        <w:rPr/>
        <w:t>、以公允价值计量且其变动计入当期损益的金融负债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8、衍生金融负债" w:id="284"/>
      <w:bookmarkEnd w:id="284"/>
      <w:r>
        <w:rPr>
          <w:b w:val="0"/>
          <w:bCs w:val="0"/>
        </w:rPr>
      </w:r>
      <w:r>
        <w:rPr>
          <w:rFonts w:ascii="Times New Roman" w:hAnsi="Times New Roman" w:cs="Times New Roman" w:eastAsia="Times New Roman" w:hint="default"/>
        </w:rPr>
        <w:t>28</w:t>
      </w:r>
      <w:r>
        <w:rPr/>
        <w:t>、衍生金融负债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9、应付票据及应付账款" w:id="285"/>
      <w:bookmarkEnd w:id="285"/>
      <w:r>
        <w:rPr>
          <w:b w:val="0"/>
          <w:bCs w:val="0"/>
        </w:rPr>
      </w:r>
      <w:r>
        <w:rPr>
          <w:rFonts w:ascii="Times New Roman" w:hAnsi="Times New Roman" w:cs="Times New Roman" w:eastAsia="Times New Roman" w:hint="default"/>
        </w:rPr>
        <w:t>29</w:t>
      </w:r>
      <w:r>
        <w:rPr/>
        <w:t>、应付票据及应付账款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41,677,219.28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87,500,950.66</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41,677,219.28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87,500,950.66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票据分类列示" w:id="286"/>
      <w:bookmarkEnd w:id="286"/>
      <w:r>
        <w:rPr>
          <w:b w:val="0"/>
          <w:bCs w:val="0"/>
        </w:rPr>
      </w:r>
      <w:r>
        <w:rPr/>
        <w:t>（</w:t>
      </w:r>
      <w:r>
        <w:rPr>
          <w:rFonts w:ascii="Times New Roman" w:hAnsi="Times New Roman" w:cs="Times New Roman" w:eastAsia="Times New Roman" w:hint="default"/>
        </w:rPr>
        <w:t>1</w:t>
      </w:r>
      <w:r>
        <w:rPr/>
        <w:t>）应付票据分类列示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240" w:lineRule="auto" w:before="51"/>
        <w:ind w:right="0"/>
        <w:jc w:val="left"/>
      </w:pPr>
      <w:r>
        <w:rPr/>
        <w:t>本期末已到期未支付的应付票据总额为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应付账款列示" w:id="287"/>
      <w:bookmarkEnd w:id="287"/>
      <w:r>
        <w:rPr>
          <w:b w:val="0"/>
          <w:bCs w:val="0"/>
        </w:rPr>
      </w:r>
      <w:r>
        <w:rPr/>
        <w:t>（</w:t>
      </w:r>
      <w:r>
        <w:rPr>
          <w:rFonts w:ascii="Times New Roman" w:hAnsi="Times New Roman" w:cs="Times New Roman" w:eastAsia="Times New Roman" w:hint="default"/>
        </w:rPr>
        <w:t>2</w:t>
      </w:r>
      <w:r>
        <w:rPr/>
        <w:t>）应付账款列示</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40,936,657.15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85,403,522.43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204,581.83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1,665,355.80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322,575.00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2"/>
                <w:sz w:val="18"/>
              </w:rPr>
              <w:t>111,300.00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213,405.30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320,772.43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41,677,219.28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87,500,950.66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账龄超过1年的重要应付账款" w:id="288"/>
      <w:bookmarkEnd w:id="288"/>
      <w:r>
        <w:rPr>
          <w:b w:val="0"/>
          <w:bCs w:val="0"/>
        </w:rPr>
      </w:r>
      <w:r>
        <w:rPr/>
        <w:t>（</w:t>
      </w:r>
      <w:r>
        <w:rPr>
          <w:rFonts w:ascii="Times New Roman" w:hAnsi="Times New Roman" w:cs="Times New Roman" w:eastAsia="Times New Roman" w:hint="default"/>
        </w:rPr>
        <w:t>3</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永州华昱传媒有限公司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广州互动派文化传播有限公司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65,000.00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北京卓雅霏凡公关顾问有限公司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52,000.00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青岛丁巳庚己网络科技有限公司</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51,500.00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253,500.00</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0、预收款项" w:id="289"/>
      <w:bookmarkEnd w:id="289"/>
      <w:r>
        <w:rPr>
          <w:b w:val="0"/>
          <w:bCs w:val="0"/>
        </w:rPr>
      </w:r>
      <w:r>
        <w:rPr>
          <w:rFonts w:ascii="Times New Roman" w:hAnsi="Times New Roman" w:cs="Times New Roman" w:eastAsia="Times New Roman" w:hint="default"/>
        </w:rPr>
        <w:t>30</w:t>
      </w:r>
      <w:r>
        <w:rPr/>
        <w:t>、预收款项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预收款项列示" w:id="290"/>
      <w:bookmarkEnd w:id="290"/>
      <w:r>
        <w:rPr>
          <w:b w:val="0"/>
          <w:bCs w:val="0"/>
        </w:rPr>
      </w:r>
      <w:r>
        <w:rPr/>
        <w:t>（</w:t>
      </w:r>
      <w:r>
        <w:rPr>
          <w:rFonts w:ascii="Times New Roman" w:hAnsi="Times New Roman" w:cs="Times New Roman" w:eastAsia="Times New Roman"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年）</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12,024,673.90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1,829,101.43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13,163.51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13,163.51</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12,037,837.41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1,842,264.94</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2）账龄超过1年的重要预收款项" w:id="291"/>
      <w:bookmarkEnd w:id="291"/>
      <w:r>
        <w:rPr>
          <w:b w:val="0"/>
          <w:bCs w:val="0"/>
        </w:rPr>
      </w:r>
      <w:r>
        <w:rPr/>
        <w:t>（</w:t>
      </w:r>
      <w:r>
        <w:rPr>
          <w:rFonts w:ascii="Times New Roman" w:hAnsi="Times New Roman" w:cs="Times New Roman" w:eastAsia="Times New Roman" w:hint="default"/>
        </w:rPr>
        <w:t>2</w:t>
      </w:r>
      <w:r>
        <w:rPr/>
        <w:t>）账龄超过</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年的重要预收款项</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本公司无账龄超过一年的重要预收款项</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期末建造合同形成的已结算未完工项目情况" w:id="292"/>
      <w:bookmarkEnd w:id="292"/>
      <w:r>
        <w:rPr>
          <w:b w:val="0"/>
          <w:bCs w:val="0"/>
        </w:rPr>
      </w:r>
      <w:r>
        <w:rPr/>
        <w:t>（</w:t>
      </w:r>
      <w:r>
        <w:rPr>
          <w:rFonts w:ascii="Times New Roman" w:hAnsi="Times New Roman" w:cs="Times New Roman" w:eastAsia="Times New Roman" w:hint="default"/>
        </w:rPr>
        <w:t>3</w:t>
      </w:r>
      <w:r>
        <w:rPr/>
        <w:t>）期末建造合同形成的已结算未完工项目情况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1、应付职工薪酬" w:id="293"/>
      <w:bookmarkEnd w:id="293"/>
      <w:r>
        <w:rPr>
          <w:b w:val="0"/>
          <w:bCs w:val="0"/>
        </w:rPr>
      </w:r>
      <w:r>
        <w:rPr>
          <w:rFonts w:ascii="Times New Roman" w:hAnsi="Times New Roman" w:cs="Times New Roman" w:eastAsia="Times New Roman" w:hint="default"/>
        </w:rPr>
        <w:t>31</w:t>
      </w:r>
      <w:r>
        <w:rPr/>
        <w:t>、应付职工薪酬</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付职工薪酬列示" w:id="294"/>
      <w:bookmarkEnd w:id="294"/>
      <w:r>
        <w:rPr>
          <w:b w:val="0"/>
          <w:bCs w:val="0"/>
        </w:rPr>
      </w:r>
      <w:r>
        <w:rPr/>
        <w:t>（</w:t>
      </w:r>
      <w:r>
        <w:rPr>
          <w:rFonts w:ascii="Times New Roman" w:hAnsi="Times New Roman" w:cs="Times New Roman" w:eastAsia="Times New Roman"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6,865,725.49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80,259,823.25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80,341,311.26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6,784,237.48</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Times New Roman" w:hAnsi="Times New Roman" w:cs="Times New Roman" w:eastAsia="Times New Roman"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781,190.24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11,905,022.89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11,992,014.97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694,198.16</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7,646,915.73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92,164,846.14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92,333,326.23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7,478,435.64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2）短期薪酬列示" w:id="295"/>
      <w:bookmarkEnd w:id="295"/>
      <w:r>
        <w:rPr>
          <w:b w:val="0"/>
          <w:bCs w:val="0"/>
        </w:rPr>
      </w:r>
      <w:r>
        <w:rPr/>
        <w:t>（</w:t>
      </w:r>
      <w:r>
        <w:rPr>
          <w:rFonts w:ascii="Times New Roman" w:hAnsi="Times New Roman" w:cs="Times New Roman" w:eastAsia="Times New Roman"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6,006,661.75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62,800,060.04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62,708,937.46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6,097,784.33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13" w:space="0" w:color="D2D2D2"/>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1,110,900.00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1,110,900.00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374,579.63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5,574,857.48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5,617,628.63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331,808.48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6"/>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343,428.60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5,084,291.76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5,123,565.48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304,154.88</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8,552.49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125,733.88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126,623.80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7,662.57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22,598.54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364,831.84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367,439.35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19,991.03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137,542.00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9,660,902.92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9,731,380.92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67,064.00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9"/>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5</w:t>
            </w:r>
            <w:r>
              <w:rPr>
                <w:rFonts w:ascii="宋体" w:hAnsi="宋体" w:cs="宋体" w:eastAsia="宋体" w:hint="default"/>
                <w:spacing w:val="-4"/>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346,942.11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1,113,102.81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1,172,464.25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287,580.67</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6,865,725.49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80,259,823.25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80,341,311.26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6,784,237.48</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设定提存计划列示" w:id="296"/>
      <w:bookmarkEnd w:id="296"/>
      <w:r>
        <w:rPr>
          <w:b w:val="0"/>
          <w:bCs w:val="0"/>
        </w:rPr>
      </w:r>
      <w:r>
        <w:rPr/>
        <w:t>（</w:t>
      </w:r>
      <w:r>
        <w:rPr>
          <w:rFonts w:ascii="Times New Roman" w:hAnsi="Times New Roman" w:cs="Times New Roman" w:eastAsia="Times New Roman"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752,650.00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11,476,290.25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11,559,042.01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669,898.24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28,540.24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428,732.64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432,972.96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24,299.92</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781,190.24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11,905,022.89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11,992,014.97</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694,198.16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2、应交税费" w:id="297"/>
      <w:bookmarkEnd w:id="297"/>
      <w:r>
        <w:rPr>
          <w:b w:val="0"/>
          <w:bCs w:val="0"/>
        </w:rPr>
      </w:r>
      <w:r>
        <w:rPr>
          <w:rFonts w:ascii="Times New Roman" w:hAnsi="Times New Roman" w:cs="Times New Roman" w:eastAsia="Times New Roman" w:hint="default"/>
        </w:rPr>
        <w:t>32</w:t>
      </w:r>
      <w:r>
        <w:rPr/>
        <w:t>、应交税费</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76"/>
        <w:gridCol w:w="3194"/>
        <w:gridCol w:w="3189"/>
      </w:tblGrid>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2,900,242.27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5,101,272.87</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13,833,842.45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20,734,961.73</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263,958.80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579,944.09</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203,036.65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357,089.24</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386,402.34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100,924.85</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教育税附加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176,495.73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289,291.28</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2,032.56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11,848.08</w:t>
            </w:r>
          </w:p>
        </w:tc>
      </w:tr>
      <w:tr>
        <w:trPr>
          <w:trHeight w:val="402" w:hRule="exact"/>
        </w:trPr>
        <w:tc>
          <w:tcPr>
            <w:tcW w:w="31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17,766,010.80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27,175,332.14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3、其他应付款" w:id="298"/>
      <w:bookmarkEnd w:id="298"/>
      <w:r>
        <w:rPr>
          <w:b w:val="0"/>
          <w:bCs w:val="0"/>
        </w:rPr>
      </w:r>
      <w:r>
        <w:rPr>
          <w:rFonts w:ascii="Times New Roman" w:hAnsi="Times New Roman" w:cs="Times New Roman" w:eastAsia="Times New Roman" w:hint="default"/>
        </w:rPr>
        <w:t>33</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1,809,106.51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615,162.01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1,692,044.55</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2,424,268.52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1,692,044.55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付利息" w:id="299"/>
      <w:bookmarkEnd w:id="299"/>
      <w:r>
        <w:rPr>
          <w:b w:val="0"/>
          <w:bCs w:val="0"/>
        </w:rPr>
      </w:r>
      <w:r>
        <w:rPr/>
        <w:t>（</w:t>
      </w:r>
      <w:r>
        <w:rPr>
          <w:rFonts w:ascii="Times New Roman" w:hAnsi="Times New Roman" w:cs="Times New Roman" w:eastAsia="Times New Roman" w:hint="default"/>
        </w:rPr>
        <w:t>1</w:t>
      </w:r>
      <w:r>
        <w:rPr/>
        <w:t>）应付利息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应付股利" w:id="300"/>
      <w:bookmarkEnd w:id="300"/>
      <w:r>
        <w:rPr>
          <w:b w:val="0"/>
          <w:bCs w:val="0"/>
        </w:rPr>
      </w:r>
      <w:r>
        <w:rPr/>
        <w:t>（</w:t>
      </w:r>
      <w:r>
        <w:rPr>
          <w:rFonts w:ascii="Times New Roman" w:hAnsi="Times New Roman" w:cs="Times New Roman" w:eastAsia="Times New Roman" w:hint="default"/>
        </w:rPr>
        <w:t>2</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普通股股利</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1,809,106.51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1,809,106.51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3）其他应付款" w:id="301"/>
      <w:bookmarkEnd w:id="301"/>
      <w:r>
        <w:rPr>
          <w:b w:val="0"/>
          <w:bCs w:val="0"/>
        </w:rPr>
      </w:r>
      <w:r>
        <w:rPr/>
        <w:t>（</w:t>
      </w:r>
      <w:r>
        <w:rPr>
          <w:rFonts w:ascii="Times New Roman" w:hAnsi="Times New Roman" w:cs="Times New Roman" w:eastAsia="Times New Roman" w:hint="default"/>
        </w:rPr>
        <w:t>3</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按款项性质列示其他应付款</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费用报销款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615,162.01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1,692,044.55</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615,162.01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1,692,044.55</w:t>
            </w:r>
          </w:p>
        </w:tc>
      </w:tr>
    </w:tbl>
    <w:p>
      <w:pPr>
        <w:pStyle w:val="BodyText"/>
        <w:spacing w:line="338" w:lineRule="auto" w:before="51"/>
        <w:ind w:left="444" w:right="7402" w:hanging="291"/>
        <w:jc w:val="left"/>
      </w:pPr>
      <w:r>
        <w:rPr>
          <w:rFonts w:ascii="Times New Roman" w:hAnsi="Times New Roman" w:cs="Times New Roman" w:eastAsia="Times New Roman" w:hint="default"/>
        </w:rPr>
        <w:t>2)</w:t>
      </w:r>
      <w:r>
        <w:rPr/>
        <w:t>账龄超过</w:t>
      </w:r>
      <w:r>
        <w:rPr>
          <w:spacing w:val="-46"/>
        </w:rPr>
        <w:t> </w:t>
      </w:r>
      <w:r>
        <w:rPr>
          <w:rFonts w:ascii="Times New Roman" w:hAnsi="Times New Roman" w:cs="Times New Roman" w:eastAsia="Times New Roman" w:hint="default"/>
        </w:rPr>
        <w:t>1 </w:t>
      </w:r>
      <w:r>
        <w:rPr/>
        <w:t>年的重要其他应付款</w:t>
      </w:r>
      <w:r>
        <w:rPr>
          <w:w w:val="99"/>
        </w:rPr>
        <w:t> </w:t>
      </w:r>
      <w:r>
        <w:rPr/>
        <w:t>公司无账龄超过一年的重要其他应付款</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34、持有待售负债" w:id="302"/>
      <w:bookmarkEnd w:id="302"/>
      <w:r>
        <w:rPr>
          <w:b w:val="0"/>
          <w:bCs w:val="0"/>
        </w:rPr>
      </w:r>
      <w:r>
        <w:rPr>
          <w:rFonts w:ascii="Times New Roman" w:hAnsi="Times New Roman" w:cs="Times New Roman" w:eastAsia="Times New Roman" w:hint="default"/>
        </w:rPr>
        <w:t>34</w:t>
      </w:r>
      <w:r>
        <w:rPr/>
        <w:t>、持有待售负债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5、一年内到期的非流动负债" w:id="303"/>
      <w:bookmarkEnd w:id="303"/>
      <w:r>
        <w:rPr>
          <w:b w:val="0"/>
          <w:bCs w:val="0"/>
        </w:rPr>
      </w:r>
      <w:r>
        <w:rPr>
          <w:rFonts w:ascii="Times New Roman" w:hAnsi="Times New Roman" w:cs="Times New Roman" w:eastAsia="Times New Roman" w:hint="default"/>
        </w:rPr>
        <w:t>35</w:t>
      </w:r>
      <w:r>
        <w:rPr/>
        <w:t>、一年内到期的非流动负债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6、其他流动负债" w:id="304"/>
      <w:bookmarkEnd w:id="304"/>
      <w:r>
        <w:rPr>
          <w:b w:val="0"/>
          <w:bCs w:val="0"/>
        </w:rPr>
      </w:r>
      <w:r>
        <w:rPr>
          <w:rFonts w:ascii="Times New Roman" w:hAnsi="Times New Roman" w:cs="Times New Roman" w:eastAsia="Times New Roman" w:hint="default"/>
        </w:rPr>
        <w:t>36</w:t>
      </w:r>
      <w:r>
        <w:rPr/>
        <w:t>、其他流动负债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7、长期借款" w:id="305"/>
      <w:bookmarkEnd w:id="305"/>
      <w:r>
        <w:rPr>
          <w:b w:val="0"/>
          <w:bCs w:val="0"/>
        </w:rPr>
      </w:r>
      <w:r>
        <w:rPr>
          <w:rFonts w:ascii="Times New Roman" w:hAnsi="Times New Roman" w:cs="Times New Roman" w:eastAsia="Times New Roman" w:hint="default"/>
        </w:rPr>
        <w:t>37</w:t>
      </w:r>
      <w:r>
        <w:rPr/>
        <w:t>、长期借款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8、应付债券" w:id="306"/>
      <w:bookmarkEnd w:id="306"/>
      <w:r>
        <w:rPr>
          <w:b w:val="0"/>
          <w:bCs w:val="0"/>
        </w:rPr>
      </w:r>
      <w:r>
        <w:rPr>
          <w:rFonts w:ascii="Times New Roman" w:hAnsi="Times New Roman" w:cs="Times New Roman" w:eastAsia="Times New Roman" w:hint="default"/>
        </w:rPr>
        <w:t>38</w:t>
      </w:r>
      <w:r>
        <w:rPr/>
        <w:t>、应付债券</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9、长期应付款" w:id="307"/>
      <w:bookmarkEnd w:id="307"/>
      <w:r>
        <w:rPr>
          <w:b w:val="0"/>
          <w:bCs w:val="0"/>
        </w:rPr>
      </w:r>
      <w:r>
        <w:rPr>
          <w:rFonts w:ascii="Times New Roman" w:hAnsi="Times New Roman" w:cs="Times New Roman" w:eastAsia="Times New Roman" w:hint="default"/>
        </w:rPr>
        <w:t>39</w:t>
      </w:r>
      <w:r>
        <w:rPr/>
        <w:t>、长期应付款</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0、长期应付职工薪酬" w:id="308"/>
      <w:bookmarkEnd w:id="308"/>
      <w:r>
        <w:rPr>
          <w:b w:val="0"/>
          <w:bCs w:val="0"/>
        </w:rPr>
      </w:r>
      <w:r>
        <w:rPr>
          <w:rFonts w:ascii="Times New Roman" w:hAnsi="Times New Roman" w:cs="Times New Roman" w:eastAsia="Times New Roman" w:hint="default"/>
        </w:rPr>
        <w:t>40</w:t>
      </w:r>
      <w:r>
        <w:rPr/>
        <w:t>、长期应付职工薪酬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1、预计负债" w:id="309"/>
      <w:bookmarkEnd w:id="309"/>
      <w:r>
        <w:rPr>
          <w:b w:val="0"/>
          <w:bCs w:val="0"/>
        </w:rPr>
      </w:r>
      <w:r>
        <w:rPr>
          <w:rFonts w:ascii="Times New Roman" w:hAnsi="Times New Roman" w:cs="Times New Roman" w:eastAsia="Times New Roman" w:hint="default"/>
        </w:rPr>
        <w:t>41</w:t>
      </w:r>
      <w:r>
        <w:rPr/>
        <w:t>、预计负债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2、递延收益" w:id="310"/>
      <w:bookmarkEnd w:id="310"/>
      <w:r>
        <w:rPr>
          <w:b w:val="0"/>
          <w:bCs w:val="0"/>
        </w:rPr>
      </w:r>
      <w:r>
        <w:rPr>
          <w:rFonts w:ascii="Times New Roman" w:hAnsi="Times New Roman" w:cs="Times New Roman" w:eastAsia="Times New Roman" w:hint="default"/>
        </w:rPr>
        <w:t>42</w:t>
      </w:r>
      <w:r>
        <w:rPr/>
        <w:t>、递延收益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税控系统</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19"/>
              <w:jc w:val="left"/>
              <w:rPr>
                <w:rFonts w:ascii="宋体" w:hAnsi="宋体" w:cs="宋体" w:eastAsia="宋体" w:hint="default"/>
                <w:sz w:val="18"/>
                <w:szCs w:val="18"/>
              </w:rPr>
            </w:pPr>
            <w:r>
              <w:rPr>
                <w:rFonts w:ascii="宋体" w:hAnsi="宋体" w:cs="宋体" w:eastAsia="宋体" w:hint="default"/>
                <w:sz w:val="18"/>
                <w:szCs w:val="18"/>
              </w:rPr>
              <w:t>购入税控系统专用 设备形成</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3、其他非流动负债" w:id="311"/>
      <w:bookmarkEnd w:id="311"/>
      <w:r>
        <w:rPr>
          <w:b w:val="0"/>
          <w:bCs w:val="0"/>
        </w:rPr>
      </w:r>
      <w:r>
        <w:rPr>
          <w:rFonts w:ascii="Times New Roman" w:hAnsi="Times New Roman" w:cs="Times New Roman" w:eastAsia="Times New Roman" w:hint="default"/>
        </w:rPr>
        <w:t>43</w:t>
      </w:r>
      <w:r>
        <w:rPr/>
        <w:t>、其他非流动负债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79" w:right="10134"/>
        <w:jc w:val="center"/>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4、股本" w:id="312"/>
      <w:bookmarkEnd w:id="312"/>
      <w:r>
        <w:rPr>
          <w:b w:val="0"/>
          <w:bCs w:val="0"/>
        </w:rPr>
      </w:r>
      <w:r>
        <w:rPr>
          <w:rFonts w:ascii="Times New Roman" w:hAnsi="Times New Roman" w:cs="Times New Roman" w:eastAsia="Times New Roman" w:hint="default"/>
        </w:rPr>
        <w:t>44</w:t>
      </w:r>
      <w:r>
        <w:rPr/>
        <w:t>、股本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08"/>
        <w:gridCol w:w="1184"/>
        <w:gridCol w:w="1197"/>
        <w:gridCol w:w="1195"/>
        <w:gridCol w:w="1197"/>
        <w:gridCol w:w="1184"/>
        <w:gridCol w:w="1207"/>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8"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958" w:type="dxa"/>
            <w:gridSpan w:val="5"/>
            <w:vMerge/>
            <w:tcBorders>
              <w:left w:val="single" w:sz="4" w:space="0" w:color="000000"/>
              <w:bottom w:val="single" w:sz="4" w:space="0" w:color="000000"/>
              <w:right w:val="single" w:sz="4" w:space="0" w:color="000000"/>
            </w:tcBorders>
            <w:shd w:val="clear" w:color="auto" w:fill="D2D2D2"/>
          </w:tcPr>
          <w:p>
            <w:pPr/>
          </w:p>
        </w:tc>
        <w:tc>
          <w:tcPr>
            <w:tcW w:w="120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00"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08"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2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7"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7" w:type="dxa"/>
            <w:vMerge/>
            <w:tcBorders>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20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0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2" w:right="0"/>
              <w:jc w:val="left"/>
              <w:rPr>
                <w:rFonts w:ascii="Times New Roman" w:hAnsi="Times New Roman" w:cs="Times New Roman" w:eastAsia="Times New Roman" w:hint="default"/>
                <w:sz w:val="18"/>
                <w:szCs w:val="18"/>
              </w:rPr>
            </w:pPr>
            <w:r>
              <w:rPr>
                <w:rFonts w:ascii="Times New Roman"/>
                <w:sz w:val="18"/>
              </w:rPr>
              <w:t>108,000,000.00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54,000,000.00</w:t>
            </w:r>
          </w:p>
        </w:tc>
        <w:tc>
          <w:tcPr>
            <w:tcW w:w="1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8" w:right="0"/>
              <w:jc w:val="left"/>
              <w:rPr>
                <w:rFonts w:ascii="Times New Roman" w:hAnsi="Times New Roman" w:cs="Times New Roman" w:eastAsia="Times New Roman" w:hint="default"/>
                <w:sz w:val="18"/>
                <w:szCs w:val="18"/>
              </w:rPr>
            </w:pPr>
            <w:r>
              <w:rPr>
                <w:rFonts w:ascii="Times New Roman"/>
                <w:sz w:val="18"/>
              </w:rPr>
              <w:t>54,000,000.00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162,000,000.00</w:t>
            </w:r>
          </w:p>
        </w:tc>
      </w:tr>
    </w:tbl>
    <w:p>
      <w:pPr>
        <w:pStyle w:val="BodyText"/>
        <w:spacing w:line="240" w:lineRule="auto" w:before="51"/>
        <w:ind w:right="0"/>
        <w:jc w:val="left"/>
      </w:pPr>
      <w:r>
        <w:rPr/>
        <w:t>其他说明：</w:t>
      </w:r>
    </w:p>
    <w:p>
      <w:pPr>
        <w:pStyle w:val="BodyText"/>
        <w:spacing w:line="240" w:lineRule="auto" w:before="116"/>
        <w:ind w:left="479" w:right="0"/>
        <w:jc w:val="left"/>
        <w:rPr>
          <w:rFonts w:ascii="Times New Roman" w:hAnsi="Times New Roman" w:cs="Times New Roman" w:eastAsia="Times New Roman" w:hint="default"/>
        </w:rPr>
      </w:pPr>
      <w:r>
        <w:rPr/>
        <w:t>根据本公司</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15</w:t>
      </w:r>
      <w:r>
        <w:rPr/>
        <w:t>日召开的</w:t>
      </w:r>
      <w:r>
        <w:rPr>
          <w:rFonts w:ascii="Times New Roman" w:hAnsi="Times New Roman" w:cs="Times New Roman" w:eastAsia="Times New Roman" w:hint="default"/>
        </w:rPr>
        <w:t>2017</w:t>
      </w:r>
      <w:r>
        <w:rPr/>
        <w:t>年年度股东大会审议通过，</w:t>
      </w:r>
      <w:r>
        <w:rPr>
          <w:rFonts w:ascii="Times New Roman" w:hAnsi="Times New Roman" w:cs="Times New Roman" w:eastAsia="Times New Roman" w:hint="default"/>
        </w:rPr>
        <w:t>2017 </w:t>
      </w:r>
      <w:r>
        <w:rPr>
          <w:spacing w:val="-4"/>
        </w:rPr>
        <w:t>年年度权益分派，以公司现有总股本</w:t>
      </w:r>
      <w:r>
        <w:rPr>
          <w:spacing w:val="-31"/>
        </w:rPr>
        <w:t> </w:t>
      </w:r>
      <w:r>
        <w:rPr>
          <w:rFonts w:ascii="Times New Roman" w:hAnsi="Times New Roman" w:cs="Times New Roman" w:eastAsia="Times New Roman" w:hint="default"/>
        </w:rPr>
        <w:t>108,000,000</w:t>
      </w:r>
    </w:p>
    <w:p>
      <w:pPr>
        <w:pStyle w:val="BodyText"/>
        <w:spacing w:line="240" w:lineRule="auto" w:before="63"/>
        <w:ind w:right="0"/>
        <w:jc w:val="left"/>
        <w:rPr>
          <w:rFonts w:ascii="Times New Roman" w:hAnsi="Times New Roman" w:cs="Times New Roman" w:eastAsia="Times New Roman" w:hint="default"/>
        </w:rPr>
      </w:pPr>
      <w:r>
        <w:rPr/>
        <w:t>股为基数，向全体股东每 </w:t>
      </w:r>
      <w:r>
        <w:rPr>
          <w:rFonts w:ascii="Times New Roman" w:hAnsi="Times New Roman" w:cs="Times New Roman" w:eastAsia="Times New Roman" w:hint="default"/>
        </w:rPr>
        <w:t>10 </w:t>
      </w:r>
      <w:r>
        <w:rPr/>
        <w:t>股派发现金红利 </w:t>
      </w:r>
      <w:r>
        <w:rPr>
          <w:rFonts w:ascii="Times New Roman" w:hAnsi="Times New Roman" w:cs="Times New Roman" w:eastAsia="Times New Roman" w:hint="default"/>
        </w:rPr>
        <w:t>5.00 </w:t>
      </w:r>
      <w:r>
        <w:rPr>
          <w:spacing w:val="-4"/>
        </w:rPr>
        <w:t>元（含税），送红股</w:t>
      </w:r>
      <w:r>
        <w:rPr>
          <w:rFonts w:ascii="Times New Roman" w:hAnsi="Times New Roman" w:cs="Times New Roman" w:eastAsia="Times New Roman" w:hint="default"/>
          <w:spacing w:val="-4"/>
        </w:rPr>
        <w:t>0</w:t>
      </w:r>
      <w:r>
        <w:rPr>
          <w:spacing w:val="-4"/>
        </w:rPr>
        <w:t>股（含税），同时，以资本公积金向全体股东每</w:t>
      </w:r>
      <w:r>
        <w:rPr>
          <w:spacing w:val="-10"/>
        </w:rPr>
        <w:t> </w:t>
      </w:r>
      <w:r>
        <w:rPr>
          <w:rFonts w:ascii="Times New Roman" w:hAnsi="Times New Roman" w:cs="Times New Roman" w:eastAsia="Times New Roman" w:hint="default"/>
        </w:rPr>
        <w:t>10</w:t>
      </w:r>
    </w:p>
    <w:p>
      <w:pPr>
        <w:pStyle w:val="BodyText"/>
        <w:spacing w:line="240" w:lineRule="auto" w:before="63"/>
        <w:ind w:right="0"/>
        <w:jc w:val="left"/>
      </w:pPr>
      <w:r>
        <w:rPr/>
        <w:t>股转增 </w:t>
      </w:r>
      <w:r>
        <w:rPr>
          <w:rFonts w:ascii="Times New Roman" w:hAnsi="Times New Roman" w:cs="Times New Roman" w:eastAsia="Times New Roman" w:hint="default"/>
        </w:rPr>
        <w:t>5</w:t>
      </w:r>
      <w:r>
        <w:rPr>
          <w:rFonts w:ascii="Times New Roman" w:hAnsi="Times New Roman" w:cs="Times New Roman" w:eastAsia="Times New Roman" w:hint="default"/>
          <w:spacing w:val="4"/>
        </w:rPr>
        <w:t> </w:t>
      </w:r>
      <w:r>
        <w:rPr/>
        <w:t>股，合计转增股份</w:t>
      </w:r>
      <w:r>
        <w:rPr>
          <w:rFonts w:ascii="Times New Roman" w:hAnsi="Times New Roman" w:cs="Times New Roman" w:eastAsia="Times New Roman" w:hint="default"/>
        </w:rPr>
        <w:t>54,000,000</w:t>
      </w:r>
      <w:r>
        <w:rPr/>
        <w:t>股，转增股份后总股本增至</w:t>
      </w:r>
      <w:r>
        <w:rPr>
          <w:rFonts w:ascii="Times New Roman" w:hAnsi="Times New Roman" w:cs="Times New Roman" w:eastAsia="Times New Roman" w:hint="default"/>
        </w:rPr>
        <w:t>162,000,000</w:t>
      </w:r>
      <w:r>
        <w:rPr/>
        <w:t>股。</w:t>
      </w:r>
    </w:p>
    <w:p>
      <w:pPr>
        <w:spacing w:after="0" w:line="240" w:lineRule="auto"/>
        <w:jc w:val="left"/>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45、其他权益工具" w:id="313"/>
      <w:bookmarkEnd w:id="313"/>
      <w:r>
        <w:rPr>
          <w:b w:val="0"/>
          <w:bCs w:val="0"/>
        </w:rPr>
      </w:r>
      <w:r>
        <w:rPr>
          <w:rFonts w:ascii="Times New Roman" w:hAnsi="Times New Roman" w:cs="Times New Roman" w:eastAsia="Times New Roman" w:hint="default"/>
        </w:rPr>
        <w:t>45</w:t>
      </w:r>
      <w:r>
        <w:rPr/>
        <w:t>、其他权益工具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6、资本公积" w:id="314"/>
      <w:bookmarkEnd w:id="314"/>
      <w:r>
        <w:rPr>
          <w:b w:val="0"/>
          <w:bCs w:val="0"/>
        </w:rPr>
      </w:r>
      <w:r>
        <w:rPr>
          <w:rFonts w:ascii="Times New Roman" w:hAnsi="Times New Roman" w:cs="Times New Roman" w:eastAsia="Times New Roman" w:hint="default"/>
        </w:rPr>
        <w:t>46</w:t>
      </w:r>
      <w:r>
        <w:rPr/>
        <w:t>、资本公积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254,205,305.28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200,205,305.28</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254,205,305.28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200,205,305.28</w:t>
            </w:r>
          </w:p>
        </w:tc>
      </w:tr>
    </w:tbl>
    <w:p>
      <w:pPr>
        <w:pStyle w:val="BodyText"/>
        <w:spacing w:line="357" w:lineRule="auto" w:before="51"/>
        <w:ind w:left="534" w:right="6613" w:hanging="381"/>
        <w:jc w:val="left"/>
      </w:pPr>
      <w:r>
        <w:rPr/>
        <w:t>其他说明，包括本期增减变动情况、变动原因说明： 资本公积变动详见股本说明。</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47、库存股" w:id="315"/>
      <w:bookmarkEnd w:id="315"/>
      <w:r>
        <w:rPr>
          <w:b w:val="0"/>
          <w:bCs w:val="0"/>
        </w:rPr>
      </w:r>
      <w:r>
        <w:rPr>
          <w:rFonts w:ascii="Times New Roman" w:hAnsi="Times New Roman" w:cs="Times New Roman" w:eastAsia="Times New Roman" w:hint="default"/>
        </w:rPr>
        <w:t>47</w:t>
      </w:r>
      <w:r>
        <w:rPr/>
        <w:t>、库存股</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回购股份</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39,999,113.66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39,999,113.66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39,999,113.66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39,999,113.66</w:t>
            </w:r>
          </w:p>
        </w:tc>
      </w:tr>
    </w:tbl>
    <w:p>
      <w:pPr>
        <w:pStyle w:val="BodyText"/>
        <w:spacing w:line="357" w:lineRule="auto" w:before="51"/>
        <w:ind w:left="534" w:right="1192" w:hanging="381"/>
        <w:jc w:val="left"/>
      </w:pPr>
      <w:r>
        <w:rPr/>
        <w:t>其他说明，包括本期增减变动情况、变动原因说明： 截至</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日，公司通过股票回购专用证券账户以集中竞价交易方式累计回购公司股份数量为</w:t>
      </w:r>
      <w:r>
        <w:rPr>
          <w:rFonts w:ascii="Times New Roman" w:hAnsi="Times New Roman" w:cs="Times New Roman" w:eastAsia="Times New Roman" w:hint="default"/>
        </w:rPr>
        <w:t>2,385,925</w:t>
      </w:r>
      <w:r>
        <w:rPr/>
        <w:t>股，占</w:t>
      </w:r>
    </w:p>
    <w:p>
      <w:pPr>
        <w:pStyle w:val="BodyText"/>
        <w:spacing w:line="214" w:lineRule="exact"/>
        <w:ind w:right="0"/>
        <w:jc w:val="left"/>
      </w:pPr>
      <w:r>
        <w:rPr/>
        <w:t>公司目前总股本的比例为</w:t>
      </w:r>
      <w:r>
        <w:rPr>
          <w:rFonts w:ascii="Times New Roman" w:hAnsi="Times New Roman" w:cs="Times New Roman" w:eastAsia="Times New Roman" w:hint="default"/>
        </w:rPr>
        <w:t>1.47%</w:t>
      </w:r>
      <w:r>
        <w:rPr/>
        <w:t>，最高成交价为</w:t>
      </w:r>
      <w:r>
        <w:rPr>
          <w:rFonts w:ascii="Times New Roman" w:hAnsi="Times New Roman" w:cs="Times New Roman" w:eastAsia="Times New Roman" w:hint="default"/>
        </w:rPr>
        <w:t>18.50</w:t>
      </w:r>
      <w:r>
        <w:rPr/>
        <w:t>元</w:t>
      </w:r>
      <w:r>
        <w:rPr>
          <w:rFonts w:ascii="Times New Roman" w:hAnsi="Times New Roman" w:cs="Times New Roman" w:eastAsia="Times New Roman" w:hint="default"/>
        </w:rPr>
        <w:t>/</w:t>
      </w:r>
      <w:r>
        <w:rPr/>
        <w:t>股，最低成交价为</w:t>
      </w:r>
      <w:r>
        <w:rPr>
          <w:rFonts w:ascii="Times New Roman" w:hAnsi="Times New Roman" w:cs="Times New Roman" w:eastAsia="Times New Roman" w:hint="default"/>
        </w:rPr>
        <w:t>15.66</w:t>
      </w:r>
      <w:r>
        <w:rPr/>
        <w:t>元</w:t>
      </w:r>
      <w:r>
        <w:rPr>
          <w:rFonts w:ascii="Times New Roman" w:hAnsi="Times New Roman" w:cs="Times New Roman" w:eastAsia="Times New Roman" w:hint="default"/>
        </w:rPr>
        <w:t>/</w:t>
      </w:r>
      <w:r>
        <w:rPr/>
        <w:t>股，成交总金额为</w:t>
      </w:r>
      <w:r>
        <w:rPr>
          <w:rFonts w:ascii="Times New Roman" w:hAnsi="Times New Roman" w:cs="Times New Roman" w:eastAsia="Times New Roman" w:hint="default"/>
        </w:rPr>
        <w:t>39,999,113.66</w:t>
      </w:r>
      <w:r>
        <w:rPr/>
        <w:t>元（含手</w:t>
      </w:r>
    </w:p>
    <w:p>
      <w:pPr>
        <w:pStyle w:val="BodyText"/>
        <w:spacing w:line="240" w:lineRule="auto" w:before="63"/>
        <w:ind w:right="0"/>
        <w:jc w:val="left"/>
      </w:pPr>
      <w:r>
        <w:rPr/>
        <w:t>续费）。</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8、其他综合收益" w:id="316"/>
      <w:bookmarkEnd w:id="316"/>
      <w:r>
        <w:rPr>
          <w:b w:val="0"/>
          <w:bCs w:val="0"/>
        </w:rPr>
      </w:r>
      <w:r>
        <w:rPr>
          <w:rFonts w:ascii="Times New Roman" w:hAnsi="Times New Roman" w:cs="Times New Roman" w:eastAsia="Times New Roman" w:hint="default"/>
        </w:rPr>
        <w:t>48</w:t>
      </w:r>
      <w:r>
        <w:rPr/>
        <w:t>、其他综合收益</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87"/>
        <w:gridCol w:w="1004"/>
        <w:gridCol w:w="1134"/>
        <w:gridCol w:w="1276"/>
        <w:gridCol w:w="709"/>
        <w:gridCol w:w="1134"/>
        <w:gridCol w:w="851"/>
        <w:gridCol w:w="1062"/>
      </w:tblGrid>
      <w:tr>
        <w:trPr>
          <w:trHeight w:val="397" w:hRule="exact"/>
        </w:trPr>
        <w:tc>
          <w:tcPr>
            <w:tcW w:w="2387" w:type="dxa"/>
            <w:vMerge w:val="restart"/>
            <w:tcBorders>
              <w:top w:val="single" w:sz="4" w:space="0" w:color="000000"/>
              <w:left w:val="single" w:sz="4" w:space="0" w:color="000000"/>
              <w:right w:val="single" w:sz="4" w:space="0" w:color="000000"/>
            </w:tcBorders>
            <w:shd w:val="clear" w:color="auto" w:fill="D2D2D2"/>
          </w:tcPr>
          <w:p>
            <w:pPr/>
          </w:p>
        </w:tc>
        <w:tc>
          <w:tcPr>
            <w:tcW w:w="1004" w:type="dxa"/>
            <w:vMerge w:val="restart"/>
            <w:tcBorders>
              <w:top w:val="single" w:sz="4" w:space="0" w:color="000000"/>
              <w:left w:val="single" w:sz="4" w:space="0" w:color="000000"/>
              <w:right w:val="single" w:sz="4" w:space="0" w:color="000000"/>
            </w:tcBorders>
            <w:shd w:val="clear" w:color="auto" w:fill="D2D2D2"/>
          </w:tcPr>
          <w:p>
            <w:pPr/>
          </w:p>
        </w:tc>
        <w:tc>
          <w:tcPr>
            <w:tcW w:w="510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62"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387" w:type="dxa"/>
            <w:vMerge/>
            <w:tcBorders>
              <w:left w:val="single" w:sz="4" w:space="0" w:color="000000"/>
              <w:bottom w:val="nil" w:sz="6" w:space="0" w:color="auto"/>
              <w:right w:val="single" w:sz="4" w:space="0" w:color="000000"/>
            </w:tcBorders>
            <w:shd w:val="clear" w:color="auto" w:fill="D2D2D2"/>
          </w:tcPr>
          <w:p>
            <w:pPr/>
          </w:p>
        </w:tc>
        <w:tc>
          <w:tcPr>
            <w:tcW w:w="1004" w:type="dxa"/>
            <w:vMerge/>
            <w:tcBorders>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22" w:right="20"/>
              <w:jc w:val="center"/>
              <w:rPr>
                <w:rFonts w:ascii="宋体" w:hAnsi="宋体" w:cs="宋体" w:eastAsia="宋体" w:hint="default"/>
                <w:sz w:val="18"/>
                <w:szCs w:val="18"/>
              </w:rPr>
            </w:pPr>
            <w:r>
              <w:rPr>
                <w:rFonts w:ascii="宋体" w:hAnsi="宋体" w:cs="宋体" w:eastAsia="宋体" w:hint="default"/>
                <w:spacing w:val="-6"/>
                <w:sz w:val="18"/>
                <w:szCs w:val="18"/>
              </w:rPr>
              <w:t>减：前期计入其</w:t>
            </w:r>
            <w:r>
              <w:rPr>
                <w:rFonts w:ascii="宋体" w:hAnsi="宋体" w:cs="宋体" w:eastAsia="宋体" w:hint="default"/>
                <w:sz w:val="18"/>
                <w:szCs w:val="18"/>
              </w:rPr>
              <w:t> 他综合收益当 期转入损益</w:t>
            </w: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7"/>
              <w:ind w:left="59"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1062" w:type="dxa"/>
            <w:vMerge/>
            <w:tcBorders>
              <w:left w:val="single" w:sz="4" w:space="0" w:color="000000"/>
              <w:bottom w:val="nil" w:sz="6" w:space="0" w:color="auto"/>
              <w:right w:val="single" w:sz="4" w:space="0" w:color="000000"/>
            </w:tcBorders>
            <w:shd w:val="clear" w:color="auto" w:fill="D2D2D2"/>
          </w:tcPr>
          <w:p>
            <w:pPr/>
          </w:p>
        </w:tc>
      </w:tr>
      <w:tr>
        <w:trPr>
          <w:trHeight w:val="370" w:hRule="exact"/>
        </w:trPr>
        <w:tc>
          <w:tcPr>
            <w:tcW w:w="23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97"/>
              <w:ind w:left="201" w:right="111" w:hanging="90"/>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276" w:type="dxa"/>
            <w:vMerge/>
            <w:tcBorders>
              <w:left w:val="single" w:sz="4" w:space="0" w:color="000000"/>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80" w:right="20" w:hanging="57"/>
              <w:jc w:val="left"/>
              <w:rPr>
                <w:rFonts w:ascii="宋体" w:hAnsi="宋体" w:cs="宋体" w:eastAsia="宋体" w:hint="default"/>
                <w:sz w:val="18"/>
                <w:szCs w:val="18"/>
              </w:rPr>
            </w:pPr>
            <w:r>
              <w:rPr>
                <w:rFonts w:ascii="宋体" w:hAnsi="宋体" w:cs="宋体" w:eastAsia="宋体" w:hint="default"/>
                <w:spacing w:val="-17"/>
                <w:sz w:val="18"/>
                <w:szCs w:val="18"/>
              </w:rPr>
              <w:t>减：所得</w:t>
            </w:r>
            <w:r>
              <w:rPr>
                <w:rFonts w:ascii="宋体" w:hAnsi="宋体" w:cs="宋体" w:eastAsia="宋体" w:hint="default"/>
                <w:sz w:val="18"/>
                <w:szCs w:val="18"/>
              </w:rPr>
              <w:t> 税费用</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74"/>
              <w:ind w:left="291" w:right="111"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851" w:type="dxa"/>
            <w:vMerge/>
            <w:tcBorders>
              <w:left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6" w:hRule="exact"/>
        </w:trPr>
        <w:tc>
          <w:tcPr>
            <w:tcW w:w="2387" w:type="dxa"/>
            <w:vMerge w:val="restart"/>
            <w:tcBorders>
              <w:top w:val="nil" w:sz="6" w:space="0" w:color="auto"/>
              <w:left w:val="single" w:sz="4" w:space="0" w:color="000000"/>
              <w:right w:val="single" w:sz="4" w:space="0" w:color="000000"/>
            </w:tcBorders>
            <w:shd w:val="clear" w:color="auto" w:fill="D2D2D2"/>
          </w:tcPr>
          <w:p>
            <w:pPr/>
          </w:p>
        </w:tc>
        <w:tc>
          <w:tcPr>
            <w:tcW w:w="1004"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06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87"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4"/>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1004"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4"/>
              <w:jc w:val="left"/>
              <w:rPr>
                <w:rFonts w:ascii="宋体" w:hAnsi="宋体" w:cs="宋体" w:eastAsia="宋体" w:hint="default"/>
                <w:sz w:val="18"/>
                <w:szCs w:val="18"/>
              </w:rPr>
            </w:pPr>
            <w:r>
              <w:rPr>
                <w:rFonts w:ascii="宋体" w:hAnsi="宋体" w:cs="宋体" w:eastAsia="宋体" w:hint="default"/>
                <w:sz w:val="18"/>
                <w:szCs w:val="18"/>
              </w:rPr>
              <w:t>其中：重新计量设定受益计划 变动额</w:t>
            </w:r>
          </w:p>
        </w:tc>
        <w:tc>
          <w:tcPr>
            <w:tcW w:w="1004"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2"/>
              <w:ind w:left="11" w:right="23" w:firstLine="540"/>
              <w:jc w:val="left"/>
              <w:rPr>
                <w:rFonts w:ascii="宋体" w:hAnsi="宋体" w:cs="宋体" w:eastAsia="宋体" w:hint="default"/>
                <w:sz w:val="18"/>
                <w:szCs w:val="18"/>
              </w:rPr>
            </w:pPr>
            <w:r>
              <w:rPr>
                <w:rFonts w:ascii="宋体" w:hAnsi="宋体" w:cs="宋体" w:eastAsia="宋体" w:hint="default"/>
                <w:sz w:val="18"/>
                <w:szCs w:val="18"/>
              </w:rPr>
              <w:t>权益法下不能转进损益 的其他综合收益</w:t>
            </w:r>
          </w:p>
        </w:tc>
        <w:tc>
          <w:tcPr>
            <w:tcW w:w="1004"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24"/>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39" w:right="0"/>
              <w:jc w:val="left"/>
              <w:rPr>
                <w:rFonts w:ascii="Times New Roman" w:hAnsi="Times New Roman" w:cs="Times New Roman" w:eastAsia="Times New Roman" w:hint="default"/>
                <w:sz w:val="18"/>
                <w:szCs w:val="18"/>
              </w:rPr>
            </w:pPr>
            <w:r>
              <w:rPr>
                <w:rFonts w:ascii="Times New Roman"/>
                <w:sz w:val="18"/>
              </w:rPr>
              <w:t>85,640.42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6" w:right="0"/>
              <w:jc w:val="left"/>
              <w:rPr>
                <w:rFonts w:ascii="Times New Roman" w:hAnsi="Times New Roman" w:cs="Times New Roman" w:eastAsia="Times New Roman" w:hint="default"/>
                <w:sz w:val="18"/>
                <w:szCs w:val="18"/>
              </w:rPr>
            </w:pPr>
            <w:r>
              <w:rPr>
                <w:rFonts w:ascii="Times New Roman"/>
                <w:sz w:val="18"/>
              </w:rPr>
              <w:t>3,371,293.98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3,371,293.98</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2" w:right="0"/>
              <w:jc w:val="center"/>
              <w:rPr>
                <w:rFonts w:ascii="Times New Roman" w:hAnsi="Times New Roman" w:cs="Times New Roman" w:eastAsia="Times New Roman" w:hint="default"/>
                <w:sz w:val="18"/>
                <w:szCs w:val="18"/>
              </w:rPr>
            </w:pPr>
            <w:r>
              <w:rPr>
                <w:rFonts w:ascii="Times New Roman"/>
                <w:sz w:val="18"/>
              </w:rPr>
              <w:t>3,456,934.40</w:t>
            </w:r>
          </w:p>
        </w:tc>
      </w:tr>
      <w:tr>
        <w:trPr>
          <w:trHeight w:val="403"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right="12"/>
              <w:jc w:val="center"/>
              <w:rPr>
                <w:rFonts w:ascii="宋体" w:hAnsi="宋体" w:cs="宋体" w:eastAsia="宋体" w:hint="default"/>
                <w:sz w:val="18"/>
                <w:szCs w:val="18"/>
              </w:rPr>
            </w:pPr>
            <w:r>
              <w:rPr>
                <w:rFonts w:ascii="宋体" w:hAnsi="宋体" w:cs="宋体" w:eastAsia="宋体" w:hint="default"/>
                <w:sz w:val="18"/>
                <w:szCs w:val="18"/>
              </w:rPr>
              <w:t>其中：权益法下可转损益的其</w:t>
            </w:r>
          </w:p>
        </w:tc>
        <w:tc>
          <w:tcPr>
            <w:tcW w:w="1004"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87"/>
        <w:gridCol w:w="1004"/>
        <w:gridCol w:w="1134"/>
        <w:gridCol w:w="1276"/>
        <w:gridCol w:w="709"/>
        <w:gridCol w:w="1134"/>
        <w:gridCol w:w="851"/>
        <w:gridCol w:w="1062"/>
      </w:tblGrid>
      <w:tr>
        <w:trPr>
          <w:trHeight w:val="397" w:hRule="exact"/>
        </w:trPr>
        <w:tc>
          <w:tcPr>
            <w:tcW w:w="2387" w:type="dxa"/>
            <w:vMerge w:val="restart"/>
            <w:tcBorders>
              <w:top w:val="single" w:sz="4" w:space="0" w:color="000000"/>
              <w:left w:val="single" w:sz="4" w:space="0" w:color="000000"/>
              <w:right w:val="single" w:sz="4" w:space="0" w:color="000000"/>
            </w:tcBorders>
            <w:shd w:val="clear" w:color="auto" w:fill="D2D2D2"/>
          </w:tcPr>
          <w:p>
            <w:pPr/>
          </w:p>
        </w:tc>
        <w:tc>
          <w:tcPr>
            <w:tcW w:w="1004" w:type="dxa"/>
            <w:vMerge w:val="restart"/>
            <w:tcBorders>
              <w:top w:val="single" w:sz="4" w:space="0" w:color="000000"/>
              <w:left w:val="single" w:sz="4" w:space="0" w:color="000000"/>
              <w:right w:val="single" w:sz="4" w:space="0" w:color="000000"/>
            </w:tcBorders>
            <w:shd w:val="clear" w:color="auto" w:fill="D2D2D2"/>
          </w:tcPr>
          <w:p>
            <w:pPr/>
          </w:p>
        </w:tc>
        <w:tc>
          <w:tcPr>
            <w:tcW w:w="5104"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1062" w:type="dxa"/>
            <w:vMerge w:val="restart"/>
            <w:tcBorders>
              <w:top w:val="single" w:sz="4" w:space="0" w:color="000000"/>
              <w:left w:val="single" w:sz="4" w:space="0" w:color="000000"/>
              <w:right w:val="single" w:sz="4" w:space="0" w:color="000000"/>
            </w:tcBorders>
            <w:shd w:val="clear" w:color="auto" w:fill="D2D2D2"/>
          </w:tcPr>
          <w:p>
            <w:pPr/>
          </w:p>
        </w:tc>
      </w:tr>
      <w:tr>
        <w:trPr>
          <w:trHeight w:val="121" w:hRule="exact"/>
        </w:trPr>
        <w:tc>
          <w:tcPr>
            <w:tcW w:w="2387" w:type="dxa"/>
            <w:vMerge/>
            <w:tcBorders>
              <w:left w:val="single" w:sz="4" w:space="0" w:color="000000"/>
              <w:bottom w:val="nil" w:sz="6" w:space="0" w:color="auto"/>
              <w:right w:val="single" w:sz="4" w:space="0" w:color="000000"/>
            </w:tcBorders>
            <w:shd w:val="clear" w:color="auto" w:fill="D2D2D2"/>
          </w:tcPr>
          <w:p>
            <w:pPr/>
          </w:p>
        </w:tc>
        <w:tc>
          <w:tcPr>
            <w:tcW w:w="1004" w:type="dxa"/>
            <w:vMerge/>
            <w:tcBorders>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6"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22" w:right="20"/>
              <w:jc w:val="center"/>
              <w:rPr>
                <w:rFonts w:ascii="宋体" w:hAnsi="宋体" w:cs="宋体" w:eastAsia="宋体" w:hint="default"/>
                <w:sz w:val="18"/>
                <w:szCs w:val="18"/>
              </w:rPr>
            </w:pPr>
            <w:r>
              <w:rPr>
                <w:rFonts w:ascii="宋体" w:hAnsi="宋体" w:cs="宋体" w:eastAsia="宋体" w:hint="default"/>
                <w:spacing w:val="-6"/>
                <w:sz w:val="18"/>
                <w:szCs w:val="18"/>
              </w:rPr>
              <w:t>减：前期计入其</w:t>
            </w:r>
            <w:r>
              <w:rPr>
                <w:rFonts w:ascii="宋体" w:hAnsi="宋体" w:cs="宋体" w:eastAsia="宋体" w:hint="default"/>
                <w:sz w:val="18"/>
                <w:szCs w:val="18"/>
              </w:rPr>
              <w:t> 他综合收益当 期转入损益</w:t>
            </w: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6"/>
              <w:ind w:left="59"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1062" w:type="dxa"/>
            <w:vMerge/>
            <w:tcBorders>
              <w:left w:val="single" w:sz="4" w:space="0" w:color="000000"/>
              <w:bottom w:val="nil" w:sz="6" w:space="0" w:color="auto"/>
              <w:right w:val="single" w:sz="4" w:space="0" w:color="000000"/>
            </w:tcBorders>
            <w:shd w:val="clear" w:color="auto" w:fill="D2D2D2"/>
          </w:tcPr>
          <w:p>
            <w:pPr/>
          </w:p>
        </w:tc>
      </w:tr>
      <w:tr>
        <w:trPr>
          <w:trHeight w:val="369" w:hRule="exact"/>
        </w:trPr>
        <w:tc>
          <w:tcPr>
            <w:tcW w:w="23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14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95"/>
              <w:ind w:left="201" w:right="111" w:hanging="90"/>
              <w:jc w:val="left"/>
              <w:rPr>
                <w:rFonts w:ascii="宋体" w:hAnsi="宋体" w:cs="宋体" w:eastAsia="宋体" w:hint="default"/>
                <w:sz w:val="18"/>
                <w:szCs w:val="18"/>
              </w:rPr>
            </w:pPr>
            <w:r>
              <w:rPr>
                <w:rFonts w:ascii="宋体" w:hAnsi="宋体" w:cs="宋体" w:eastAsia="宋体" w:hint="default"/>
                <w:sz w:val="18"/>
                <w:szCs w:val="18"/>
              </w:rPr>
              <w:t>本期所得税 前发生额</w:t>
            </w:r>
          </w:p>
        </w:tc>
        <w:tc>
          <w:tcPr>
            <w:tcW w:w="1276" w:type="dxa"/>
            <w:vMerge/>
            <w:tcBorders>
              <w:left w:val="single" w:sz="4" w:space="0" w:color="000000"/>
              <w:right w:val="single" w:sz="4" w:space="0" w:color="000000"/>
            </w:tcBorders>
            <w:shd w:val="clear" w:color="auto" w:fill="D2D2D2"/>
          </w:tcPr>
          <w:p>
            <w:pP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80" w:right="20" w:hanging="57"/>
              <w:jc w:val="left"/>
              <w:rPr>
                <w:rFonts w:ascii="宋体" w:hAnsi="宋体" w:cs="宋体" w:eastAsia="宋体" w:hint="default"/>
                <w:sz w:val="18"/>
                <w:szCs w:val="18"/>
              </w:rPr>
            </w:pPr>
            <w:r>
              <w:rPr>
                <w:rFonts w:ascii="宋体" w:hAnsi="宋体" w:cs="宋体" w:eastAsia="宋体" w:hint="default"/>
                <w:spacing w:val="-17"/>
                <w:sz w:val="18"/>
                <w:szCs w:val="18"/>
              </w:rPr>
              <w:t>减：所得</w:t>
            </w:r>
            <w:r>
              <w:rPr>
                <w:rFonts w:ascii="宋体" w:hAnsi="宋体" w:cs="宋体" w:eastAsia="宋体" w:hint="default"/>
                <w:sz w:val="18"/>
                <w:szCs w:val="18"/>
              </w:rPr>
              <w:t> 税费用</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319" w:lineRule="auto" w:before="73"/>
              <w:ind w:left="291" w:right="111" w:hanging="180"/>
              <w:jc w:val="left"/>
              <w:rPr>
                <w:rFonts w:ascii="宋体" w:hAnsi="宋体" w:cs="宋体" w:eastAsia="宋体" w:hint="default"/>
                <w:sz w:val="18"/>
                <w:szCs w:val="18"/>
              </w:rPr>
            </w:pPr>
            <w:r>
              <w:rPr>
                <w:rFonts w:ascii="宋体" w:hAnsi="宋体" w:cs="宋体" w:eastAsia="宋体" w:hint="default"/>
                <w:sz w:val="18"/>
                <w:szCs w:val="18"/>
              </w:rPr>
              <w:t>税后归属于 母公司</w:t>
            </w:r>
          </w:p>
        </w:tc>
        <w:tc>
          <w:tcPr>
            <w:tcW w:w="851" w:type="dxa"/>
            <w:vMerge/>
            <w:tcBorders>
              <w:left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29"/>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58" w:hRule="exact"/>
        </w:trPr>
        <w:tc>
          <w:tcPr>
            <w:tcW w:w="2387" w:type="dxa"/>
            <w:vMerge w:val="restart"/>
            <w:tcBorders>
              <w:top w:val="nil" w:sz="6" w:space="0" w:color="auto"/>
              <w:left w:val="single" w:sz="4" w:space="0" w:color="000000"/>
              <w:right w:val="single" w:sz="4" w:space="0" w:color="000000"/>
            </w:tcBorders>
            <w:shd w:val="clear" w:color="auto" w:fill="D2D2D2"/>
          </w:tcPr>
          <w:p>
            <w:pPr/>
          </w:p>
        </w:tc>
        <w:tc>
          <w:tcPr>
            <w:tcW w:w="1004" w:type="dxa"/>
            <w:vMerge w:val="restart"/>
            <w:tcBorders>
              <w:top w:val="nil" w:sz="6" w:space="0" w:color="auto"/>
              <w:left w:val="single" w:sz="4" w:space="0" w:color="000000"/>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1276" w:type="dxa"/>
            <w:vMerge/>
            <w:tcBorders>
              <w:left w:val="single" w:sz="4" w:space="0" w:color="000000"/>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1" w:type="dxa"/>
            <w:vMerge/>
            <w:tcBorders>
              <w:left w:val="single" w:sz="4" w:space="0" w:color="000000"/>
              <w:right w:val="single" w:sz="4" w:space="0" w:color="000000"/>
            </w:tcBorders>
            <w:shd w:val="clear" w:color="auto" w:fill="D2D2D2"/>
          </w:tcPr>
          <w:p>
            <w:pPr/>
          </w:p>
        </w:tc>
        <w:tc>
          <w:tcPr>
            <w:tcW w:w="1062"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87" w:type="dxa"/>
            <w:vMerge/>
            <w:tcBorders>
              <w:left w:val="single" w:sz="4" w:space="0" w:color="000000"/>
              <w:bottom w:val="single" w:sz="4" w:space="0" w:color="000000"/>
              <w:right w:val="single" w:sz="4" w:space="0" w:color="000000"/>
            </w:tcBorders>
            <w:shd w:val="clear" w:color="auto" w:fill="D2D2D2"/>
          </w:tcPr>
          <w:p>
            <w:pPr/>
          </w:p>
        </w:tc>
        <w:tc>
          <w:tcPr>
            <w:tcW w:w="100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r>
      <w:tr>
        <w:trPr>
          <w:trHeight w:val="36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他综合收益</w:t>
            </w:r>
          </w:p>
        </w:tc>
        <w:tc>
          <w:tcPr>
            <w:tcW w:w="1004"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3" w:firstLine="540"/>
              <w:jc w:val="left"/>
              <w:rPr>
                <w:rFonts w:ascii="宋体" w:hAnsi="宋体" w:cs="宋体" w:eastAsia="宋体" w:hint="default"/>
                <w:sz w:val="18"/>
                <w:szCs w:val="18"/>
              </w:rPr>
            </w:pPr>
            <w:r>
              <w:rPr>
                <w:rFonts w:ascii="宋体" w:hAnsi="宋体" w:cs="宋体" w:eastAsia="宋体" w:hint="default"/>
                <w:sz w:val="18"/>
                <w:szCs w:val="18"/>
              </w:rPr>
              <w:t>可供出售金融资产公允 价值变动损益</w:t>
            </w:r>
          </w:p>
        </w:tc>
        <w:tc>
          <w:tcPr>
            <w:tcW w:w="1004"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23" w:firstLine="540"/>
              <w:jc w:val="left"/>
              <w:rPr>
                <w:rFonts w:ascii="宋体" w:hAnsi="宋体" w:cs="宋体" w:eastAsia="宋体" w:hint="default"/>
                <w:sz w:val="18"/>
                <w:szCs w:val="18"/>
              </w:rPr>
            </w:pPr>
            <w:r>
              <w:rPr>
                <w:rFonts w:ascii="宋体" w:hAnsi="宋体" w:cs="宋体" w:eastAsia="宋体" w:hint="default"/>
                <w:sz w:val="18"/>
                <w:szCs w:val="18"/>
              </w:rPr>
              <w:t>持有至到期投资重分类 为可供出售金融资产损益</w:t>
            </w:r>
          </w:p>
        </w:tc>
        <w:tc>
          <w:tcPr>
            <w:tcW w:w="1004"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现金流量套期损益的有</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效部分</w:t>
            </w:r>
          </w:p>
        </w:tc>
        <w:tc>
          <w:tcPr>
            <w:tcW w:w="1004" w:type="dxa"/>
            <w:tcBorders>
              <w:top w:val="single" w:sz="4" w:space="0" w:color="000000"/>
              <w:left w:val="single" w:sz="13" w:space="0" w:color="D2D2D2"/>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85,640.42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3,371,293.98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3,371,293.98</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3,456,934.40</w:t>
            </w:r>
          </w:p>
        </w:tc>
      </w:tr>
      <w:tr>
        <w:trPr>
          <w:trHeight w:val="402" w:hRule="exact"/>
        </w:trPr>
        <w:tc>
          <w:tcPr>
            <w:tcW w:w="23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100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85,640.42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3,371,293.98</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3,371,293.98</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2" w:right="0"/>
              <w:jc w:val="left"/>
              <w:rPr>
                <w:rFonts w:ascii="Times New Roman" w:hAnsi="Times New Roman" w:cs="Times New Roman" w:eastAsia="Times New Roman" w:hint="default"/>
                <w:sz w:val="18"/>
                <w:szCs w:val="18"/>
              </w:rPr>
            </w:pPr>
            <w:r>
              <w:rPr>
                <w:rFonts w:ascii="Times New Roman"/>
                <w:sz w:val="18"/>
              </w:rPr>
              <w:t>0.00</w:t>
            </w:r>
          </w:p>
        </w:tc>
        <w:tc>
          <w:tcPr>
            <w:tcW w:w="10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3,456,934.40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49、专项储备" w:id="317"/>
      <w:bookmarkEnd w:id="317"/>
      <w:r>
        <w:rPr>
          <w:b w:val="0"/>
          <w:bCs w:val="0"/>
        </w:rPr>
      </w:r>
      <w:r>
        <w:rPr>
          <w:rFonts w:ascii="Times New Roman" w:hAnsi="Times New Roman" w:cs="Times New Roman" w:eastAsia="Times New Roman" w:hint="default"/>
        </w:rPr>
        <w:t>49</w:t>
      </w:r>
      <w:r>
        <w:rPr/>
        <w:t>、专项储备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50、盈余公积" w:id="318"/>
      <w:bookmarkEnd w:id="318"/>
      <w:r>
        <w:rPr>
          <w:b w:val="0"/>
          <w:bCs w:val="0"/>
        </w:rPr>
      </w:r>
      <w:r>
        <w:rPr>
          <w:rFonts w:ascii="Times New Roman" w:hAnsi="Times New Roman" w:cs="Times New Roman" w:eastAsia="Times New Roman" w:hint="default"/>
        </w:rPr>
        <w:t>50</w:t>
      </w:r>
      <w:r>
        <w:rPr/>
        <w:t>、盈余公积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20,940,069.95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3,102,826.69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24,042,896.64</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428,814.07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428,814.07</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储备基金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434,825.95</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434,825.95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企业发展基金</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853,966.34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853,966.34</w:t>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22,657,676.31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3,102,826.69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25,760,503.00</w:t>
            </w:r>
          </w:p>
        </w:tc>
      </w:tr>
    </w:tbl>
    <w:p>
      <w:pPr>
        <w:pStyle w:val="BodyText"/>
        <w:spacing w:line="357" w:lineRule="auto" w:before="51"/>
        <w:ind w:left="534" w:right="5002" w:hanging="381"/>
        <w:jc w:val="left"/>
      </w:pPr>
      <w:r>
        <w:rPr/>
        <w:t>盈余公积说明，包括本期增减变动情况、变动原因说明： 根据公司章程规定，按公司当期净利润的</w:t>
      </w:r>
      <w:r>
        <w:rPr>
          <w:rFonts w:ascii="Times New Roman" w:hAnsi="Times New Roman" w:cs="Times New Roman" w:eastAsia="Times New Roman" w:hint="default"/>
        </w:rPr>
        <w:t>10%</w:t>
      </w:r>
      <w:r>
        <w:rPr/>
        <w:t>提取法定盈余公积金。</w:t>
      </w:r>
    </w:p>
    <w:p>
      <w:pPr>
        <w:spacing w:line="240" w:lineRule="auto" w:before="5"/>
        <w:rPr>
          <w:rFonts w:ascii="宋体" w:hAnsi="宋体" w:cs="宋体" w:eastAsia="宋体" w:hint="default"/>
          <w:sz w:val="18"/>
          <w:szCs w:val="18"/>
        </w:rPr>
      </w:pPr>
    </w:p>
    <w:p>
      <w:pPr>
        <w:pStyle w:val="Heading4"/>
        <w:spacing w:line="240" w:lineRule="auto"/>
        <w:ind w:right="0"/>
        <w:jc w:val="left"/>
        <w:rPr>
          <w:b w:val="0"/>
          <w:bCs w:val="0"/>
        </w:rPr>
      </w:pPr>
      <w:bookmarkStart w:name="51、未分配利润" w:id="319"/>
      <w:bookmarkEnd w:id="319"/>
      <w:r>
        <w:rPr>
          <w:b w:val="0"/>
          <w:bCs w:val="0"/>
        </w:rPr>
      </w:r>
      <w:r>
        <w:rPr>
          <w:rFonts w:ascii="Times New Roman" w:hAnsi="Times New Roman" w:cs="Times New Roman" w:eastAsia="Times New Roman" w:hint="default"/>
        </w:rPr>
        <w:t>51</w:t>
      </w:r>
      <w:r>
        <w:rPr/>
        <w:t>、未分配利润</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93,952,015.24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96,335,269.67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93,952,015.24</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96,335,269.67</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21,062,083.21</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74,956,482.53</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3,102,826.69</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5,339,736.96</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714"/>
        <w:gridCol w:w="2936"/>
        <w:gridCol w:w="2919"/>
      </w:tblGrid>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54,000,000.00</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72,000,000.00</w:t>
            </w:r>
          </w:p>
        </w:tc>
      </w:tr>
      <w:tr>
        <w:trPr>
          <w:trHeight w:val="402" w:hRule="exact"/>
        </w:trPr>
        <w:tc>
          <w:tcPr>
            <w:tcW w:w="37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57,911,271.76</w:t>
            </w:r>
          </w:p>
        </w:tc>
        <w:tc>
          <w:tcPr>
            <w:tcW w:w="29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93,952,015.24</w:t>
            </w:r>
          </w:p>
        </w:tc>
      </w:tr>
    </w:tbl>
    <w:p>
      <w:pPr>
        <w:pStyle w:val="BodyText"/>
        <w:spacing w:line="240" w:lineRule="auto" w:before="51"/>
        <w:ind w:right="0"/>
        <w:jc w:val="left"/>
      </w:pPr>
      <w:r>
        <w:rPr/>
        <w:t>调整期初未分配利润明细：</w:t>
      </w:r>
    </w:p>
    <w:p>
      <w:pPr>
        <w:pStyle w:val="BodyText"/>
        <w:spacing w:line="240" w:lineRule="auto" w:before="117"/>
        <w:ind w:right="0"/>
        <w:jc w:val="left"/>
      </w:pPr>
      <w:r>
        <w:rPr>
          <w:rFonts w:ascii="Times New Roman" w:hAnsi="Times New Roman" w:cs="Times New Roman" w:eastAsia="Times New Roman" w:hint="default"/>
        </w:rPr>
        <w:t>1)</w:t>
      </w:r>
      <w:r>
        <w:rPr/>
        <w:t>、由于《企业会计准则》及其相关新规定进行追溯调整，影响期初未分配利润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2)</w:t>
      </w:r>
      <w:r>
        <w:rPr/>
        <w:t>、由于会计政策变更，影响期初未分配利润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3"/>
        <w:ind w:right="0"/>
        <w:jc w:val="left"/>
      </w:pPr>
      <w:r>
        <w:rPr>
          <w:rFonts w:ascii="Times New Roman" w:hAnsi="Times New Roman" w:cs="Times New Roman" w:eastAsia="Times New Roman" w:hint="default"/>
        </w:rPr>
        <w:t>3)</w:t>
      </w:r>
      <w:r>
        <w:rPr/>
        <w:t>、由于重大会计差错更正，影响期初未分配利润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240" w:lineRule="auto" w:before="102"/>
        <w:ind w:right="0"/>
        <w:jc w:val="left"/>
      </w:pPr>
      <w:r>
        <w:rPr>
          <w:rFonts w:ascii="Times New Roman" w:hAnsi="Times New Roman" w:cs="Times New Roman" w:eastAsia="Times New Roman" w:hint="default"/>
        </w:rPr>
        <w:t>4)</w:t>
      </w:r>
      <w:r>
        <w:rPr/>
        <w:t>、由于同一控制导致的合并范围变更，影响期初未分配利润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rPr>
        <w:t>5)</w:t>
      </w:r>
      <w:r>
        <w:rPr/>
        <w:t>、其他调整合计影响期初未分配利润</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0"/>
        <w:rPr>
          <w:rFonts w:ascii="宋体" w:hAnsi="宋体" w:cs="宋体" w:eastAsia="宋体" w:hint="default"/>
          <w:sz w:val="25"/>
          <w:szCs w:val="25"/>
        </w:rPr>
      </w:pPr>
    </w:p>
    <w:p>
      <w:pPr>
        <w:pStyle w:val="Heading4"/>
        <w:spacing w:line="240" w:lineRule="auto"/>
        <w:ind w:right="0"/>
        <w:jc w:val="left"/>
        <w:rPr>
          <w:b w:val="0"/>
          <w:bCs w:val="0"/>
        </w:rPr>
      </w:pPr>
      <w:bookmarkStart w:name="52、营业收入和营业成本" w:id="320"/>
      <w:bookmarkEnd w:id="320"/>
      <w:r>
        <w:rPr>
          <w:b w:val="0"/>
          <w:bCs w:val="0"/>
        </w:rPr>
      </w:r>
      <w:r>
        <w:rPr>
          <w:rFonts w:ascii="Times New Roman" w:hAnsi="Times New Roman" w:cs="Times New Roman" w:eastAsia="Times New Roman" w:hint="default"/>
        </w:rPr>
        <w:t>52</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7"/>
        <w:gridCol w:w="1914"/>
        <w:gridCol w:w="1914"/>
        <w:gridCol w:w="1914"/>
      </w:tblGrid>
      <w:tr>
        <w:trPr>
          <w:trHeight w:val="206" w:hRule="exact"/>
        </w:trPr>
        <w:tc>
          <w:tcPr>
            <w:tcW w:w="19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83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1" w:hRule="exact"/>
        </w:trPr>
        <w:tc>
          <w:tcPr>
            <w:tcW w:w="19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1" w:type="dxa"/>
            <w:gridSpan w:val="2"/>
            <w:vMerge/>
            <w:tcBorders>
              <w:left w:val="single" w:sz="4" w:space="0" w:color="000000"/>
              <w:bottom w:val="single" w:sz="4" w:space="0" w:color="000000"/>
              <w:right w:val="single" w:sz="4" w:space="0" w:color="000000"/>
            </w:tcBorders>
            <w:shd w:val="clear" w:color="auto" w:fill="D2D2D2"/>
          </w:tcPr>
          <w:p>
            <w:pPr/>
          </w:p>
        </w:tc>
        <w:tc>
          <w:tcPr>
            <w:tcW w:w="3828" w:type="dxa"/>
            <w:gridSpan w:val="2"/>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1912" w:type="dxa"/>
            <w:vMerge/>
            <w:tcBorders>
              <w:left w:val="single" w:sz="4" w:space="0" w:color="000000"/>
              <w:bottom w:val="nil" w:sz="6" w:space="0" w:color="auto"/>
              <w:right w:val="single" w:sz="4" w:space="0" w:color="000000"/>
            </w:tcBorders>
            <w:shd w:val="clear" w:color="auto" w:fill="D2D2D2"/>
          </w:tcPr>
          <w:p>
            <w:pPr/>
          </w:p>
        </w:tc>
        <w:tc>
          <w:tcPr>
            <w:tcW w:w="191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6" w:hRule="exact"/>
        </w:trPr>
        <w:tc>
          <w:tcPr>
            <w:tcW w:w="1912"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7"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c>
          <w:tcPr>
            <w:tcW w:w="191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369,281,216.23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221,176,989.52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504,510,269.50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270,641,404.86</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369,281,216.23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221,176,989.52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504,510,269.50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270,641,404.86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3、税金及附加" w:id="321"/>
      <w:bookmarkEnd w:id="321"/>
      <w:r>
        <w:rPr>
          <w:b w:val="0"/>
          <w:bCs w:val="0"/>
        </w:rPr>
      </w:r>
      <w:r>
        <w:rPr>
          <w:rFonts w:ascii="Times New Roman" w:hAnsi="Times New Roman" w:cs="Times New Roman" w:eastAsia="Times New Roman" w:hint="default"/>
        </w:rPr>
        <w:t>53</w:t>
      </w:r>
      <w:r>
        <w:rPr/>
        <w:t>、税金及附加</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消费税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691,609.66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988,571.01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488,623.82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706,122.07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资源税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13,916.70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393.25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60.00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15,900.00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14,440.00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290,621.30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430,088.50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文化事业建设费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757,617.20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130,948.91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水利建设基金</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14,274.27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18,977.87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河道管理费</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1,242.73</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10,043.57</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10,794.61</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2,282,999.81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2,301,287.70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4、销售费用" w:id="322"/>
      <w:bookmarkEnd w:id="322"/>
      <w:r>
        <w:rPr>
          <w:b w:val="0"/>
          <w:bCs w:val="0"/>
        </w:rPr>
      </w:r>
      <w:r>
        <w:rPr>
          <w:rFonts w:ascii="Times New Roman" w:hAnsi="Times New Roman" w:cs="Times New Roman" w:eastAsia="Times New Roman" w:hint="default"/>
        </w:rPr>
        <w:t>54</w:t>
      </w:r>
      <w:r>
        <w:rPr/>
        <w:t>、销售费用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60,787,799.85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61,992,347.04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6,361,212.85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5,899,215.45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顾问费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2,658,377.65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2,293,671.95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2,246,872.67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2,068,006.04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1,492,249.39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550,532.96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1,204,651.94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1,098,497.51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584,591.22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813,987.00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464,254.72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589,366.50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2,109,349.96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1,095,667.59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77,909,360.25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76,401,292.04</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5、管理费用" w:id="323"/>
      <w:bookmarkEnd w:id="323"/>
      <w:r>
        <w:rPr>
          <w:b w:val="0"/>
          <w:bCs w:val="0"/>
        </w:rPr>
      </w:r>
      <w:r>
        <w:rPr>
          <w:rFonts w:ascii="Times New Roman" w:hAnsi="Times New Roman" w:cs="Times New Roman" w:eastAsia="Times New Roman" w:hint="default"/>
        </w:rPr>
        <w:t>55</w:t>
      </w:r>
      <w:r>
        <w:rPr/>
        <w:t>、管理费用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14,895,395.90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16,485,699.28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1,995,769.06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1,636,271.91</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1,683,486.20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2,020,598.44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1,389,072.96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1,526,636.60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顾问费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1,242,418.81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2,900,738.44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1,165,181.49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1,084,421.49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摊销费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697,927.18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955,648.64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405,808.44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351,615.79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387,748.65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724,212.42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1,981,026.74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5,160,580.12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25,843,835.43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32,846,423.13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6、研发费用" w:id="324"/>
      <w:bookmarkEnd w:id="324"/>
      <w:r>
        <w:rPr>
          <w:b w:val="0"/>
          <w:bCs w:val="0"/>
        </w:rPr>
      </w:r>
      <w:r>
        <w:rPr>
          <w:rFonts w:ascii="Times New Roman" w:hAnsi="Times New Roman" w:cs="Times New Roman" w:eastAsia="Times New Roman" w:hint="default"/>
        </w:rPr>
        <w:t>56</w:t>
      </w:r>
      <w:r>
        <w:rPr/>
        <w:t>、研发费用</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12,351,974.67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15,982,567.09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1,784,726.40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1,786,059.73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物业管理费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229,170.72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220,986.06</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折旧摊销费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219,691.01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137,735.85</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62,881.10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588,718.09</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33,083.82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125,739.32</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370.73</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14,684,127.72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18,842,176.87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7、财务费用" w:id="325"/>
      <w:bookmarkEnd w:id="325"/>
      <w:r>
        <w:rPr>
          <w:b w:val="0"/>
          <w:bCs w:val="0"/>
        </w:rPr>
      </w:r>
      <w:r>
        <w:rPr>
          <w:rFonts w:ascii="Times New Roman" w:hAnsi="Times New Roman" w:cs="Times New Roman" w:eastAsia="Times New Roman" w:hint="default"/>
        </w:rPr>
        <w:t>57</w:t>
      </w:r>
      <w:r>
        <w:rPr/>
        <w:t>、财务费用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1,307,177.78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366,850.00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1,587,048.66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1,430,883.64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33,511.38</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101,880.50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99,450.84</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-177,990.38</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-931,071.42</w:t>
            </w:r>
            <w:r>
              <w:rPr>
                <w:rFonts w:ascii="Times New Roman"/>
                <w:sz w:val="18"/>
              </w:rPr>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58、资产减值损失" w:id="326"/>
      <w:bookmarkEnd w:id="326"/>
      <w:r>
        <w:rPr>
          <w:b w:val="0"/>
          <w:bCs w:val="0"/>
        </w:rPr>
      </w:r>
      <w:r>
        <w:rPr>
          <w:rFonts w:ascii="Times New Roman" w:hAnsi="Times New Roman" w:cs="Times New Roman" w:eastAsia="Times New Roman" w:hint="default"/>
        </w:rPr>
        <w:t>58</w:t>
      </w:r>
      <w:r>
        <w:rPr/>
        <w:t>、资产减值损失</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1,015,471.55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4,749,162.36</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80,000.00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1,060,670.47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1,095,471.55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5,809,832.83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9、其他收益" w:id="327"/>
      <w:bookmarkEnd w:id="327"/>
      <w:r>
        <w:rPr>
          <w:b w:val="0"/>
          <w:bCs w:val="0"/>
        </w:rPr>
      </w:r>
      <w:r>
        <w:rPr>
          <w:rFonts w:ascii="Times New Roman" w:hAnsi="Times New Roman" w:cs="Times New Roman" w:eastAsia="Times New Roman" w:hint="default"/>
        </w:rPr>
        <w:t>59</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1"/>
        <w:gridCol w:w="3190"/>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朝阳区发改委上市专项资金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朝阳区文创办平台引导资金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1,183,400.00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北京文化创意产业投贷奖资金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418,228.00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165,587.98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137,044.16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186,588.79</w:t>
            </w:r>
          </w:p>
        </w:tc>
      </w:tr>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残保金奖励费用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4,123.30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5,408,383.44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186,588.79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0、投资收益" w:id="328"/>
      <w:bookmarkEnd w:id="328"/>
      <w:r>
        <w:rPr>
          <w:b w:val="0"/>
          <w:bCs w:val="0"/>
        </w:rPr>
      </w:r>
      <w:r>
        <w:rPr>
          <w:rFonts w:ascii="Times New Roman" w:hAnsi="Times New Roman" w:cs="Times New Roman" w:eastAsia="Times New Roman" w:hint="default"/>
        </w:rPr>
        <w:t>60</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3"/>
        <w:gridCol w:w="2918"/>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2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-893,454.20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2,262,959.47</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w w:val="95"/>
                <w:sz w:val="18"/>
              </w:rPr>
              <w:t>-893,454.20</w:t>
            </w:r>
            <w:r>
              <w:rPr>
                <w:rFonts w:ascii="Times New Roman"/>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2,262,959.47</w:t>
            </w:r>
          </w:p>
        </w:tc>
      </w:tr>
    </w:tbl>
    <w:p>
      <w:pPr>
        <w:pStyle w:val="BodyText"/>
        <w:spacing w:line="240" w:lineRule="auto" w:before="51"/>
        <w:ind w:right="0"/>
        <w:jc w:val="left"/>
      </w:pPr>
      <w:r>
        <w:rPr/>
        <w:t>其他说明：</w:t>
      </w:r>
    </w:p>
    <w:p>
      <w:pPr>
        <w:pStyle w:val="BodyText"/>
        <w:spacing w:line="240" w:lineRule="auto" w:before="116"/>
        <w:ind w:left="444" w:right="0"/>
        <w:jc w:val="left"/>
      </w:pPr>
      <w:r>
        <w:rPr/>
        <w:t>本期发生额为对北京威维体育文化有限公司和链极智能科技（上海）有限公司权益法下确认的投资收益。</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1、公允价值变动收益" w:id="329"/>
      <w:bookmarkEnd w:id="329"/>
      <w:r>
        <w:rPr>
          <w:b w:val="0"/>
          <w:bCs w:val="0"/>
        </w:rPr>
      </w:r>
      <w:r>
        <w:rPr>
          <w:rFonts w:ascii="Times New Roman" w:hAnsi="Times New Roman" w:cs="Times New Roman" w:eastAsia="Times New Roman" w:hint="default"/>
        </w:rPr>
        <w:t>61</w:t>
      </w:r>
      <w:r>
        <w:rPr/>
        <w:t>、公允价值变动收益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06"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2、资产处置收益" w:id="330"/>
      <w:bookmarkEnd w:id="330"/>
      <w:r>
        <w:rPr>
          <w:b w:val="0"/>
          <w:bCs w:val="0"/>
        </w:rPr>
      </w:r>
      <w:r>
        <w:rPr>
          <w:rFonts w:ascii="Times New Roman" w:hAnsi="Times New Roman" w:cs="Times New Roman" w:eastAsia="Times New Roman" w:hint="default"/>
        </w:rPr>
        <w:t>62</w:t>
      </w:r>
      <w:r>
        <w:rPr/>
        <w:t>、资产处置收益</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79"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78,260.19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3、营业外收入" w:id="331"/>
      <w:bookmarkEnd w:id="331"/>
      <w:r>
        <w:rPr>
          <w:b w:val="0"/>
          <w:bCs w:val="0"/>
        </w:rPr>
      </w:r>
      <w:r>
        <w:rPr>
          <w:rFonts w:ascii="Times New Roman" w:hAnsi="Times New Roman" w:cs="Times New Roman" w:eastAsia="Times New Roman" w:hint="default"/>
        </w:rPr>
        <w:t>63</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4、营业外支出" w:id="332"/>
      <w:bookmarkEnd w:id="332"/>
      <w:r>
        <w:rPr>
          <w:b w:val="0"/>
          <w:bCs w:val="0"/>
        </w:rPr>
      </w:r>
      <w:r>
        <w:rPr>
          <w:rFonts w:ascii="Times New Roman" w:hAnsi="Times New Roman" w:cs="Times New Roman" w:eastAsia="Times New Roman" w:hint="default"/>
        </w:rPr>
        <w:t>64</w:t>
      </w:r>
      <w:r>
        <w:rPr/>
        <w:t>、营业外支出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8"/>
        <w:gridCol w:w="2396"/>
        <w:gridCol w:w="2392"/>
        <w:gridCol w:w="2392"/>
      </w:tblGrid>
      <w:tr>
        <w:trPr>
          <w:trHeight w:val="161" w:hRule="exact"/>
        </w:trPr>
        <w:tc>
          <w:tcPr>
            <w:tcW w:w="2378"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6"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2"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7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2D2D2"/>
          </w:tcPr>
          <w:p>
            <w:pPr/>
          </w:p>
        </w:tc>
      </w:tr>
      <w:tr>
        <w:trPr>
          <w:trHeight w:val="161" w:hRule="exact"/>
        </w:trPr>
        <w:tc>
          <w:tcPr>
            <w:tcW w:w="2378"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6"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2"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39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66,338.00</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66,338.00</w:t>
            </w:r>
          </w:p>
        </w:tc>
      </w:tr>
      <w:tr>
        <w:trPr>
          <w:trHeight w:val="403" w:hRule="exact"/>
        </w:trPr>
        <w:tc>
          <w:tcPr>
            <w:tcW w:w="237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非流动资产毁损报废损失</w:t>
            </w:r>
          </w:p>
        </w:tc>
        <w:tc>
          <w:tcPr>
            <w:tcW w:w="2396"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36,887.79</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0"/>
        <w:gridCol w:w="2396"/>
        <w:gridCol w:w="2392"/>
        <w:gridCol w:w="2392"/>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640.29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4,000.00</w:t>
            </w:r>
          </w:p>
        </w:tc>
      </w:tr>
      <w:tr>
        <w:trPr>
          <w:trHeight w:val="402" w:hRule="exact"/>
        </w:trPr>
        <w:tc>
          <w:tcPr>
            <w:tcW w:w="2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70,338.00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37,528.08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70,338.00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65、所得税费用" w:id="333"/>
      <w:bookmarkEnd w:id="333"/>
      <w:r>
        <w:rPr>
          <w:b w:val="0"/>
          <w:bCs w:val="0"/>
        </w:rPr>
      </w:r>
      <w:r>
        <w:rPr>
          <w:rFonts w:ascii="Times New Roman" w:hAnsi="Times New Roman" w:cs="Times New Roman" w:eastAsia="Times New Roman" w:hint="default"/>
        </w:rPr>
        <w:t>65</w:t>
      </w:r>
      <w:r>
        <w:rPr/>
        <w:t>、所得税费用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所得税费用表" w:id="334"/>
      <w:bookmarkEnd w:id="334"/>
      <w:r>
        <w:rPr>
          <w:b w:val="0"/>
          <w:bCs w:val="0"/>
        </w:rPr>
      </w:r>
      <w:r>
        <w:rPr/>
        <w:t>（</w:t>
      </w:r>
      <w:r>
        <w:rPr>
          <w:rFonts w:ascii="Times New Roman" w:hAnsi="Times New Roman" w:cs="Times New Roman" w:eastAsia="Times New Roman"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6"/>
        <w:gridCol w:w="3189"/>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9,182,083.55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20,429,956.62</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264,491.76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-1,340,964.01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9,446,575.31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19,088,992.61</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会计利润与所得税费用调整过程" w:id="335"/>
      <w:bookmarkEnd w:id="335"/>
      <w:r>
        <w:rPr>
          <w:b w:val="0"/>
          <w:bCs w:val="0"/>
        </w:rPr>
      </w:r>
      <w:r>
        <w:rPr/>
        <w:t>（</w:t>
      </w:r>
      <w:r>
        <w:rPr>
          <w:rFonts w:ascii="Times New Roman" w:hAnsi="Times New Roman" w:cs="Times New Roman" w:eastAsia="Times New Roman"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57"/>
        <w:gridCol w:w="4800"/>
      </w:tblGrid>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30,989,473.76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Times New Roman" w:hAnsi="Times New Roman" w:cs="Times New Roman" w:eastAsia="Times New Roman" w:hint="default"/>
                <w:sz w:val="18"/>
                <w:szCs w:val="18"/>
              </w:rPr>
              <w:t>/</w:t>
            </w:r>
            <w:r>
              <w:rPr>
                <w:rFonts w:ascii="宋体" w:hAnsi="宋体" w:cs="宋体" w:eastAsia="宋体" w:hint="default"/>
                <w:sz w:val="18"/>
                <w:szCs w:val="18"/>
              </w:rPr>
              <w:t>适用税率计算的所得税费用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7,747,368.44</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123,486.20</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1,311,228.91</w:t>
            </w:r>
          </w:p>
        </w:tc>
      </w:tr>
      <w:tr>
        <w:trPr>
          <w:trHeight w:val="714"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264,491.76</w:t>
            </w:r>
          </w:p>
        </w:tc>
      </w:tr>
      <w:tr>
        <w:trPr>
          <w:trHeight w:val="402" w:hRule="exact"/>
        </w:trPr>
        <w:tc>
          <w:tcPr>
            <w:tcW w:w="4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80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9,446,575.31</w:t>
            </w:r>
          </w:p>
        </w:tc>
      </w:tr>
    </w:tbl>
    <w:p>
      <w:pPr>
        <w:spacing w:line="240" w:lineRule="auto" w:before="2"/>
        <w:rPr>
          <w:rFonts w:ascii="宋体" w:hAnsi="宋体" w:cs="宋体" w:eastAsia="宋体" w:hint="default"/>
          <w:sz w:val="19"/>
          <w:szCs w:val="19"/>
        </w:rPr>
      </w:pPr>
    </w:p>
    <w:p>
      <w:pPr>
        <w:spacing w:line="544" w:lineRule="auto" w:before="35"/>
        <w:ind w:left="154" w:right="8855" w:firstLine="0"/>
        <w:jc w:val="left"/>
        <w:rPr>
          <w:rFonts w:ascii="宋体" w:hAnsi="宋体" w:cs="宋体" w:eastAsia="宋体" w:hint="default"/>
          <w:sz w:val="21"/>
          <w:szCs w:val="21"/>
        </w:rPr>
      </w:pPr>
      <w:bookmarkStart w:name="66、其他综合收益" w:id="336"/>
      <w:bookmarkEnd w:id="336"/>
      <w:r>
        <w:rPr/>
      </w:r>
      <w:r>
        <w:rPr>
          <w:rFonts w:ascii="Times New Roman" w:hAnsi="Times New Roman" w:cs="Times New Roman" w:eastAsia="Times New Roman" w:hint="default"/>
          <w:b/>
          <w:bCs/>
          <w:sz w:val="21"/>
          <w:szCs w:val="21"/>
        </w:rPr>
        <w:t>66</w:t>
      </w:r>
      <w:r>
        <w:rPr>
          <w:rFonts w:ascii="宋体" w:hAnsi="宋体" w:cs="宋体" w:eastAsia="宋体" w:hint="default"/>
          <w:b/>
          <w:bCs/>
          <w:sz w:val="21"/>
          <w:szCs w:val="21"/>
        </w:rPr>
        <w:t>、其他综合收益</w:t>
      </w:r>
      <w:r>
        <w:rPr>
          <w:rFonts w:ascii="宋体" w:hAnsi="宋体" w:cs="宋体" w:eastAsia="宋体" w:hint="default"/>
          <w:b/>
          <w:bCs/>
          <w:spacing w:val="1"/>
          <w:w w:val="99"/>
          <w:sz w:val="21"/>
          <w:szCs w:val="21"/>
        </w:rPr>
        <w:t> </w:t>
      </w:r>
      <w:r>
        <w:rPr>
          <w:rFonts w:ascii="宋体" w:hAnsi="宋体" w:cs="宋体" w:eastAsia="宋体" w:hint="default"/>
          <w:sz w:val="18"/>
          <w:szCs w:val="18"/>
        </w:rPr>
        <w:t>详见附注</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48</w:t>
      </w:r>
      <w:r>
        <w:rPr>
          <w:rFonts w:ascii="宋体" w:hAnsi="宋体" w:cs="宋体" w:eastAsia="宋体" w:hint="default"/>
          <w:sz w:val="18"/>
          <w:szCs w:val="18"/>
        </w:rPr>
        <w:t>。 </w:t>
      </w:r>
      <w:bookmarkStart w:name="67、现金流量表项目" w:id="337"/>
      <w:bookmarkEnd w:id="337"/>
      <w:r>
        <w:rPr>
          <w:rFonts w:ascii="宋体" w:hAnsi="宋体" w:cs="宋体" w:eastAsia="宋体" w:hint="default"/>
          <w:sz w:val="18"/>
          <w:szCs w:val="18"/>
        </w:rPr>
      </w:r>
      <w:r>
        <w:rPr>
          <w:rFonts w:ascii="Times New Roman" w:hAnsi="Times New Roman" w:cs="Times New Roman" w:eastAsia="Times New Roman" w:hint="default"/>
          <w:b/>
          <w:bCs/>
          <w:sz w:val="21"/>
          <w:szCs w:val="21"/>
        </w:rPr>
        <w:t>67</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8"/>
        <w:ind w:right="0"/>
        <w:jc w:val="left"/>
        <w:rPr>
          <w:b w:val="0"/>
          <w:bCs w:val="0"/>
        </w:rPr>
      </w:pPr>
      <w:bookmarkStart w:name="（1）收到的其他与经营活动有关的现金" w:id="338"/>
      <w:bookmarkEnd w:id="338"/>
      <w:r>
        <w:rPr>
          <w:b w:val="0"/>
          <w:bCs w:val="0"/>
        </w:rPr>
      </w: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收到的押金与借支款项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46,596,340.38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29,688,938.42</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收到的补贴款项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5,408,383.44</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零星其他收到</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4,963,082.05</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3,936,620.69</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收到的利息</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1,587,048.66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1,207,266.74</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58,554,854.53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34,832,825.85</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支付的其他与经营活动有关的现金" w:id="339"/>
      <w:bookmarkEnd w:id="339"/>
      <w:r>
        <w:rPr>
          <w:b w:val="0"/>
          <w:bCs w:val="0"/>
        </w:rPr>
      </w: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支付的押金与借支款项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47,171,095.93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42,535,533.10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支付的费用性支出</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36,422,269.13</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41,364,425.83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支付的手续费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107,296.52</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41,126.93</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83,700,661.58</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83,941,085.86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收到的其他与投资活动有关的现金" w:id="340"/>
      <w:bookmarkEnd w:id="340"/>
      <w:r>
        <w:rPr>
          <w:b w:val="0"/>
          <w:bCs w:val="0"/>
        </w:rPr>
      </w: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报告期内无收到的其他与投资活动有关的现金</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支付的其他与投资活动有关的现金" w:id="341"/>
      <w:bookmarkEnd w:id="341"/>
      <w:r>
        <w:rPr>
          <w:b w:val="0"/>
          <w:bCs w:val="0"/>
        </w:rPr>
      </w: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支付装修款</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10,256,000.00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收到的其他与筹资活动有关的现金" w:id="342"/>
      <w:bookmarkEnd w:id="342"/>
      <w:r>
        <w:rPr>
          <w:b w:val="0"/>
          <w:bCs w:val="0"/>
        </w:rPr>
      </w: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报告期内无收到的其他与筹资活动有关的现金</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支付的其他与筹资活动有关的现金" w:id="343"/>
      <w:bookmarkEnd w:id="343"/>
      <w:r>
        <w:rPr>
          <w:b w:val="0"/>
          <w:bCs w:val="0"/>
        </w:rPr>
      </w: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4"/>
        <w:gridCol w:w="3189"/>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回购股份</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39,999,113.66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支付上市中介费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12,367,075.98</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39,999,113.66</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12,367,075.98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979" w:top="1060" w:bottom="1160" w:left="980" w:right="0"/>
        </w:sectPr>
      </w:pPr>
    </w:p>
    <w:p>
      <w:pPr>
        <w:spacing w:line="240" w:lineRule="auto" w:before="10"/>
        <w:rPr>
          <w:rFonts w:ascii="宋体" w:hAnsi="宋体" w:cs="宋体" w:eastAsia="宋体" w:hint="default"/>
          <w:sz w:val="24"/>
          <w:szCs w:val="24"/>
        </w:rPr>
      </w:pPr>
      <w:r>
        <w:rPr/>
        <w:pict>
          <v:group style="position:absolute;margin-left:223.339996pt;margin-top:423.309998pt;width:151.25pt;height:20.7pt;mso-position-horizontal-relative:page;mso-position-vertical-relative:page;z-index:-970672" coordorigin="4467,8466" coordsize="3025,414">
            <v:group style="position:absolute;left:4478;top:8478;width:2;height:392" coordorigin="4478,8478" coordsize="2,392">
              <v:shape style="position:absolute;left:4478;top:8478;width:2;height:392" coordorigin="4478,8478" coordsize="0,392" path="m4478,8478l4478,8869e" filled="false" stroked="true" strokeweight="1.140pt" strokecolor="#ffffff">
                <v:path arrowok="t"/>
              </v:shape>
            </v:group>
            <v:group style="position:absolute;left:4490;top:8478;width:3002;height:392" coordorigin="4490,8478" coordsize="3002,392">
              <v:shape style="position:absolute;left:4490;top:8478;width:3002;height:392" coordorigin="4490,8478" coordsize="3002,392" path="m4490,8869l7491,8869,7491,8478,4490,8478,4490,8869xe" filled="true" fillcolor="#ffffff" stroked="false">
                <v:path arrowok="t"/>
                <v:fill type="solid"/>
              </v:shape>
            </v:group>
            <w10:wrap type="none"/>
          </v:group>
        </w:pict>
      </w:r>
    </w:p>
    <w:p>
      <w:pPr>
        <w:pStyle w:val="Heading4"/>
        <w:spacing w:line="240" w:lineRule="auto" w:before="35"/>
        <w:ind w:right="0"/>
        <w:jc w:val="left"/>
        <w:rPr>
          <w:b w:val="0"/>
          <w:bCs w:val="0"/>
        </w:rPr>
      </w:pPr>
      <w:bookmarkStart w:name="68、现金流量表补充资料" w:id="344"/>
      <w:bookmarkEnd w:id="344"/>
      <w:r>
        <w:rPr>
          <w:b w:val="0"/>
          <w:bCs w:val="0"/>
        </w:rPr>
      </w:r>
      <w:r>
        <w:rPr>
          <w:rFonts w:ascii="Times New Roman" w:hAnsi="Times New Roman" w:cs="Times New Roman" w:eastAsia="Times New Roman" w:hint="default"/>
        </w:rPr>
        <w:t>68</w:t>
      </w:r>
      <w:r>
        <w:rPr/>
        <w:t>、现金流量表补充资料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现金流量表补充资料" w:id="345"/>
      <w:bookmarkEnd w:id="345"/>
      <w:r>
        <w:rPr>
          <w:b w:val="0"/>
          <w:bCs w:val="0"/>
        </w:rPr>
      </w:r>
      <w:r>
        <w:rPr/>
        <w:t>（</w:t>
      </w:r>
      <w:r>
        <w:rPr>
          <w:rFonts w:ascii="Times New Roman" w:hAnsi="Times New Roman" w:cs="Times New Roman" w:eastAsia="Times New Roman"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1152"/>
        <w:gridCol w:w="1917"/>
        <w:gridCol w:w="3184"/>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89" w:right="0"/>
              <w:jc w:val="left"/>
              <w:rPr>
                <w:rFonts w:ascii="Times New Roman" w:hAnsi="Times New Roman" w:cs="Times New Roman" w:eastAsia="Times New Roman" w:hint="default"/>
                <w:sz w:val="18"/>
                <w:szCs w:val="18"/>
              </w:rPr>
            </w:pPr>
            <w:r>
              <w:rPr>
                <w:rFonts w:ascii="Times New Roman"/>
                <w:sz w:val="18"/>
              </w:rPr>
              <w:t>21,542,898.45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81,922,000.06</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1,095,471.55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5,809,832.83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 物资产折旧</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2,605,704.28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2,480,602.82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706,497.30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963,656.44</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1,494,004.01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1,029,188.89</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41"/>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 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-78,260.19</w:t>
            </w:r>
            <w:r>
              <w:rPr>
                <w:rFonts w:ascii="Times New Roman"/>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36,887.79</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1,307,177.78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366,850.00</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893,454.20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-2,262,959.47</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pacing w:val="-3"/>
                <w:sz w:val="18"/>
                <w:szCs w:val="18"/>
              </w:rPr>
              <w:t>递延所得税资产减少（增加以</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号填列</w:t>
            </w:r>
          </w:p>
        </w:tc>
        <w:tc>
          <w:tcPr>
            <w:tcW w:w="1152" w:type="dxa"/>
            <w:tcBorders>
              <w:top w:val="single" w:sz="4" w:space="0" w:color="000000"/>
              <w:left w:val="single" w:sz="13" w:space="0" w:color="D2D2D2"/>
              <w:bottom w:val="single" w:sz="4" w:space="0" w:color="000000"/>
              <w:right w:val="nil" w:sz="6" w:space="0" w:color="auto"/>
            </w:tcBorders>
          </w:tcPr>
          <w:p>
            <w:pPr>
              <w:pStyle w:val="TableParagraph"/>
              <w:spacing w:line="240" w:lineRule="auto" w:before="52"/>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1917"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2"/>
              <w:ind w:left="1078" w:right="0"/>
              <w:jc w:val="left"/>
              <w:rPr>
                <w:rFonts w:ascii="Times New Roman" w:hAnsi="Times New Roman" w:cs="Times New Roman" w:eastAsia="Times New Roman" w:hint="default"/>
                <w:sz w:val="18"/>
                <w:szCs w:val="18"/>
              </w:rPr>
            </w:pPr>
            <w:r>
              <w:rPr>
                <w:rFonts w:ascii="Times New Roman"/>
                <w:sz w:val="18"/>
              </w:rPr>
              <w:t>264,491.76</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-1,340,964.01</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2019" w:right="0"/>
              <w:jc w:val="left"/>
              <w:rPr>
                <w:rFonts w:ascii="Times New Roman" w:hAnsi="Times New Roman" w:cs="Times New Roman" w:eastAsia="Times New Roman" w:hint="default"/>
                <w:sz w:val="18"/>
                <w:szCs w:val="18"/>
              </w:rPr>
            </w:pPr>
            <w:r>
              <w:rPr>
                <w:rFonts w:ascii="Times New Roman"/>
                <w:sz w:val="18"/>
              </w:rPr>
              <w:t>-7,222,676.99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7,965,786.83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899" w:right="0"/>
              <w:jc w:val="left"/>
              <w:rPr>
                <w:rFonts w:ascii="Times New Roman" w:hAnsi="Times New Roman" w:cs="Times New Roman" w:eastAsia="Times New Roman" w:hint="default"/>
                <w:sz w:val="18"/>
                <w:szCs w:val="18"/>
              </w:rPr>
            </w:pPr>
            <w:r>
              <w:rPr>
                <w:rFonts w:ascii="Times New Roman"/>
                <w:sz w:val="18"/>
              </w:rPr>
              <w:t>153,315,096.79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-147,815,216.53</w:t>
            </w:r>
          </w:p>
        </w:tc>
      </w:tr>
      <w:tr>
        <w:trPr>
          <w:trHeight w:val="714"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52"/>
              <w:ind w:left="11" w:right="61"/>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929" w:right="0"/>
              <w:jc w:val="left"/>
              <w:rPr>
                <w:rFonts w:ascii="Times New Roman" w:hAnsi="Times New Roman" w:cs="Times New Roman" w:eastAsia="Times New Roman" w:hint="default"/>
                <w:sz w:val="18"/>
                <w:szCs w:val="18"/>
              </w:rPr>
            </w:pPr>
            <w:r>
              <w:rPr>
                <w:rFonts w:ascii="Times New Roman"/>
                <w:sz w:val="18"/>
              </w:rPr>
              <w:t>-61,635,498.59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21,082,823.73</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05" w:right="0"/>
              <w:jc w:val="left"/>
              <w:rPr>
                <w:rFonts w:ascii="Times New Roman" w:hAnsi="Times New Roman" w:cs="Times New Roman" w:eastAsia="Times New Roman" w:hint="default"/>
                <w:sz w:val="18"/>
                <w:szCs w:val="18"/>
              </w:rPr>
            </w:pPr>
            <w:r>
              <w:rPr>
                <w:rFonts w:ascii="Times New Roman"/>
                <w:sz w:val="18"/>
              </w:rPr>
              <w:t>114,288,360.35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-29,761,510.62</w:t>
            </w:r>
          </w:p>
        </w:tc>
      </w:tr>
      <w:tr>
        <w:trPr>
          <w:trHeight w:val="161" w:hRule="exact"/>
        </w:trPr>
        <w:tc>
          <w:tcPr>
            <w:tcW w:w="3305" w:type="dxa"/>
            <w:vMerge w:val="restart"/>
            <w:tcBorders>
              <w:top w:val="single" w:sz="4" w:space="0" w:color="000000"/>
              <w:left w:val="single" w:sz="4" w:space="0" w:color="000000"/>
              <w:right w:val="single" w:sz="4" w:space="0" w:color="000000"/>
            </w:tcBorders>
            <w:shd w:val="clear" w:color="auto" w:fill="D2D2D2"/>
          </w:tcPr>
          <w:p>
            <w:pPr>
              <w:pStyle w:val="TableParagraph"/>
              <w:spacing w:line="300" w:lineRule="auto" w:before="52"/>
              <w:ind w:left="11" w:right="13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 动：</w:t>
            </w:r>
          </w:p>
        </w:tc>
        <w:tc>
          <w:tcPr>
            <w:tcW w:w="3069"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318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3305" w:type="dxa"/>
            <w:vMerge/>
            <w:tcBorders>
              <w:left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61" w:hRule="exact"/>
        </w:trPr>
        <w:tc>
          <w:tcPr>
            <w:tcW w:w="3305" w:type="dxa"/>
            <w:vMerge/>
            <w:tcBorders>
              <w:left w:val="single" w:sz="4" w:space="0" w:color="000000"/>
              <w:bottom w:val="single" w:sz="4" w:space="0" w:color="000000"/>
              <w:right w:val="single" w:sz="4" w:space="0" w:color="000000"/>
            </w:tcBorders>
            <w:shd w:val="clear" w:color="auto" w:fill="D2D2D2"/>
          </w:tcPr>
          <w:p>
            <w:pPr/>
          </w:p>
        </w:tc>
        <w:tc>
          <w:tcPr>
            <w:tcW w:w="3069"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318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30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210,948,882.39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259,040,480.88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899" w:right="0"/>
              <w:jc w:val="left"/>
              <w:rPr>
                <w:rFonts w:ascii="Times New Roman" w:hAnsi="Times New Roman" w:cs="Times New Roman" w:eastAsia="Times New Roman" w:hint="default"/>
                <w:sz w:val="18"/>
                <w:szCs w:val="18"/>
              </w:rPr>
            </w:pPr>
            <w:r>
              <w:rPr>
                <w:rFonts w:ascii="Times New Roman"/>
                <w:sz w:val="18"/>
              </w:rPr>
              <w:t>259,040,480.88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106,337,488.35</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9"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1929" w:right="0"/>
              <w:jc w:val="left"/>
              <w:rPr>
                <w:rFonts w:ascii="Times New Roman" w:hAnsi="Times New Roman" w:cs="Times New Roman" w:eastAsia="Times New Roman" w:hint="default"/>
                <w:sz w:val="18"/>
                <w:szCs w:val="18"/>
              </w:rPr>
            </w:pPr>
            <w:r>
              <w:rPr>
                <w:rFonts w:ascii="Times New Roman"/>
                <w:sz w:val="18"/>
              </w:rPr>
              <w:t>-48,091,598.49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152,702,992.53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本期支付的取得子公司的现金净额" w:id="346"/>
      <w:bookmarkEnd w:id="346"/>
      <w:r>
        <w:rPr>
          <w:b w:val="0"/>
          <w:bCs w:val="0"/>
        </w:rPr>
      </w:r>
      <w:r>
        <w:rPr/>
        <w:t>（</w:t>
      </w:r>
      <w:r>
        <w:rPr>
          <w:rFonts w:ascii="Times New Roman" w:hAnsi="Times New Roman" w:cs="Times New Roman" w:eastAsia="Times New Roman" w:hint="default"/>
        </w:rPr>
        <w:t>2</w:t>
      </w:r>
      <w:r>
        <w:rPr/>
        <w:t>）本期支付的取得子公司的现金净额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无</w:t>
      </w:r>
    </w:p>
    <w:p>
      <w:pPr>
        <w:spacing w:after="0" w:line="240" w:lineRule="auto"/>
        <w:jc w:val="left"/>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本期收到的处置子公司的现金净额" w:id="347"/>
      <w:bookmarkEnd w:id="347"/>
      <w:r>
        <w:rPr>
          <w:b w:val="0"/>
          <w:bCs w:val="0"/>
        </w:rPr>
      </w:r>
      <w:r>
        <w:rPr/>
        <w:t>（</w:t>
      </w:r>
      <w:r>
        <w:rPr>
          <w:rFonts w:ascii="Times New Roman" w:hAnsi="Times New Roman" w:cs="Times New Roman" w:eastAsia="Times New Roman" w:hint="default"/>
        </w:rPr>
        <w:t>3</w:t>
      </w:r>
      <w:r>
        <w:rPr/>
        <w:t>）本期收到的处置子公司的现金净额</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444"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现金和现金等价物的构成" w:id="348"/>
      <w:bookmarkEnd w:id="348"/>
      <w:r>
        <w:rPr>
          <w:b w:val="0"/>
          <w:bCs w:val="0"/>
        </w:rPr>
      </w:r>
      <w:r>
        <w:rPr/>
        <w:t>（</w:t>
      </w:r>
      <w:r>
        <w:rPr>
          <w:rFonts w:ascii="Times New Roman" w:hAnsi="Times New Roman" w:cs="Times New Roman" w:eastAsia="Times New Roman"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210,948,882.39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259,040,480.88</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196.90</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2,196.42</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551"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210,948,685.49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259,038,284.46</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210,948,882.39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259,040,480.88</w:t>
            </w:r>
          </w:p>
        </w:tc>
      </w:tr>
    </w:tbl>
    <w:p>
      <w:pPr>
        <w:spacing w:line="240" w:lineRule="auto" w:before="2"/>
        <w:rPr>
          <w:rFonts w:ascii="宋体" w:hAnsi="宋体" w:cs="宋体" w:eastAsia="宋体" w:hint="default"/>
          <w:sz w:val="19"/>
          <w:szCs w:val="19"/>
        </w:rPr>
      </w:pPr>
    </w:p>
    <w:p>
      <w:pPr>
        <w:spacing w:line="547" w:lineRule="auto" w:before="35"/>
        <w:ind w:left="154" w:right="6272" w:firstLine="0"/>
        <w:jc w:val="left"/>
        <w:rPr>
          <w:rFonts w:ascii="宋体" w:hAnsi="宋体" w:cs="宋体" w:eastAsia="宋体" w:hint="default"/>
          <w:sz w:val="21"/>
          <w:szCs w:val="21"/>
        </w:rPr>
      </w:pPr>
      <w:bookmarkStart w:name="69、所有者权益变动表项目注释" w:id="349"/>
      <w:bookmarkEnd w:id="349"/>
      <w:r>
        <w:rPr/>
      </w:r>
      <w:r>
        <w:rPr>
          <w:rFonts w:ascii="Times New Roman" w:hAnsi="Times New Roman" w:cs="Times New Roman" w:eastAsia="Times New Roman" w:hint="default"/>
          <w:b/>
          <w:bCs/>
          <w:sz w:val="21"/>
          <w:szCs w:val="21"/>
        </w:rPr>
        <w:t>69</w:t>
      </w:r>
      <w:r>
        <w:rPr>
          <w:rFonts w:ascii="宋体" w:hAnsi="宋体" w:cs="宋体" w:eastAsia="宋体" w:hint="default"/>
          <w:b/>
          <w:bCs/>
          <w:sz w:val="21"/>
          <w:szCs w:val="21"/>
        </w:rPr>
        <w:t>、所有者权益变动表项目注释</w:t>
      </w:r>
      <w:r>
        <w:rPr>
          <w:rFonts w:ascii="宋体" w:hAnsi="宋体" w:cs="宋体" w:eastAsia="宋体" w:hint="default"/>
          <w:b/>
          <w:bCs/>
          <w:w w:val="99"/>
          <w:sz w:val="21"/>
          <w:szCs w:val="21"/>
        </w:rPr>
        <w:t> </w:t>
      </w:r>
      <w:r>
        <w:rPr>
          <w:rFonts w:ascii="宋体" w:hAnsi="宋体" w:cs="宋体" w:eastAsia="宋体" w:hint="default"/>
          <w:sz w:val="18"/>
          <w:szCs w:val="18"/>
        </w:rPr>
        <w:t>报告期不存在上年期末余额进行调整的</w:t>
      </w:r>
      <w:r>
        <w:rPr>
          <w:rFonts w:ascii="Times New Roman" w:hAnsi="Times New Roman" w:cs="Times New Roman" w:eastAsia="Times New Roman" w:hint="default"/>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z w:val="18"/>
          <w:szCs w:val="18"/>
        </w:rPr>
        <w:t>”</w:t>
      </w:r>
      <w:r>
        <w:rPr>
          <w:rFonts w:ascii="宋体" w:hAnsi="宋体" w:cs="宋体" w:eastAsia="宋体" w:hint="default"/>
          <w:sz w:val="18"/>
          <w:szCs w:val="18"/>
        </w:rPr>
        <w:t>项目情况。 </w:t>
      </w:r>
      <w:bookmarkStart w:name="70、所有权或使用权受到限制的资产" w:id="350"/>
      <w:bookmarkEnd w:id="350"/>
      <w:r>
        <w:rPr>
          <w:rFonts w:ascii="宋体" w:hAnsi="宋体" w:cs="宋体" w:eastAsia="宋体" w:hint="default"/>
          <w:sz w:val="18"/>
          <w:szCs w:val="18"/>
        </w:rPr>
      </w:r>
      <w:r>
        <w:rPr>
          <w:rFonts w:ascii="Times New Roman" w:hAnsi="Times New Roman" w:cs="Times New Roman" w:eastAsia="Times New Roman" w:hint="default"/>
          <w:b/>
          <w:bCs/>
          <w:sz w:val="21"/>
          <w:szCs w:val="21"/>
        </w:rPr>
        <w:t>70</w:t>
      </w:r>
      <w:r>
        <w:rPr>
          <w:rFonts w:ascii="宋体" w:hAnsi="宋体" w:cs="宋体" w:eastAsia="宋体" w:hint="default"/>
          <w:b/>
          <w:bCs/>
          <w:sz w:val="21"/>
          <w:szCs w:val="21"/>
        </w:rPr>
        <w:t>、所有权或使用权受到限制的资产</w:t>
      </w:r>
      <w:r>
        <w:rPr>
          <w:rFonts w:ascii="宋体" w:hAnsi="宋体" w:cs="宋体" w:eastAsia="宋体" w:hint="default"/>
          <w:sz w:val="21"/>
          <w:szCs w:val="21"/>
        </w:rPr>
      </w:r>
    </w:p>
    <w:p>
      <w:pPr>
        <w:pStyle w:val="BodyText"/>
        <w:spacing w:line="240" w:lineRule="auto" w:before="50"/>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5"/>
        <w:gridCol w:w="3069"/>
        <w:gridCol w:w="3184"/>
      </w:tblGrid>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995"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886.34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存出投资款</w:t>
            </w:r>
          </w:p>
        </w:tc>
      </w:tr>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9"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2"/>
              <w:ind w:right="13"/>
              <w:jc w:val="right"/>
              <w:rPr>
                <w:rFonts w:ascii="Times New Roman" w:hAnsi="Times New Roman" w:cs="Times New Roman" w:eastAsia="Times New Roman" w:hint="default"/>
                <w:sz w:val="18"/>
                <w:szCs w:val="18"/>
              </w:rPr>
            </w:pPr>
            <w:r>
              <w:rPr>
                <w:rFonts w:ascii="Times New Roman"/>
                <w:sz w:val="18"/>
              </w:rPr>
              <w:t>886.34</w:t>
            </w:r>
          </w:p>
        </w:tc>
        <w:tc>
          <w:tcPr>
            <w:tcW w:w="3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71、外币货币性项目" w:id="351"/>
      <w:bookmarkEnd w:id="351"/>
      <w:r>
        <w:rPr>
          <w:b w:val="0"/>
          <w:bCs w:val="0"/>
        </w:rPr>
      </w:r>
      <w:r>
        <w:rPr>
          <w:rFonts w:ascii="Times New Roman" w:hAnsi="Times New Roman" w:cs="Times New Roman" w:eastAsia="Times New Roman" w:hint="default"/>
        </w:rPr>
        <w:t>71</w:t>
      </w:r>
      <w:r>
        <w:rPr/>
        <w:t>、外币货币性项目</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外币货币性项目" w:id="352"/>
      <w:bookmarkEnd w:id="352"/>
      <w:r>
        <w:rPr>
          <w:b w:val="0"/>
          <w:bCs w:val="0"/>
        </w:rPr>
      </w:r>
      <w:r>
        <w:rPr/>
        <w:t>（</w:t>
      </w:r>
      <w:r>
        <w:rPr>
          <w:rFonts w:ascii="Times New Roman" w:hAnsi="Times New Roman" w:cs="Times New Roman" w:eastAsia="Times New Roman"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495"/>
        <w:gridCol w:w="2294"/>
        <w:gridCol w:w="2391"/>
        <w:gridCol w:w="2389"/>
      </w:tblGrid>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01"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2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1309" w:right="0"/>
              <w:jc w:val="left"/>
              <w:rPr>
                <w:rFonts w:ascii="Times New Roman" w:hAnsi="Times New Roman" w:cs="Times New Roman" w:eastAsia="Times New Roman" w:hint="default"/>
                <w:sz w:val="18"/>
                <w:szCs w:val="18"/>
              </w:rPr>
            </w:pPr>
            <w:r>
              <w:rPr>
                <w:rFonts w:ascii="Times New Roman"/>
                <w:sz w:val="18"/>
              </w:rPr>
              <w:t>5,846,393.99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6.8632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322" w:right="0"/>
              <w:jc w:val="left"/>
              <w:rPr>
                <w:rFonts w:ascii="Times New Roman" w:hAnsi="Times New Roman" w:cs="Times New Roman" w:eastAsia="Times New Roman" w:hint="default"/>
                <w:sz w:val="18"/>
                <w:szCs w:val="18"/>
              </w:rPr>
            </w:pPr>
            <w:r>
              <w:rPr>
                <w:rFonts w:ascii="Times New Roman"/>
                <w:sz w:val="18"/>
              </w:rPr>
              <w:t>40,124,971.23</w:t>
            </w:r>
          </w:p>
        </w:tc>
      </w:tr>
    </w:tbl>
    <w:p>
      <w:pPr>
        <w:spacing w:line="240" w:lineRule="auto" w:before="2"/>
        <w:rPr>
          <w:rFonts w:ascii="宋体" w:hAnsi="宋体" w:cs="宋体" w:eastAsia="宋体" w:hint="default"/>
          <w:sz w:val="19"/>
          <w:szCs w:val="19"/>
        </w:rPr>
      </w:pPr>
    </w:p>
    <w:p>
      <w:pPr>
        <w:pStyle w:val="Heading4"/>
        <w:spacing w:line="259" w:lineRule="auto" w:before="35"/>
        <w:ind w:right="0"/>
        <w:jc w:val="left"/>
        <w:rPr>
          <w:b w:val="0"/>
          <w:bCs w:val="0"/>
        </w:rPr>
      </w:pPr>
      <w:bookmarkStart w:name="（2）境外经营实体说明，包括对于重要的境外经营实体，应披露其境外主要经营地、记账" w:id="353"/>
      <w:bookmarkEnd w:id="353"/>
      <w:r>
        <w:rPr>
          <w:b w:val="0"/>
          <w:bCs w:val="0"/>
        </w:rPr>
      </w:r>
      <w:r>
        <w:rPr/>
        <w:t>（</w:t>
      </w:r>
      <w:r>
        <w:rPr>
          <w:rFonts w:ascii="Times New Roman" w:hAnsi="Times New Roman" w:cs="Times New Roman" w:eastAsia="Times New Roman" w:hint="default"/>
        </w:rPr>
        <w:t>2</w:t>
      </w:r>
      <w:r>
        <w:rPr/>
        <w:t>）境外经营实体说明，包括对于重要的境外经营实体，应披露其境外主要经营地、记账本位币及选择</w:t>
      </w:r>
      <w:r>
        <w:rPr>
          <w:spacing w:val="-74"/>
        </w:rPr>
        <w:t> </w:t>
      </w:r>
      <w:r>
        <w:rPr>
          <w:spacing w:val="-74"/>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72、套期" w:id="354"/>
      <w:bookmarkEnd w:id="354"/>
      <w:r>
        <w:rPr>
          <w:b w:val="0"/>
          <w:bCs w:val="0"/>
        </w:rPr>
      </w:r>
      <w:r>
        <w:rPr>
          <w:rFonts w:ascii="Times New Roman" w:hAnsi="Times New Roman" w:cs="Times New Roman" w:eastAsia="Times New Roman" w:hint="default"/>
        </w:rPr>
        <w:t>72</w:t>
      </w:r>
      <w:r>
        <w:rPr/>
        <w:t>、套期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79" w:right="10134"/>
        <w:jc w:val="center"/>
      </w:pPr>
      <w:r>
        <w:rPr/>
        <w:t>无</w:t>
      </w:r>
    </w:p>
    <w:p>
      <w:pPr>
        <w:spacing w:after="0" w:line="240" w:lineRule="auto"/>
        <w:jc w:val="center"/>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73、政府补助" w:id="355"/>
      <w:bookmarkEnd w:id="355"/>
      <w:r>
        <w:rPr>
          <w:b w:val="0"/>
          <w:bCs w:val="0"/>
        </w:rPr>
      </w:r>
      <w:r>
        <w:rPr>
          <w:rFonts w:ascii="Times New Roman" w:hAnsi="Times New Roman" w:cs="Times New Roman" w:eastAsia="Times New Roman" w:hint="default"/>
        </w:rPr>
        <w:t>73</w:t>
      </w:r>
      <w:r>
        <w:rPr/>
        <w:t>、政府补助</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政府补助基本情况" w:id="356"/>
      <w:bookmarkEnd w:id="356"/>
      <w:r>
        <w:rPr>
          <w:b w:val="0"/>
          <w:bCs w:val="0"/>
        </w:rPr>
      </w:r>
      <w:r>
        <w:rPr/>
        <w:t>（</w:t>
      </w:r>
      <w:r>
        <w:rPr>
          <w:rFonts w:ascii="Times New Roman" w:hAnsi="Times New Roman" w:cs="Times New Roman" w:eastAsia="Times New Roman" w:hint="default"/>
        </w:rPr>
        <w:t>1</w:t>
      </w:r>
      <w:r>
        <w:rPr/>
        <w:t>）政府补助基本情况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列报项目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80" w:right="0"/>
              <w:jc w:val="lef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朝阳区发改委上市专项资金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3,500,000.00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朝阳区文创办平台引导资金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1,183,400.00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1,183,400.00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2"/>
              <w:ind w:left="22" w:right="197"/>
              <w:jc w:val="left"/>
              <w:rPr>
                <w:rFonts w:ascii="宋体" w:hAnsi="宋体" w:cs="宋体" w:eastAsia="宋体" w:hint="default"/>
                <w:sz w:val="18"/>
                <w:szCs w:val="18"/>
              </w:rPr>
            </w:pPr>
            <w:r>
              <w:rPr>
                <w:rFonts w:ascii="宋体" w:hAnsi="宋体" w:cs="宋体" w:eastAsia="宋体" w:hint="default"/>
                <w:sz w:val="18"/>
                <w:szCs w:val="18"/>
              </w:rPr>
              <w:t>北京文化创意产业投贷奖资 金</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418,228.00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418,228.00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稳岗补贴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165,587.98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165,587.98</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个税返还</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137,044.16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137,044.16</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残保金奖励费用</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4,123.30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4,123.30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政府补助退回情况" w:id="357"/>
      <w:bookmarkEnd w:id="357"/>
      <w:r>
        <w:rPr>
          <w:b w:val="0"/>
          <w:bCs w:val="0"/>
        </w:rPr>
      </w:r>
      <w:r>
        <w:rPr/>
        <w:t>（</w:t>
      </w:r>
      <w:r>
        <w:rPr>
          <w:rFonts w:ascii="Times New Roman" w:hAnsi="Times New Roman" w:cs="Times New Roman" w:eastAsia="Times New Roman" w:hint="default"/>
        </w:rPr>
        <w:t>2</w:t>
      </w:r>
      <w:r>
        <w:rPr/>
        <w:t>）政府补助退回情况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74、其他" w:id="358"/>
      <w:bookmarkEnd w:id="358"/>
      <w:r>
        <w:rPr>
          <w:b w:val="0"/>
          <w:bCs w:val="0"/>
        </w:rPr>
      </w:r>
      <w:r>
        <w:rPr>
          <w:rFonts w:ascii="Times New Roman" w:hAnsi="Times New Roman" w:cs="Times New Roman" w:eastAsia="Times New Roman" w:hint="default"/>
        </w:rPr>
        <w:t>74</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79" w:right="10134"/>
        <w:jc w:val="center"/>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八、合并范围的变更" w:id="359"/>
      <w:bookmarkEnd w:id="359"/>
      <w:r>
        <w:rPr>
          <w:b w:val="0"/>
          <w:bCs w:val="0"/>
        </w:rPr>
      </w:r>
      <w:r>
        <w:rPr/>
        <w:t>八、合并范围的变更</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非同一控制下企业合并" w:id="360"/>
      <w:bookmarkEnd w:id="360"/>
      <w:r>
        <w:rPr>
          <w:b w:val="0"/>
          <w:bCs w:val="0"/>
        </w:rPr>
      </w:r>
      <w:r>
        <w:rPr>
          <w:rFonts w:ascii="Times New Roman" w:hAnsi="Times New Roman" w:cs="Times New Roman" w:eastAsia="Times New Roman" w:hint="default"/>
        </w:rPr>
        <w:t>1</w:t>
      </w:r>
      <w:r>
        <w:rPr/>
        <w:t>、非同一控制下企业合并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期发生的非同一控制下企业合并" w:id="361"/>
      <w:bookmarkEnd w:id="361"/>
      <w:r>
        <w:rPr>
          <w:b w:val="0"/>
          <w:bCs w:val="0"/>
        </w:rPr>
      </w:r>
      <w:r>
        <w:rPr/>
        <w:t>（</w:t>
      </w:r>
      <w:r>
        <w:rPr>
          <w:rFonts w:ascii="Times New Roman" w:hAnsi="Times New Roman" w:cs="Times New Roman" w:eastAsia="Times New Roman" w:hint="default"/>
        </w:rPr>
        <w:t>1</w:t>
      </w:r>
      <w:r>
        <w:rPr/>
        <w:t>）本期发生的非同一控制下企业合并</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99" w:right="0"/>
        <w:jc w:val="left"/>
      </w:pPr>
      <w:r>
        <w:rPr/>
        <w:t>本报告期未发生非同一控制下企业合并</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2）合并成本及商誉" w:id="362"/>
      <w:bookmarkEnd w:id="362"/>
      <w:r>
        <w:rPr>
          <w:b w:val="0"/>
          <w:bCs w:val="0"/>
        </w:rPr>
      </w:r>
      <w:r>
        <w:rPr/>
        <w:t>（</w:t>
      </w:r>
      <w:r>
        <w:rPr>
          <w:rFonts w:ascii="Times New Roman" w:hAnsi="Times New Roman" w:cs="Times New Roman" w:eastAsia="Times New Roman" w:hint="default"/>
        </w:rPr>
        <w:t>2</w:t>
      </w:r>
      <w:r>
        <w:rPr/>
        <w:t>）合并成本及商誉</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被购买方于购买日可辨认资产、负债" w:id="363"/>
      <w:bookmarkEnd w:id="363"/>
      <w:r>
        <w:rPr>
          <w:b w:val="0"/>
          <w:bCs w:val="0"/>
        </w:rPr>
      </w:r>
      <w:r>
        <w:rPr/>
        <w:t>（</w:t>
      </w:r>
      <w:r>
        <w:rPr>
          <w:rFonts w:ascii="Times New Roman" w:hAnsi="Times New Roman" w:cs="Times New Roman" w:eastAsia="Times New Roman" w:hint="default"/>
        </w:rPr>
        <w:t>3</w:t>
      </w:r>
      <w:r>
        <w:rPr/>
        <w:t>）被购买方于购买日可辨认资产、负债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购买日之前持有的股权按照公允价值重新计量产生的利得或损失" w:id="364"/>
      <w:bookmarkEnd w:id="364"/>
      <w:r>
        <w:rPr>
          <w:b w:val="0"/>
          <w:bCs w:val="0"/>
        </w:rPr>
      </w:r>
      <w:r>
        <w:rPr/>
        <w:t>（</w:t>
      </w:r>
      <w:r>
        <w:rPr>
          <w:rFonts w:ascii="Times New Roman" w:hAnsi="Times New Roman" w:cs="Times New Roman" w:eastAsia="Times New Roman" w:hint="default"/>
        </w:rPr>
        <w:t>4</w:t>
      </w:r>
      <w:r>
        <w:rPr/>
        <w:t>）购买日之前持有的股权按照公允价值重新计量产生的利得或损失</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是否存在通过多次交易分步实现企业合并且在报告期内取得控制权的交易</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after="0" w:line="240" w:lineRule="auto"/>
        <w:jc w:val="left"/>
        <w:sectPr>
          <w:pgSz w:w="11910" w:h="16840"/>
          <w:pgMar w:header="877"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购买日或合并当期期末无法合理确定合并对价或被购买方可辨认资产、负债公允价值" w:id="365"/>
      <w:bookmarkEnd w:id="365"/>
      <w:r>
        <w:rPr>
          <w:b w:val="0"/>
          <w:bCs w:val="0"/>
        </w:rPr>
      </w:r>
      <w:r>
        <w:rPr/>
        <w:t>（</w:t>
      </w:r>
      <w:r>
        <w:rPr>
          <w:rFonts w:ascii="Times New Roman" w:hAnsi="Times New Roman" w:cs="Times New Roman" w:eastAsia="Times New Roman" w:hint="default"/>
        </w:rPr>
        <w:t>5</w:t>
      </w:r>
      <w:r>
        <w:rPr/>
        <w:t>）购买日或合并当期期末无法合理确定合并对价或被购买方可辨认资产、负债公允价值的相关说明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其他说明" w:id="366"/>
      <w:bookmarkEnd w:id="366"/>
      <w:r>
        <w:rPr>
          <w:b w:val="0"/>
          <w:bCs w:val="0"/>
        </w:rPr>
      </w:r>
      <w:r>
        <w:rPr/>
        <w:t>（</w:t>
      </w:r>
      <w:r>
        <w:rPr>
          <w:rFonts w:ascii="Times New Roman" w:hAnsi="Times New Roman" w:cs="Times New Roman" w:eastAsia="Times New Roman" w:hint="default"/>
        </w:rPr>
        <w:t>6</w:t>
      </w:r>
      <w:r>
        <w:rPr/>
        <w:t>）其他说明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同一控制下企业合并" w:id="367"/>
      <w:bookmarkEnd w:id="367"/>
      <w:r>
        <w:rPr>
          <w:b w:val="0"/>
          <w:bCs w:val="0"/>
        </w:rPr>
      </w:r>
      <w:r>
        <w:rPr>
          <w:rFonts w:ascii="Times New Roman" w:hAnsi="Times New Roman" w:cs="Times New Roman" w:eastAsia="Times New Roman" w:hint="default"/>
        </w:rPr>
        <w:t>2</w:t>
      </w:r>
      <w:r>
        <w:rPr/>
        <w:t>、同一控制下企业合并</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期发生的同一控制下企业合并" w:id="368"/>
      <w:bookmarkEnd w:id="368"/>
      <w:r>
        <w:rPr>
          <w:b w:val="0"/>
          <w:bCs w:val="0"/>
        </w:rPr>
      </w:r>
      <w:r>
        <w:rPr/>
        <w:t>（</w:t>
      </w:r>
      <w:r>
        <w:rPr>
          <w:rFonts w:ascii="Times New Roman" w:hAnsi="Times New Roman" w:cs="Times New Roman" w:eastAsia="Times New Roman" w:hint="default"/>
        </w:rPr>
        <w:t>1</w:t>
      </w:r>
      <w:r>
        <w:rPr/>
        <w:t>）本期发生的同一控制下企业合并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本报告期未发生同一控制下企业合并</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合并成本" w:id="369"/>
      <w:bookmarkEnd w:id="369"/>
      <w:r>
        <w:rPr>
          <w:b w:val="0"/>
          <w:bCs w:val="0"/>
        </w:rPr>
      </w:r>
      <w:r>
        <w:rPr/>
        <w:t>（</w:t>
      </w:r>
      <w:r>
        <w:rPr>
          <w:rFonts w:ascii="Times New Roman" w:hAnsi="Times New Roman" w:cs="Times New Roman" w:eastAsia="Times New Roman" w:hint="default"/>
        </w:rPr>
        <w:t>2</w:t>
      </w:r>
      <w:r>
        <w:rPr/>
        <w:t>）合并成本</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合并日被合并方资产、负债的账面价值" w:id="370"/>
      <w:bookmarkEnd w:id="370"/>
      <w:r>
        <w:rPr>
          <w:b w:val="0"/>
          <w:bCs w:val="0"/>
        </w:rPr>
      </w:r>
      <w:r>
        <w:rPr/>
        <w:t>（</w:t>
      </w:r>
      <w:r>
        <w:rPr>
          <w:rFonts w:ascii="Times New Roman" w:hAnsi="Times New Roman" w:cs="Times New Roman" w:eastAsia="Times New Roman" w:hint="default"/>
        </w:rPr>
        <w:t>3</w:t>
      </w:r>
      <w:r>
        <w:rPr/>
        <w:t>）合并日被合并方资产、负债的账面价值</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反向购买" w:id="371"/>
      <w:bookmarkEnd w:id="371"/>
      <w:r>
        <w:rPr>
          <w:b w:val="0"/>
          <w:bCs w:val="0"/>
        </w:rPr>
      </w:r>
      <w:r>
        <w:rPr>
          <w:rFonts w:ascii="Times New Roman" w:hAnsi="Times New Roman" w:cs="Times New Roman" w:eastAsia="Times New Roman" w:hint="default"/>
        </w:rPr>
        <w:t>3</w:t>
      </w:r>
      <w:r>
        <w:rPr/>
        <w:t>、反向购买</w:t>
      </w:r>
      <w:r>
        <w:rPr>
          <w:b w:val="0"/>
          <w:bCs w:val="0"/>
        </w:rPr>
      </w:r>
    </w:p>
    <w:p>
      <w:pPr>
        <w:spacing w:line="240" w:lineRule="auto" w:before="8"/>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pStyle w:val="BodyText"/>
        <w:spacing w:line="240" w:lineRule="auto" w:before="55"/>
        <w:ind w:left="299"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处置子公司" w:id="372"/>
      <w:bookmarkEnd w:id="372"/>
      <w:r>
        <w:rPr>
          <w:b w:val="0"/>
          <w:bCs w:val="0"/>
        </w:rPr>
      </w:r>
      <w:r>
        <w:rPr>
          <w:rFonts w:ascii="Times New Roman" w:hAnsi="Times New Roman" w:cs="Times New Roman" w:eastAsia="Times New Roman" w:hint="default"/>
        </w:rPr>
        <w:t>4</w:t>
      </w:r>
      <w:r>
        <w:rPr/>
        <w:t>、处置子公司</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是否存在单次处置对子公司投资即丧失控制权的情形</w:t>
      </w:r>
    </w:p>
    <w:p>
      <w:pPr>
        <w:pStyle w:val="BodyText"/>
        <w:spacing w:line="340" w:lineRule="auto" w:before="116"/>
        <w:ind w:right="4992"/>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 是否存在通过多次交易分步处置对子公司投资且在本期丧失控制权的情形</w:t>
      </w:r>
    </w:p>
    <w:p>
      <w:pPr>
        <w:pStyle w:val="BodyText"/>
        <w:spacing w:line="240" w:lineRule="auto" w:before="40"/>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否</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5、其他原因的合并范围变动" w:id="373"/>
      <w:bookmarkEnd w:id="373"/>
      <w:r>
        <w:rPr>
          <w:b w:val="0"/>
          <w:bCs w:val="0"/>
        </w:rPr>
      </w:r>
      <w:r>
        <w:rPr>
          <w:rFonts w:ascii="Times New Roman" w:hAnsi="Times New Roman" w:cs="Times New Roman" w:eastAsia="Times New Roman" w:hint="default"/>
        </w:rPr>
        <w:t>5</w:t>
      </w:r>
      <w:r>
        <w:rPr/>
        <w:t>、其他原因的合并范围变动</w:t>
      </w:r>
      <w:r>
        <w:rPr>
          <w:b w:val="0"/>
          <w:bCs w:val="0"/>
        </w:rPr>
      </w:r>
    </w:p>
    <w:p>
      <w:pPr>
        <w:spacing w:line="240" w:lineRule="auto" w:before="8"/>
        <w:rPr>
          <w:rFonts w:ascii="宋体" w:hAnsi="宋体" w:cs="宋体" w:eastAsia="宋体" w:hint="default"/>
          <w:b/>
          <w:bCs/>
          <w:sz w:val="26"/>
          <w:szCs w:val="26"/>
        </w:rPr>
      </w:pPr>
    </w:p>
    <w:p>
      <w:pPr>
        <w:pStyle w:val="BodyText"/>
        <w:spacing w:line="300" w:lineRule="auto"/>
        <w:ind w:right="0" w:firstLine="397"/>
        <w:jc w:val="left"/>
      </w:pP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05</w:t>
      </w:r>
      <w:r>
        <w:rPr/>
        <w:t>月</w:t>
      </w:r>
      <w:r>
        <w:rPr>
          <w:rFonts w:ascii="Times New Roman" w:hAnsi="Times New Roman" w:cs="Times New Roman" w:eastAsia="Times New Roman" w:hint="default"/>
        </w:rPr>
        <w:t>24</w:t>
      </w:r>
      <w:r>
        <w:rPr/>
        <w:t>日与种房（北京）科技有限公司、邓伟玉、北京财到信息技术有限公司、宜昌泰如丰汇网络科 </w:t>
      </w:r>
      <w:r>
        <w:rPr>
          <w:spacing w:val="-2"/>
        </w:rPr>
        <w:t>技有限公司及丁来滨出资设立子公司北京金色区块网络科技有限公司。</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18</w:t>
      </w:r>
      <w:r>
        <w:rPr>
          <w:spacing w:val="-2"/>
        </w:rPr>
        <w:t>日，宜昌泰如丰汇网络科技有限公司将</w:t>
      </w:r>
      <w:r>
        <w:rPr>
          <w:spacing w:val="-56"/>
        </w:rPr>
        <w:t> </w:t>
      </w:r>
      <w:r>
        <w:rPr>
          <w:spacing w:val="-56"/>
        </w:rPr>
      </w:r>
      <w:r>
        <w:rPr>
          <w:spacing w:val="-1"/>
        </w:rPr>
        <w:t>股权转让给北京墨多客科技中心（有限合伙）。截止</w:t>
      </w:r>
      <w:r>
        <w:rPr>
          <w:rFonts w:ascii="Times New Roman" w:hAnsi="Times New Roman" w:cs="Times New Roman" w:eastAsia="Times New Roman" w:hint="default"/>
          <w:spacing w:val="-1"/>
        </w:rPr>
        <w:t>2018</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日，北京金色区块网络科技有限公司注册资本</w:t>
      </w:r>
      <w:r>
        <w:rPr>
          <w:rFonts w:ascii="Times New Roman" w:hAnsi="Times New Roman" w:cs="Times New Roman" w:eastAsia="Times New Roman" w:hint="default"/>
          <w:spacing w:val="-1"/>
        </w:rPr>
        <w:t>2,000</w:t>
      </w:r>
      <w:r>
        <w:rPr>
          <w:spacing w:val="-1"/>
        </w:rPr>
        <w:t>万元，</w:t>
      </w:r>
      <w:r>
        <w:rPr>
          <w:spacing w:val="-70"/>
        </w:rPr>
        <w:t> </w:t>
      </w:r>
      <w:r>
        <w:rPr/>
        <w:t>实收资本</w:t>
      </w:r>
      <w:r>
        <w:rPr>
          <w:rFonts w:ascii="Times New Roman" w:hAnsi="Times New Roman" w:cs="Times New Roman" w:eastAsia="Times New Roman" w:hint="default"/>
        </w:rPr>
        <w:t>1,400.00</w:t>
      </w:r>
      <w:r>
        <w:rPr/>
        <w:t>万元，法定代表人丁来滨。本公司出资</w:t>
      </w:r>
      <w:r>
        <w:rPr>
          <w:rFonts w:ascii="Times New Roman" w:hAnsi="Times New Roman" w:cs="Times New Roman" w:eastAsia="Times New Roman" w:hint="default"/>
        </w:rPr>
        <w:t>714</w:t>
      </w:r>
      <w:r>
        <w:rPr/>
        <w:t>万元，持股</w:t>
      </w:r>
      <w:r>
        <w:rPr>
          <w:rFonts w:ascii="Times New Roman" w:hAnsi="Times New Roman" w:cs="Times New Roman" w:eastAsia="Times New Roman" w:hint="default"/>
        </w:rPr>
        <w:t>35.7%</w:t>
      </w:r>
      <w:r>
        <w:rPr/>
        <w:t>，为第一大股东，能够控制该公司，本年将其 纳入合并报表范围。</w:t>
      </w:r>
    </w:p>
    <w:p>
      <w:pPr>
        <w:spacing w:after="0" w:line="300" w:lineRule="auto"/>
        <w:jc w:val="left"/>
        <w:sectPr>
          <w:pgSz w:w="11910" w:h="16840"/>
          <w:pgMar w:header="877" w:footer="979" w:top="1060" w:bottom="116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6、其他" w:id="374"/>
      <w:bookmarkEnd w:id="374"/>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九、在其他主体中的权益" w:id="375"/>
      <w:bookmarkEnd w:id="375"/>
      <w:r>
        <w:rPr>
          <w:b w:val="0"/>
          <w:bCs w:val="0"/>
        </w:rPr>
      </w:r>
      <w:r>
        <w:rPr/>
        <w:t>九、在其他主体中的权益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在子公司中的权益" w:id="376"/>
      <w:bookmarkEnd w:id="376"/>
      <w:r>
        <w:rPr>
          <w:b w:val="0"/>
          <w:bCs w:val="0"/>
        </w:rPr>
      </w:r>
      <w:r>
        <w:rPr>
          <w:rFonts w:ascii="Times New Roman" w:hAnsi="Times New Roman" w:cs="Times New Roman" w:eastAsia="Times New Roman" w:hint="default"/>
        </w:rPr>
        <w:t>1</w:t>
      </w:r>
      <w:r>
        <w:rPr/>
        <w:t>、在子公司中的权益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企业集团的构成" w:id="377"/>
      <w:bookmarkEnd w:id="377"/>
      <w:r>
        <w:rPr>
          <w:b w:val="0"/>
          <w:bCs w:val="0"/>
        </w:rPr>
      </w:r>
      <w:r>
        <w:rPr/>
        <w:t>（</w:t>
      </w:r>
      <w:r>
        <w:rPr>
          <w:rFonts w:ascii="Times New Roman" w:hAnsi="Times New Roman" w:cs="Times New Roman" w:eastAsia="Times New Roman"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0"/>
        <w:gridCol w:w="1379"/>
        <w:gridCol w:w="1367"/>
        <w:gridCol w:w="1367"/>
        <w:gridCol w:w="1367"/>
        <w:gridCol w:w="816"/>
        <w:gridCol w:w="1916"/>
      </w:tblGrid>
      <w:tr>
        <w:trPr>
          <w:trHeight w:val="402" w:hRule="exact"/>
        </w:trPr>
        <w:tc>
          <w:tcPr>
            <w:tcW w:w="13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1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9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1" w:hRule="exact"/>
        </w:trPr>
        <w:tc>
          <w:tcPr>
            <w:tcW w:w="1360" w:type="dxa"/>
            <w:vMerge/>
            <w:tcBorders>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8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2" w:right="0"/>
              <w:jc w:val="left"/>
              <w:rPr>
                <w:rFonts w:ascii="宋体" w:hAnsi="宋体" w:cs="宋体" w:eastAsia="宋体" w:hint="default"/>
                <w:sz w:val="18"/>
                <w:szCs w:val="18"/>
              </w:rPr>
            </w:pPr>
            <w:r>
              <w:rPr>
                <w:rFonts w:ascii="宋体" w:hAnsi="宋体" w:cs="宋体" w:eastAsia="宋体" w:hint="default"/>
                <w:sz w:val="18"/>
                <w:szCs w:val="18"/>
              </w:rPr>
              <w:t>间接</w:t>
            </w:r>
          </w:p>
        </w:tc>
        <w:tc>
          <w:tcPr>
            <w:tcW w:w="1916" w:type="dxa"/>
            <w:vMerge/>
            <w:tcBorders>
              <w:left w:val="single" w:sz="4" w:space="0" w:color="000000"/>
              <w:bottom w:val="single" w:sz="4" w:space="0" w:color="000000"/>
              <w:right w:val="single" w:sz="4" w:space="0" w:color="000000"/>
            </w:tcBorders>
            <w:shd w:val="clear" w:color="auto" w:fill="D2D2D2"/>
          </w:tcPr>
          <w:p>
            <w:pP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北京品推宝移动 科技有限公司</w:t>
            </w:r>
          </w:p>
        </w:tc>
        <w:tc>
          <w:tcPr>
            <w:tcW w:w="1379"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秦皇岛宣亚公共 关系顾问有限公 司</w:t>
            </w:r>
          </w:p>
        </w:tc>
        <w:tc>
          <w:tcPr>
            <w:tcW w:w="1379"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河北省秦皇岛市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秦皇岛市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1026" w:hRule="exact"/>
        </w:trPr>
        <w:tc>
          <w:tcPr>
            <w:tcW w:w="13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2"/>
              <w:ind w:left="22" w:right="65"/>
              <w:jc w:val="both"/>
              <w:rPr>
                <w:rFonts w:ascii="宋体" w:hAnsi="宋体" w:cs="宋体" w:eastAsia="宋体" w:hint="default"/>
                <w:sz w:val="18"/>
                <w:szCs w:val="18"/>
              </w:rPr>
            </w:pPr>
            <w:r>
              <w:rPr>
                <w:rFonts w:ascii="宋体" w:hAnsi="宋体" w:cs="宋体" w:eastAsia="宋体" w:hint="default"/>
                <w:sz w:val="18"/>
                <w:szCs w:val="18"/>
              </w:rPr>
              <w:t>宣亚国际品牌管 理（湖南）有限 公司</w:t>
            </w:r>
          </w:p>
        </w:tc>
        <w:tc>
          <w:tcPr>
            <w:tcW w:w="1379"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湖南省长沙市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湖南省长沙市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北京宣亚国际数 字技术有限公司</w:t>
            </w:r>
          </w:p>
        </w:tc>
        <w:tc>
          <w:tcPr>
            <w:tcW w:w="1379"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北京宣亚国际品 牌咨询有限公司</w:t>
            </w:r>
          </w:p>
        </w:tc>
        <w:tc>
          <w:tcPr>
            <w:tcW w:w="1379"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咨询、服务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广州宣亚品牌管 理有限公司</w:t>
            </w:r>
          </w:p>
        </w:tc>
        <w:tc>
          <w:tcPr>
            <w:tcW w:w="1379"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珠海宣亚互动数 字营销有限公司</w:t>
            </w:r>
          </w:p>
        </w:tc>
        <w:tc>
          <w:tcPr>
            <w:tcW w:w="1379"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珠海市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51.00%</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北京新兵连文化 传媒有限公司</w:t>
            </w:r>
          </w:p>
        </w:tc>
        <w:tc>
          <w:tcPr>
            <w:tcW w:w="1379"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文化艺术等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非同一控制下企业合并</w:t>
            </w:r>
          </w:p>
        </w:tc>
      </w:tr>
      <w:tr>
        <w:trPr>
          <w:trHeight w:val="714" w:hRule="exact"/>
        </w:trPr>
        <w:tc>
          <w:tcPr>
            <w:tcW w:w="13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宣亚国际有限公 司</w:t>
            </w:r>
          </w:p>
        </w:tc>
        <w:tc>
          <w:tcPr>
            <w:tcW w:w="1379" w:type="dxa"/>
            <w:tcBorders>
              <w:top w:val="single" w:sz="4" w:space="0" w:color="000000"/>
              <w:left w:val="single" w:sz="13" w:space="0" w:color="D0CECE"/>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美国加利福尼亚 洲尔湾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美国加利福尼亚 洲尔湾</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管理、策划等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r>
        <w:trPr>
          <w:trHeight w:val="715" w:hRule="exact"/>
        </w:trPr>
        <w:tc>
          <w:tcPr>
            <w:tcW w:w="13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北京金色区块网 络科技有限公司</w:t>
            </w:r>
          </w:p>
        </w:tc>
        <w:tc>
          <w:tcPr>
            <w:tcW w:w="1379"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服务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35.70%</w:t>
            </w:r>
          </w:p>
        </w:tc>
        <w:tc>
          <w:tcPr>
            <w:tcW w:w="8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设立</w:t>
            </w:r>
          </w:p>
        </w:tc>
      </w:tr>
    </w:tbl>
    <w:p>
      <w:pPr>
        <w:pStyle w:val="BodyText"/>
        <w:spacing w:line="357" w:lineRule="auto" w:before="51"/>
        <w:ind w:left="299" w:right="6973" w:hanging="146"/>
        <w:jc w:val="left"/>
      </w:pPr>
      <w:r>
        <w:rPr/>
        <w:t>在子公司的持股比例不同于表决权比例的说明： 无</w:t>
      </w:r>
    </w:p>
    <w:p>
      <w:pPr>
        <w:pStyle w:val="BodyText"/>
        <w:spacing w:line="357" w:lineRule="auto" w:before="29"/>
        <w:ind w:left="299" w:right="2833" w:hanging="146"/>
        <w:jc w:val="left"/>
      </w:pPr>
      <w:r>
        <w:rPr/>
        <w:t>持有半数或以下表决权但仍控制被投资单位、以及持有半数以上表决权但不控制被投资单位的依据： 无</w:t>
      </w:r>
    </w:p>
    <w:p>
      <w:pPr>
        <w:pStyle w:val="BodyText"/>
        <w:spacing w:line="357" w:lineRule="auto" w:before="29"/>
        <w:ind w:left="299" w:right="6433" w:hanging="146"/>
        <w:jc w:val="left"/>
      </w:pPr>
      <w:r>
        <w:rPr/>
        <w:t>对于纳入合并范围的重要的结构化主体，控制的依据： 无</w:t>
      </w:r>
    </w:p>
    <w:p>
      <w:pPr>
        <w:spacing w:after="0" w:line="357" w:lineRule="auto"/>
        <w:jc w:val="left"/>
        <w:sectPr>
          <w:pgSz w:w="11910" w:h="16840"/>
          <w:pgMar w:header="877" w:footer="979" w:top="1060" w:bottom="116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299" w:right="7693" w:hanging="146"/>
        <w:jc w:val="left"/>
      </w:pPr>
      <w:r>
        <w:rPr/>
        <w:t>确定公司是代理人还是委托人的依据： 无</w:t>
      </w:r>
    </w:p>
    <w:p>
      <w:pPr>
        <w:spacing w:line="240" w:lineRule="auto" w:before="2"/>
        <w:rPr>
          <w:rFonts w:ascii="宋体" w:hAnsi="宋体" w:cs="宋体" w:eastAsia="宋体" w:hint="default"/>
          <w:sz w:val="20"/>
          <w:szCs w:val="20"/>
        </w:rPr>
      </w:pPr>
    </w:p>
    <w:p>
      <w:pPr>
        <w:pStyle w:val="Heading4"/>
        <w:spacing w:line="240" w:lineRule="auto"/>
        <w:ind w:right="0"/>
        <w:jc w:val="left"/>
        <w:rPr>
          <w:b w:val="0"/>
          <w:bCs w:val="0"/>
        </w:rPr>
      </w:pPr>
      <w:bookmarkStart w:name="（2）重要的非全资子公司" w:id="378"/>
      <w:bookmarkEnd w:id="378"/>
      <w:r>
        <w:rPr>
          <w:b w:val="0"/>
          <w:bCs w:val="0"/>
        </w:rPr>
      </w:r>
      <w:r>
        <w:rPr/>
        <w:t>（</w:t>
      </w:r>
      <w:r>
        <w:rPr>
          <w:rFonts w:ascii="Times New Roman" w:hAnsi="Times New Roman" w:cs="Times New Roman" w:eastAsia="Times New Roman" w:hint="default"/>
        </w:rPr>
        <w:t>2</w:t>
      </w:r>
      <w:r>
        <w:rPr/>
        <w:t>）重要的非全资子公司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7"/>
        <w:gridCol w:w="1914"/>
        <w:gridCol w:w="1914"/>
        <w:gridCol w:w="1913"/>
        <w:gridCol w:w="1913"/>
      </w:tblGrid>
      <w:tr>
        <w:trPr>
          <w:trHeight w:val="763" w:hRule="exact"/>
        </w:trPr>
        <w:tc>
          <w:tcPr>
            <w:tcW w:w="19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76"/>
              <w:ind w:left="591" w:right="51"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49"/>
              <w:jc w:val="right"/>
              <w:rPr>
                <w:rFonts w:ascii="宋体" w:hAnsi="宋体" w:cs="宋体" w:eastAsia="宋体" w:hint="default"/>
                <w:sz w:val="18"/>
                <w:szCs w:val="18"/>
              </w:rPr>
            </w:pPr>
            <w:r>
              <w:rPr>
                <w:rFonts w:ascii="宋体" w:hAnsi="宋体" w:cs="宋体" w:eastAsia="宋体" w:hint="default"/>
                <w:sz w:val="18"/>
                <w:szCs w:val="18"/>
              </w:rPr>
              <w:t>期末少数股东权益余额</w:t>
            </w:r>
          </w:p>
        </w:tc>
      </w:tr>
      <w:tr>
        <w:trPr>
          <w:trHeight w:val="715" w:hRule="exact"/>
        </w:trPr>
        <w:tc>
          <w:tcPr>
            <w:tcW w:w="191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宣亚国际品牌管理（湖 南）有限公司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5" w:right="0"/>
              <w:jc w:val="left"/>
              <w:rPr>
                <w:rFonts w:ascii="Times New Roman" w:hAnsi="Times New Roman" w:cs="Times New Roman" w:eastAsia="Times New Roman" w:hint="default"/>
                <w:sz w:val="18"/>
                <w:szCs w:val="18"/>
              </w:rPr>
            </w:pPr>
            <w:r>
              <w:rPr>
                <w:rFonts w:ascii="Times New Roman"/>
                <w:sz w:val="18"/>
              </w:rPr>
              <w:t>2,363,910.93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936" w:right="0"/>
              <w:jc w:val="left"/>
              <w:rPr>
                <w:rFonts w:ascii="Times New Roman" w:hAnsi="Times New Roman" w:cs="Times New Roman" w:eastAsia="Times New Roman" w:hint="default"/>
                <w:sz w:val="18"/>
                <w:szCs w:val="18"/>
              </w:rPr>
            </w:pPr>
            <w:r>
              <w:rPr>
                <w:rFonts w:ascii="Times New Roman"/>
                <w:sz w:val="18"/>
              </w:rPr>
              <w:t>6,518,104.34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3,098,910.93</w:t>
            </w:r>
          </w:p>
        </w:tc>
      </w:tr>
    </w:tbl>
    <w:p>
      <w:pPr>
        <w:pStyle w:val="BodyText"/>
        <w:spacing w:line="357" w:lineRule="auto" w:before="51"/>
        <w:ind w:left="299" w:right="6433" w:hanging="146"/>
        <w:jc w:val="left"/>
      </w:pPr>
      <w:r>
        <w:rPr/>
        <w:t>子公司少数股东的持股比例不同于表决权比例的说明： 无</w:t>
      </w:r>
    </w:p>
    <w:p>
      <w:pPr>
        <w:spacing w:after="0" w:line="357" w:lineRule="auto"/>
        <w:jc w:val="left"/>
        <w:sectPr>
          <w:pgSz w:w="11910" w:h="16840"/>
          <w:pgMar w:header="877" w:footer="979" w:top="1060" w:bottom="1160" w:left="980" w:right="0"/>
        </w:sectPr>
      </w:pPr>
    </w:p>
    <w:p>
      <w:pPr>
        <w:spacing w:line="240" w:lineRule="auto" w:before="13"/>
        <w:rPr>
          <w:rFonts w:ascii="宋体" w:hAnsi="宋体" w:cs="宋体" w:eastAsia="宋体" w:hint="default"/>
          <w:sz w:val="23"/>
          <w:szCs w:val="23"/>
        </w:rPr>
      </w:pPr>
    </w:p>
    <w:p>
      <w:pPr>
        <w:pStyle w:val="Heading4"/>
        <w:spacing w:line="240" w:lineRule="auto"/>
        <w:ind w:left="140" w:right="0"/>
        <w:jc w:val="left"/>
        <w:rPr>
          <w:b w:val="0"/>
          <w:bCs w:val="0"/>
        </w:rPr>
      </w:pPr>
      <w:r>
        <w:rPr/>
        <w:pict>
          <v:group style="position:absolute;margin-left:70.5pt;margin-top:-.39635pt;width:701pt;height:.1pt;mso-position-horizontal-relative:page;mso-position-vertical-relative:paragraph;z-index:2032" coordorigin="1410,-8" coordsize="14020,2">
            <v:shape style="position:absolute;left:1410;top:-8;width:14020;height:2" coordorigin="1410,-8" coordsize="14020,0" path="m1410,-8l15430,-8e" filled="false" stroked="true" strokeweight=".72pt" strokecolor="#000000">
              <v:path arrowok="t"/>
            </v:shape>
            <w10:wrap type="none"/>
          </v:group>
        </w:pict>
      </w:r>
      <w:bookmarkStart w:name="（3）重要非全资子公司的主要财务信息" w:id="379"/>
      <w:bookmarkEnd w:id="379"/>
      <w:r>
        <w:rPr>
          <w:b w:val="0"/>
          <w:bCs w:val="0"/>
        </w:rPr>
      </w:r>
      <w:r>
        <w:rPr>
          <w:w w:val="95"/>
        </w:rPr>
        <w:t>（</w:t>
      </w:r>
      <w:r>
        <w:rPr>
          <w:rFonts w:ascii="Times New Roman" w:hAnsi="Times New Roman" w:cs="Times New Roman" w:eastAsia="Times New Roman" w:hint="default"/>
          <w:w w:val="95"/>
        </w:rPr>
        <w:t>3</w:t>
      </w:r>
      <w:r>
        <w:rPr>
          <w:w w:val="95"/>
        </w:rPr>
        <w:t>）重要非全资子公司的主要财务信息</w:t>
      </w:r>
      <w:r>
        <w:rPr>
          <w:b w:val="0"/>
          <w:bCs w:val="0"/>
        </w:rPr>
      </w:r>
    </w:p>
    <w:p>
      <w:pPr>
        <w:pStyle w:val="BodyText"/>
        <w:spacing w:line="240" w:lineRule="auto" w:before="15"/>
        <w:ind w:left="140" w:right="0"/>
        <w:jc w:val="left"/>
      </w:pPr>
      <w:r>
        <w:rPr/>
        <w:br w:type="column"/>
      </w:r>
      <w:r>
        <w:rPr/>
        <w:t>宣亚国际品牌管理（北京）股份有限公司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p>
      <w:pPr>
        <w:spacing w:after="0" w:line="240" w:lineRule="auto"/>
        <w:jc w:val="left"/>
        <w:sectPr>
          <w:headerReference w:type="default" r:id="rId28"/>
          <w:footerReference w:type="default" r:id="rId29"/>
          <w:pgSz w:w="16840" w:h="11910" w:orient="landscape"/>
          <w:pgMar w:header="0" w:footer="0" w:top="800" w:bottom="0" w:left="1300" w:right="1260"/>
          <w:cols w:num="2" w:equalWidth="0">
            <w:col w:w="3828" w:space="5183"/>
            <w:col w:w="5269"/>
          </w:cols>
        </w:sectPr>
      </w:pPr>
    </w:p>
    <w:p>
      <w:pPr>
        <w:spacing w:line="240" w:lineRule="auto" w:before="3"/>
        <w:rPr>
          <w:rFonts w:ascii="宋体" w:hAnsi="宋体" w:cs="宋体" w:eastAsia="宋体" w:hint="default"/>
          <w:sz w:val="23"/>
          <w:szCs w:val="23"/>
        </w:rPr>
      </w:pPr>
    </w:p>
    <w:p>
      <w:pPr>
        <w:pStyle w:val="BodyText"/>
        <w:spacing w:line="240" w:lineRule="auto" w:before="44"/>
        <w:ind w:left="0" w:right="176"/>
        <w:jc w:val="right"/>
      </w:pPr>
      <w:r>
        <w:rPr/>
        <w:t>单位： 元</w:t>
      </w:r>
    </w:p>
    <w:p>
      <w:pPr>
        <w:spacing w:line="240" w:lineRule="auto" w:before="0"/>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134"/>
        <w:gridCol w:w="1134"/>
        <w:gridCol w:w="1134"/>
        <w:gridCol w:w="1134"/>
        <w:gridCol w:w="1134"/>
        <w:gridCol w:w="709"/>
        <w:gridCol w:w="1134"/>
        <w:gridCol w:w="1110"/>
        <w:gridCol w:w="1076"/>
        <w:gridCol w:w="1216"/>
        <w:gridCol w:w="1134"/>
        <w:gridCol w:w="710"/>
        <w:gridCol w:w="1255"/>
      </w:tblGrid>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380"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6501"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54"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资产合计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57" w:lineRule="auto" w:before="52"/>
              <w:ind w:left="169" w:right="78"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1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流动资产</w:t>
            </w:r>
          </w:p>
        </w:tc>
        <w:tc>
          <w:tcPr>
            <w:tcW w:w="10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非流动资产</w:t>
            </w:r>
          </w:p>
        </w:tc>
        <w:tc>
          <w:tcPr>
            <w:tcW w:w="1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流动负债</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71"/>
              <w:ind w:left="169" w:right="78"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12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62" w:right="0"/>
              <w:jc w:val="left"/>
              <w:rPr>
                <w:rFonts w:ascii="宋体" w:hAnsi="宋体" w:cs="宋体" w:eastAsia="宋体" w:hint="default"/>
                <w:sz w:val="18"/>
                <w:szCs w:val="18"/>
              </w:rPr>
            </w:pPr>
            <w:r>
              <w:rPr>
                <w:rFonts w:ascii="宋体" w:hAnsi="宋体" w:cs="宋体" w:eastAsia="宋体" w:hint="default"/>
                <w:sz w:val="18"/>
                <w:szCs w:val="18"/>
              </w:rPr>
              <w:t>负债合计</w:t>
            </w:r>
          </w:p>
        </w:tc>
      </w:tr>
      <w:tr>
        <w:trPr>
          <w:trHeight w:val="1200"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39"/>
              <w:ind w:left="22" w:right="21"/>
              <w:jc w:val="left"/>
              <w:rPr>
                <w:rFonts w:ascii="宋体" w:hAnsi="宋体" w:cs="宋体" w:eastAsia="宋体" w:hint="default"/>
                <w:sz w:val="18"/>
                <w:szCs w:val="18"/>
              </w:rPr>
            </w:pPr>
            <w:r>
              <w:rPr>
                <w:rFonts w:ascii="宋体" w:hAnsi="宋体" w:cs="宋体" w:eastAsia="宋体" w:hint="default"/>
                <w:sz w:val="18"/>
                <w:szCs w:val="18"/>
              </w:rPr>
              <w:t>宣亚国际品 牌管理（湖 南）有限公司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8" w:right="0"/>
              <w:jc w:val="center"/>
              <w:rPr>
                <w:rFonts w:ascii="Times New Roman" w:hAnsi="Times New Roman" w:cs="Times New Roman" w:eastAsia="Times New Roman" w:hint="default"/>
                <w:sz w:val="18"/>
                <w:szCs w:val="18"/>
              </w:rPr>
            </w:pPr>
            <w:r>
              <w:rPr>
                <w:rFonts w:ascii="Times New Roman"/>
                <w:sz w:val="18"/>
              </w:rPr>
              <w:t>11,647,854.23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3,513,686.47</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15,161,540.70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8,837,232.67</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55" w:right="0"/>
              <w:jc w:val="left"/>
              <w:rPr>
                <w:rFonts w:ascii="Times New Roman" w:hAnsi="Times New Roman" w:cs="Times New Roman" w:eastAsia="Times New Roman" w:hint="default"/>
                <w:sz w:val="18"/>
                <w:szCs w:val="18"/>
              </w:rPr>
            </w:pPr>
            <w:r>
              <w:rPr>
                <w:rFonts w:ascii="Times New Roman"/>
                <w:sz w:val="18"/>
              </w:rPr>
              <w:t>8,837,232.67</w:t>
            </w:r>
          </w:p>
        </w:tc>
        <w:tc>
          <w:tcPr>
            <w:tcW w:w="11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 w:right="0"/>
              <w:jc w:val="center"/>
              <w:rPr>
                <w:rFonts w:ascii="Times New Roman" w:hAnsi="Times New Roman" w:cs="Times New Roman" w:eastAsia="Times New Roman" w:hint="default"/>
                <w:sz w:val="18"/>
                <w:szCs w:val="18"/>
              </w:rPr>
            </w:pPr>
            <w:r>
              <w:rPr>
                <w:rFonts w:ascii="Times New Roman"/>
                <w:sz w:val="18"/>
              </w:rPr>
              <w:t>24,354,123.76</w:t>
            </w:r>
          </w:p>
        </w:tc>
        <w:tc>
          <w:tcPr>
            <w:tcW w:w="10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77" w:right="0"/>
              <w:jc w:val="center"/>
              <w:rPr>
                <w:rFonts w:ascii="Times New Roman" w:hAnsi="Times New Roman" w:cs="Times New Roman" w:eastAsia="Times New Roman" w:hint="default"/>
                <w:sz w:val="18"/>
                <w:szCs w:val="18"/>
              </w:rPr>
            </w:pPr>
            <w:r>
              <w:rPr>
                <w:rFonts w:ascii="Times New Roman"/>
                <w:sz w:val="18"/>
              </w:rPr>
              <w:t>3,574,327.57</w:t>
            </w:r>
          </w:p>
        </w:tc>
        <w:tc>
          <w:tcPr>
            <w:tcW w:w="1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48" w:right="0"/>
              <w:jc w:val="left"/>
              <w:rPr>
                <w:rFonts w:ascii="Times New Roman" w:hAnsi="Times New Roman" w:cs="Times New Roman" w:eastAsia="Times New Roman" w:hint="default"/>
                <w:sz w:val="18"/>
                <w:szCs w:val="18"/>
              </w:rPr>
            </w:pPr>
            <w:r>
              <w:rPr>
                <w:rFonts w:ascii="Times New Roman"/>
                <w:sz w:val="18"/>
              </w:rPr>
              <w:t>27,928,451.33</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42" w:right="0"/>
              <w:jc w:val="center"/>
              <w:rPr>
                <w:rFonts w:ascii="Times New Roman" w:hAnsi="Times New Roman" w:cs="Times New Roman" w:eastAsia="Times New Roman" w:hint="default"/>
                <w:sz w:val="18"/>
                <w:szCs w:val="18"/>
              </w:rPr>
            </w:pPr>
            <w:r>
              <w:rPr>
                <w:rFonts w:ascii="Times New Roman"/>
                <w:sz w:val="18"/>
              </w:rPr>
              <w:t>10,740,614.77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361" w:right="0"/>
              <w:jc w:val="left"/>
              <w:rPr>
                <w:rFonts w:ascii="Times New Roman" w:hAnsi="Times New Roman" w:cs="Times New Roman" w:eastAsia="Times New Roman" w:hint="default"/>
                <w:sz w:val="18"/>
                <w:szCs w:val="18"/>
              </w:rPr>
            </w:pPr>
            <w:r>
              <w:rPr>
                <w:rFonts w:ascii="Times New Roman"/>
                <w:sz w:val="18"/>
              </w:rPr>
              <w:t>0.00</w:t>
            </w:r>
          </w:p>
        </w:tc>
        <w:tc>
          <w:tcPr>
            <w:tcW w:w="12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88" w:right="0"/>
              <w:jc w:val="left"/>
              <w:rPr>
                <w:rFonts w:ascii="Times New Roman" w:hAnsi="Times New Roman" w:cs="Times New Roman" w:eastAsia="Times New Roman" w:hint="default"/>
                <w:sz w:val="18"/>
                <w:szCs w:val="18"/>
              </w:rPr>
            </w:pPr>
            <w:r>
              <w:rPr>
                <w:rFonts w:ascii="Times New Roman"/>
                <w:sz w:val="18"/>
              </w:rPr>
              <w:t>10,740,614.77</w:t>
            </w:r>
          </w:p>
        </w:tc>
      </w:tr>
    </w:tbl>
    <w:p>
      <w:pPr>
        <w:pStyle w:val="BodyText"/>
        <w:spacing w:line="240" w:lineRule="auto" w:before="51"/>
        <w:ind w:left="0" w:right="176"/>
        <w:jc w:val="right"/>
      </w:pPr>
      <w:r>
        <w:rPr/>
        <w:t>单位： 元</w:t>
      </w:r>
    </w:p>
    <w:p>
      <w:pPr>
        <w:spacing w:line="240" w:lineRule="auto" w:before="1"/>
        <w:rPr>
          <w:rFonts w:ascii="宋体" w:hAnsi="宋体" w:cs="宋体" w:eastAsia="宋体" w:hint="default"/>
          <w:sz w:val="8"/>
          <w:szCs w:val="8"/>
        </w:rPr>
      </w:pPr>
    </w:p>
    <w:tbl>
      <w:tblPr>
        <w:tblW w:w="0" w:type="auto"/>
        <w:jc w:val="left"/>
        <w:tblInd w:w="135" w:type="dxa"/>
        <w:tblLayout w:type="fixed"/>
        <w:tblCellMar>
          <w:top w:w="0" w:type="dxa"/>
          <w:left w:w="0" w:type="dxa"/>
          <w:bottom w:w="0" w:type="dxa"/>
          <w:right w:w="0" w:type="dxa"/>
        </w:tblCellMar>
        <w:tblLook w:val="01E0"/>
      </w:tblPr>
      <w:tblGrid>
        <w:gridCol w:w="1134"/>
        <w:gridCol w:w="1974"/>
        <w:gridCol w:w="1556"/>
        <w:gridCol w:w="1560"/>
        <w:gridCol w:w="1562"/>
        <w:gridCol w:w="1558"/>
        <w:gridCol w:w="1556"/>
        <w:gridCol w:w="1558"/>
        <w:gridCol w:w="1564"/>
      </w:tblGrid>
      <w:tr>
        <w:trPr>
          <w:trHeight w:val="402" w:hRule="exact"/>
        </w:trPr>
        <w:tc>
          <w:tcPr>
            <w:tcW w:w="113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665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623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00" w:hRule="exact"/>
        </w:trPr>
        <w:tc>
          <w:tcPr>
            <w:tcW w:w="1134" w:type="dxa"/>
            <w:vMerge/>
            <w:tcBorders>
              <w:left w:val="single" w:sz="4" w:space="0" w:color="000000"/>
              <w:bottom w:val="single" w:sz="4" w:space="0" w:color="000000"/>
              <w:right w:val="single" w:sz="4" w:space="0" w:color="000000"/>
            </w:tcBorders>
            <w:shd w:val="clear" w:color="auto" w:fill="D2D2D2"/>
          </w:tcPr>
          <w:p>
            <w:pPr/>
          </w:p>
        </w:tc>
        <w:tc>
          <w:tcPr>
            <w:tcW w:w="19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62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4"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54"/>
              <w:jc w:val="right"/>
              <w:rPr>
                <w:rFonts w:ascii="宋体" w:hAnsi="宋体" w:cs="宋体" w:eastAsia="宋体" w:hint="default"/>
                <w:sz w:val="18"/>
                <w:szCs w:val="18"/>
              </w:rPr>
            </w:pPr>
            <w:r>
              <w:rPr>
                <w:rFonts w:ascii="宋体" w:hAnsi="宋体" w:cs="宋体" w:eastAsia="宋体" w:hint="default"/>
                <w:sz w:val="18"/>
                <w:szCs w:val="18"/>
              </w:rPr>
              <w:t>经营活动现金流量</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413"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33"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5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57"/>
              <w:jc w:val="right"/>
              <w:rPr>
                <w:rFonts w:ascii="宋体" w:hAnsi="宋体" w:cs="宋体" w:eastAsia="宋体" w:hint="default"/>
                <w:sz w:val="18"/>
                <w:szCs w:val="18"/>
              </w:rPr>
            </w:pPr>
            <w:r>
              <w:rPr>
                <w:rFonts w:ascii="宋体" w:hAnsi="宋体" w:cs="宋体" w:eastAsia="宋体" w:hint="default"/>
                <w:sz w:val="18"/>
                <w:szCs w:val="18"/>
              </w:rPr>
              <w:t>经营活动现金流量</w:t>
            </w:r>
          </w:p>
        </w:tc>
      </w:tr>
      <w:tr>
        <w:trPr>
          <w:trHeight w:val="1026" w:hRule="exact"/>
        </w:trPr>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z w:val="18"/>
                <w:szCs w:val="18"/>
              </w:rPr>
              <w:t>宣亚国际品 牌管理（湖 南）有限公司</w:t>
            </w:r>
          </w:p>
        </w:tc>
        <w:tc>
          <w:tcPr>
            <w:tcW w:w="1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06" w:right="0"/>
              <w:jc w:val="left"/>
              <w:rPr>
                <w:rFonts w:ascii="Times New Roman" w:hAnsi="Times New Roman" w:cs="Times New Roman" w:eastAsia="Times New Roman" w:hint="default"/>
                <w:sz w:val="18"/>
                <w:szCs w:val="18"/>
              </w:rPr>
            </w:pPr>
            <w:r>
              <w:rPr>
                <w:rFonts w:ascii="Times New Roman"/>
                <w:sz w:val="18"/>
              </w:rPr>
              <w:t>23,790,449.15</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8" w:right="0"/>
              <w:jc w:val="left"/>
              <w:rPr>
                <w:rFonts w:ascii="Times New Roman" w:hAnsi="Times New Roman" w:cs="Times New Roman" w:eastAsia="Times New Roman" w:hint="default"/>
                <w:sz w:val="18"/>
                <w:szCs w:val="18"/>
              </w:rPr>
            </w:pPr>
            <w:r>
              <w:rPr>
                <w:rFonts w:ascii="Times New Roman"/>
                <w:sz w:val="18"/>
              </w:rPr>
              <w:t>4,824,308.03</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82" w:right="0"/>
              <w:jc w:val="left"/>
              <w:rPr>
                <w:rFonts w:ascii="Times New Roman" w:hAnsi="Times New Roman" w:cs="Times New Roman" w:eastAsia="Times New Roman" w:hint="default"/>
                <w:sz w:val="18"/>
                <w:szCs w:val="18"/>
              </w:rPr>
            </w:pPr>
            <w:r>
              <w:rPr>
                <w:rFonts w:ascii="Times New Roman"/>
                <w:sz w:val="18"/>
              </w:rPr>
              <w:t>4,824,308.03</w:t>
            </w:r>
          </w:p>
        </w:tc>
        <w:tc>
          <w:tcPr>
            <w:tcW w:w="1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5,133,950.18</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31,629,761.79</w:t>
            </w:r>
          </w:p>
        </w:tc>
        <w:tc>
          <w:tcPr>
            <w:tcW w:w="15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89" w:right="0"/>
              <w:jc w:val="left"/>
              <w:rPr>
                <w:rFonts w:ascii="Times New Roman" w:hAnsi="Times New Roman" w:cs="Times New Roman" w:eastAsia="Times New Roman" w:hint="default"/>
                <w:sz w:val="18"/>
                <w:szCs w:val="18"/>
              </w:rPr>
            </w:pPr>
            <w:r>
              <w:rPr>
                <w:rFonts w:ascii="Times New Roman"/>
                <w:sz w:val="18"/>
              </w:rPr>
              <w:t>13,009,918.59</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90" w:right="0"/>
              <w:jc w:val="left"/>
              <w:rPr>
                <w:rFonts w:ascii="Times New Roman" w:hAnsi="Times New Roman" w:cs="Times New Roman" w:eastAsia="Times New Roman" w:hint="default"/>
                <w:sz w:val="18"/>
                <w:szCs w:val="18"/>
              </w:rPr>
            </w:pPr>
            <w:r>
              <w:rPr>
                <w:rFonts w:ascii="Times New Roman"/>
                <w:sz w:val="18"/>
              </w:rPr>
              <w:t>13,009,918.59</w:t>
            </w:r>
          </w:p>
        </w:tc>
        <w:tc>
          <w:tcPr>
            <w:tcW w:w="15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14,770,002.31</w:t>
            </w:r>
          </w:p>
        </w:tc>
      </w:tr>
    </w:tbl>
    <w:p>
      <w:pPr>
        <w:spacing w:line="240" w:lineRule="auto" w:before="2"/>
        <w:rPr>
          <w:rFonts w:ascii="宋体" w:hAnsi="宋体" w:cs="宋体" w:eastAsia="宋体" w:hint="default"/>
          <w:sz w:val="19"/>
          <w:szCs w:val="19"/>
        </w:rPr>
      </w:pPr>
    </w:p>
    <w:p>
      <w:pPr>
        <w:pStyle w:val="Heading4"/>
        <w:spacing w:line="240" w:lineRule="auto" w:before="35"/>
        <w:ind w:left="140" w:right="0"/>
        <w:jc w:val="left"/>
        <w:rPr>
          <w:b w:val="0"/>
          <w:bCs w:val="0"/>
        </w:rPr>
      </w:pPr>
      <w:bookmarkStart w:name="（4）使用企业集团资产和清偿企业集团债务的重大限制" w:id="380"/>
      <w:bookmarkEnd w:id="380"/>
      <w:r>
        <w:rPr>
          <w:b w:val="0"/>
          <w:bCs w:val="0"/>
        </w:rPr>
      </w:r>
      <w:r>
        <w:rPr/>
        <w:t>（</w:t>
      </w:r>
      <w:r>
        <w:rPr>
          <w:rFonts w:ascii="Times New Roman" w:hAnsi="Times New Roman" w:cs="Times New Roman" w:eastAsia="Times New Roman" w:hint="default"/>
        </w:rPr>
        <w:t>4</w:t>
      </w:r>
      <w:r>
        <w:rPr/>
        <w:t>）使用企业集团资产和清偿企业集团债务的重大限制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85"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left="140" w:right="0"/>
        <w:jc w:val="left"/>
        <w:rPr>
          <w:b w:val="0"/>
          <w:bCs w:val="0"/>
        </w:rPr>
      </w:pPr>
      <w:bookmarkStart w:name="（5）向纳入合并财务报表范围的结构化主体提供的财务支持或其他支持" w:id="381"/>
      <w:bookmarkEnd w:id="381"/>
      <w:r>
        <w:rPr>
          <w:b w:val="0"/>
          <w:bCs w:val="0"/>
        </w:rPr>
      </w:r>
      <w:r>
        <w:rPr/>
        <w:t>（</w:t>
      </w:r>
      <w:r>
        <w:rPr>
          <w:rFonts w:ascii="Times New Roman" w:hAnsi="Times New Roman" w:cs="Times New Roman" w:eastAsia="Times New Roman" w:hint="default"/>
        </w:rPr>
        <w:t>5</w:t>
      </w:r>
      <w:r>
        <w:rPr/>
        <w:t>）向纳入合并财务报表范围的结构化主体提供的财务支持或其他支持</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85" w:right="0"/>
        <w:jc w:val="left"/>
      </w:pPr>
      <w:r>
        <w:rPr/>
        <w:t>无</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15"/>
          <w:szCs w:val="15"/>
        </w:rPr>
      </w:pPr>
    </w:p>
    <w:p>
      <w:pPr>
        <w:pStyle w:val="BodyText"/>
        <w:spacing w:line="240" w:lineRule="auto" w:before="76"/>
        <w:ind w:left="0" w:right="176"/>
        <w:jc w:val="right"/>
        <w:rPr>
          <w:rFonts w:ascii="Times New Roman" w:hAnsi="Times New Roman" w:cs="Times New Roman" w:eastAsia="Times New Roman" w:hint="default"/>
        </w:rPr>
      </w:pPr>
      <w:r>
        <w:rPr>
          <w:rFonts w:ascii="Times New Roman"/>
        </w:rPr>
        <w:t>154</w:t>
      </w:r>
    </w:p>
    <w:p>
      <w:pPr>
        <w:spacing w:line="240" w:lineRule="auto" w:before="0"/>
        <w:rPr>
          <w:rFonts w:ascii="Times New Roman" w:hAnsi="Times New Roman" w:cs="Times New Roman" w:eastAsia="Times New Roman" w:hint="default"/>
          <w:sz w:val="20"/>
          <w:szCs w:val="20"/>
        </w:rPr>
      </w:pPr>
    </w:p>
    <w:p>
      <w:pPr>
        <w:spacing w:line="240" w:lineRule="auto" w:before="3"/>
        <w:rPr>
          <w:rFonts w:ascii="Times New Roman" w:hAnsi="Times New Roman" w:cs="Times New Roman" w:eastAsia="Times New Roman" w:hint="default"/>
          <w:sz w:val="23"/>
          <w:szCs w:val="23"/>
        </w:rPr>
      </w:pPr>
    </w:p>
    <w:p>
      <w:pPr>
        <w:spacing w:line="371" w:lineRule="exact"/>
        <w:ind w:left="10484"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6"/>
          <w:sz w:val="20"/>
          <w:szCs w:val="20"/>
        </w:rPr>
        <w:drawing>
          <wp:inline distT="0" distB="0" distL="0" distR="0">
            <wp:extent cx="524065" cy="236029"/>
            <wp:effectExtent l="0" t="0" r="0" b="0"/>
            <wp:docPr id="5" name="image1.jpeg" descr=""/>
            <wp:cNvGraphicFramePr>
              <a:graphicFrameLocks noChangeAspect="1"/>
            </wp:cNvGraphicFramePr>
            <a:graphic>
              <a:graphicData uri="http://schemas.openxmlformats.org/drawingml/2006/picture">
                <pic:pic>
                  <pic:nvPicPr>
                    <pic:cNvPr id="6" name="image1.jpeg"/>
                    <pic:cNvPicPr/>
                  </pic:nvPicPr>
                  <pic:blipFill>
                    <a:blip r:embed="rId30" cstate="print"/>
                    <a:stretch>
                      <a:fillRect/>
                    </a:stretch>
                  </pic:blipFill>
                  <pic:spPr>
                    <a:xfrm>
                      <a:off x="0" y="0"/>
                      <a:ext cx="524065" cy="236029"/>
                    </a:xfrm>
                    <a:prstGeom prst="rect">
                      <a:avLst/>
                    </a:prstGeom>
                  </pic:spPr>
                </pic:pic>
              </a:graphicData>
            </a:graphic>
          </wp:inline>
        </w:drawing>
      </w:r>
      <w:r>
        <w:rPr>
          <w:rFonts w:ascii="Times New Roman" w:hAnsi="Times New Roman" w:cs="Times New Roman" w:eastAsia="Times New Roman" w:hint="default"/>
          <w:position w:val="-6"/>
          <w:sz w:val="20"/>
          <w:szCs w:val="20"/>
        </w:rPr>
      </w:r>
    </w:p>
    <w:p>
      <w:pPr>
        <w:spacing w:after="0" w:line="371" w:lineRule="exact"/>
        <w:rPr>
          <w:rFonts w:ascii="Times New Roman" w:hAnsi="Times New Roman" w:cs="Times New Roman" w:eastAsia="Times New Roman" w:hint="default"/>
          <w:sz w:val="20"/>
          <w:szCs w:val="20"/>
        </w:rPr>
        <w:sectPr>
          <w:type w:val="continuous"/>
          <w:pgSz w:w="16840" w:h="11910" w:orient="landscape"/>
          <w:pgMar w:top="1060" w:bottom="1160" w:left="1300" w:right="126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4"/>
        <w:spacing w:line="240" w:lineRule="auto" w:before="158"/>
        <w:ind w:right="0"/>
        <w:jc w:val="left"/>
        <w:rPr>
          <w:b w:val="0"/>
          <w:bCs w:val="0"/>
        </w:rPr>
      </w:pPr>
      <w:bookmarkStart w:name="2、在子公司的所有者权益份额发生变化且仍控制子公司的交易" w:id="382"/>
      <w:bookmarkEnd w:id="382"/>
      <w:r>
        <w:rPr>
          <w:b w:val="0"/>
          <w:bCs w:val="0"/>
        </w:rPr>
      </w:r>
      <w:r>
        <w:rPr>
          <w:rFonts w:ascii="Times New Roman" w:hAnsi="Times New Roman" w:cs="Times New Roman" w:eastAsia="Times New Roman" w:hint="default"/>
        </w:rPr>
        <w:t>2</w:t>
      </w:r>
      <w:r>
        <w:rPr/>
        <w:t>、在子公司的所有者权益份额发生变化且仍控制子公司的交易</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在子公司所有者权益份额发生变化的情况说明" w:id="383"/>
      <w:bookmarkEnd w:id="383"/>
      <w:r>
        <w:rPr>
          <w:b w:val="0"/>
          <w:bCs w:val="0"/>
        </w:rPr>
      </w:r>
      <w:r>
        <w:rPr/>
        <w:t>（</w:t>
      </w:r>
      <w:r>
        <w:rPr>
          <w:rFonts w:ascii="Times New Roman" w:hAnsi="Times New Roman" w:cs="Times New Roman" w:eastAsia="Times New Roman" w:hint="default"/>
        </w:rPr>
        <w:t>1</w:t>
      </w:r>
      <w:r>
        <w:rPr/>
        <w:t>）在子公司所有者权益份额发生变化的情况说明</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0" w:firstLine="325"/>
        <w:jc w:val="left"/>
      </w:pPr>
      <w:r>
        <w:rPr/>
        <w:t>北京周同科技有限公司（以下简称</w:t>
      </w:r>
      <w:r>
        <w:rPr>
          <w:rFonts w:ascii="Times New Roman" w:hAnsi="Times New Roman" w:cs="Times New Roman" w:eastAsia="Times New Roman" w:hint="default"/>
        </w:rPr>
        <w:t>“</w:t>
      </w:r>
      <w:r>
        <w:rPr/>
        <w:t>周同科技</w:t>
      </w:r>
      <w:r>
        <w:rPr>
          <w:rFonts w:ascii="Times New Roman" w:hAnsi="Times New Roman" w:cs="Times New Roman" w:eastAsia="Times New Roman" w:hint="default"/>
        </w:rPr>
        <w:t>”</w:t>
      </w:r>
      <w:r>
        <w:rPr/>
        <w:t>）与宣亚国际品牌管理（北京）股份有限公司及公司全资子公司北京宣亚 </w:t>
      </w:r>
      <w:r>
        <w:rPr>
          <w:spacing w:val="-5"/>
        </w:rPr>
        <w:t>国际数字技术有限公司（注册资本</w:t>
      </w:r>
      <w:r>
        <w:rPr>
          <w:rFonts w:ascii="Times New Roman" w:hAnsi="Times New Roman" w:cs="Times New Roman" w:eastAsia="Times New Roman" w:hint="default"/>
          <w:spacing w:val="-5"/>
        </w:rPr>
        <w:t>1,000</w:t>
      </w:r>
      <w:r>
        <w:rPr>
          <w:spacing w:val="-5"/>
        </w:rPr>
        <w:t>万元，实缴</w:t>
      </w:r>
      <w:r>
        <w:rPr>
          <w:rFonts w:ascii="Times New Roman" w:hAnsi="Times New Roman" w:cs="Times New Roman" w:eastAsia="Times New Roman" w:hint="default"/>
          <w:spacing w:val="-5"/>
        </w:rPr>
        <w:t>500</w:t>
      </w:r>
      <w:r>
        <w:rPr>
          <w:spacing w:val="-5"/>
        </w:rPr>
        <w:t>万元，以下简称</w:t>
      </w:r>
      <w:r>
        <w:rPr>
          <w:rFonts w:ascii="Times New Roman" w:hAnsi="Times New Roman" w:cs="Times New Roman" w:eastAsia="Times New Roman" w:hint="default"/>
          <w:spacing w:val="-5"/>
        </w:rPr>
        <w:t>“</w:t>
      </w:r>
      <w:r>
        <w:rPr>
          <w:spacing w:val="-5"/>
        </w:rPr>
        <w:t>数字技术</w:t>
      </w:r>
      <w:r>
        <w:rPr>
          <w:rFonts w:ascii="Times New Roman" w:hAnsi="Times New Roman" w:cs="Times New Roman" w:eastAsia="Times New Roman" w:hint="default"/>
          <w:spacing w:val="-5"/>
        </w:rPr>
        <w:t>”</w:t>
      </w:r>
      <w:r>
        <w:rPr>
          <w:spacing w:val="-5"/>
        </w:rPr>
        <w:t>）于</w:t>
      </w:r>
      <w:r>
        <w:rPr>
          <w:rFonts w:ascii="Times New Roman" w:hAnsi="Times New Roman" w:cs="Times New Roman" w:eastAsia="Times New Roman" w:hint="default"/>
          <w:spacing w:val="-5"/>
        </w:rPr>
        <w:t>2018</w:t>
      </w:r>
      <w:r>
        <w:rPr>
          <w:spacing w:val="-5"/>
        </w:rPr>
        <w:t>年</w:t>
      </w:r>
      <w:r>
        <w:rPr>
          <w:rFonts w:ascii="Times New Roman" w:hAnsi="Times New Roman" w:cs="Times New Roman" w:eastAsia="Times New Roman" w:hint="default"/>
          <w:spacing w:val="-5"/>
        </w:rPr>
        <w:t>9</w:t>
      </w:r>
      <w:r>
        <w:rPr>
          <w:spacing w:val="-5"/>
        </w:rPr>
        <w:t>月</w:t>
      </w:r>
      <w:r>
        <w:rPr>
          <w:rFonts w:ascii="Times New Roman" w:hAnsi="Times New Roman" w:cs="Times New Roman" w:eastAsia="Times New Roman" w:hint="default"/>
          <w:spacing w:val="-5"/>
        </w:rPr>
        <w:t>1</w:t>
      </w:r>
      <w:r>
        <w:rPr>
          <w:spacing w:val="-5"/>
        </w:rPr>
        <w:t>日签署了《股权转让协议》：</w:t>
      </w:r>
      <w:r>
        <w:rPr>
          <w:spacing w:val="-65"/>
        </w:rPr>
        <w:t> </w:t>
      </w:r>
      <w:r>
        <w:rPr>
          <w:spacing w:val="-65"/>
        </w:rPr>
      </w:r>
      <w:r>
        <w:rPr/>
        <w:t>周同科技以</w:t>
      </w:r>
      <w:r>
        <w:rPr>
          <w:rFonts w:ascii="Times New Roman" w:hAnsi="Times New Roman" w:cs="Times New Roman" w:eastAsia="Times New Roman" w:hint="default"/>
        </w:rPr>
        <w:t>0</w:t>
      </w:r>
      <w:r>
        <w:rPr/>
        <w:t>元受让数字技术</w:t>
      </w:r>
      <w:r>
        <w:rPr>
          <w:rFonts w:ascii="Times New Roman" w:hAnsi="Times New Roman" w:cs="Times New Roman" w:eastAsia="Times New Roman" w:hint="default"/>
        </w:rPr>
        <w:t>49%</w:t>
      </w:r>
      <w:r>
        <w:rPr/>
        <w:t>的股权（对应合计</w:t>
      </w:r>
      <w:r>
        <w:rPr>
          <w:rFonts w:ascii="Times New Roman" w:hAnsi="Times New Roman" w:cs="Times New Roman" w:eastAsia="Times New Roman" w:hint="default"/>
        </w:rPr>
        <w:t>490</w:t>
      </w:r>
      <w:r>
        <w:rPr/>
        <w:t>万元的注册资本，</w:t>
      </w:r>
      <w:r>
        <w:rPr>
          <w:rFonts w:ascii="Times New Roman" w:hAnsi="Times New Roman" w:cs="Times New Roman" w:eastAsia="Times New Roman" w:hint="default"/>
        </w:rPr>
        <w:t>490</w:t>
      </w:r>
      <w:r>
        <w:rPr/>
        <w:t>万元尚未实缴），周同科技按约定应于</w:t>
      </w:r>
      <w:r>
        <w:rPr>
          <w:rFonts w:ascii="Times New Roman" w:hAnsi="Times New Roman" w:cs="Times New Roman" w:eastAsia="Times New Roman" w:hint="default"/>
        </w:rPr>
        <w:t>2018</w:t>
      </w:r>
      <w:r>
        <w:rPr/>
        <w:t>年</w:t>
      </w:r>
      <w:r>
        <w:rPr>
          <w:spacing w:val="-59"/>
        </w:rPr>
        <w:t> </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日之前向数字技术实缴</w:t>
      </w:r>
      <w:r>
        <w:rPr>
          <w:rFonts w:ascii="Times New Roman" w:hAnsi="Times New Roman" w:cs="Times New Roman" w:eastAsia="Times New Roman" w:hint="default"/>
        </w:rPr>
        <w:t>490</w:t>
      </w:r>
      <w:r>
        <w:rPr/>
        <w:t>万元的注册资本，占其</w:t>
      </w:r>
      <w:r>
        <w:rPr>
          <w:rFonts w:ascii="Times New Roman" w:hAnsi="Times New Roman" w:cs="Times New Roman" w:eastAsia="Times New Roman" w:hint="default"/>
        </w:rPr>
        <w:t>49%</w:t>
      </w:r>
      <w:r>
        <w:rPr/>
        <w:t>的股权。</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4"/>
        <w:spacing w:line="240" w:lineRule="auto" w:before="129"/>
        <w:ind w:right="0"/>
        <w:jc w:val="left"/>
        <w:rPr>
          <w:b w:val="0"/>
          <w:bCs w:val="0"/>
        </w:rPr>
      </w:pPr>
      <w:bookmarkStart w:name="（2）交易对于少数股东权益及归属于母公司所有者权益的影响" w:id="384"/>
      <w:bookmarkEnd w:id="384"/>
      <w:r>
        <w:rPr>
          <w:b w:val="0"/>
          <w:bCs w:val="0"/>
        </w:rPr>
      </w:r>
      <w:r>
        <w:rPr/>
        <w:t>（</w:t>
      </w:r>
      <w:r>
        <w:rPr>
          <w:rFonts w:ascii="Times New Roman" w:hAnsi="Times New Roman" w:cs="Times New Roman" w:eastAsia="Times New Roman" w:hint="default"/>
        </w:rPr>
        <w:t>2</w:t>
      </w:r>
      <w:r>
        <w:rPr/>
        <w:t>）交易对于少数股东权益及归属于母公司所有者权益的影响</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2" w:firstLine="397"/>
        <w:jc w:val="left"/>
      </w:pPr>
      <w:r>
        <w:rPr>
          <w:spacing w:val="-2"/>
        </w:rPr>
        <w:t>周同科技以</w:t>
      </w:r>
      <w:r>
        <w:rPr>
          <w:rFonts w:ascii="Times New Roman" w:hAnsi="Times New Roman" w:cs="Times New Roman" w:eastAsia="Times New Roman" w:hint="default"/>
          <w:spacing w:val="-2"/>
        </w:rPr>
        <w:t>0</w:t>
      </w:r>
      <w:r>
        <w:rPr>
          <w:spacing w:val="-2"/>
        </w:rPr>
        <w:t>元受让数字技术</w:t>
      </w:r>
      <w:r>
        <w:rPr>
          <w:rFonts w:ascii="Times New Roman" w:hAnsi="Times New Roman" w:cs="Times New Roman" w:eastAsia="Times New Roman" w:hint="default"/>
          <w:spacing w:val="-2"/>
        </w:rPr>
        <w:t>49%</w:t>
      </w:r>
      <w:r>
        <w:rPr>
          <w:spacing w:val="-2"/>
        </w:rPr>
        <w:t>股权（对应合计金额</w:t>
      </w:r>
      <w:r>
        <w:rPr>
          <w:rFonts w:ascii="Times New Roman" w:hAnsi="Times New Roman" w:cs="Times New Roman" w:eastAsia="Times New Roman" w:hint="default"/>
          <w:spacing w:val="-2"/>
        </w:rPr>
        <w:t>490</w:t>
      </w:r>
      <w:r>
        <w:rPr>
          <w:spacing w:val="-2"/>
        </w:rPr>
        <w:t>万元的注册资本），截止</w:t>
      </w:r>
      <w:r>
        <w:rPr>
          <w:rFonts w:ascii="Times New Roman" w:hAnsi="Times New Roman" w:cs="Times New Roman" w:eastAsia="Times New Roman" w:hint="default"/>
          <w:spacing w:val="-2"/>
        </w:rPr>
        <w:t>2018</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日尚未实缴。此交易于</w:t>
      </w:r>
      <w:r>
        <w:rPr/>
        <w:t> 本年末增加数字技术少数股东权益</w:t>
      </w:r>
      <w:r>
        <w:rPr>
          <w:rFonts w:ascii="Times New Roman" w:hAnsi="Times New Roman" w:cs="Times New Roman" w:eastAsia="Times New Roman" w:hint="default"/>
        </w:rPr>
        <w:t>-39,511.64</w:t>
      </w:r>
      <w:r>
        <w:rPr/>
        <w:t>元，减少母公司所有者权益</w:t>
      </w:r>
      <w:r>
        <w:rPr>
          <w:rFonts w:ascii="Times New Roman" w:hAnsi="Times New Roman" w:cs="Times New Roman" w:eastAsia="Times New Roman" w:hint="default"/>
        </w:rPr>
        <w:t>-39,511.64</w:t>
      </w:r>
      <w:r>
        <w:rPr/>
        <w:t>元。</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3、在合营安排或联营企业中的权益" w:id="385"/>
      <w:bookmarkEnd w:id="385"/>
      <w:r>
        <w:rPr>
          <w:b w:val="0"/>
          <w:bCs w:val="0"/>
        </w:rPr>
      </w:r>
      <w:r>
        <w:rPr>
          <w:rFonts w:ascii="Times New Roman" w:hAnsi="Times New Roman" w:cs="Times New Roman" w:eastAsia="Times New Roman" w:hint="default"/>
        </w:rPr>
        <w:t>3</w:t>
      </w:r>
      <w:r>
        <w:rPr/>
        <w:t>、在合营安排或联营企业中的权益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的合营企业或联营企业" w:id="386"/>
      <w:bookmarkEnd w:id="386"/>
      <w:r>
        <w:rPr>
          <w:b w:val="0"/>
          <w:bCs w:val="0"/>
        </w:rPr>
      </w:r>
      <w:r>
        <w:rPr/>
        <w:t>（</w:t>
      </w:r>
      <w:r>
        <w:rPr>
          <w:rFonts w:ascii="Times New Roman" w:hAnsi="Times New Roman" w:cs="Times New Roman" w:eastAsia="Times New Roman" w:hint="default"/>
        </w:rPr>
        <w:t>1</w:t>
      </w:r>
      <w:r>
        <w:rPr/>
        <w:t>）重要的合营企业或联营企业</w:t>
      </w:r>
      <w:r>
        <w:rPr>
          <w:b w:val="0"/>
          <w:bCs w:val="0"/>
        </w:rPr>
      </w:r>
    </w:p>
    <w:p>
      <w:pPr>
        <w:spacing w:line="240" w:lineRule="auto" w:before="8"/>
        <w:rPr>
          <w:rFonts w:ascii="宋体" w:hAnsi="宋体" w:cs="宋体" w:eastAsia="宋体" w:hint="default"/>
          <w:b/>
          <w:bCs/>
          <w:sz w:val="26"/>
          <w:szCs w:val="26"/>
        </w:rPr>
      </w:pPr>
    </w:p>
    <w:p>
      <w:pPr>
        <w:pStyle w:val="BodyText"/>
        <w:spacing w:line="357" w:lineRule="auto"/>
        <w:ind w:left="299" w:right="5893" w:hanging="146"/>
        <w:jc w:val="left"/>
      </w:pPr>
      <w:r>
        <w:rPr/>
        <w:t>在合营企业或联营企业的持股比例不同于表决权比例的说明： 无</w:t>
      </w:r>
    </w:p>
    <w:p>
      <w:pPr>
        <w:pStyle w:val="BodyText"/>
        <w:spacing w:line="338" w:lineRule="auto" w:before="29"/>
        <w:ind w:left="299" w:right="3345" w:hanging="146"/>
        <w:jc w:val="left"/>
      </w:pPr>
      <w:r>
        <w:rPr/>
        <w:t>持有</w:t>
      </w:r>
      <w:r>
        <w:rPr>
          <w:spacing w:val="-46"/>
        </w:rPr>
        <w:t> </w:t>
      </w:r>
      <w:r>
        <w:rPr>
          <w:rFonts w:ascii="Times New Roman" w:hAnsi="Times New Roman" w:cs="Times New Roman" w:eastAsia="Times New Roman" w:hint="default"/>
        </w:rPr>
        <w:t>20%</w:t>
      </w:r>
      <w:r>
        <w:rPr/>
        <w:t>以下表决权但具有重大影响，或者持有</w:t>
      </w:r>
      <w:r>
        <w:rPr>
          <w:spacing w:val="-46"/>
        </w:rPr>
        <w:t> </w:t>
      </w:r>
      <w:r>
        <w:rPr>
          <w:rFonts w:ascii="Times New Roman" w:hAnsi="Times New Roman" w:cs="Times New Roman" w:eastAsia="Times New Roman" w:hint="default"/>
        </w:rPr>
        <w:t>20%</w:t>
      </w:r>
      <w:r>
        <w:rPr/>
        <w:t>或以上表决权但不具有重大影响的依据： 无</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2）重要合营企业的主要财务信息" w:id="387"/>
      <w:bookmarkEnd w:id="387"/>
      <w:r>
        <w:rPr>
          <w:b w:val="0"/>
          <w:bCs w:val="0"/>
        </w:rPr>
      </w:r>
      <w:r>
        <w:rPr/>
        <w:t>（</w:t>
      </w:r>
      <w:r>
        <w:rPr>
          <w:rFonts w:ascii="Times New Roman" w:hAnsi="Times New Roman" w:cs="Times New Roman" w:eastAsia="Times New Roman" w:hint="default"/>
        </w:rPr>
        <w:t>2</w:t>
      </w:r>
      <w:r>
        <w:rPr/>
        <w:t>）重要合营企业的主要财务信息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重要联营企业的主要财务信息" w:id="388"/>
      <w:bookmarkEnd w:id="388"/>
      <w:r>
        <w:rPr>
          <w:b w:val="0"/>
          <w:bCs w:val="0"/>
        </w:rPr>
      </w:r>
      <w:r>
        <w:rPr/>
        <w:t>（</w:t>
      </w:r>
      <w:r>
        <w:rPr>
          <w:rFonts w:ascii="Times New Roman" w:hAnsi="Times New Roman" w:cs="Times New Roman" w:eastAsia="Times New Roman" w:hint="default"/>
        </w:rPr>
        <w:t>3</w:t>
      </w:r>
      <w:r>
        <w:rPr/>
        <w:t>）重要联营企业的主要财务信息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不重要的合营企业和联营企业的汇总财务信息" w:id="389"/>
      <w:bookmarkEnd w:id="389"/>
      <w:r>
        <w:rPr>
          <w:b w:val="0"/>
          <w:bCs w:val="0"/>
        </w:rPr>
      </w:r>
      <w:r>
        <w:rPr/>
        <w:t>（</w:t>
      </w:r>
      <w:r>
        <w:rPr>
          <w:rFonts w:ascii="Times New Roman" w:hAnsi="Times New Roman" w:cs="Times New Roman" w:eastAsia="Times New Roman" w:hint="default"/>
        </w:rPr>
        <w:t>4</w:t>
      </w:r>
      <w:r>
        <w:rPr/>
        <w:t>）不重要的合营企业和联营企业的汇总财务信息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13"/>
        <w:gridCol w:w="3059"/>
        <w:gridCol w:w="3175"/>
      </w:tblGrid>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89"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979" w:right="0"/>
              <w:jc w:val="left"/>
              <w:rPr>
                <w:rFonts w:ascii="Times New Roman" w:hAnsi="Times New Roman" w:cs="Times New Roman" w:eastAsia="Times New Roman" w:hint="default"/>
                <w:sz w:val="18"/>
                <w:szCs w:val="18"/>
              </w:rPr>
            </w:pPr>
            <w:r>
              <w:rPr>
                <w:rFonts w:ascii="Times New Roman"/>
                <w:sz w:val="18"/>
              </w:rPr>
              <w:t>36,590,096.82</w:t>
            </w:r>
          </w:p>
        </w:tc>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7,483,551.02</w:t>
            </w:r>
          </w:p>
        </w:tc>
      </w:tr>
      <w:tr>
        <w:trPr>
          <w:trHeight w:val="402" w:hRule="exact"/>
        </w:trPr>
        <w:tc>
          <w:tcPr>
            <w:tcW w:w="3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1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footerReference w:type="default" r:id="rId31"/>
          <w:pgSz w:w="11910" w:h="16840"/>
          <w:pgMar w:footer="979" w:header="0" w:top="1060" w:bottom="1160" w:left="980" w:right="0"/>
          <w:pgNumType w:start="155"/>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00"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Times New Roman" w:hAnsi="Times New Roman" w:cs="Times New Roman" w:eastAsia="Times New Roman" w:hint="default"/>
                <w:sz w:val="18"/>
                <w:szCs w:val="18"/>
              </w:rPr>
              <w:t>/</w:t>
            </w: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Times New Roman" w:hAnsi="Times New Roman" w:cs="Times New Roman" w:eastAsia="Times New Roman" w:hint="default"/>
                <w:sz w:val="18"/>
                <w:szCs w:val="18"/>
              </w:rPr>
              <w:t>/</w:t>
            </w: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净利润</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-893,454.20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2,262,959.47</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综合收益总额</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-893,454.20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2,262,959.47</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5）合营企业或联营企业向本公司转移资金的能力存在重大限制的说明" w:id="390"/>
      <w:bookmarkEnd w:id="390"/>
      <w:r>
        <w:rPr>
          <w:b w:val="0"/>
          <w:bCs w:val="0"/>
        </w:rPr>
      </w:r>
      <w:r>
        <w:rPr/>
        <w:t>（</w:t>
      </w:r>
      <w:r>
        <w:rPr>
          <w:rFonts w:ascii="Times New Roman" w:hAnsi="Times New Roman" w:cs="Times New Roman" w:eastAsia="Times New Roman" w:hint="default"/>
        </w:rPr>
        <w:t>5</w:t>
      </w:r>
      <w:r>
        <w:rPr/>
        <w:t>）合营企业或联营企业向本公司转移资金的能力存在重大限制的说明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合营企业或联营企业发生的超额亏损" w:id="391"/>
      <w:bookmarkEnd w:id="391"/>
      <w:r>
        <w:rPr>
          <w:b w:val="0"/>
          <w:bCs w:val="0"/>
        </w:rPr>
      </w:r>
      <w:r>
        <w:rPr/>
        <w:t>（</w:t>
      </w:r>
      <w:r>
        <w:rPr>
          <w:rFonts w:ascii="Times New Roman" w:hAnsi="Times New Roman" w:cs="Times New Roman" w:eastAsia="Times New Roman" w:hint="default"/>
        </w:rPr>
        <w:t>6</w:t>
      </w:r>
      <w:r>
        <w:rPr/>
        <w:t>）合营企业或联营企业发生的超额亏损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7）与合营企业投资相关的未确认承诺" w:id="392"/>
      <w:bookmarkEnd w:id="392"/>
      <w:r>
        <w:rPr>
          <w:b w:val="0"/>
          <w:bCs w:val="0"/>
        </w:rPr>
      </w:r>
      <w:r>
        <w:rPr/>
        <w:t>（</w:t>
      </w:r>
      <w:r>
        <w:rPr>
          <w:rFonts w:ascii="Times New Roman" w:hAnsi="Times New Roman" w:cs="Times New Roman" w:eastAsia="Times New Roman" w:hint="default"/>
        </w:rPr>
        <w:t>7</w:t>
      </w:r>
      <w:r>
        <w:rPr/>
        <w:t>）与合营企业投资相关的未确认承诺</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8）与合营企业或联营企业投资相关的或有负债" w:id="393"/>
      <w:bookmarkEnd w:id="393"/>
      <w:r>
        <w:rPr>
          <w:b w:val="0"/>
          <w:bCs w:val="0"/>
        </w:rPr>
      </w:r>
      <w:r>
        <w:rPr/>
        <w:t>（</w:t>
      </w:r>
      <w:r>
        <w:rPr>
          <w:rFonts w:ascii="Times New Roman" w:hAnsi="Times New Roman" w:cs="Times New Roman" w:eastAsia="Times New Roman" w:hint="default"/>
        </w:rPr>
        <w:t>8</w:t>
      </w:r>
      <w:r>
        <w:rPr/>
        <w:t>）与合营企业或联营企业投资相关的或有负债</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重要的共同经营" w:id="394"/>
      <w:bookmarkEnd w:id="394"/>
      <w:r>
        <w:rPr>
          <w:b w:val="0"/>
          <w:bCs w:val="0"/>
        </w:rPr>
      </w:r>
      <w:r>
        <w:rPr>
          <w:rFonts w:ascii="Times New Roman" w:hAnsi="Times New Roman" w:cs="Times New Roman" w:eastAsia="Times New Roman" w:hint="default"/>
        </w:rPr>
        <w:t>4</w:t>
      </w:r>
      <w:r>
        <w:rPr/>
        <w:t>、重要的共同经营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本公司不存在重要的共同经营</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5、在未纳入合并财务报表范围的结构化主体中的权益" w:id="395"/>
      <w:bookmarkEnd w:id="395"/>
      <w:r>
        <w:rPr>
          <w:b w:val="0"/>
          <w:bCs w:val="0"/>
        </w:rPr>
      </w:r>
      <w:r>
        <w:rPr>
          <w:rFonts w:ascii="Times New Roman" w:hAnsi="Times New Roman" w:cs="Times New Roman" w:eastAsia="Times New Roman" w:hint="default"/>
        </w:rPr>
        <w:t>5</w:t>
      </w:r>
      <w:r>
        <w:rPr/>
        <w:t>、在未纳入合并财务报表范围的结构化主体中的权益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本公司不存在未纳入合并财务报表范围的结构化主体中的权益。</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其他" w:id="396"/>
      <w:bookmarkEnd w:id="396"/>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与金融工具相关的风险" w:id="397"/>
      <w:bookmarkEnd w:id="397"/>
      <w:r>
        <w:rPr>
          <w:b w:val="0"/>
          <w:bCs w:val="0"/>
        </w:rPr>
      </w:r>
      <w:r>
        <w:rPr/>
        <w:t>十、与金融工具相关的风险</w:t>
      </w:r>
      <w:r>
        <w:rPr>
          <w:b w:val="0"/>
          <w:bCs w:val="0"/>
        </w:rPr>
      </w:r>
    </w:p>
    <w:p>
      <w:pPr>
        <w:spacing w:line="240" w:lineRule="auto" w:before="7"/>
        <w:rPr>
          <w:rFonts w:ascii="宋体" w:hAnsi="宋体" w:cs="宋体" w:eastAsia="宋体" w:hint="default"/>
          <w:b/>
          <w:bCs/>
          <w:sz w:val="23"/>
          <w:szCs w:val="23"/>
        </w:rPr>
      </w:pPr>
    </w:p>
    <w:p>
      <w:pPr>
        <w:pStyle w:val="BodyText"/>
        <w:spacing w:line="237" w:lineRule="auto"/>
        <w:ind w:right="1132" w:firstLine="360"/>
        <w:jc w:val="both"/>
      </w:pPr>
      <w:r>
        <w:rPr>
          <w:spacing w:val="-2"/>
        </w:rPr>
        <w:t>本公司在经营过程中面临各种金融风险：信用风险、市场风险和流动性风险。公司经营管理层全面负责风险管理目标和</w:t>
      </w:r>
      <w:r>
        <w:rPr/>
        <w:t> </w:t>
      </w:r>
      <w:r>
        <w:rPr>
          <w:spacing w:val="-2"/>
        </w:rPr>
        <w:t>政策的确定，并对风险管理目标和政策承担最终责任，经营管理层通过职能部门递交的工作报告来审查已执行程序的有效性</w:t>
      </w:r>
      <w:r>
        <w:rPr>
          <w:spacing w:val="-64"/>
        </w:rPr>
        <w:t> </w:t>
      </w:r>
      <w:r>
        <w:rPr>
          <w:spacing w:val="-64"/>
        </w:rPr>
      </w:r>
      <w:r>
        <w:rPr>
          <w:spacing w:val="-2"/>
        </w:rPr>
        <w:t>以及风险管理目标和政策的合理性。本公司的内部审计师也会审计风险管理的政策和程序，并且将有关发现汇报给审计委员</w:t>
      </w:r>
      <w:r>
        <w:rPr>
          <w:spacing w:val="-64"/>
        </w:rPr>
        <w:t> </w:t>
      </w:r>
      <w:r>
        <w:rPr>
          <w:spacing w:val="-64"/>
        </w:rPr>
      </w:r>
      <w:r>
        <w:rPr/>
        <w:t>会。</w:t>
      </w:r>
    </w:p>
    <w:p>
      <w:pPr>
        <w:pStyle w:val="BodyText"/>
        <w:spacing w:line="233" w:lineRule="exact"/>
        <w:ind w:left="461" w:right="0"/>
        <w:jc w:val="left"/>
      </w:pPr>
      <w:r>
        <w:rPr/>
        <w:t>本公司风险管理的总体目标是在不过度影响公司竞争力和应变力的情况下，制定尽可能降低风险的风险管理政策。</w:t>
      </w:r>
    </w:p>
    <w:p>
      <w:pPr>
        <w:spacing w:line="240" w:lineRule="auto" w:before="11"/>
        <w:rPr>
          <w:rFonts w:ascii="宋体" w:hAnsi="宋体" w:cs="宋体" w:eastAsia="宋体" w:hint="default"/>
          <w:sz w:val="26"/>
          <w:szCs w:val="26"/>
        </w:rPr>
      </w:pPr>
    </w:p>
    <w:p>
      <w:pPr>
        <w:pStyle w:val="BodyText"/>
        <w:spacing w:line="319" w:lineRule="auto"/>
        <w:ind w:left="520" w:right="1032" w:hanging="366"/>
        <w:jc w:val="left"/>
      </w:pPr>
      <w:r>
        <w:rPr>
          <w:rFonts w:ascii="宋体" w:hAnsi="宋体" w:cs="宋体" w:eastAsia="宋体" w:hint="default"/>
          <w:b/>
          <w:bCs/>
        </w:rPr>
        <w:t>（一）、信用风险</w:t>
      </w:r>
      <w:r>
        <w:rPr>
          <w:rFonts w:ascii="宋体" w:hAnsi="宋体" w:cs="宋体" w:eastAsia="宋体" w:hint="default"/>
          <w:b/>
          <w:bCs/>
          <w:w w:val="99"/>
        </w:rPr>
        <w:t> </w:t>
      </w:r>
      <w:r>
        <w:rPr>
          <w:spacing w:val="-4"/>
        </w:rPr>
        <w:t>信用风险是指金融工具的一方不履行义务，造成另一方发生财务损失的风险。本公司主要面临赊销导致的客户信用风险。</w:t>
      </w:r>
    </w:p>
    <w:p>
      <w:pPr>
        <w:pStyle w:val="BodyText"/>
        <w:spacing w:line="316" w:lineRule="auto" w:before="17"/>
        <w:ind w:left="160" w:right="0"/>
        <w:jc w:val="left"/>
      </w:pPr>
      <w:r>
        <w:rPr>
          <w:spacing w:val="-2"/>
        </w:rPr>
        <w:t>在签订新合同之前，本公司会对新客户的信用风险进行评估，包括外部信用评级和在某些情况下的银行资信证明（当此信息</w:t>
      </w:r>
      <w:r>
        <w:rPr>
          <w:spacing w:val="-69"/>
        </w:rPr>
        <w:t> </w:t>
      </w:r>
      <w:r>
        <w:rPr>
          <w:spacing w:val="-69"/>
        </w:rPr>
      </w:r>
      <w:r>
        <w:rPr/>
        <w:t>可获取时）。公司对每一客户均设置了赊销限额，该限额为无需获得额外批准的最大额度。</w:t>
      </w:r>
    </w:p>
    <w:p>
      <w:pPr>
        <w:pStyle w:val="BodyText"/>
        <w:spacing w:line="240" w:lineRule="auto" w:before="19"/>
        <w:ind w:left="518" w:right="0"/>
        <w:jc w:val="left"/>
      </w:pPr>
      <w:r>
        <w:rPr/>
        <w:t>公司通过对已有客户信用评级的季度监控以及应收账款账龄分析的月度审核来确保公司的整体信用风险在可控的范围</w:t>
      </w:r>
    </w:p>
    <w:p>
      <w:pPr>
        <w:spacing w:after="0" w:line="240" w:lineRule="auto"/>
        <w:jc w:val="left"/>
        <w:sectPr>
          <w:pgSz w:w="11910" w:h="16840"/>
          <w:pgMar w:header="0" w:footer="979" w:top="1060" w:bottom="1160" w:left="980" w:right="0"/>
        </w:sectPr>
      </w:pPr>
    </w:p>
    <w:p>
      <w:pPr>
        <w:spacing w:line="240" w:lineRule="auto" w:before="12"/>
        <w:rPr>
          <w:rFonts w:ascii="宋体" w:hAnsi="宋体" w:cs="宋体" w:eastAsia="宋体" w:hint="default"/>
          <w:sz w:val="25"/>
          <w:szCs w:val="25"/>
        </w:rPr>
      </w:pPr>
    </w:p>
    <w:p>
      <w:pPr>
        <w:pStyle w:val="BodyText"/>
        <w:spacing w:line="300" w:lineRule="auto" w:before="44"/>
        <w:ind w:left="158" w:right="0"/>
        <w:jc w:val="left"/>
      </w:pPr>
      <w:r>
        <w:rPr>
          <w:spacing w:val="-2"/>
        </w:rPr>
        <w:t>内。在监控客户的信用风险时，按照客户的信用特征对其分组。被评为</w:t>
      </w:r>
      <w:r>
        <w:rPr>
          <w:rFonts w:ascii="Times New Roman" w:hAnsi="Times New Roman" w:cs="Times New Roman" w:eastAsia="Times New Roman" w:hint="default"/>
          <w:spacing w:val="-2"/>
        </w:rPr>
        <w:t>“</w:t>
      </w:r>
      <w:r>
        <w:rPr>
          <w:spacing w:val="-2"/>
        </w:rPr>
        <w:t>高风险</w:t>
      </w:r>
      <w:r>
        <w:rPr>
          <w:rFonts w:ascii="Times New Roman" w:hAnsi="Times New Roman" w:cs="Times New Roman" w:eastAsia="Times New Roman" w:hint="default"/>
          <w:spacing w:val="-2"/>
        </w:rPr>
        <w:t>”</w:t>
      </w:r>
      <w:r>
        <w:rPr>
          <w:spacing w:val="-2"/>
        </w:rPr>
        <w:t>级别的客户会放在受限制客户名单里，并且</w:t>
      </w:r>
      <w:r>
        <w:rPr>
          <w:spacing w:val="-49"/>
        </w:rPr>
        <w:t> </w:t>
      </w:r>
      <w:r>
        <w:rPr>
          <w:spacing w:val="-49"/>
        </w:rPr>
      </w:r>
      <w:r>
        <w:rPr/>
        <w:t>只有在额外批准的前提下，公司才可在未来期间内对其赊销，否则必须要求其提前支付相应款项。</w:t>
      </w:r>
    </w:p>
    <w:p>
      <w:pPr>
        <w:spacing w:line="240" w:lineRule="auto" w:before="3"/>
        <w:rPr>
          <w:rFonts w:ascii="宋体" w:hAnsi="宋体" w:cs="宋体" w:eastAsia="宋体" w:hint="default"/>
          <w:sz w:val="26"/>
          <w:szCs w:val="26"/>
        </w:rPr>
      </w:pPr>
    </w:p>
    <w:p>
      <w:pPr>
        <w:pStyle w:val="BodyText"/>
        <w:spacing w:line="319" w:lineRule="auto"/>
        <w:ind w:left="484" w:right="1114" w:hanging="330"/>
        <w:jc w:val="left"/>
      </w:pPr>
      <w:r>
        <w:rPr>
          <w:rFonts w:ascii="宋体" w:hAnsi="宋体" w:cs="宋体" w:eastAsia="宋体" w:hint="default"/>
          <w:b/>
          <w:bCs/>
        </w:rPr>
        <w:t>（二）、市场风险</w:t>
      </w:r>
      <w:r>
        <w:rPr>
          <w:rFonts w:ascii="宋体" w:hAnsi="宋体" w:cs="宋体" w:eastAsia="宋体" w:hint="default"/>
          <w:b/>
          <w:bCs/>
          <w:w w:val="99"/>
        </w:rPr>
        <w:t> </w:t>
      </w:r>
      <w:r>
        <w:rPr>
          <w:spacing w:val="-1"/>
        </w:rPr>
        <w:t>金融工具的市场风险，是指金融工具的公允价值或未来现金流量因市场价格变动而发生波动的风险，包括汇率风险、利</w:t>
      </w:r>
    </w:p>
    <w:p>
      <w:pPr>
        <w:pStyle w:val="BodyText"/>
        <w:spacing w:line="240" w:lineRule="auto" w:before="17"/>
        <w:ind w:left="158" w:right="0"/>
        <w:jc w:val="left"/>
      </w:pPr>
      <w:r>
        <w:rPr/>
        <w:t>率风险和其他价格风险。</w:t>
      </w:r>
    </w:p>
    <w:p>
      <w:pPr>
        <w:pStyle w:val="BodyText"/>
        <w:spacing w:line="300" w:lineRule="auto" w:before="76"/>
        <w:ind w:left="484" w:right="1062" w:firstLine="18"/>
        <w:jc w:val="left"/>
      </w:pPr>
      <w:r>
        <w:rPr/>
        <w:t>（</w:t>
      </w:r>
      <w:r>
        <w:rPr>
          <w:rFonts w:ascii="Times New Roman" w:hAnsi="Times New Roman" w:cs="Times New Roman" w:eastAsia="Times New Roman" w:hint="default"/>
        </w:rPr>
        <w:t>1</w:t>
      </w:r>
      <w:r>
        <w:rPr/>
        <w:t>）利率风险 利率风险，是指金融工具的公允价值或未来现金流量因市场利率变动而发生波动的风险。本公司现无短期和长期借款，</w:t>
      </w:r>
    </w:p>
    <w:p>
      <w:pPr>
        <w:pStyle w:val="BodyText"/>
        <w:spacing w:line="240" w:lineRule="auto" w:before="31"/>
        <w:ind w:left="158" w:right="0"/>
        <w:jc w:val="left"/>
      </w:pPr>
      <w:r>
        <w:rPr/>
        <w:t>暂不存在较大利率变化风险。</w:t>
      </w:r>
    </w:p>
    <w:p>
      <w:pPr>
        <w:spacing w:line="240" w:lineRule="auto" w:before="0"/>
        <w:rPr>
          <w:rFonts w:ascii="宋体" w:hAnsi="宋体" w:cs="宋体" w:eastAsia="宋体" w:hint="default"/>
          <w:sz w:val="18"/>
          <w:szCs w:val="18"/>
        </w:rPr>
      </w:pPr>
    </w:p>
    <w:p>
      <w:pPr>
        <w:pStyle w:val="BodyText"/>
        <w:spacing w:line="300" w:lineRule="auto" w:before="153"/>
        <w:ind w:left="484" w:right="1114" w:hanging="72"/>
        <w:jc w:val="left"/>
      </w:pPr>
      <w:r>
        <w:rPr/>
        <w:t>（</w:t>
      </w:r>
      <w:r>
        <w:rPr>
          <w:rFonts w:ascii="Times New Roman" w:hAnsi="Times New Roman" w:cs="Times New Roman" w:eastAsia="Times New Roman" w:hint="default"/>
        </w:rPr>
        <w:t>2</w:t>
      </w:r>
      <w:r>
        <w:rPr/>
        <w:t>）汇率风险 </w:t>
      </w:r>
      <w:r>
        <w:rPr>
          <w:spacing w:val="-1"/>
        </w:rPr>
        <w:t>汇率风险，是指金融工具的公允价值或未来现金流量因外汇汇率变动而发生波动的风险。本报告期间，本公司未签署任</w:t>
      </w:r>
    </w:p>
    <w:p>
      <w:pPr>
        <w:pStyle w:val="BodyText"/>
        <w:spacing w:line="240" w:lineRule="auto" w:before="31"/>
        <w:ind w:left="158" w:right="0"/>
        <w:jc w:val="left"/>
      </w:pPr>
      <w:r>
        <w:rPr/>
        <w:t>何远期外汇合约或货币互换合约，且国外子公司尚未经营暂不存在较大汇率风险。</w:t>
      </w:r>
    </w:p>
    <w:p>
      <w:pPr>
        <w:spacing w:line="240" w:lineRule="auto" w:before="0"/>
        <w:rPr>
          <w:rFonts w:ascii="宋体" w:hAnsi="宋体" w:cs="宋体" w:eastAsia="宋体" w:hint="default"/>
          <w:sz w:val="18"/>
          <w:szCs w:val="18"/>
        </w:rPr>
      </w:pPr>
    </w:p>
    <w:p>
      <w:pPr>
        <w:pStyle w:val="BodyText"/>
        <w:spacing w:line="300" w:lineRule="auto" w:before="153"/>
        <w:ind w:left="484" w:right="5382" w:hanging="72"/>
        <w:jc w:val="left"/>
      </w:pPr>
      <w:r>
        <w:rPr/>
        <w:t>（</w:t>
      </w:r>
      <w:r>
        <w:rPr>
          <w:rFonts w:ascii="Times New Roman" w:hAnsi="Times New Roman" w:cs="Times New Roman" w:eastAsia="Times New Roman" w:hint="default"/>
        </w:rPr>
        <w:t>3</w:t>
      </w:r>
      <w:r>
        <w:rPr/>
        <w:t>）其他价格风险 本公司未持有其他上市公司的权益投资，无相关市场价格风险。</w:t>
      </w:r>
    </w:p>
    <w:p>
      <w:pPr>
        <w:spacing w:line="240" w:lineRule="auto" w:before="3"/>
        <w:rPr>
          <w:rFonts w:ascii="宋体" w:hAnsi="宋体" w:cs="宋体" w:eastAsia="宋体" w:hint="default"/>
          <w:sz w:val="26"/>
          <w:szCs w:val="26"/>
        </w:rPr>
      </w:pPr>
    </w:p>
    <w:p>
      <w:pPr>
        <w:pStyle w:val="BodyText"/>
        <w:spacing w:line="316" w:lineRule="auto"/>
        <w:ind w:left="479" w:right="1119" w:hanging="326"/>
        <w:jc w:val="left"/>
      </w:pPr>
      <w:r>
        <w:rPr>
          <w:rFonts w:ascii="宋体" w:hAnsi="宋体" w:cs="宋体" w:eastAsia="宋体" w:hint="default"/>
          <w:b/>
          <w:bCs/>
        </w:rPr>
        <w:t>（三）、流动性风险</w:t>
      </w:r>
      <w:r>
        <w:rPr>
          <w:rFonts w:ascii="宋体" w:hAnsi="宋体" w:cs="宋体" w:eastAsia="宋体" w:hint="default"/>
          <w:b/>
          <w:bCs/>
          <w:w w:val="99"/>
        </w:rPr>
        <w:t> </w:t>
      </w:r>
      <w:r>
        <w:rPr>
          <w:spacing w:val="-1"/>
        </w:rPr>
        <w:t>流动性风险，是指企业在履行以交付现金或其他金融资产的方式结算的义务时发生资金短缺的风险。本公司的政策是确</w:t>
      </w:r>
    </w:p>
    <w:p>
      <w:pPr>
        <w:pStyle w:val="BodyText"/>
        <w:spacing w:line="316" w:lineRule="auto" w:before="19"/>
        <w:ind w:right="0"/>
        <w:jc w:val="left"/>
      </w:pPr>
      <w:r>
        <w:rPr>
          <w:spacing w:val="-2"/>
        </w:rPr>
        <w:t>保拥有充足的现金以偿还到期债务。流动性风险由本公司的财务部门集中控制。财务部门通过监控现金余额、可随时变现的</w:t>
      </w:r>
      <w:r>
        <w:rPr>
          <w:spacing w:val="-66"/>
        </w:rPr>
        <w:t> </w:t>
      </w:r>
      <w:r>
        <w:rPr>
          <w:spacing w:val="-66"/>
        </w:rPr>
      </w:r>
      <w:r>
        <w:rPr/>
        <w:t>有价证券以及对未来</w:t>
      </w:r>
      <w:r>
        <w:rPr>
          <w:rFonts w:ascii="Times New Roman" w:hAnsi="Times New Roman" w:cs="Times New Roman" w:eastAsia="Times New Roman" w:hint="default"/>
        </w:rPr>
        <w:t>12</w:t>
      </w:r>
      <w:r>
        <w:rPr/>
        <w:t>个月现金流量的滚动预测，确保公司在所有合理预测的情况下拥有充足的资金偿还债务。</w:t>
      </w:r>
    </w:p>
    <w:p>
      <w:pPr>
        <w:spacing w:line="240" w:lineRule="auto" w:before="10"/>
        <w:rPr>
          <w:rFonts w:ascii="宋体" w:hAnsi="宋体" w:cs="宋体" w:eastAsia="宋体" w:hint="default"/>
          <w:sz w:val="23"/>
          <w:szCs w:val="23"/>
        </w:rPr>
      </w:pPr>
    </w:p>
    <w:p>
      <w:pPr>
        <w:pStyle w:val="BodyText"/>
        <w:spacing w:line="240" w:lineRule="auto"/>
        <w:ind w:left="479" w:right="0"/>
        <w:jc w:val="left"/>
      </w:pPr>
      <w:r>
        <w:rPr/>
        <w:t>本公司各项金融负债以未折现的合同现金流量按到期日列示如下：</w:t>
      </w:r>
    </w:p>
    <w:p>
      <w:pPr>
        <w:spacing w:line="240" w:lineRule="auto" w:before="4"/>
        <w:rPr>
          <w:rFonts w:ascii="宋体" w:hAnsi="宋体" w:cs="宋体" w:eastAsia="宋体" w:hint="default"/>
          <w:sz w:val="29"/>
          <w:szCs w:val="29"/>
        </w:rPr>
      </w:pPr>
    </w:p>
    <w:tbl>
      <w:tblPr>
        <w:tblW w:w="0" w:type="auto"/>
        <w:jc w:val="left"/>
        <w:tblInd w:w="497" w:type="dxa"/>
        <w:tblLayout w:type="fixed"/>
        <w:tblCellMar>
          <w:top w:w="0" w:type="dxa"/>
          <w:left w:w="0" w:type="dxa"/>
          <w:bottom w:w="0" w:type="dxa"/>
          <w:right w:w="0" w:type="dxa"/>
        </w:tblCellMar>
        <w:tblLook w:val="01E0"/>
      </w:tblPr>
      <w:tblGrid>
        <w:gridCol w:w="2156"/>
        <w:gridCol w:w="1999"/>
        <w:gridCol w:w="1499"/>
        <w:gridCol w:w="1332"/>
        <w:gridCol w:w="1958"/>
      </w:tblGrid>
      <w:tr>
        <w:trPr>
          <w:trHeight w:val="337" w:hRule="exact"/>
        </w:trPr>
        <w:tc>
          <w:tcPr>
            <w:tcW w:w="2156"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789" w:type="dxa"/>
            <w:gridSpan w:val="4"/>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2" w:hRule="exact"/>
        </w:trPr>
        <w:tc>
          <w:tcPr>
            <w:tcW w:w="2156" w:type="dxa"/>
            <w:vMerge/>
            <w:tcBorders>
              <w:left w:val="single" w:sz="4" w:space="0" w:color="000000"/>
              <w:bottom w:val="single" w:sz="4" w:space="0" w:color="000000"/>
              <w:right w:val="single" w:sz="4" w:space="0" w:color="000000"/>
            </w:tcBorders>
            <w:shd w:val="clear" w:color="auto" w:fill="D0CECE"/>
          </w:tcPr>
          <w:p>
            <w:pPr/>
          </w:p>
        </w:tc>
        <w:tc>
          <w:tcPr>
            <w:tcW w:w="199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w:t>
            </w:r>
          </w:p>
        </w:tc>
        <w:tc>
          <w:tcPr>
            <w:tcW w:w="149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133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34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95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215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999"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pacing w:val="-1"/>
                <w:sz w:val="18"/>
              </w:rPr>
              <w:t>41,677,219.28</w:t>
            </w:r>
          </w:p>
        </w:tc>
        <w:tc>
          <w:tcPr>
            <w:tcW w:w="1499" w:type="dxa"/>
            <w:tcBorders>
              <w:top w:val="single" w:sz="8" w:space="0" w:color="000000"/>
              <w:left w:val="single" w:sz="4" w:space="0" w:color="000000"/>
              <w:bottom w:val="single" w:sz="4" w:space="0" w:color="000000"/>
              <w:right w:val="single" w:sz="4" w:space="0" w:color="000000"/>
            </w:tcBorders>
          </w:tcPr>
          <w:p>
            <w:pPr/>
          </w:p>
        </w:tc>
        <w:tc>
          <w:tcPr>
            <w:tcW w:w="1332" w:type="dxa"/>
            <w:tcBorders>
              <w:top w:val="single" w:sz="8" w:space="0" w:color="000000"/>
              <w:left w:val="single" w:sz="4" w:space="0" w:color="000000"/>
              <w:bottom w:val="single" w:sz="4" w:space="0" w:color="000000"/>
              <w:right w:val="single" w:sz="4" w:space="0" w:color="000000"/>
            </w:tcBorders>
          </w:tcPr>
          <w:p>
            <w:pPr/>
          </w:p>
        </w:tc>
        <w:tc>
          <w:tcPr>
            <w:tcW w:w="195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41,677,219.28</w:t>
            </w:r>
          </w:p>
        </w:tc>
      </w:tr>
      <w:tr>
        <w:trPr>
          <w:trHeight w:val="342" w:hRule="exact"/>
        </w:trPr>
        <w:tc>
          <w:tcPr>
            <w:tcW w:w="215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99"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7,478,435.64</w:t>
            </w:r>
          </w:p>
        </w:tc>
        <w:tc>
          <w:tcPr>
            <w:tcW w:w="149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7,478,435.64</w:t>
            </w:r>
          </w:p>
        </w:tc>
      </w:tr>
      <w:tr>
        <w:trPr>
          <w:trHeight w:val="342" w:hRule="exact"/>
        </w:trPr>
        <w:tc>
          <w:tcPr>
            <w:tcW w:w="215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99"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17,766,010.80</w:t>
            </w:r>
          </w:p>
        </w:tc>
        <w:tc>
          <w:tcPr>
            <w:tcW w:w="149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17,766,010.80</w:t>
            </w:r>
          </w:p>
        </w:tc>
      </w:tr>
      <w:tr>
        <w:trPr>
          <w:trHeight w:val="342" w:hRule="exact"/>
        </w:trPr>
        <w:tc>
          <w:tcPr>
            <w:tcW w:w="215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99"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2,424,268.52</w:t>
            </w:r>
          </w:p>
        </w:tc>
        <w:tc>
          <w:tcPr>
            <w:tcW w:w="149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2,424,268.52</w:t>
            </w:r>
          </w:p>
        </w:tc>
      </w:tr>
      <w:tr>
        <w:trPr>
          <w:trHeight w:val="342" w:hRule="exact"/>
        </w:trPr>
        <w:tc>
          <w:tcPr>
            <w:tcW w:w="215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99"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69,345,934.24</w:t>
            </w:r>
          </w:p>
        </w:tc>
        <w:tc>
          <w:tcPr>
            <w:tcW w:w="1499" w:type="dxa"/>
            <w:tcBorders>
              <w:top w:val="single" w:sz="4" w:space="0" w:color="000000"/>
              <w:left w:val="single" w:sz="4" w:space="0" w:color="000000"/>
              <w:bottom w:val="single" w:sz="4" w:space="0" w:color="000000"/>
              <w:right w:val="single" w:sz="4" w:space="0" w:color="000000"/>
            </w:tcBorders>
          </w:tcPr>
          <w:p>
            <w:pPr/>
          </w:p>
        </w:tc>
        <w:tc>
          <w:tcPr>
            <w:tcW w:w="1332" w:type="dxa"/>
            <w:tcBorders>
              <w:top w:val="single" w:sz="4" w:space="0" w:color="000000"/>
              <w:left w:val="single" w:sz="4" w:space="0" w:color="000000"/>
              <w:bottom w:val="single" w:sz="4" w:space="0" w:color="000000"/>
              <w:right w:val="single" w:sz="4" w:space="0" w:color="000000"/>
            </w:tcBorders>
          </w:tcPr>
          <w:p>
            <w:pPr/>
          </w:p>
        </w:tc>
        <w:tc>
          <w:tcPr>
            <w:tcW w:w="1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69,345,934.24</w:t>
            </w:r>
          </w:p>
        </w:tc>
      </w:tr>
    </w:tbl>
    <w:p>
      <w:pPr>
        <w:spacing w:line="240" w:lineRule="auto" w:before="3"/>
        <w:rPr>
          <w:rFonts w:ascii="宋体" w:hAnsi="宋体" w:cs="宋体" w:eastAsia="宋体" w:hint="default"/>
          <w:sz w:val="24"/>
          <w:szCs w:val="24"/>
        </w:rPr>
      </w:pPr>
    </w:p>
    <w:tbl>
      <w:tblPr>
        <w:tblW w:w="0" w:type="auto"/>
        <w:jc w:val="left"/>
        <w:tblInd w:w="488" w:type="dxa"/>
        <w:tblLayout w:type="fixed"/>
        <w:tblCellMar>
          <w:top w:w="0" w:type="dxa"/>
          <w:left w:w="0" w:type="dxa"/>
          <w:bottom w:w="0" w:type="dxa"/>
          <w:right w:w="0" w:type="dxa"/>
        </w:tblCellMar>
        <w:tblLook w:val="01E0"/>
      </w:tblPr>
      <w:tblGrid>
        <w:gridCol w:w="2161"/>
        <w:gridCol w:w="2003"/>
        <w:gridCol w:w="1501"/>
        <w:gridCol w:w="1335"/>
        <w:gridCol w:w="1962"/>
      </w:tblGrid>
      <w:tr>
        <w:trPr>
          <w:trHeight w:val="337" w:hRule="exact"/>
        </w:trPr>
        <w:tc>
          <w:tcPr>
            <w:tcW w:w="2161"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6801" w:type="dxa"/>
            <w:gridSpan w:val="4"/>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年初余额</w:t>
            </w:r>
          </w:p>
        </w:tc>
      </w:tr>
      <w:tr>
        <w:trPr>
          <w:trHeight w:val="342" w:hRule="exact"/>
        </w:trPr>
        <w:tc>
          <w:tcPr>
            <w:tcW w:w="2161" w:type="dxa"/>
            <w:vMerge/>
            <w:tcBorders>
              <w:left w:val="single" w:sz="4" w:space="0" w:color="000000"/>
              <w:bottom w:val="single" w:sz="4" w:space="0" w:color="000000"/>
              <w:right w:val="single" w:sz="4" w:space="0" w:color="000000"/>
            </w:tcBorders>
            <w:shd w:val="clear" w:color="auto" w:fill="D0CECE"/>
          </w:tcPr>
          <w:p>
            <w:pPr/>
          </w:p>
        </w:tc>
        <w:tc>
          <w:tcPr>
            <w:tcW w:w="200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59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个月以内</w:t>
            </w:r>
          </w:p>
        </w:tc>
        <w:tc>
          <w:tcPr>
            <w:tcW w:w="150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1"/>
              <w:jc w:val="center"/>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年</w:t>
            </w:r>
          </w:p>
        </w:tc>
        <w:tc>
          <w:tcPr>
            <w:tcW w:w="133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34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年以上</w:t>
            </w:r>
          </w:p>
        </w:tc>
        <w:tc>
          <w:tcPr>
            <w:tcW w:w="19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42" w:hRule="exact"/>
        </w:trPr>
        <w:tc>
          <w:tcPr>
            <w:tcW w:w="216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003" w:type="dxa"/>
            <w:tcBorders>
              <w:top w:val="single" w:sz="8" w:space="0" w:color="000000"/>
              <w:left w:val="single" w:sz="6" w:space="0" w:color="000000"/>
              <w:bottom w:val="single" w:sz="4" w:space="0" w:color="000000"/>
              <w:right w:val="single" w:sz="4" w:space="0" w:color="000000"/>
            </w:tcBorders>
          </w:tcPr>
          <w:p>
            <w:pPr>
              <w:pStyle w:val="TableParagraph"/>
              <w:spacing w:line="240" w:lineRule="auto" w:before="55"/>
              <w:ind w:right="2"/>
              <w:jc w:val="right"/>
              <w:rPr>
                <w:rFonts w:ascii="Times New Roman" w:hAnsi="Times New Roman" w:cs="Times New Roman" w:eastAsia="Times New Roman" w:hint="default"/>
                <w:sz w:val="18"/>
                <w:szCs w:val="18"/>
              </w:rPr>
            </w:pPr>
            <w:r>
              <w:rPr>
                <w:rFonts w:ascii="Times New Roman"/>
                <w:spacing w:val="-1"/>
                <w:sz w:val="18"/>
              </w:rPr>
              <w:t>87,500,950.66</w:t>
            </w:r>
          </w:p>
        </w:tc>
        <w:tc>
          <w:tcPr>
            <w:tcW w:w="1501" w:type="dxa"/>
            <w:tcBorders>
              <w:top w:val="single" w:sz="8" w:space="0" w:color="000000"/>
              <w:left w:val="single" w:sz="4" w:space="0" w:color="000000"/>
              <w:bottom w:val="single" w:sz="4" w:space="0" w:color="000000"/>
              <w:right w:val="single" w:sz="4" w:space="0" w:color="000000"/>
            </w:tcBorders>
          </w:tcPr>
          <w:p>
            <w:pPr/>
          </w:p>
        </w:tc>
        <w:tc>
          <w:tcPr>
            <w:tcW w:w="1335" w:type="dxa"/>
            <w:tcBorders>
              <w:top w:val="single" w:sz="8" w:space="0" w:color="000000"/>
              <w:left w:val="single" w:sz="4" w:space="0" w:color="000000"/>
              <w:bottom w:val="single" w:sz="4" w:space="0" w:color="000000"/>
              <w:right w:val="single" w:sz="4" w:space="0" w:color="000000"/>
            </w:tcBorders>
          </w:tcPr>
          <w:p>
            <w:pPr/>
          </w:p>
        </w:tc>
        <w:tc>
          <w:tcPr>
            <w:tcW w:w="1962"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5"/>
              <w:ind w:right="3"/>
              <w:jc w:val="right"/>
              <w:rPr>
                <w:rFonts w:ascii="Times New Roman" w:hAnsi="Times New Roman" w:cs="Times New Roman" w:eastAsia="Times New Roman" w:hint="default"/>
                <w:sz w:val="18"/>
                <w:szCs w:val="18"/>
              </w:rPr>
            </w:pPr>
            <w:r>
              <w:rPr>
                <w:rFonts w:ascii="Times New Roman"/>
                <w:spacing w:val="-1"/>
                <w:sz w:val="18"/>
              </w:rPr>
              <w:t>87,500,950.66</w:t>
            </w:r>
          </w:p>
        </w:tc>
      </w:tr>
      <w:tr>
        <w:trPr>
          <w:trHeight w:val="342" w:hRule="exact"/>
        </w:trPr>
        <w:tc>
          <w:tcPr>
            <w:tcW w:w="216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00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7,646,915.73</w:t>
            </w:r>
          </w:p>
        </w:tc>
        <w:tc>
          <w:tcPr>
            <w:tcW w:w="150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7,646,915.73</w:t>
            </w:r>
          </w:p>
        </w:tc>
      </w:tr>
      <w:tr>
        <w:trPr>
          <w:trHeight w:val="342" w:hRule="exact"/>
        </w:trPr>
        <w:tc>
          <w:tcPr>
            <w:tcW w:w="216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00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27,175,332.14</w:t>
            </w:r>
          </w:p>
        </w:tc>
        <w:tc>
          <w:tcPr>
            <w:tcW w:w="150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27,175,332.14</w:t>
            </w:r>
          </w:p>
        </w:tc>
      </w:tr>
      <w:tr>
        <w:trPr>
          <w:trHeight w:val="342" w:hRule="exact"/>
        </w:trPr>
        <w:tc>
          <w:tcPr>
            <w:tcW w:w="216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00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1,692,044.55</w:t>
            </w:r>
          </w:p>
        </w:tc>
        <w:tc>
          <w:tcPr>
            <w:tcW w:w="150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1,692,044.55</w:t>
            </w:r>
          </w:p>
        </w:tc>
      </w:tr>
      <w:tr>
        <w:trPr>
          <w:trHeight w:val="344" w:hRule="exact"/>
        </w:trPr>
        <w:tc>
          <w:tcPr>
            <w:tcW w:w="216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61"/>
              <w:ind w:right="2"/>
              <w:jc w:val="right"/>
              <w:rPr>
                <w:rFonts w:ascii="Times New Roman" w:hAnsi="Times New Roman" w:cs="Times New Roman" w:eastAsia="Times New Roman" w:hint="default"/>
                <w:sz w:val="18"/>
                <w:szCs w:val="18"/>
              </w:rPr>
            </w:pPr>
            <w:r>
              <w:rPr>
                <w:rFonts w:ascii="Times New Roman"/>
                <w:spacing w:val="-1"/>
                <w:sz w:val="18"/>
              </w:rPr>
              <w:t>124,015,243.08</w:t>
            </w:r>
          </w:p>
        </w:tc>
        <w:tc>
          <w:tcPr>
            <w:tcW w:w="1501" w:type="dxa"/>
            <w:tcBorders>
              <w:top w:val="single" w:sz="4" w:space="0" w:color="000000"/>
              <w:left w:val="single" w:sz="4" w:space="0" w:color="000000"/>
              <w:bottom w:val="single" w:sz="4" w:space="0" w:color="000000"/>
              <w:right w:val="single" w:sz="4" w:space="0" w:color="000000"/>
            </w:tcBorders>
          </w:tcPr>
          <w:p>
            <w:pPr/>
          </w:p>
        </w:tc>
        <w:tc>
          <w:tcPr>
            <w:tcW w:w="1335" w:type="dxa"/>
            <w:tcBorders>
              <w:top w:val="single" w:sz="4" w:space="0" w:color="000000"/>
              <w:left w:val="single" w:sz="4" w:space="0" w:color="000000"/>
              <w:bottom w:val="single" w:sz="4" w:space="0" w:color="000000"/>
              <w:right w:val="single" w:sz="4" w:space="0" w:color="000000"/>
            </w:tcBorders>
          </w:tcPr>
          <w:p>
            <w:pP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124,015,243.08</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9"/>
        <w:rPr>
          <w:rFonts w:ascii="宋体" w:hAnsi="宋体" w:cs="宋体" w:eastAsia="宋体" w:hint="default"/>
          <w:sz w:val="23"/>
          <w:szCs w:val="23"/>
        </w:rPr>
      </w:pPr>
    </w:p>
    <w:p>
      <w:pPr>
        <w:spacing w:line="506" w:lineRule="auto" w:before="26"/>
        <w:ind w:left="154" w:right="6286" w:firstLine="0"/>
        <w:jc w:val="left"/>
        <w:rPr>
          <w:rFonts w:ascii="宋体" w:hAnsi="宋体" w:cs="宋体" w:eastAsia="宋体" w:hint="default"/>
          <w:sz w:val="18"/>
          <w:szCs w:val="18"/>
        </w:rPr>
      </w:pPr>
      <w:bookmarkStart w:name="十一、公允价值的披露" w:id="398"/>
      <w:bookmarkEnd w:id="398"/>
      <w:r>
        <w:rPr/>
      </w:r>
      <w:r>
        <w:rPr>
          <w:rFonts w:ascii="宋体" w:hAnsi="宋体" w:cs="宋体" w:eastAsia="宋体" w:hint="default"/>
          <w:b/>
          <w:bCs/>
          <w:sz w:val="24"/>
          <w:szCs w:val="24"/>
        </w:rPr>
        <w:t>十一、公允价值的披露</w:t>
      </w:r>
      <w:r>
        <w:rPr>
          <w:rFonts w:ascii="宋体" w:hAnsi="宋体" w:cs="宋体" w:eastAsia="宋体" w:hint="default"/>
          <w:b/>
          <w:bCs/>
          <w:w w:val="99"/>
          <w:sz w:val="24"/>
          <w:szCs w:val="24"/>
        </w:rPr>
        <w:t> </w:t>
      </w:r>
      <w:bookmarkStart w:name="1、以公允价值计量的资产和负债的期末公允价值" w:id="399"/>
      <w:bookmarkEnd w:id="399"/>
      <w:r>
        <w:rPr>
          <w:rFonts w:ascii="宋体" w:hAnsi="宋体" w:cs="宋体" w:eastAsia="宋体" w:hint="default"/>
          <w:b/>
          <w:bCs/>
          <w:w w:val="99"/>
          <w:sz w:val="24"/>
          <w:szCs w:val="24"/>
        </w:rPr>
      </w:r>
      <w:r>
        <w:rPr>
          <w:rFonts w:ascii="Times New Roman" w:hAnsi="Times New Roman" w:cs="Times New Roman" w:eastAsia="Times New Roman" w:hint="default"/>
          <w:b/>
          <w:bCs/>
          <w:w w:val="95"/>
          <w:sz w:val="21"/>
          <w:szCs w:val="21"/>
        </w:rPr>
        <w:t>1</w:t>
      </w:r>
      <w:r>
        <w:rPr>
          <w:rFonts w:ascii="宋体" w:hAnsi="宋体" w:cs="宋体" w:eastAsia="宋体" w:hint="default"/>
          <w:b/>
          <w:bCs/>
          <w:w w:val="95"/>
          <w:sz w:val="21"/>
          <w:szCs w:val="21"/>
        </w:rPr>
        <w:t>、以公允价值计量的资产和负债的期末公允价值 </w:t>
      </w:r>
      <w:r>
        <w:rPr>
          <w:rFonts w:ascii="宋体" w:hAnsi="宋体" w:cs="宋体" w:eastAsia="宋体" w:hint="default"/>
          <w:b/>
          <w:bCs/>
          <w:spacing w:val="20"/>
          <w:w w:val="95"/>
          <w:sz w:val="21"/>
          <w:szCs w:val="21"/>
        </w:rPr>
        <w:t> </w:t>
      </w:r>
      <w:r>
        <w:rPr>
          <w:rFonts w:ascii="宋体" w:hAnsi="宋体" w:cs="宋体" w:eastAsia="宋体" w:hint="default"/>
          <w:b/>
          <w:bCs/>
          <w:spacing w:val="20"/>
          <w:w w:val="95"/>
          <w:sz w:val="21"/>
          <w:szCs w:val="21"/>
        </w:rPr>
      </w:r>
      <w:r>
        <w:rPr>
          <w:rFonts w:ascii="宋体" w:hAnsi="宋体" w:cs="宋体" w:eastAsia="宋体" w:hint="default"/>
          <w:sz w:val="18"/>
          <w:szCs w:val="18"/>
        </w:rPr>
        <w:t>无</w:t>
      </w:r>
    </w:p>
    <w:p>
      <w:pPr>
        <w:pStyle w:val="Heading4"/>
        <w:spacing w:line="240" w:lineRule="auto" w:before="150"/>
        <w:ind w:right="0"/>
        <w:jc w:val="left"/>
        <w:rPr>
          <w:b w:val="0"/>
          <w:bCs w:val="0"/>
        </w:rPr>
      </w:pPr>
      <w:bookmarkStart w:name="2、持续和非持续第一层次公允价值计量项目市价的确定依据" w:id="400"/>
      <w:bookmarkEnd w:id="400"/>
      <w:r>
        <w:rPr>
          <w:b w:val="0"/>
          <w:bCs w:val="0"/>
        </w:rPr>
      </w:r>
      <w:r>
        <w:rPr>
          <w:rFonts w:ascii="Times New Roman" w:hAnsi="Times New Roman" w:cs="Times New Roman" w:eastAsia="Times New Roman" w:hint="default"/>
        </w:rPr>
        <w:t>2</w:t>
      </w:r>
      <w:r>
        <w:rPr/>
        <w:t>、持续和非持续第一层次公允价值计量项目市价的确定依据</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持续和非持续第二层次公允价值计量项目，采用的估值技术和重要参数的定性及定量信" w:id="401"/>
      <w:bookmarkEnd w:id="401"/>
      <w:r>
        <w:rPr>
          <w:b w:val="0"/>
          <w:bCs w:val="0"/>
        </w:rPr>
      </w:r>
      <w:r>
        <w:rPr>
          <w:rFonts w:ascii="Times New Roman" w:hAnsi="Times New Roman" w:cs="Times New Roman" w:eastAsia="Times New Roman"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持续和非持续第三层次公允价值计量项目，采用的估值技术和重要参数的定性及定量信" w:id="402"/>
      <w:bookmarkEnd w:id="402"/>
      <w:r>
        <w:rPr>
          <w:b w:val="0"/>
          <w:bCs w:val="0"/>
        </w:rPr>
      </w:r>
      <w:r>
        <w:rPr>
          <w:rFonts w:ascii="Times New Roman" w:hAnsi="Times New Roman" w:cs="Times New Roman" w:eastAsia="Times New Roman" w:hint="default"/>
        </w:rPr>
        <w:t>4</w:t>
      </w:r>
      <w:r>
        <w:rPr/>
        <w:t>、持续和非持续第三层次公允价值计量项目，采用的估值技术和重要参数的定性及定量信息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5、持续的第三层次公允价值计量项目，期初与期末账面价值间的调节信息及不可观察参数" w:id="403"/>
      <w:bookmarkEnd w:id="403"/>
      <w:r>
        <w:rPr>
          <w:b w:val="0"/>
          <w:bCs w:val="0"/>
        </w:rPr>
      </w:r>
      <w:r>
        <w:rPr>
          <w:rFonts w:ascii="Times New Roman" w:hAnsi="Times New Roman" w:cs="Times New Roman" w:eastAsia="Times New Roman" w:hint="default"/>
        </w:rPr>
        <w:t>5</w:t>
      </w:r>
      <w:r>
        <w:rPr/>
        <w:t>、持续的第三层次公允价值计量项目，期初与期末账面价值间的调节信息及不可观察参数敏感性分析</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持续的公允价值计量项目，本期内发生各层级之间转换的，转换的原因及确定转换时点" w:id="404"/>
      <w:bookmarkEnd w:id="404"/>
      <w:r>
        <w:rPr>
          <w:b w:val="0"/>
          <w:bCs w:val="0"/>
        </w:rPr>
      </w:r>
      <w:r>
        <w:rPr>
          <w:rFonts w:ascii="Times New Roman" w:hAnsi="Times New Roman" w:cs="Times New Roman" w:eastAsia="Times New Roman" w:hint="default"/>
        </w:rPr>
        <w:t>6</w:t>
      </w:r>
      <w:r>
        <w:rPr/>
        <w:t>、持续的公允价值计量项目，本期内发生各层级之间转换的，转换的原因及确定转换时点的政策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7、本期内发生的估值技术变更及变更原因" w:id="405"/>
      <w:bookmarkEnd w:id="405"/>
      <w:r>
        <w:rPr>
          <w:b w:val="0"/>
          <w:bCs w:val="0"/>
        </w:rPr>
      </w:r>
      <w:r>
        <w:rPr>
          <w:rFonts w:ascii="Times New Roman" w:hAnsi="Times New Roman" w:cs="Times New Roman" w:eastAsia="Times New Roman" w:hint="default"/>
        </w:rPr>
        <w:t>7</w:t>
      </w:r>
      <w:r>
        <w:rPr/>
        <w:t>、本期内发生的估值技术变更及变更原因</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8、不以公允价值计量的金融资产和金融负债的公允价值情况" w:id="406"/>
      <w:bookmarkEnd w:id="406"/>
      <w:r>
        <w:rPr>
          <w:b w:val="0"/>
          <w:bCs w:val="0"/>
        </w:rPr>
      </w:r>
      <w:r>
        <w:rPr>
          <w:rFonts w:ascii="Times New Roman" w:hAnsi="Times New Roman" w:cs="Times New Roman" w:eastAsia="Times New Roman"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9、其他" w:id="407"/>
      <w:bookmarkEnd w:id="407"/>
      <w:r>
        <w:rPr>
          <w:b w:val="0"/>
          <w:bCs w:val="0"/>
        </w:rPr>
      </w: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本公司本期的金融资产和负债公允价值与账面价值相等，暂不涉及以上三个层次认定。</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Heading2"/>
        <w:spacing w:line="240" w:lineRule="auto" w:before="26"/>
        <w:ind w:right="0"/>
        <w:jc w:val="left"/>
        <w:rPr>
          <w:b w:val="0"/>
          <w:bCs w:val="0"/>
        </w:rPr>
      </w:pPr>
      <w:bookmarkStart w:name="十二、关联方及关联交易" w:id="408"/>
      <w:bookmarkEnd w:id="408"/>
      <w:r>
        <w:rPr>
          <w:b w:val="0"/>
          <w:bCs w:val="0"/>
        </w:rPr>
      </w: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本企业的母公司情况" w:id="409"/>
      <w:bookmarkEnd w:id="409"/>
      <w:r>
        <w:rPr>
          <w:b w:val="0"/>
          <w:bCs w:val="0"/>
        </w:rPr>
      </w:r>
      <w:r>
        <w:rPr>
          <w:rFonts w:ascii="Times New Roman" w:hAnsi="Times New Roman" w:cs="Times New Roman" w:eastAsia="Times New Roman" w:hint="default"/>
        </w:rPr>
        <w:t>1</w:t>
      </w:r>
      <w:r>
        <w:rPr/>
        <w:t>、本企业的母公司情况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342"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北京宣亚国际投资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7" w:right="0"/>
              <w:jc w:val="left"/>
              <w:rPr>
                <w:rFonts w:ascii="Times New Roman" w:hAnsi="Times New Roman" w:cs="Times New Roman" w:eastAsia="Times New Roman" w:hint="default"/>
                <w:sz w:val="18"/>
                <w:szCs w:val="18"/>
              </w:rPr>
            </w:pPr>
            <w:r>
              <w:rPr>
                <w:rFonts w:ascii="Times New Roman"/>
                <w:sz w:val="18"/>
              </w:rPr>
              <w:t>37.50%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1006" w:right="0"/>
              <w:jc w:val="left"/>
              <w:rPr>
                <w:rFonts w:ascii="Times New Roman" w:hAnsi="Times New Roman" w:cs="Times New Roman" w:eastAsia="Times New Roman" w:hint="default"/>
                <w:sz w:val="18"/>
                <w:szCs w:val="18"/>
              </w:rPr>
            </w:pPr>
            <w:r>
              <w:rPr>
                <w:rFonts w:ascii="Times New Roman"/>
                <w:sz w:val="18"/>
              </w:rPr>
              <w:t>37.50%</w:t>
            </w:r>
          </w:p>
        </w:tc>
      </w:tr>
    </w:tbl>
    <w:p>
      <w:pPr>
        <w:pStyle w:val="BodyText"/>
        <w:spacing w:line="360" w:lineRule="auto" w:before="51"/>
        <w:ind w:right="7692"/>
        <w:jc w:val="left"/>
      </w:pPr>
      <w:r>
        <w:rPr/>
        <w:t>本企业的母公司情况的说明 本公司实际控制人：张秀兵、万丽莉 本企业最终控制方是张秀兵、万丽莉。</w:t>
      </w:r>
    </w:p>
    <w:p>
      <w:pPr>
        <w:spacing w:line="240" w:lineRule="auto" w:before="12"/>
        <w:rPr>
          <w:rFonts w:ascii="宋体" w:hAnsi="宋体" w:cs="宋体" w:eastAsia="宋体" w:hint="default"/>
          <w:sz w:val="19"/>
          <w:szCs w:val="19"/>
        </w:rPr>
      </w:pPr>
    </w:p>
    <w:p>
      <w:pPr>
        <w:pStyle w:val="Heading4"/>
        <w:spacing w:line="240" w:lineRule="auto"/>
        <w:ind w:right="0"/>
        <w:jc w:val="left"/>
        <w:rPr>
          <w:b w:val="0"/>
          <w:bCs w:val="0"/>
        </w:rPr>
      </w:pPr>
      <w:bookmarkStart w:name="2、本企业的子公司情况" w:id="410"/>
      <w:bookmarkEnd w:id="410"/>
      <w:r>
        <w:rPr>
          <w:b w:val="0"/>
          <w:bCs w:val="0"/>
        </w:rPr>
      </w:r>
      <w:r>
        <w:rPr>
          <w:rFonts w:ascii="Times New Roman" w:hAnsi="Times New Roman" w:cs="Times New Roman" w:eastAsia="Times New Roman" w:hint="default"/>
        </w:rPr>
        <w:t>2</w:t>
      </w:r>
      <w:r>
        <w:rPr/>
        <w:t>、本企业的子公司情况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t>本企业子公司的情况详见附注九、在其他主体中的权益。</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本企业合营和联营企业情况" w:id="411"/>
      <w:bookmarkEnd w:id="411"/>
      <w:r>
        <w:rPr>
          <w:b w:val="0"/>
          <w:bCs w:val="0"/>
        </w:rPr>
      </w:r>
      <w:r>
        <w:rPr>
          <w:rFonts w:ascii="Times New Roman" w:hAnsi="Times New Roman" w:cs="Times New Roman" w:eastAsia="Times New Roman" w:hint="default"/>
        </w:rPr>
        <w:t>3</w:t>
      </w:r>
      <w:r>
        <w:rPr/>
        <w:t>、本企业合营和联营企业情况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1112"/>
        <w:jc w:val="left"/>
      </w:pPr>
      <w:r>
        <w:rPr/>
        <w:t>本企业重要的合营或联营企业详见附注九、在其他主体中的权益。 本公司联营企业包括北京威维体育文化有限公司和链极智能科技</w:t>
      </w:r>
      <w:r>
        <w:rPr>
          <w:rFonts w:ascii="Times New Roman" w:hAnsi="Times New Roman" w:cs="Times New Roman" w:eastAsia="Times New Roman" w:hint="default"/>
        </w:rPr>
        <w:t>(</w:t>
      </w:r>
      <w:r>
        <w:rPr/>
        <w:t>上海</w:t>
      </w:r>
      <w:r>
        <w:rPr>
          <w:rFonts w:ascii="Times New Roman" w:hAnsi="Times New Roman" w:cs="Times New Roman" w:eastAsia="Times New Roman" w:hint="default"/>
        </w:rPr>
        <w:t>)</w:t>
      </w:r>
      <w:r>
        <w:rPr/>
        <w:t>有限公司，详见本附注</w:t>
      </w:r>
      <w:r>
        <w:rPr>
          <w:rFonts w:ascii="Times New Roman" w:hAnsi="Times New Roman" w:cs="Times New Roman" w:eastAsia="Times New Roman" w:hint="default"/>
        </w:rPr>
        <w:t>“</w:t>
      </w:r>
      <w:r>
        <w:rPr/>
        <w:t>九、在其他主体中的权益</w:t>
      </w:r>
      <w:r>
        <w:rPr>
          <w:rFonts w:ascii="Times New Roman" w:hAnsi="Times New Roman" w:cs="Times New Roman" w:eastAsia="Times New Roman" w:hint="default"/>
        </w:rPr>
        <w:t>”</w:t>
      </w:r>
      <w:r>
        <w:rPr/>
        <w:t>。</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4"/>
          <w:szCs w:val="24"/>
        </w:rPr>
      </w:pPr>
    </w:p>
    <w:p>
      <w:pPr>
        <w:pStyle w:val="Heading4"/>
        <w:spacing w:line="240" w:lineRule="auto"/>
        <w:ind w:right="0"/>
        <w:jc w:val="left"/>
        <w:rPr>
          <w:b w:val="0"/>
          <w:bCs w:val="0"/>
        </w:rPr>
      </w:pPr>
      <w:bookmarkStart w:name="4、其他关联方情况" w:id="412"/>
      <w:bookmarkEnd w:id="412"/>
      <w:r>
        <w:rPr>
          <w:b w:val="0"/>
          <w:bCs w:val="0"/>
        </w:rPr>
      </w:r>
      <w:r>
        <w:rPr>
          <w:rFonts w:ascii="Times New Roman" w:hAnsi="Times New Roman" w:cs="Times New Roman" w:eastAsia="Times New Roman" w:hint="default"/>
        </w:rPr>
        <w:t>4</w:t>
      </w:r>
      <w:r>
        <w:rPr/>
        <w:t>、其他关联方情况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6"/>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47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98"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714"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北京斯普汇德文化中心（有限合伙）</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1"/>
              <w:jc w:val="left"/>
              <w:rPr>
                <w:rFonts w:ascii="宋体" w:hAnsi="宋体" w:cs="宋体" w:eastAsia="宋体" w:hint="default"/>
                <w:sz w:val="18"/>
                <w:szCs w:val="18"/>
              </w:rPr>
            </w:pPr>
            <w:r>
              <w:rPr>
                <w:rFonts w:ascii="宋体" w:hAnsi="宋体" w:cs="宋体" w:eastAsia="宋体" w:hint="default"/>
                <w:sz w:val="18"/>
                <w:szCs w:val="18"/>
              </w:rPr>
              <w:t>与上市公司有特殊关系，可能造成上市公司对其利益倾斜的 法人与其他组织。</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品推宝（深圳）商业保理有限公司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同一最终控制方</w:t>
            </w:r>
          </w:p>
        </w:tc>
      </w:tr>
    </w:tbl>
    <w:p>
      <w:pPr>
        <w:pStyle w:val="BodyText"/>
        <w:spacing w:line="240" w:lineRule="auto" w:before="51"/>
        <w:ind w:right="0"/>
        <w:jc w:val="left"/>
      </w:pPr>
      <w:r>
        <w:rPr/>
        <w:t>其他说明</w:t>
      </w:r>
    </w:p>
    <w:p>
      <w:pPr>
        <w:pStyle w:val="BodyText"/>
        <w:spacing w:line="300" w:lineRule="auto" w:before="116"/>
        <w:ind w:right="0" w:firstLine="397"/>
        <w:jc w:val="left"/>
      </w:pPr>
      <w:r>
        <w:rPr/>
        <w:t>公司控股股东宣亚投资作为北京斯普汇德文化中心（有限合伙）（以下简称</w:t>
      </w:r>
      <w:r>
        <w:rPr>
          <w:rFonts w:ascii="Times New Roman" w:hAnsi="Times New Roman" w:cs="Times New Roman" w:eastAsia="Times New Roman" w:hint="default"/>
        </w:rPr>
        <w:t>“</w:t>
      </w:r>
      <w:r>
        <w:rPr/>
        <w:t>斯普汇德</w:t>
      </w:r>
      <w:r>
        <w:rPr>
          <w:rFonts w:ascii="Times New Roman" w:hAnsi="Times New Roman" w:cs="Times New Roman" w:eastAsia="Times New Roman" w:hint="default"/>
        </w:rPr>
        <w:t>”</w:t>
      </w:r>
      <w:r>
        <w:rPr/>
        <w:t>）有限合伙人，持有斯普汇德 </w:t>
      </w:r>
      <w:r>
        <w:rPr>
          <w:rFonts w:ascii="Times New Roman" w:hAnsi="Times New Roman" w:cs="Times New Roman" w:eastAsia="Times New Roman" w:hint="default"/>
        </w:rPr>
        <w:t>40%</w:t>
      </w:r>
      <w:r>
        <w:rPr/>
        <w:t>财产份额；公司董事长张秀兵先生、董事万丽莉女士合计持有宣亚投资</w:t>
      </w:r>
      <w:r>
        <w:rPr>
          <w:rFonts w:ascii="Times New Roman" w:hAnsi="Times New Roman" w:cs="Times New Roman" w:eastAsia="Times New Roman" w:hint="default"/>
        </w:rPr>
        <w:t>100%</w:t>
      </w:r>
      <w:r>
        <w:rPr/>
        <w:t>股权，系宣亚国际实际控制人，未在斯普</w:t>
      </w:r>
      <w:r>
        <w:rPr>
          <w:spacing w:val="-29"/>
        </w:rPr>
        <w:t> </w:t>
      </w:r>
      <w:r>
        <w:rPr>
          <w:spacing w:val="-29"/>
        </w:rPr>
      </w:r>
      <w:r>
        <w:rPr/>
        <w:t>汇德任职。宣亚投资作为斯普汇德第二大合伙人且持有</w:t>
      </w:r>
      <w:r>
        <w:rPr>
          <w:rFonts w:ascii="Times New Roman" w:hAnsi="Times New Roman" w:cs="Times New Roman" w:eastAsia="Times New Roman" w:hint="default"/>
        </w:rPr>
        <w:t>40%</w:t>
      </w:r>
      <w:r>
        <w:rPr/>
        <w:t>的财产份额，虽然在财产份额占比上不能控制或者对斯普汇德产 </w:t>
      </w:r>
      <w:r>
        <w:rPr>
          <w:spacing w:val="-2"/>
        </w:rPr>
        <w:t>生重大影响，但仍能产生较大影响。按照《深圳证券交易所创业板股票上市规则》</w:t>
      </w:r>
      <w:r>
        <w:rPr>
          <w:rFonts w:ascii="Times New Roman" w:hAnsi="Times New Roman" w:cs="Times New Roman" w:eastAsia="Times New Roman" w:hint="default"/>
          <w:spacing w:val="-2"/>
        </w:rPr>
        <w:t>10.1.3</w:t>
      </w:r>
      <w:r>
        <w:rPr>
          <w:spacing w:val="-2"/>
        </w:rPr>
        <w:t>第（五）条</w:t>
      </w:r>
      <w:r>
        <w:rPr>
          <w:rFonts w:ascii="Times New Roman" w:hAnsi="Times New Roman" w:cs="Times New Roman" w:eastAsia="Times New Roman" w:hint="default"/>
          <w:spacing w:val="-2"/>
        </w:rPr>
        <w:t>“</w:t>
      </w:r>
      <w:r>
        <w:rPr>
          <w:spacing w:val="-2"/>
        </w:rPr>
        <w:t>上市公司根据实质重于</w:t>
      </w:r>
      <w:r>
        <w:rPr>
          <w:spacing w:val="-52"/>
        </w:rPr>
        <w:t> </w:t>
      </w:r>
      <w:r>
        <w:rPr>
          <w:spacing w:val="-52"/>
        </w:rPr>
      </w:r>
      <w:r>
        <w:rPr>
          <w:spacing w:val="-2"/>
        </w:rPr>
        <w:t>形式的原则认定的其他与上市公司有特殊关系，可能造成上市公司对其利益倾斜的法人与其他组织</w:t>
      </w:r>
      <w:r>
        <w:rPr>
          <w:rFonts w:ascii="Times New Roman" w:hAnsi="Times New Roman" w:cs="Times New Roman" w:eastAsia="Times New Roman" w:hint="default"/>
          <w:spacing w:val="-2"/>
        </w:rPr>
        <w:t>”</w:t>
      </w:r>
      <w:r>
        <w:rPr>
          <w:spacing w:val="-2"/>
        </w:rPr>
        <w:t>的规定，依据审慎原则，</w:t>
      </w:r>
      <w:r>
        <w:rPr>
          <w:spacing w:val="-51"/>
        </w:rPr>
        <w:t> </w:t>
      </w:r>
      <w:r>
        <w:rPr>
          <w:spacing w:val="-51"/>
        </w:rPr>
      </w:r>
      <w:r>
        <w:rPr/>
        <w:t>斯普汇德被公司认定为关联法人。</w:t>
      </w:r>
    </w:p>
    <w:p>
      <w:pPr>
        <w:spacing w:line="240" w:lineRule="auto" w:before="6"/>
        <w:rPr>
          <w:rFonts w:ascii="宋体" w:hAnsi="宋体" w:cs="宋体" w:eastAsia="宋体" w:hint="default"/>
          <w:sz w:val="23"/>
          <w:szCs w:val="23"/>
        </w:rPr>
      </w:pPr>
    </w:p>
    <w:p>
      <w:pPr>
        <w:pStyle w:val="Heading4"/>
        <w:spacing w:line="240" w:lineRule="auto"/>
        <w:ind w:right="0"/>
        <w:jc w:val="left"/>
        <w:rPr>
          <w:b w:val="0"/>
          <w:bCs w:val="0"/>
        </w:rPr>
      </w:pPr>
      <w:bookmarkStart w:name="5、关联交易情况" w:id="413"/>
      <w:bookmarkEnd w:id="413"/>
      <w:r>
        <w:rPr>
          <w:b w:val="0"/>
          <w:bCs w:val="0"/>
        </w:rPr>
      </w:r>
      <w:r>
        <w:rPr>
          <w:rFonts w:ascii="Times New Roman" w:hAnsi="Times New Roman" w:cs="Times New Roman" w:eastAsia="Times New Roman" w:hint="default"/>
        </w:rPr>
        <w:t>5</w:t>
      </w:r>
      <w:r>
        <w:rPr/>
        <w:t>、关联交易情况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购销商品、提供和接受劳务的关联交易" w:id="414"/>
      <w:bookmarkEnd w:id="414"/>
      <w:r>
        <w:rPr>
          <w:b w:val="0"/>
          <w:bCs w:val="0"/>
        </w:rPr>
      </w:r>
      <w:r>
        <w:rPr/>
        <w:t>（</w:t>
      </w:r>
      <w:r>
        <w:rPr>
          <w:rFonts w:ascii="Times New Roman" w:hAnsi="Times New Roman" w:cs="Times New Roman" w:eastAsia="Times New Roman" w:hint="default"/>
        </w:rPr>
        <w:t>1</w:t>
      </w:r>
      <w:r>
        <w:rPr/>
        <w:t>）购销商品、提供和接受劳务的关联交易</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采购商品</w:t>
      </w:r>
      <w:r>
        <w:rPr>
          <w:rFonts w:ascii="Times New Roman" w:hAnsi="Times New Roman" w:cs="Times New Roman" w:eastAsia="Times New Roman" w:hint="default"/>
        </w:rPr>
        <w:t>/</w:t>
      </w:r>
      <w:r>
        <w:rPr/>
        <w:t>接受劳务情况表</w:t>
      </w:r>
    </w:p>
    <w:p>
      <w:pPr>
        <w:spacing w:after="0" w:line="240" w:lineRule="auto"/>
        <w:jc w:val="left"/>
        <w:sectPr>
          <w:pgSz w:w="11910" w:h="16840"/>
          <w:pgMar w:header="0" w:footer="979" w:top="1060" w:bottom="116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5"/>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6"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北京威维体育文化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活动服务费</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706" w:type="dxa"/>
            <w:tcBorders>
              <w:top w:val="single" w:sz="4" w:space="0" w:color="000000"/>
              <w:left w:val="single" w:sz="4" w:space="0" w:color="000000"/>
              <w:bottom w:val="single" w:sz="4" w:space="0" w:color="000000"/>
              <w:right w:val="single" w:sz="4" w:space="0" w:color="000000"/>
            </w:tcBorders>
          </w:tcPr>
          <w:p>
            <w:pPr/>
          </w:p>
        </w:tc>
        <w:tc>
          <w:tcPr>
            <w:tcW w:w="1708"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863" w:right="0"/>
              <w:jc w:val="left"/>
              <w:rPr>
                <w:rFonts w:ascii="Times New Roman" w:hAnsi="Times New Roman" w:cs="Times New Roman" w:eastAsia="Times New Roman" w:hint="default"/>
                <w:sz w:val="18"/>
                <w:szCs w:val="18"/>
              </w:rPr>
            </w:pPr>
            <w:r>
              <w:rPr>
                <w:rFonts w:ascii="Times New Roman"/>
                <w:sz w:val="18"/>
              </w:rPr>
              <w:t>900,000.00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关联受托管理/承包及委托管理/出包情况" w:id="415"/>
      <w:bookmarkEnd w:id="415"/>
      <w:r>
        <w:rPr>
          <w:b w:val="0"/>
          <w:bCs w:val="0"/>
        </w:rPr>
      </w:r>
      <w:r>
        <w:rPr/>
        <w:t>（</w:t>
      </w:r>
      <w:r>
        <w:rPr>
          <w:rFonts w:ascii="Times New Roman" w:hAnsi="Times New Roman" w:cs="Times New Roman" w:eastAsia="Times New Roman" w:hint="default"/>
        </w:rPr>
        <w:t>2</w:t>
      </w:r>
      <w:r>
        <w:rPr/>
        <w:t>）关联受托管理</w:t>
      </w:r>
      <w:r>
        <w:rPr>
          <w:rFonts w:ascii="Times New Roman" w:hAnsi="Times New Roman" w:cs="Times New Roman" w:eastAsia="Times New Roman" w:hint="default"/>
        </w:rPr>
        <w:t>/</w:t>
      </w:r>
      <w:r>
        <w:rPr/>
        <w:t>承包及委托管理</w:t>
      </w:r>
      <w:r>
        <w:rPr>
          <w:rFonts w:ascii="Times New Roman" w:hAnsi="Times New Roman" w:cs="Times New Roman" w:eastAsia="Times New Roman" w:hint="default"/>
        </w:rPr>
        <w:t>/</w:t>
      </w:r>
      <w:r>
        <w:rPr/>
        <w:t>出包情况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3）关联租赁情况" w:id="416"/>
      <w:bookmarkEnd w:id="416"/>
      <w:r>
        <w:rPr>
          <w:b w:val="0"/>
          <w:bCs w:val="0"/>
        </w:rPr>
      </w:r>
      <w:r>
        <w:rPr/>
        <w:t>（</w:t>
      </w:r>
      <w:r>
        <w:rPr>
          <w:rFonts w:ascii="Times New Roman" w:hAnsi="Times New Roman" w:cs="Times New Roman" w:eastAsia="Times New Roman" w:hint="default"/>
        </w:rPr>
        <w:t>3</w:t>
      </w:r>
      <w:r>
        <w:rPr/>
        <w:t>）关联租赁情况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关联担保情况" w:id="417"/>
      <w:bookmarkEnd w:id="417"/>
      <w:r>
        <w:rPr>
          <w:b w:val="0"/>
          <w:bCs w:val="0"/>
        </w:rPr>
      </w:r>
      <w:r>
        <w:rPr/>
        <w:t>（</w:t>
      </w:r>
      <w:r>
        <w:rPr>
          <w:rFonts w:ascii="Times New Roman" w:hAnsi="Times New Roman" w:cs="Times New Roman" w:eastAsia="Times New Roman"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t>本公司作为被担保方</w:t>
      </w:r>
    </w:p>
    <w:p>
      <w:pPr>
        <w:pStyle w:val="BodyText"/>
        <w:spacing w:line="240" w:lineRule="auto" w:before="116"/>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10"/>
        <w:gridCol w:w="1419"/>
        <w:gridCol w:w="1914"/>
        <w:gridCol w:w="1914"/>
        <w:gridCol w:w="1914"/>
      </w:tblGrid>
      <w:tr>
        <w:trPr>
          <w:trHeight w:val="402" w:hRule="exact"/>
        </w:trPr>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4"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张秀兵</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万丽莉</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北京宣亚国际投资有限公司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100,000,000.00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关联方资金拆借" w:id="418"/>
      <w:bookmarkEnd w:id="418"/>
      <w:r>
        <w:rPr>
          <w:b w:val="0"/>
          <w:bCs w:val="0"/>
        </w:rPr>
      </w:r>
      <w:r>
        <w:rPr/>
        <w:t>（</w:t>
      </w:r>
      <w:r>
        <w:rPr>
          <w:rFonts w:ascii="Times New Roman" w:hAnsi="Times New Roman" w:cs="Times New Roman" w:eastAsia="Times New Roman" w:hint="default"/>
        </w:rPr>
        <w:t>5</w:t>
      </w:r>
      <w:r>
        <w:rPr/>
        <w:t>）关联方资金拆借</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bookmarkStart w:name="无" w:id="419"/>
      <w:bookmarkEnd w:id="419"/>
      <w:r>
        <w:rPr/>
      </w: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关联方资产转让、债务重组情况" w:id="420"/>
      <w:bookmarkEnd w:id="420"/>
      <w:r>
        <w:rPr>
          <w:b w:val="0"/>
          <w:bCs w:val="0"/>
        </w:rPr>
      </w: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bookmarkStart w:name="无" w:id="421"/>
      <w:bookmarkEnd w:id="421"/>
      <w:r>
        <w:rPr/>
      </w: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7）关键管理人员报酬" w:id="422"/>
      <w:bookmarkEnd w:id="422"/>
      <w:r>
        <w:rPr>
          <w:b w:val="0"/>
          <w:bCs w:val="0"/>
        </w:rPr>
      </w:r>
      <w:r>
        <w:rPr/>
        <w:t>（</w:t>
      </w:r>
      <w:r>
        <w:rPr>
          <w:rFonts w:ascii="Times New Roman" w:hAnsi="Times New Roman" w:cs="Times New Roman" w:eastAsia="Times New Roman"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1"/>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7,156,432.55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8,178,578.49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8）其他关联交易" w:id="423"/>
      <w:bookmarkEnd w:id="423"/>
      <w:r>
        <w:rPr>
          <w:b w:val="0"/>
          <w:bCs w:val="0"/>
        </w:rPr>
      </w:r>
      <w:r>
        <w:rPr/>
        <w:t>（</w:t>
      </w:r>
      <w:r>
        <w:rPr>
          <w:rFonts w:ascii="Times New Roman" w:hAnsi="Times New Roman" w:cs="Times New Roman" w:eastAsia="Times New Roman" w:hint="default"/>
        </w:rPr>
        <w:t>8</w:t>
      </w:r>
      <w:r>
        <w:rPr/>
        <w:t>）其他关联交易</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040" w:firstLine="360"/>
        <w:jc w:val="left"/>
      </w:pPr>
      <w:r>
        <w:rPr>
          <w:rFonts w:ascii="Times New Roman" w:hAnsi="Times New Roman" w:cs="Times New Roman" w:eastAsia="Times New Roman" w:hint="default"/>
        </w:rPr>
        <w:t>1.</w:t>
      </w: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15</w:t>
      </w:r>
      <w:r>
        <w:rPr/>
        <w:t>日召开的第三届董事会第九次会议、第四届监事会第八次会议同意拟租用北京斯普汇德文化中 心（有限合伙）（以下简称</w:t>
      </w:r>
      <w:r>
        <w:rPr>
          <w:rFonts w:ascii="Times New Roman" w:hAnsi="Times New Roman" w:cs="Times New Roman" w:eastAsia="Times New Roman" w:hint="default"/>
        </w:rPr>
        <w:t>“</w:t>
      </w:r>
      <w:r>
        <w:rPr/>
        <w:t>斯普汇德</w:t>
      </w:r>
      <w:r>
        <w:rPr>
          <w:rFonts w:ascii="Times New Roman" w:hAnsi="Times New Roman" w:cs="Times New Roman" w:eastAsia="Times New Roman" w:hint="default"/>
        </w:rPr>
        <w:t>”</w:t>
      </w:r>
      <w:r>
        <w:rPr/>
        <w:t>）承租的位于北京市朝阳区双桥街</w:t>
      </w:r>
      <w:r>
        <w:rPr>
          <w:rFonts w:ascii="Times New Roman" w:hAnsi="Times New Roman" w:cs="Times New Roman" w:eastAsia="Times New Roman" w:hint="default"/>
        </w:rPr>
        <w:t>12</w:t>
      </w:r>
      <w:r>
        <w:rPr/>
        <w:t>号院</w:t>
      </w:r>
      <w:r>
        <w:rPr>
          <w:rFonts w:ascii="Times New Roman" w:hAnsi="Times New Roman" w:cs="Times New Roman" w:eastAsia="Times New Roman" w:hint="default"/>
        </w:rPr>
        <w:t>39#</w:t>
      </w:r>
      <w:r>
        <w:rPr/>
        <w:t>、</w:t>
      </w:r>
      <w:r>
        <w:rPr>
          <w:rFonts w:ascii="Times New Roman" w:hAnsi="Times New Roman" w:cs="Times New Roman" w:eastAsia="Times New Roman" w:hint="default"/>
        </w:rPr>
        <w:t>41#-45#</w:t>
      </w:r>
      <w:r>
        <w:rPr/>
        <w:t>办公楼，并于当日与斯普汇德 </w:t>
      </w:r>
      <w:r>
        <w:rPr>
          <w:spacing w:val="-2"/>
        </w:rPr>
        <w:t>签订《房屋租赁合同》，该房屋建筑面积为</w:t>
      </w:r>
      <w:r>
        <w:rPr>
          <w:rFonts w:ascii="Times New Roman" w:hAnsi="Times New Roman" w:cs="Times New Roman" w:eastAsia="Times New Roman" w:hint="default"/>
          <w:spacing w:val="-2"/>
        </w:rPr>
        <w:t>5048.49</w:t>
      </w:r>
      <w:r>
        <w:rPr>
          <w:spacing w:val="-2"/>
        </w:rPr>
        <w:t>平方米，租赁期限为</w:t>
      </w:r>
      <w:r>
        <w:rPr>
          <w:rFonts w:ascii="Times New Roman" w:hAnsi="Times New Roman" w:cs="Times New Roman" w:eastAsia="Times New Roman" w:hint="default"/>
          <w:spacing w:val="-2"/>
        </w:rPr>
        <w:t>3519</w:t>
      </w:r>
      <w:r>
        <w:rPr>
          <w:spacing w:val="-2"/>
        </w:rPr>
        <w:t>天，租赁期自</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w:t>
      </w:r>
      <w:r>
        <w:rPr>
          <w:spacing w:val="-2"/>
        </w:rPr>
        <w:t>日至</w:t>
      </w:r>
      <w:r>
        <w:rPr>
          <w:rFonts w:ascii="Times New Roman" w:hAnsi="Times New Roman" w:cs="Times New Roman" w:eastAsia="Times New Roman" w:hint="default"/>
          <w:spacing w:val="-2"/>
        </w:rPr>
        <w:t>2028</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19</w:t>
      </w:r>
      <w:r>
        <w:rPr>
          <w:spacing w:val="-2"/>
        </w:rPr>
        <w:t>日止，</w:t>
      </w:r>
      <w:r>
        <w:rPr>
          <w:spacing w:val="-87"/>
        </w:rPr>
        <w:t> </w:t>
      </w:r>
      <w:r>
        <w:rPr/>
        <w:t>公司以每半年为一期支付租金，租金为人民币</w:t>
      </w:r>
      <w:r>
        <w:rPr>
          <w:rFonts w:ascii="Times New Roman" w:hAnsi="Times New Roman" w:cs="Times New Roman" w:eastAsia="Times New Roman" w:hint="default"/>
        </w:rPr>
        <w:t>4,163,865.03</w:t>
      </w:r>
      <w:r>
        <w:rPr/>
        <w:t>元</w:t>
      </w:r>
      <w:r>
        <w:rPr>
          <w:rFonts w:ascii="Times New Roman" w:hAnsi="Times New Roman" w:cs="Times New Roman" w:eastAsia="Times New Roman" w:hint="default"/>
        </w:rPr>
        <w:t>/</w:t>
      </w:r>
      <w:r>
        <w:rPr/>
        <w:t>半年（含房屋租金、物业管理费及相关税费），租赁物业全部</w:t>
      </w:r>
    </w:p>
    <w:p>
      <w:pPr>
        <w:spacing w:after="0" w:line="300" w:lineRule="auto"/>
        <w:jc w:val="left"/>
        <w:sectPr>
          <w:pgSz w:w="11910" w:h="16840"/>
          <w:pgMar w:header="0"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right="0"/>
        <w:jc w:val="left"/>
      </w:pPr>
      <w:r>
        <w:rPr/>
        <w:t>租期内租金合计为人民币</w:t>
      </w:r>
      <w:r>
        <w:rPr>
          <w:rFonts w:ascii="Times New Roman" w:hAnsi="Times New Roman" w:cs="Times New Roman" w:eastAsia="Times New Roman" w:hint="default"/>
        </w:rPr>
        <w:t>80,953,818.00</w:t>
      </w:r>
      <w:r>
        <w:rPr/>
        <w:t>元。</w:t>
      </w:r>
    </w:p>
    <w:p>
      <w:pPr>
        <w:spacing w:line="240" w:lineRule="auto" w:before="0"/>
        <w:rPr>
          <w:rFonts w:ascii="宋体" w:hAnsi="宋体" w:cs="宋体" w:eastAsia="宋体" w:hint="default"/>
          <w:sz w:val="18"/>
          <w:szCs w:val="18"/>
        </w:rPr>
      </w:pPr>
    </w:p>
    <w:p>
      <w:pPr>
        <w:pStyle w:val="BodyText"/>
        <w:spacing w:line="240" w:lineRule="auto" w:before="139"/>
        <w:ind w:left="587" w:right="0"/>
        <w:jc w:val="left"/>
      </w:pPr>
      <w:r>
        <w:rPr>
          <w:rFonts w:ascii="Times New Roman" w:hAnsi="Times New Roman" w:cs="Times New Roman" w:eastAsia="Times New Roman" w:hint="default"/>
        </w:rPr>
        <w:t>2.</w:t>
      </w:r>
      <w:r>
        <w:rPr/>
        <w:t>截止</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日，本公司子公司宣亚国际有限公司无偿使用万丽莉的房屋作为公司的办公场所。</w:t>
      </w:r>
    </w:p>
    <w:p>
      <w:pPr>
        <w:spacing w:line="240" w:lineRule="auto" w:before="12"/>
        <w:rPr>
          <w:rFonts w:ascii="宋体" w:hAnsi="宋体" w:cs="宋体" w:eastAsia="宋体" w:hint="default"/>
          <w:sz w:val="25"/>
          <w:szCs w:val="25"/>
        </w:rPr>
      </w:pPr>
    </w:p>
    <w:p>
      <w:pPr>
        <w:pStyle w:val="Heading4"/>
        <w:spacing w:line="240" w:lineRule="auto"/>
        <w:ind w:right="0"/>
        <w:jc w:val="left"/>
        <w:rPr>
          <w:b w:val="0"/>
          <w:bCs w:val="0"/>
        </w:rPr>
      </w:pPr>
      <w:bookmarkStart w:name="6、关联方应收应付款项" w:id="424"/>
      <w:bookmarkEnd w:id="424"/>
      <w:r>
        <w:rPr>
          <w:b w:val="0"/>
          <w:bCs w:val="0"/>
        </w:rPr>
      </w:r>
      <w:r>
        <w:rPr>
          <w:rFonts w:ascii="Times New Roman" w:hAnsi="Times New Roman" w:cs="Times New Roman" w:eastAsia="Times New Roman" w:hint="default"/>
        </w:rPr>
        <w:t>6</w:t>
      </w:r>
      <w:r>
        <w:rPr/>
        <w:t>、关联方应收应付款项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项目" w:id="425"/>
      <w:bookmarkEnd w:id="425"/>
      <w:r>
        <w:rPr>
          <w:b w:val="0"/>
          <w:bCs w:val="0"/>
        </w:rPr>
      </w:r>
      <w:r>
        <w:rPr/>
        <w:t>（</w:t>
      </w:r>
      <w:r>
        <w:rPr>
          <w:rFonts w:ascii="Times New Roman" w:hAnsi="Times New Roman" w:cs="Times New Roman" w:eastAsia="Times New Roman"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vMerge/>
            <w:tcBorders>
              <w:left w:val="single" w:sz="4" w:space="0" w:color="000000"/>
              <w:bottom w:val="single" w:sz="4" w:space="0" w:color="000000"/>
              <w:right w:val="single" w:sz="4" w:space="0" w:color="000000"/>
            </w:tcBorders>
            <w:shd w:val="clear" w:color="auto" w:fill="D2D2D2"/>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20"/>
              <w:jc w:val="left"/>
              <w:rPr>
                <w:rFonts w:ascii="宋体" w:hAnsi="宋体" w:cs="宋体" w:eastAsia="宋体" w:hint="default"/>
                <w:sz w:val="18"/>
                <w:szCs w:val="18"/>
              </w:rPr>
            </w:pPr>
            <w:r>
              <w:rPr>
                <w:rFonts w:ascii="宋体" w:hAnsi="宋体" w:cs="宋体" w:eastAsia="宋体" w:hint="default"/>
                <w:sz w:val="18"/>
                <w:szCs w:val="18"/>
              </w:rPr>
              <w:t>北京斯普汇德文化 中心（有限合伙）</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624" w:right="0"/>
              <w:jc w:val="left"/>
              <w:rPr>
                <w:rFonts w:ascii="Times New Roman" w:hAnsi="Times New Roman" w:cs="Times New Roman" w:eastAsia="Times New Roman" w:hint="default"/>
                <w:sz w:val="18"/>
                <w:szCs w:val="18"/>
              </w:rPr>
            </w:pPr>
            <w:r>
              <w:rPr>
                <w:rFonts w:ascii="Times New Roman"/>
                <w:sz w:val="18"/>
              </w:rPr>
              <w:t>2,117,942.52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2）应付项目" w:id="426"/>
      <w:bookmarkEnd w:id="426"/>
      <w:r>
        <w:rPr>
          <w:b w:val="0"/>
          <w:bCs w:val="0"/>
        </w:rPr>
      </w:r>
      <w:r>
        <w:rPr/>
        <w:t>（</w:t>
      </w:r>
      <w:r>
        <w:rPr>
          <w:rFonts w:ascii="Times New Roman" w:hAnsi="Times New Roman" w:cs="Times New Roman" w:eastAsia="Times New Roman"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z w:val="18"/>
                <w:szCs w:val="18"/>
              </w:rPr>
              <w:t>品推宝（深圳）商业保理有限 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549" w:right="0"/>
              <w:jc w:val="left"/>
              <w:rPr>
                <w:rFonts w:ascii="Times New Roman" w:hAnsi="Times New Roman" w:cs="Times New Roman" w:eastAsia="Times New Roman" w:hint="default"/>
                <w:sz w:val="18"/>
                <w:szCs w:val="18"/>
              </w:rPr>
            </w:pPr>
            <w:r>
              <w:rPr>
                <w:rFonts w:ascii="Times New Roman"/>
                <w:sz w:val="18"/>
              </w:rPr>
              <w:t>291,500.00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7、关联方承诺" w:id="427"/>
      <w:bookmarkEnd w:id="427"/>
      <w:r>
        <w:rPr>
          <w:b w:val="0"/>
          <w:bCs w:val="0"/>
        </w:rPr>
      </w:r>
      <w:r>
        <w:rPr>
          <w:rFonts w:ascii="Times New Roman" w:hAnsi="Times New Roman" w:cs="Times New Roman" w:eastAsia="Times New Roman" w:hint="default"/>
        </w:rPr>
        <w:t>7</w:t>
      </w:r>
      <w:r>
        <w:rPr/>
        <w:t>、关联方承诺</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9" w:firstLine="360"/>
        <w:jc w:val="both"/>
      </w:pPr>
      <w:r>
        <w:rPr/>
        <w:t>为进一步规范关联交易，公司的控股股东宣亚投资，实际控制人张秀兵、万丽莉夫妇，持有公司</w:t>
      </w:r>
      <w:r>
        <w:rPr>
          <w:rFonts w:ascii="Times New Roman" w:hAnsi="Times New Roman" w:cs="Times New Roman" w:eastAsia="Times New Roman" w:hint="default"/>
        </w:rPr>
        <w:t>5%</w:t>
      </w:r>
      <w:r>
        <w:rPr/>
        <w:t>以上股份的股东， 公司董事、监事、高级管理人员出具关于《关于规范和减少关联交易的承诺》，做出了如下承诺：</w:t>
      </w:r>
    </w:p>
    <w:p>
      <w:pPr>
        <w:pStyle w:val="BodyText"/>
        <w:spacing w:line="300" w:lineRule="auto" w:before="31"/>
        <w:ind w:right="1130" w:firstLine="360"/>
        <w:jc w:val="both"/>
      </w:pPr>
      <w:r>
        <w:rPr>
          <w:rFonts w:ascii="Times New Roman" w:hAnsi="Times New Roman" w:cs="Times New Roman" w:eastAsia="Times New Roman" w:hint="default"/>
        </w:rPr>
        <w:t>“1</w:t>
      </w:r>
      <w:r>
        <w:rPr/>
        <w:t>、本公司</w:t>
      </w:r>
      <w:r>
        <w:rPr>
          <w:rFonts w:ascii="Times New Roman" w:hAnsi="Times New Roman" w:cs="Times New Roman" w:eastAsia="Times New Roman" w:hint="default"/>
        </w:rPr>
        <w:t>/</w:t>
      </w:r>
      <w:r>
        <w:rPr/>
        <w:t>本人与宣亚国际之间现时不存在其他任何依照法律法规和中国证监会的有关规定应披露而未披露的关联交 易；</w:t>
      </w:r>
    </w:p>
    <w:p>
      <w:pPr>
        <w:pStyle w:val="BodyText"/>
        <w:spacing w:line="240" w:lineRule="auto" w:before="31"/>
        <w:ind w:left="514" w:right="0"/>
        <w:jc w:val="left"/>
      </w:pPr>
      <w:r>
        <w:rPr>
          <w:rFonts w:ascii="Times New Roman" w:hAnsi="Times New Roman" w:cs="Times New Roman" w:eastAsia="Times New Roman" w:hint="default"/>
        </w:rPr>
        <w:t>2</w:t>
      </w:r>
      <w:r>
        <w:rPr/>
        <w:t>、本公司</w:t>
      </w:r>
      <w:r>
        <w:rPr>
          <w:rFonts w:ascii="Times New Roman" w:hAnsi="Times New Roman" w:cs="Times New Roman" w:eastAsia="Times New Roman" w:hint="default"/>
        </w:rPr>
        <w:t>/</w:t>
      </w:r>
      <w:r>
        <w:rPr/>
        <w:t>本人不以任何方式违法违规占用宣亚国际资金或要求其违法违规为本公司</w:t>
      </w:r>
      <w:r>
        <w:rPr>
          <w:rFonts w:ascii="Times New Roman" w:hAnsi="Times New Roman" w:cs="Times New Roman" w:eastAsia="Times New Roman" w:hint="default"/>
        </w:rPr>
        <w:t>/</w:t>
      </w:r>
      <w:r>
        <w:rPr/>
        <w:t>本人提供担保；</w:t>
      </w:r>
    </w:p>
    <w:p>
      <w:pPr>
        <w:pStyle w:val="BodyText"/>
        <w:spacing w:line="300" w:lineRule="auto" w:before="63"/>
        <w:ind w:right="1132" w:firstLine="360"/>
        <w:jc w:val="both"/>
      </w:pPr>
      <w:r>
        <w:rPr>
          <w:rFonts w:ascii="Times New Roman" w:hAnsi="Times New Roman" w:cs="Times New Roman" w:eastAsia="Times New Roman" w:hint="default"/>
          <w:spacing w:val="-1"/>
        </w:rPr>
        <w:t>3</w:t>
      </w:r>
      <w:r>
        <w:rPr>
          <w:spacing w:val="-1"/>
        </w:rPr>
        <w:t>、本公司</w:t>
      </w:r>
      <w:r>
        <w:rPr>
          <w:rFonts w:ascii="Times New Roman" w:hAnsi="Times New Roman" w:cs="Times New Roman" w:eastAsia="Times New Roman" w:hint="default"/>
          <w:spacing w:val="-1"/>
        </w:rPr>
        <w:t>/</w:t>
      </w:r>
      <w:r>
        <w:rPr>
          <w:spacing w:val="-1"/>
        </w:rPr>
        <w:t>本人不通过非公允关联交易、利润分配、资产重组、对外投资等任何方式损害宣亚国际及其他股东的合法权</w:t>
      </w:r>
      <w:r>
        <w:rPr/>
        <w:t> 益；如在今后的经营活动中本公司</w:t>
      </w:r>
      <w:r>
        <w:rPr>
          <w:rFonts w:ascii="Times New Roman" w:hAnsi="Times New Roman" w:cs="Times New Roman" w:eastAsia="Times New Roman" w:hint="default"/>
        </w:rPr>
        <w:t>/</w:t>
      </w:r>
      <w:r>
        <w:rPr/>
        <w:t>本人与宣亚国际之间发生无法避免的关联交易，则此种关联交易的条件必须按正常的商</w:t>
      </w:r>
      <w:r>
        <w:rPr>
          <w:spacing w:val="-49"/>
        </w:rPr>
        <w:t> </w:t>
      </w:r>
      <w:r>
        <w:rPr>
          <w:spacing w:val="-49"/>
        </w:rPr>
      </w:r>
      <w:r>
        <w:rPr/>
        <w:t>业条件进行，并按国家法律、法规、规范性文件以及宣亚国际内部管理制度严格履行审批程序；</w:t>
      </w:r>
    </w:p>
    <w:p>
      <w:pPr>
        <w:pStyle w:val="BodyText"/>
        <w:spacing w:line="240" w:lineRule="auto" w:before="31"/>
        <w:ind w:left="514" w:right="0"/>
        <w:jc w:val="left"/>
        <w:rPr>
          <w:rFonts w:ascii="Times New Roman" w:hAnsi="Times New Roman" w:cs="Times New Roman" w:eastAsia="Times New Roman" w:hint="default"/>
        </w:rPr>
      </w:pPr>
      <w:r>
        <w:rPr>
          <w:rFonts w:ascii="Times New Roman" w:hAnsi="Times New Roman" w:cs="Times New Roman" w:eastAsia="Times New Roman" w:hint="default"/>
          <w:spacing w:val="-3"/>
        </w:rPr>
        <w:t>4</w:t>
      </w:r>
      <w:r>
        <w:rPr>
          <w:spacing w:val="-3"/>
        </w:rPr>
        <w:t>、本公司</w:t>
      </w:r>
      <w:r>
        <w:rPr>
          <w:rFonts w:ascii="Times New Roman" w:hAnsi="Times New Roman" w:cs="Times New Roman" w:eastAsia="Times New Roman" w:hint="default"/>
          <w:spacing w:val="-3"/>
        </w:rPr>
        <w:t>/</w:t>
      </w:r>
      <w:r>
        <w:rPr>
          <w:spacing w:val="-3"/>
        </w:rPr>
        <w:t>本人不以任何方式影响宣亚国际的独立性，保证其资产完整、人员独立、财务独立、机构独立和业务独立。</w:t>
      </w:r>
      <w:r>
        <w:rPr>
          <w:rFonts w:ascii="Times New Roman" w:hAnsi="Times New Roman" w:cs="Times New Roman" w:eastAsia="Times New Roman" w:hint="default"/>
          <w:spacing w:val="-3"/>
        </w:rPr>
        <w:t>”</w:t>
      </w:r>
    </w:p>
    <w:p>
      <w:pPr>
        <w:spacing w:line="240" w:lineRule="auto" w:before="0"/>
        <w:rPr>
          <w:rFonts w:ascii="Times New Roman" w:hAnsi="Times New Roman" w:cs="Times New Roman" w:eastAsia="Times New Roman" w:hint="default"/>
          <w:sz w:val="18"/>
          <w:szCs w:val="18"/>
        </w:rPr>
      </w:pPr>
    </w:p>
    <w:p>
      <w:pPr>
        <w:pStyle w:val="Heading4"/>
        <w:spacing w:line="240" w:lineRule="auto" w:before="131"/>
        <w:ind w:right="0"/>
        <w:jc w:val="left"/>
        <w:rPr>
          <w:b w:val="0"/>
          <w:bCs w:val="0"/>
        </w:rPr>
      </w:pPr>
      <w:bookmarkStart w:name="8、其他" w:id="428"/>
      <w:bookmarkEnd w:id="428"/>
      <w:r>
        <w:rPr>
          <w:b w:val="0"/>
          <w:bCs w:val="0"/>
        </w:rPr>
      </w:r>
      <w:r>
        <w:rPr>
          <w:rFonts w:ascii="Times New Roman" w:hAnsi="Times New Roman" w:cs="Times New Roman" w:eastAsia="Times New Roman"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三、股份支付" w:id="429"/>
      <w:bookmarkEnd w:id="429"/>
      <w:r>
        <w:rPr>
          <w:b w:val="0"/>
          <w:bCs w:val="0"/>
        </w:rPr>
      </w:r>
      <w:r>
        <w:rPr/>
        <w:t>十三、股份支付</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0"/>
        <w:jc w:val="left"/>
        <w:rPr>
          <w:b w:val="0"/>
          <w:bCs w:val="0"/>
        </w:rPr>
      </w:pPr>
      <w:bookmarkStart w:name="1、股份支付总体情况" w:id="430"/>
      <w:bookmarkEnd w:id="430"/>
      <w:r>
        <w:rPr>
          <w:b w:val="0"/>
          <w:bCs w:val="0"/>
        </w:rPr>
      </w:r>
      <w:r>
        <w:rPr>
          <w:rFonts w:ascii="Times New Roman" w:hAnsi="Times New Roman" w:cs="Times New Roman" w:eastAsia="Times New Roman" w:hint="default"/>
        </w:rPr>
        <w:t>1</w:t>
      </w:r>
      <w:r>
        <w:rPr/>
        <w:t>、股份支付总体情况</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after="0" w:line="240" w:lineRule="auto"/>
        <w:jc w:val="left"/>
        <w:sectPr>
          <w:pgSz w:w="11910" w:h="16840"/>
          <w:pgMar w:header="0"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2、以权益结算的股份支付情况" w:id="431"/>
      <w:bookmarkEnd w:id="431"/>
      <w:r>
        <w:rPr>
          <w:b w:val="0"/>
          <w:bCs w:val="0"/>
        </w:rPr>
      </w:r>
      <w:r>
        <w:rPr>
          <w:rFonts w:ascii="Times New Roman" w:hAnsi="Times New Roman" w:cs="Times New Roman" w:eastAsia="Times New Roman" w:hint="default"/>
        </w:rPr>
        <w:t>2</w:t>
      </w:r>
      <w:r>
        <w:rPr/>
        <w:t>、以权益结算的股份支付情况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3、以现金结算的股份支付情况" w:id="432"/>
      <w:bookmarkEnd w:id="432"/>
      <w:r>
        <w:rPr>
          <w:b w:val="0"/>
          <w:bCs w:val="0"/>
        </w:rPr>
      </w:r>
      <w:r>
        <w:rPr>
          <w:rFonts w:ascii="Times New Roman" w:hAnsi="Times New Roman" w:cs="Times New Roman" w:eastAsia="Times New Roman" w:hint="default"/>
        </w:rPr>
        <w:t>3</w:t>
      </w:r>
      <w:r>
        <w:rPr/>
        <w:t>、以现金结算的股份支付情况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4、股份支付的修改、终止情况" w:id="433"/>
      <w:bookmarkEnd w:id="433"/>
      <w:r>
        <w:rPr>
          <w:b w:val="0"/>
          <w:bCs w:val="0"/>
        </w:rPr>
      </w:r>
      <w:r>
        <w:rPr>
          <w:rFonts w:ascii="Times New Roman" w:hAnsi="Times New Roman" w:cs="Times New Roman" w:eastAsia="Times New Roman" w:hint="default"/>
        </w:rPr>
        <w:t>4</w:t>
      </w:r>
      <w:r>
        <w:rPr/>
        <w:t>、股份支付的修改、终止情况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5、其他" w:id="434"/>
      <w:bookmarkEnd w:id="434"/>
      <w:r>
        <w:rPr>
          <w:b w:val="0"/>
          <w:bCs w:val="0"/>
        </w:rPr>
      </w:r>
      <w:r>
        <w:rPr>
          <w:rFonts w:ascii="Times New Roman" w:hAnsi="Times New Roman" w:cs="Times New Roman" w:eastAsia="Times New Roman" w:hint="default"/>
        </w:rPr>
        <w:t>5</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79" w:right="8086"/>
        <w:jc w:val="center"/>
      </w:pPr>
      <w:r>
        <w:rPr/>
        <w:t>本报告期未发生以股份支付情况</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四、承诺及或有事项" w:id="435"/>
      <w:bookmarkEnd w:id="435"/>
      <w:r>
        <w:rPr>
          <w:b w:val="0"/>
          <w:bCs w:val="0"/>
        </w:rPr>
      </w:r>
      <w:r>
        <w:rPr/>
        <w:t>十四、承诺及或有事项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承诺事项" w:id="436"/>
      <w:bookmarkEnd w:id="436"/>
      <w:r>
        <w:rPr>
          <w:b w:val="0"/>
          <w:bCs w:val="0"/>
        </w:rPr>
      </w:r>
      <w:r>
        <w:rPr>
          <w:rFonts w:ascii="Times New Roman" w:hAnsi="Times New Roman" w:cs="Times New Roman" w:eastAsia="Times New Roman" w:hint="default"/>
        </w:rPr>
        <w:t>1</w:t>
      </w:r>
      <w:r>
        <w:rPr/>
        <w:t>、重要承诺事项</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30" w:firstLine="397"/>
        <w:jc w:val="both"/>
      </w:pPr>
      <w:r>
        <w:rPr/>
        <w:t>本公司于</w:t>
      </w:r>
      <w:r>
        <w:rPr>
          <w:rFonts w:ascii="Times New Roman" w:hAnsi="Times New Roman" w:cs="Times New Roman" w:eastAsia="Times New Roman" w:hint="default"/>
        </w:rPr>
        <w:t>2018</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16</w:t>
      </w:r>
      <w:r>
        <w:rPr/>
        <w:t>日与北京市朝阳田华建筑集团公司第十二分公司签订《建筑工程施工承包合同》，承租房屋的 </w:t>
      </w:r>
      <w:r>
        <w:rPr>
          <w:spacing w:val="-1"/>
        </w:rPr>
        <w:t>外装修工程由该公司负责。工程总金额</w:t>
      </w:r>
      <w:r>
        <w:rPr>
          <w:rFonts w:ascii="Times New Roman" w:hAnsi="Times New Roman" w:cs="Times New Roman" w:eastAsia="Times New Roman" w:hint="default"/>
          <w:spacing w:val="-1"/>
        </w:rPr>
        <w:t>2,564</w:t>
      </w:r>
      <w:r>
        <w:rPr>
          <w:spacing w:val="-1"/>
        </w:rPr>
        <w:t>万元人民币，工期</w:t>
      </w:r>
      <w:r>
        <w:rPr>
          <w:rFonts w:ascii="Times New Roman" w:hAnsi="Times New Roman" w:cs="Times New Roman" w:eastAsia="Times New Roman" w:hint="default"/>
          <w:spacing w:val="-1"/>
        </w:rPr>
        <w:t>180</w:t>
      </w:r>
      <w:r>
        <w:rPr>
          <w:spacing w:val="-1"/>
        </w:rPr>
        <w:t>天，合同生效后向田华建筑支付合同价款</w:t>
      </w:r>
      <w:r>
        <w:rPr>
          <w:rFonts w:ascii="Times New Roman" w:hAnsi="Times New Roman" w:cs="Times New Roman" w:eastAsia="Times New Roman" w:hint="default"/>
          <w:spacing w:val="-1"/>
        </w:rPr>
        <w:t>40%</w:t>
      </w:r>
      <w:r>
        <w:rPr>
          <w:spacing w:val="-1"/>
        </w:rPr>
        <w:t>，共计金额</w:t>
      </w:r>
      <w:r>
        <w:rPr>
          <w:spacing w:val="-43"/>
        </w:rPr>
        <w:t> </w:t>
      </w:r>
      <w:r>
        <w:rPr>
          <w:spacing w:val="-43"/>
        </w:rPr>
      </w:r>
      <w:r>
        <w:rPr>
          <w:rFonts w:ascii="Times New Roman" w:hAnsi="Times New Roman" w:cs="Times New Roman" w:eastAsia="Times New Roman" w:hint="default"/>
        </w:rPr>
        <w:t>1,026</w:t>
      </w:r>
      <w:r>
        <w:rPr/>
        <w:t>万元，随后将按工程进度支付后续款项。</w:t>
      </w:r>
    </w:p>
    <w:p>
      <w:pPr>
        <w:spacing w:line="240" w:lineRule="auto" w:before="1"/>
        <w:rPr>
          <w:rFonts w:ascii="宋体" w:hAnsi="宋体" w:cs="宋体" w:eastAsia="宋体" w:hint="default"/>
          <w:sz w:val="22"/>
          <w:szCs w:val="22"/>
        </w:rPr>
      </w:pPr>
    </w:p>
    <w:p>
      <w:pPr>
        <w:pStyle w:val="Heading4"/>
        <w:spacing w:line="240" w:lineRule="auto"/>
        <w:ind w:right="0"/>
        <w:jc w:val="left"/>
        <w:rPr>
          <w:b w:val="0"/>
          <w:bCs w:val="0"/>
        </w:rPr>
      </w:pPr>
      <w:bookmarkStart w:name="2、或有事项" w:id="437"/>
      <w:bookmarkEnd w:id="437"/>
      <w:r>
        <w:rPr>
          <w:b w:val="0"/>
          <w:bCs w:val="0"/>
        </w:rPr>
      </w:r>
      <w:r>
        <w:rPr>
          <w:rFonts w:ascii="Times New Roman" w:hAnsi="Times New Roman" w:cs="Times New Roman" w:eastAsia="Times New Roman" w:hint="default"/>
        </w:rPr>
        <w:t>2</w:t>
      </w:r>
      <w:r>
        <w:rPr/>
        <w:t>、或有事项</w:t>
      </w:r>
      <w:r>
        <w:rPr>
          <w:b w:val="0"/>
          <w:bCs w:val="0"/>
        </w:rPr>
      </w:r>
    </w:p>
    <w:p>
      <w:pPr>
        <w:spacing w:line="240" w:lineRule="auto" w:before="10"/>
        <w:rPr>
          <w:rFonts w:ascii="宋体" w:hAnsi="宋体" w:cs="宋体" w:eastAsia="宋体" w:hint="default"/>
          <w:b/>
          <w:bCs/>
          <w:sz w:val="24"/>
          <w:szCs w:val="24"/>
        </w:rPr>
      </w:pPr>
    </w:p>
    <w:p>
      <w:pPr>
        <w:pStyle w:val="Heading4"/>
        <w:spacing w:line="240" w:lineRule="auto"/>
        <w:ind w:right="0"/>
        <w:jc w:val="left"/>
        <w:rPr>
          <w:b w:val="0"/>
          <w:bCs w:val="0"/>
        </w:rPr>
      </w:pPr>
      <w:bookmarkStart w:name="（1）资产负债表日存在的重要或有事项" w:id="438"/>
      <w:bookmarkEnd w:id="438"/>
      <w:r>
        <w:rPr>
          <w:b w:val="0"/>
          <w:bCs w:val="0"/>
        </w:rPr>
      </w:r>
      <w:r>
        <w:rPr/>
        <w:t>（</w:t>
      </w:r>
      <w:r>
        <w:rPr>
          <w:rFonts w:ascii="Times New Roman" w:hAnsi="Times New Roman" w:cs="Times New Roman" w:eastAsia="Times New Roman"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389" w:right="0"/>
        <w:jc w:val="left"/>
      </w:pPr>
      <w:r>
        <w:rPr/>
        <w:t>公司报告期各资产负债表日不存在或有事项</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公司没有需要披露的重要或有事项，也应予以说明" w:id="439"/>
      <w:bookmarkEnd w:id="439"/>
      <w:r>
        <w:rPr>
          <w:b w:val="0"/>
          <w:bCs w:val="0"/>
        </w:rPr>
      </w:r>
      <w:r>
        <w:rPr/>
        <w:t>（</w:t>
      </w:r>
      <w:r>
        <w:rPr>
          <w:rFonts w:ascii="Times New Roman" w:hAnsi="Times New Roman" w:cs="Times New Roman" w:eastAsia="Times New Roman" w:hint="default"/>
        </w:rPr>
        <w:t>2</w:t>
      </w:r>
      <w:r>
        <w:rPr/>
        <w:t>）公司没有需要披露的重要或有事项，也应予以说明</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424" w:right="0"/>
        <w:jc w:val="left"/>
      </w:pPr>
      <w:r>
        <w:rPr/>
        <w:t>公司不存在需要披露的重要或有事项。</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3、其他" w:id="440"/>
      <w:bookmarkEnd w:id="440"/>
      <w:r>
        <w:rPr>
          <w:b w:val="0"/>
          <w:bCs w:val="0"/>
        </w:rPr>
      </w:r>
      <w:r>
        <w:rPr>
          <w:rFonts w:ascii="Times New Roman" w:hAnsi="Times New Roman" w:cs="Times New Roman" w:eastAsia="Times New Roman" w:hint="default"/>
        </w:rPr>
        <w:t>3</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五、资产负债表日后事项" w:id="441"/>
      <w:bookmarkEnd w:id="441"/>
      <w:r>
        <w:rPr>
          <w:b w:val="0"/>
          <w:bCs w:val="0"/>
        </w:rPr>
      </w: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重要的非调整事项" w:id="442"/>
      <w:bookmarkEnd w:id="442"/>
      <w:r>
        <w:rPr>
          <w:b w:val="0"/>
          <w:bCs w:val="0"/>
        </w:rPr>
      </w:r>
      <w:r>
        <w:rPr>
          <w:rFonts w:ascii="Times New Roman" w:hAnsi="Times New Roman" w:cs="Times New Roman" w:eastAsia="Times New Roman" w:hint="default"/>
        </w:rPr>
        <w:t>1</w:t>
      </w:r>
      <w:r>
        <w:rPr/>
        <w:t>、重要的非调整事项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7"/>
          <w:szCs w:val="27"/>
        </w:rPr>
      </w:pPr>
    </w:p>
    <w:p>
      <w:pPr>
        <w:pStyle w:val="Heading4"/>
        <w:spacing w:line="240" w:lineRule="auto" w:before="35"/>
        <w:ind w:right="0"/>
        <w:jc w:val="left"/>
        <w:rPr>
          <w:b w:val="0"/>
          <w:bCs w:val="0"/>
        </w:rPr>
      </w:pPr>
      <w:bookmarkStart w:name="2、利润分配情况" w:id="443"/>
      <w:bookmarkEnd w:id="443"/>
      <w:r>
        <w:rPr>
          <w:b w:val="0"/>
          <w:bCs w:val="0"/>
        </w:rPr>
      </w:r>
      <w:r>
        <w:rPr>
          <w:rFonts w:ascii="Times New Roman" w:hAnsi="Times New Roman" w:cs="Times New Roman" w:eastAsia="Times New Roman"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5"/>
      </w:tblGrid>
      <w:tr>
        <w:trPr>
          <w:trHeight w:val="402"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3、销售退回" w:id="444"/>
      <w:bookmarkEnd w:id="444"/>
      <w:r>
        <w:rPr>
          <w:b w:val="0"/>
          <w:bCs w:val="0"/>
        </w:rPr>
      </w:r>
      <w:r>
        <w:rPr>
          <w:rFonts w:ascii="Times New Roman" w:hAnsi="Times New Roman" w:cs="Times New Roman" w:eastAsia="Times New Roman" w:hint="default"/>
        </w:rPr>
        <w:t>3</w:t>
      </w:r>
      <w:r>
        <w:rPr/>
        <w:t>、销售退回</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both"/>
      </w:pPr>
      <w:r>
        <w:rPr/>
        <w:t>公司报告期不存在销售退回情况</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其他资产负债表日后事项说明" w:id="445"/>
      <w:bookmarkEnd w:id="445"/>
      <w:r>
        <w:rPr>
          <w:b w:val="0"/>
          <w:bCs w:val="0"/>
        </w:rPr>
      </w:r>
      <w:r>
        <w:rPr>
          <w:rFonts w:ascii="Times New Roman" w:hAnsi="Times New Roman" w:cs="Times New Roman" w:eastAsia="Times New Roman"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38" w:right="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公司股份回购及用途</w:t>
      </w:r>
    </w:p>
    <w:p>
      <w:pPr>
        <w:pStyle w:val="BodyText"/>
        <w:spacing w:line="300" w:lineRule="auto" w:before="63"/>
        <w:ind w:left="267" w:right="1130" w:firstLine="343"/>
        <w:jc w:val="both"/>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31</w:t>
      </w:r>
      <w:r>
        <w:rPr/>
        <w:t>日，公司通过股票回购专用证券账户以集中竞价交易方式累计回购公司股份数量为 </w:t>
      </w:r>
      <w:r>
        <w:rPr>
          <w:rFonts w:ascii="Times New Roman" w:hAnsi="Times New Roman" w:cs="Times New Roman" w:eastAsia="Times New Roman" w:hint="default"/>
        </w:rPr>
        <w:t>2,960,025</w:t>
      </w:r>
      <w:r>
        <w:rPr>
          <w:rFonts w:ascii="Times New Roman" w:hAnsi="Times New Roman" w:cs="Times New Roman" w:eastAsia="Times New Roman" w:hint="default"/>
          <w:spacing w:val="-19"/>
        </w:rPr>
        <w:t> </w:t>
      </w:r>
      <w:r>
        <w:rPr>
          <w:spacing w:val="-9"/>
        </w:rPr>
        <w:t>股，占</w:t>
      </w:r>
      <w:r>
        <w:rPr/>
        <w:t> 公司目前总股本的比例为 </w:t>
      </w:r>
      <w:r>
        <w:rPr>
          <w:rFonts w:ascii="Times New Roman" w:hAnsi="Times New Roman" w:cs="Times New Roman" w:eastAsia="Times New Roman" w:hint="default"/>
        </w:rPr>
        <w:t>1.83%</w:t>
      </w:r>
      <w:r>
        <w:rPr/>
        <w:t>，最高成交价为</w:t>
      </w:r>
      <w:r>
        <w:rPr>
          <w:rFonts w:ascii="Times New Roman" w:hAnsi="Times New Roman" w:cs="Times New Roman" w:eastAsia="Times New Roman" w:hint="default"/>
        </w:rPr>
        <w:t>18.50 </w:t>
      </w:r>
      <w:r>
        <w:rPr/>
        <w:t>元</w:t>
      </w:r>
      <w:r>
        <w:rPr>
          <w:rFonts w:ascii="Times New Roman" w:hAnsi="Times New Roman" w:cs="Times New Roman" w:eastAsia="Times New Roman" w:hint="default"/>
        </w:rPr>
        <w:t>/</w:t>
      </w:r>
      <w:r>
        <w:rPr/>
        <w:t>股，最低成交价为 </w:t>
      </w:r>
      <w:r>
        <w:rPr>
          <w:rFonts w:ascii="Times New Roman" w:hAnsi="Times New Roman" w:cs="Times New Roman" w:eastAsia="Times New Roman" w:hint="default"/>
        </w:rPr>
        <w:t>14.93 </w:t>
      </w:r>
      <w:r>
        <w:rPr/>
        <w:t>元</w:t>
      </w:r>
      <w:r>
        <w:rPr>
          <w:rFonts w:ascii="Times New Roman" w:hAnsi="Times New Roman" w:cs="Times New Roman" w:eastAsia="Times New Roman" w:hint="default"/>
        </w:rPr>
        <w:t>/</w:t>
      </w:r>
      <w:r>
        <w:rPr/>
        <w:t>股，成交总金额为 </w:t>
      </w:r>
      <w:r>
        <w:rPr>
          <w:rFonts w:ascii="Times New Roman" w:hAnsi="Times New Roman" w:cs="Times New Roman" w:eastAsia="Times New Roman" w:hint="default"/>
        </w:rPr>
        <w:t>48,875,219.48</w:t>
      </w:r>
      <w:r>
        <w:rPr>
          <w:rFonts w:ascii="Times New Roman" w:hAnsi="Times New Roman" w:cs="Times New Roman" w:eastAsia="Times New Roman" w:hint="default"/>
          <w:spacing w:val="42"/>
        </w:rPr>
        <w:t> </w:t>
      </w:r>
      <w:r>
        <w:rPr/>
        <w:t>元</w:t>
      </w:r>
    </w:p>
    <w:p>
      <w:pPr>
        <w:pStyle w:val="BodyText"/>
        <w:spacing w:line="309" w:lineRule="auto" w:before="13"/>
        <w:ind w:left="267" w:right="1132"/>
        <w:jc w:val="both"/>
      </w:pPr>
      <w:r>
        <w:rPr>
          <w:spacing w:val="-4"/>
        </w:rPr>
        <w:t>（含手续费）。公司于 </w:t>
      </w:r>
      <w:r>
        <w:rPr>
          <w:rFonts w:ascii="Times New Roman" w:hAnsi="Times New Roman" w:cs="Times New Roman" w:eastAsia="Times New Roman" w:hint="default"/>
        </w:rPr>
        <w:t>2018 </w:t>
      </w:r>
      <w:r>
        <w:rPr/>
        <w:t>年 </w:t>
      </w:r>
      <w:r>
        <w:rPr>
          <w:rFonts w:ascii="Times New Roman" w:hAnsi="Times New Roman" w:cs="Times New Roman" w:eastAsia="Times New Roman" w:hint="default"/>
        </w:rPr>
        <w:t>10 </w:t>
      </w:r>
      <w:r>
        <w:rPr/>
        <w:t>月 </w:t>
      </w:r>
      <w:r>
        <w:rPr>
          <w:rFonts w:ascii="Times New Roman" w:hAnsi="Times New Roman" w:cs="Times New Roman" w:eastAsia="Times New Roman" w:hint="default"/>
        </w:rPr>
        <w:t>15 </w:t>
      </w:r>
      <w:r>
        <w:rPr/>
        <w:t>日召开的 </w:t>
      </w:r>
      <w:r>
        <w:rPr>
          <w:rFonts w:ascii="Times New Roman" w:hAnsi="Times New Roman" w:cs="Times New Roman" w:eastAsia="Times New Roman" w:hint="default"/>
        </w:rPr>
        <w:t>2018</w:t>
      </w:r>
      <w:r>
        <w:rPr>
          <w:rFonts w:ascii="Times New Roman" w:hAnsi="Times New Roman" w:cs="Times New Roman" w:eastAsia="Times New Roman" w:hint="default"/>
          <w:spacing w:val="25"/>
        </w:rPr>
        <w:t> </w:t>
      </w:r>
      <w:r>
        <w:rPr/>
        <w:t>年第三次临时股东大会，授权公司董事会可根据实际情况决定具 </w:t>
      </w:r>
      <w:r>
        <w:rPr>
          <w:spacing w:val="-1"/>
        </w:rPr>
        <w:t>体的回购时机、价格和数量等，公司董事会认为公司回购股份事项符合《关于回购公司股份的报告书》的相关内容，至此</w:t>
      </w:r>
      <w:r>
        <w:rPr>
          <w:spacing w:val="-56"/>
        </w:rPr>
        <w:t> </w:t>
      </w:r>
      <w:r>
        <w:rPr>
          <w:spacing w:val="-56"/>
        </w:rPr>
      </w:r>
      <w:r>
        <w:rPr/>
        <w:t>公司本次回购股份计划已全部实施完毕。</w:t>
      </w:r>
    </w:p>
    <w:p>
      <w:pPr>
        <w:pStyle w:val="BodyText"/>
        <w:spacing w:line="312" w:lineRule="auto" w:before="24"/>
        <w:ind w:left="267" w:right="1130" w:firstLine="343"/>
        <w:jc w:val="both"/>
      </w:pPr>
      <w:r>
        <w:rPr/>
        <w:t>公司于 </w:t>
      </w:r>
      <w:r>
        <w:rPr>
          <w:rFonts w:ascii="Times New Roman" w:hAnsi="Times New Roman" w:cs="Times New Roman" w:eastAsia="Times New Roman" w:hint="default"/>
        </w:rPr>
        <w:t>2019 </w:t>
      </w:r>
      <w:r>
        <w:rPr/>
        <w:t>年 </w:t>
      </w:r>
      <w:r>
        <w:rPr>
          <w:rFonts w:ascii="Times New Roman" w:hAnsi="Times New Roman" w:cs="Times New Roman" w:eastAsia="Times New Roman" w:hint="default"/>
        </w:rPr>
        <w:t>1 </w:t>
      </w:r>
      <w:r>
        <w:rPr/>
        <w:t>月 </w:t>
      </w:r>
      <w:r>
        <w:rPr>
          <w:rFonts w:ascii="Times New Roman" w:hAnsi="Times New Roman" w:cs="Times New Roman" w:eastAsia="Times New Roman" w:hint="default"/>
        </w:rPr>
        <w:t>31</w:t>
      </w:r>
      <w:r>
        <w:rPr>
          <w:rFonts w:ascii="Times New Roman" w:hAnsi="Times New Roman" w:cs="Times New Roman" w:eastAsia="Times New Roman" w:hint="default"/>
          <w:spacing w:val="42"/>
        </w:rPr>
        <w:t> </w:t>
      </w:r>
      <w:r>
        <w:rPr/>
        <w:t>日召开第三届董事会第十一次会议，审议通过了《关于确定回购股份用途的议案》。为了进 </w:t>
      </w:r>
      <w:r>
        <w:rPr>
          <w:spacing w:val="-1"/>
        </w:rPr>
        <w:t>一步健全公司长效激励机制，吸引和留住人才，充分调动公司高级管理人员、核心及骨干人员的积极性，有效地将股东利</w:t>
      </w:r>
      <w:r>
        <w:rPr>
          <w:spacing w:val="-53"/>
        </w:rPr>
        <w:t> </w:t>
      </w:r>
      <w:r>
        <w:rPr>
          <w:spacing w:val="-53"/>
        </w:rPr>
      </w:r>
      <w:r>
        <w:rPr>
          <w:spacing w:val="-1"/>
        </w:rPr>
        <w:t>益、公司利益和核心团队个人利益结合在一起，推动公司的长远发展，公司董事会决定本次回购的股份将用于实施股权激</w:t>
      </w:r>
      <w:r>
        <w:rPr>
          <w:spacing w:val="-52"/>
        </w:rPr>
        <w:t> </w:t>
      </w:r>
      <w:r>
        <w:rPr>
          <w:spacing w:val="-52"/>
        </w:rPr>
      </w:r>
      <w:r>
        <w:rPr/>
        <w:t>励计划。</w:t>
      </w:r>
    </w:p>
    <w:p>
      <w:pPr>
        <w:spacing w:line="240" w:lineRule="auto" w:before="7"/>
        <w:rPr>
          <w:rFonts w:ascii="宋体" w:hAnsi="宋体" w:cs="宋体" w:eastAsia="宋体" w:hint="default"/>
          <w:sz w:val="25"/>
          <w:szCs w:val="25"/>
        </w:rPr>
      </w:pPr>
    </w:p>
    <w:p>
      <w:pPr>
        <w:pStyle w:val="BodyText"/>
        <w:spacing w:line="300" w:lineRule="auto"/>
        <w:ind w:left="611" w:right="0" w:hanging="74"/>
        <w:jc w:val="left"/>
      </w:pPr>
      <w:r>
        <w:rPr>
          <w:rFonts w:ascii="Times New Roman" w:hAnsi="Times New Roman" w:cs="Times New Roman" w:eastAsia="Times New Roman" w:hint="default"/>
        </w:rPr>
        <w:t>2.</w:t>
      </w:r>
      <w:r>
        <w:rPr/>
        <w:t>关于使用部分闲置募集资金暂时补充流动资金 </w:t>
      </w:r>
      <w:r>
        <w:rPr>
          <w:spacing w:val="-2"/>
        </w:rPr>
        <w:t>本公司于</w:t>
      </w:r>
      <w:r>
        <w:rPr>
          <w:rFonts w:ascii="Times New Roman" w:hAnsi="Times New Roman" w:cs="Times New Roman" w:eastAsia="Times New Roman" w:hint="default"/>
          <w:spacing w:val="-2"/>
        </w:rPr>
        <w:t>2019</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31</w:t>
      </w:r>
      <w:r>
        <w:rPr>
          <w:spacing w:val="-2"/>
        </w:rPr>
        <w:t>日召开第三届董事会第十一次会议、第四届监事会第十次会议，审议通过了《关于使用部分闲置</w:t>
      </w:r>
    </w:p>
    <w:p>
      <w:pPr>
        <w:pStyle w:val="BodyText"/>
        <w:spacing w:line="300" w:lineRule="auto" w:before="13"/>
        <w:ind w:left="267" w:right="1131"/>
        <w:jc w:val="both"/>
      </w:pPr>
      <w:r>
        <w:rPr/>
        <w:t>募集资金暂时补充流动资金的议案》，同意公司在保证募集资金投资项目（以下简称</w:t>
      </w:r>
      <w:r>
        <w:rPr>
          <w:rFonts w:ascii="Times New Roman" w:hAnsi="Times New Roman" w:cs="Times New Roman" w:eastAsia="Times New Roman" w:hint="default"/>
        </w:rPr>
        <w:t>“</w:t>
      </w:r>
      <w:r>
        <w:rPr/>
        <w:t>募投项目</w:t>
      </w:r>
      <w:r>
        <w:rPr>
          <w:rFonts w:ascii="Times New Roman" w:hAnsi="Times New Roman" w:cs="Times New Roman" w:eastAsia="Times New Roman" w:hint="default"/>
        </w:rPr>
        <w:t>”</w:t>
      </w:r>
      <w:r>
        <w:rPr/>
        <w:t>）建设的资金需求及募投</w:t>
      </w:r>
      <w:r>
        <w:rPr>
          <w:spacing w:val="-88"/>
        </w:rPr>
        <w:t> </w:t>
      </w:r>
      <w:r>
        <w:rPr>
          <w:spacing w:val="-88"/>
        </w:rPr>
      </w:r>
      <w:r>
        <w:rPr>
          <w:spacing w:val="-2"/>
        </w:rPr>
        <w:t>项目正常进行的前提下，使用部分闲置募集资金</w:t>
      </w:r>
      <w:r>
        <w:rPr>
          <w:rFonts w:ascii="Times New Roman" w:hAnsi="Times New Roman" w:cs="Times New Roman" w:eastAsia="Times New Roman" w:hint="default"/>
          <w:spacing w:val="-2"/>
        </w:rPr>
        <w:t>5,000</w:t>
      </w:r>
      <w:r>
        <w:rPr>
          <w:spacing w:val="-2"/>
        </w:rPr>
        <w:t>万元暂时补充公司流动资金，使用期限为自董事会审议通过之日起不</w:t>
      </w:r>
      <w:r>
        <w:rPr>
          <w:spacing w:val="-42"/>
        </w:rPr>
        <w:t> </w:t>
      </w:r>
      <w:r>
        <w:rPr>
          <w:spacing w:val="-42"/>
        </w:rPr>
      </w:r>
      <w:r>
        <w:rPr/>
        <w:t>超过</w:t>
      </w:r>
      <w:r>
        <w:rPr>
          <w:rFonts w:ascii="Times New Roman" w:hAnsi="Times New Roman" w:cs="Times New Roman" w:eastAsia="Times New Roman" w:hint="default"/>
        </w:rPr>
        <w:t>12</w:t>
      </w:r>
      <w:r>
        <w:rPr/>
        <w:t>个月，到期归还至募集资金专用账户。</w:t>
      </w:r>
    </w:p>
    <w:p>
      <w:pPr>
        <w:spacing w:line="240" w:lineRule="auto" w:before="11"/>
        <w:rPr>
          <w:rFonts w:ascii="宋体" w:hAnsi="宋体" w:cs="宋体" w:eastAsia="宋体" w:hint="default"/>
          <w:sz w:val="24"/>
          <w:szCs w:val="24"/>
        </w:rPr>
      </w:pPr>
    </w:p>
    <w:p>
      <w:pPr>
        <w:pStyle w:val="BodyText"/>
        <w:spacing w:line="300" w:lineRule="auto"/>
        <w:ind w:left="611" w:right="0" w:hanging="74"/>
        <w:jc w:val="left"/>
      </w:pPr>
      <w:r>
        <w:rPr>
          <w:rFonts w:ascii="Times New Roman" w:hAnsi="Times New Roman" w:cs="Times New Roman" w:eastAsia="Times New Roman" w:hint="default"/>
        </w:rPr>
        <w:t>3.</w:t>
      </w:r>
      <w:r>
        <w:rPr/>
        <w:t>股东股份补充质押 本公司收到公司股东北京伟岸仲合咨询中心（有限合伙）（以下简称</w:t>
      </w:r>
      <w:r>
        <w:rPr>
          <w:rFonts w:ascii="Times New Roman" w:hAnsi="Times New Roman" w:cs="Times New Roman" w:eastAsia="Times New Roman" w:hint="default"/>
        </w:rPr>
        <w:t>“</w:t>
      </w:r>
      <w:r>
        <w:rPr/>
        <w:t>伟岸仲合</w:t>
      </w:r>
      <w:r>
        <w:rPr>
          <w:rFonts w:ascii="Times New Roman" w:hAnsi="Times New Roman" w:cs="Times New Roman" w:eastAsia="Times New Roman" w:hint="default"/>
        </w:rPr>
        <w:t>”</w:t>
      </w:r>
      <w:r>
        <w:rPr/>
        <w:t>）函告，获悉伟岸仲合将其所持本公</w:t>
      </w:r>
    </w:p>
    <w:p>
      <w:pPr>
        <w:pStyle w:val="BodyText"/>
        <w:spacing w:line="240" w:lineRule="auto" w:before="13"/>
        <w:ind w:left="267" w:right="0"/>
        <w:jc w:val="both"/>
      </w:pPr>
      <w:r>
        <w:rPr/>
        <w:t>司的股份办理了补充质押登记手续，股份补充质押的具体事项如下</w:t>
      </w:r>
      <w:r>
        <w:rPr>
          <w:spacing w:val="-16"/>
        </w:rPr>
        <w:t> </w:t>
      </w:r>
      <w:r>
        <w:rPr/>
        <w:t>：</w:t>
      </w:r>
    </w:p>
    <w:p>
      <w:pPr>
        <w:spacing w:line="240" w:lineRule="auto" w:before="12"/>
        <w:rPr>
          <w:rFonts w:ascii="宋体" w:hAnsi="宋体" w:cs="宋体" w:eastAsia="宋体" w:hint="default"/>
          <w:sz w:val="28"/>
          <w:szCs w:val="28"/>
        </w:rPr>
      </w:pPr>
    </w:p>
    <w:tbl>
      <w:tblPr>
        <w:tblW w:w="0" w:type="auto"/>
        <w:jc w:val="left"/>
        <w:tblInd w:w="246" w:type="dxa"/>
        <w:tblLayout w:type="fixed"/>
        <w:tblCellMar>
          <w:top w:w="0" w:type="dxa"/>
          <w:left w:w="0" w:type="dxa"/>
          <w:bottom w:w="0" w:type="dxa"/>
          <w:right w:w="0" w:type="dxa"/>
        </w:tblCellMar>
        <w:tblLook w:val="01E0"/>
      </w:tblPr>
      <w:tblGrid>
        <w:gridCol w:w="1391"/>
        <w:gridCol w:w="964"/>
        <w:gridCol w:w="1120"/>
        <w:gridCol w:w="1601"/>
        <w:gridCol w:w="1441"/>
        <w:gridCol w:w="1119"/>
        <w:gridCol w:w="960"/>
        <w:gridCol w:w="850"/>
      </w:tblGrid>
      <w:tr>
        <w:trPr>
          <w:trHeight w:val="1215" w:hRule="exact"/>
        </w:trPr>
        <w:tc>
          <w:tcPr>
            <w:tcW w:w="139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330"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96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145"/>
              <w:ind w:left="26" w:right="25"/>
              <w:jc w:val="both"/>
              <w:rPr>
                <w:rFonts w:ascii="宋体" w:hAnsi="宋体" w:cs="宋体" w:eastAsia="宋体" w:hint="default"/>
                <w:sz w:val="18"/>
                <w:szCs w:val="18"/>
              </w:rPr>
            </w:pPr>
            <w:r>
              <w:rPr>
                <w:rFonts w:ascii="宋体" w:hAnsi="宋体" w:cs="宋体" w:eastAsia="宋体" w:hint="default"/>
                <w:sz w:val="18"/>
                <w:szCs w:val="18"/>
              </w:rPr>
              <w:t>是否为第一 大股东及一 致行动人</w:t>
            </w:r>
          </w:p>
        </w:tc>
        <w:tc>
          <w:tcPr>
            <w:tcW w:w="112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补充质押股数</w:t>
            </w:r>
          </w:p>
        </w:tc>
        <w:tc>
          <w:tcPr>
            <w:tcW w:w="160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
              <w:ind w:right="0"/>
              <w:jc w:val="left"/>
              <w:rPr>
                <w:rFonts w:ascii="宋体" w:hAnsi="宋体" w:cs="宋体" w:eastAsia="宋体" w:hint="default"/>
                <w:sz w:val="23"/>
                <w:szCs w:val="23"/>
              </w:rPr>
            </w:pPr>
          </w:p>
          <w:p>
            <w:pPr>
              <w:pStyle w:val="TableParagraph"/>
              <w:spacing w:line="316" w:lineRule="auto"/>
              <w:ind w:left="616" w:right="253" w:hanging="360"/>
              <w:jc w:val="left"/>
              <w:rPr>
                <w:rFonts w:ascii="宋体" w:hAnsi="宋体" w:cs="宋体" w:eastAsia="宋体" w:hint="default"/>
                <w:sz w:val="18"/>
                <w:szCs w:val="18"/>
              </w:rPr>
            </w:pPr>
            <w:r>
              <w:rPr>
                <w:rFonts w:ascii="宋体" w:hAnsi="宋体" w:cs="宋体" w:eastAsia="宋体" w:hint="default"/>
                <w:sz w:val="18"/>
                <w:szCs w:val="18"/>
              </w:rPr>
              <w:t>补充质押开始 日期</w:t>
            </w:r>
          </w:p>
        </w:tc>
        <w:tc>
          <w:tcPr>
            <w:tcW w:w="144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65" w:right="0"/>
              <w:jc w:val="left"/>
              <w:rPr>
                <w:rFonts w:ascii="宋体" w:hAnsi="宋体" w:cs="宋体" w:eastAsia="宋体" w:hint="default"/>
                <w:sz w:val="18"/>
                <w:szCs w:val="18"/>
              </w:rPr>
            </w:pPr>
            <w:r>
              <w:rPr>
                <w:rFonts w:ascii="宋体" w:hAnsi="宋体" w:cs="宋体" w:eastAsia="宋体" w:hint="default"/>
                <w:sz w:val="18"/>
                <w:szCs w:val="18"/>
              </w:rPr>
              <w:t>质押到期日</w:t>
            </w:r>
          </w:p>
        </w:tc>
        <w:tc>
          <w:tcPr>
            <w:tcW w:w="111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84" w:right="0"/>
              <w:jc w:val="left"/>
              <w:rPr>
                <w:rFonts w:ascii="宋体" w:hAnsi="宋体" w:cs="宋体" w:eastAsia="宋体" w:hint="default"/>
                <w:sz w:val="18"/>
                <w:szCs w:val="18"/>
              </w:rPr>
            </w:pPr>
            <w:r>
              <w:rPr>
                <w:rFonts w:ascii="宋体" w:hAnsi="宋体" w:cs="宋体" w:eastAsia="宋体" w:hint="default"/>
                <w:sz w:val="18"/>
                <w:szCs w:val="18"/>
              </w:rPr>
              <w:t>质权人</w:t>
            </w:r>
          </w:p>
        </w:tc>
        <w:tc>
          <w:tcPr>
            <w:tcW w:w="96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145"/>
              <w:ind w:left="25" w:right="23"/>
              <w:jc w:val="both"/>
              <w:rPr>
                <w:rFonts w:ascii="宋体" w:hAnsi="宋体" w:cs="宋体" w:eastAsia="宋体" w:hint="default"/>
                <w:sz w:val="18"/>
                <w:szCs w:val="18"/>
              </w:rPr>
            </w:pPr>
            <w:r>
              <w:rPr>
                <w:rFonts w:ascii="宋体" w:hAnsi="宋体" w:cs="宋体" w:eastAsia="宋体" w:hint="default"/>
                <w:sz w:val="18"/>
                <w:szCs w:val="18"/>
              </w:rPr>
              <w:t>本次补充质 押占其所持 股份比例</w:t>
            </w:r>
          </w:p>
        </w:tc>
        <w:tc>
          <w:tcPr>
            <w:tcW w:w="85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6"/>
                <w:szCs w:val="16"/>
              </w:rPr>
            </w:pPr>
          </w:p>
          <w:p>
            <w:pPr>
              <w:pStyle w:val="TableParagraph"/>
              <w:spacing w:line="240" w:lineRule="auto"/>
              <w:ind w:left="239" w:right="0"/>
              <w:jc w:val="left"/>
              <w:rPr>
                <w:rFonts w:ascii="宋体" w:hAnsi="宋体" w:cs="宋体" w:eastAsia="宋体" w:hint="default"/>
                <w:sz w:val="18"/>
                <w:szCs w:val="18"/>
              </w:rPr>
            </w:pPr>
            <w:r>
              <w:rPr>
                <w:rFonts w:ascii="宋体" w:hAnsi="宋体" w:cs="宋体" w:eastAsia="宋体" w:hint="default"/>
                <w:sz w:val="18"/>
                <w:szCs w:val="18"/>
              </w:rPr>
              <w:t>用途</w:t>
            </w:r>
          </w:p>
        </w:tc>
      </w:tr>
      <w:tr>
        <w:trPr>
          <w:trHeight w:val="968" w:hRule="exact"/>
        </w:trPr>
        <w:tc>
          <w:tcPr>
            <w:tcW w:w="139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21"/>
              <w:ind w:left="4" w:right="114"/>
              <w:jc w:val="both"/>
              <w:rPr>
                <w:rFonts w:ascii="宋体" w:hAnsi="宋体" w:cs="宋体" w:eastAsia="宋体" w:hint="default"/>
                <w:sz w:val="18"/>
                <w:szCs w:val="18"/>
              </w:rPr>
            </w:pPr>
            <w:r>
              <w:rPr>
                <w:rFonts w:ascii="宋体" w:hAnsi="宋体" w:cs="宋体" w:eastAsia="宋体" w:hint="default"/>
                <w:sz w:val="18"/>
                <w:szCs w:val="18"/>
              </w:rPr>
              <w:t>北京伟岸仲合咨 询中心（有限合 伙）</w:t>
            </w:r>
          </w:p>
        </w:tc>
        <w:tc>
          <w:tcPr>
            <w:tcW w:w="9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否</w:t>
            </w:r>
          </w:p>
        </w:tc>
        <w:tc>
          <w:tcPr>
            <w:tcW w:w="11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370.5</w:t>
            </w:r>
            <w:r>
              <w:rPr>
                <w:rFonts w:ascii="宋体" w:hAnsi="宋体" w:cs="宋体" w:eastAsia="宋体" w:hint="default"/>
                <w:sz w:val="18"/>
                <w:szCs w:val="18"/>
              </w:rPr>
              <w:t>万股</w:t>
            </w:r>
          </w:p>
        </w:tc>
        <w:tc>
          <w:tcPr>
            <w:tcW w:w="16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2019</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14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9" w:lineRule="auto"/>
              <w:ind w:left="4" w:right="164"/>
              <w:jc w:val="left"/>
              <w:rPr>
                <w:rFonts w:ascii="宋体" w:hAnsi="宋体" w:cs="宋体" w:eastAsia="宋体" w:hint="default"/>
                <w:sz w:val="18"/>
                <w:szCs w:val="18"/>
              </w:rPr>
            </w:pPr>
            <w:r>
              <w:rPr>
                <w:rFonts w:ascii="宋体" w:hAnsi="宋体" w:cs="宋体" w:eastAsia="宋体" w:hint="default"/>
                <w:sz w:val="18"/>
                <w:szCs w:val="18"/>
              </w:rPr>
              <w:t>至办理解除质押 登记为止</w:t>
            </w:r>
          </w:p>
        </w:tc>
        <w:tc>
          <w:tcPr>
            <w:tcW w:w="1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9" w:lineRule="auto"/>
              <w:ind w:left="4" w:right="22"/>
              <w:jc w:val="left"/>
              <w:rPr>
                <w:rFonts w:ascii="宋体" w:hAnsi="宋体" w:cs="宋体" w:eastAsia="宋体" w:hint="default"/>
                <w:sz w:val="18"/>
                <w:szCs w:val="18"/>
              </w:rPr>
            </w:pPr>
            <w:r>
              <w:rPr>
                <w:rFonts w:ascii="宋体" w:hAnsi="宋体" w:cs="宋体" w:eastAsia="宋体" w:hint="default"/>
                <w:sz w:val="18"/>
                <w:szCs w:val="18"/>
              </w:rPr>
              <w:t>长江证券股份 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391" w:right="0"/>
              <w:jc w:val="left"/>
              <w:rPr>
                <w:rFonts w:ascii="Times New Roman" w:hAnsi="Times New Roman" w:cs="Times New Roman" w:eastAsia="Times New Roman" w:hint="default"/>
                <w:sz w:val="18"/>
                <w:szCs w:val="18"/>
              </w:rPr>
            </w:pPr>
            <w:r>
              <w:rPr>
                <w:rFonts w:ascii="Times New Roman"/>
                <w:sz w:val="18"/>
              </w:rPr>
              <w:t>20.58%</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补充质押</w:t>
            </w:r>
          </w:p>
        </w:tc>
      </w:tr>
    </w:tbl>
    <w:p>
      <w:pPr>
        <w:spacing w:line="240" w:lineRule="auto" w:before="3"/>
        <w:rPr>
          <w:rFonts w:ascii="宋体" w:hAnsi="宋体" w:cs="宋体" w:eastAsia="宋体" w:hint="default"/>
          <w:sz w:val="21"/>
          <w:szCs w:val="21"/>
        </w:rPr>
      </w:pPr>
    </w:p>
    <w:p>
      <w:pPr>
        <w:pStyle w:val="BodyText"/>
        <w:spacing w:line="300" w:lineRule="auto" w:before="44"/>
        <w:ind w:left="267" w:right="1119" w:firstLine="325"/>
        <w:jc w:val="left"/>
      </w:pPr>
      <w:r>
        <w:rPr/>
        <w:t>截至</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12</w:t>
      </w:r>
      <w:r>
        <w:rPr/>
        <w:t>日，伟岸仲合持有公司股份</w:t>
      </w:r>
      <w:r>
        <w:rPr>
          <w:rFonts w:ascii="Times New Roman" w:hAnsi="Times New Roman" w:cs="Times New Roman" w:eastAsia="Times New Roman" w:hint="default"/>
        </w:rPr>
        <w:t>1,800</w:t>
      </w:r>
      <w:r>
        <w:rPr/>
        <w:t>万股，占公司总股本的</w:t>
      </w:r>
      <w:r>
        <w:rPr>
          <w:rFonts w:ascii="Times New Roman" w:hAnsi="Times New Roman" w:cs="Times New Roman" w:eastAsia="Times New Roman" w:hint="default"/>
        </w:rPr>
        <w:t>11.11%</w:t>
      </w:r>
      <w:r>
        <w:rPr/>
        <w:t>。本次补充质押股份</w:t>
      </w:r>
      <w:r>
        <w:rPr>
          <w:rFonts w:ascii="Times New Roman" w:hAnsi="Times New Roman" w:cs="Times New Roman" w:eastAsia="Times New Roman" w:hint="default"/>
        </w:rPr>
        <w:t>370.5</w:t>
      </w:r>
      <w:r>
        <w:rPr/>
        <w:t>万股，占其 所持有公司股份的</w:t>
      </w:r>
      <w:r>
        <w:rPr>
          <w:rFonts w:ascii="Times New Roman" w:hAnsi="Times New Roman" w:cs="Times New Roman" w:eastAsia="Times New Roman" w:hint="default"/>
        </w:rPr>
        <w:t>20.58%</w:t>
      </w:r>
      <w:r>
        <w:rPr/>
        <w:t>，占公司总股本的</w:t>
      </w:r>
      <w:r>
        <w:rPr>
          <w:rFonts w:ascii="Times New Roman" w:hAnsi="Times New Roman" w:cs="Times New Roman" w:eastAsia="Times New Roman" w:hint="default"/>
        </w:rPr>
        <w:t>2.29%</w:t>
      </w:r>
      <w:r>
        <w:rPr/>
        <w:t>；累计质押股份</w:t>
      </w:r>
      <w:r>
        <w:rPr>
          <w:rFonts w:ascii="Times New Roman" w:hAnsi="Times New Roman" w:cs="Times New Roman" w:eastAsia="Times New Roman" w:hint="default"/>
        </w:rPr>
        <w:t>1,800</w:t>
      </w:r>
      <w:r>
        <w:rPr/>
        <w:t>万股，占其所持有公司股份的</w:t>
      </w:r>
      <w:r>
        <w:rPr>
          <w:rFonts w:ascii="Times New Roman" w:hAnsi="Times New Roman" w:cs="Times New Roman" w:eastAsia="Times New Roman" w:hint="default"/>
        </w:rPr>
        <w:t>100.00%</w:t>
      </w:r>
      <w:r>
        <w:rPr/>
        <w:t>，占公司总</w:t>
      </w:r>
    </w:p>
    <w:p>
      <w:pPr>
        <w:spacing w:after="0" w:line="300" w:lineRule="auto"/>
        <w:jc w:val="left"/>
        <w:sectPr>
          <w:pgSz w:w="11910" w:h="16840"/>
          <w:pgMar w:header="0" w:footer="979" w:top="1060" w:bottom="116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267" w:right="0"/>
        <w:jc w:val="left"/>
      </w:pPr>
      <w:r>
        <w:rPr/>
        <w:t>股本的</w:t>
      </w:r>
      <w:r>
        <w:rPr>
          <w:rFonts w:ascii="Times New Roman" w:hAnsi="Times New Roman" w:cs="Times New Roman" w:eastAsia="Times New Roman" w:hint="default"/>
        </w:rPr>
        <w:t>11.11%</w:t>
      </w:r>
      <w:r>
        <w:rPr/>
        <w:t>。</w:t>
      </w:r>
    </w:p>
    <w:p>
      <w:pPr>
        <w:spacing w:line="240" w:lineRule="auto" w:before="0"/>
        <w:rPr>
          <w:rFonts w:ascii="宋体" w:hAnsi="宋体" w:cs="宋体" w:eastAsia="宋体" w:hint="default"/>
          <w:sz w:val="18"/>
          <w:szCs w:val="18"/>
        </w:rPr>
      </w:pPr>
    </w:p>
    <w:p>
      <w:pPr>
        <w:pStyle w:val="BodyText"/>
        <w:spacing w:line="300" w:lineRule="auto" w:before="139"/>
        <w:ind w:left="593" w:right="1118" w:firstLine="108"/>
        <w:jc w:val="left"/>
        <w:rPr>
          <w:rFonts w:ascii="Times New Roman" w:hAnsi="Times New Roman" w:cs="Times New Roman" w:eastAsia="Times New Roman" w:hint="default"/>
        </w:rPr>
      </w:pPr>
      <w:r>
        <w:rPr>
          <w:rFonts w:ascii="Times New Roman" w:hAnsi="Times New Roman" w:cs="Times New Roman" w:eastAsia="Times New Roman" w:hint="default"/>
        </w:rPr>
        <w:t>4. </w:t>
      </w:r>
      <w:r>
        <w:rPr/>
        <w:t>全资子公司认购 </w:t>
      </w:r>
      <w:r>
        <w:rPr>
          <w:rFonts w:ascii="Times New Roman" w:hAnsi="Times New Roman" w:cs="Times New Roman" w:eastAsia="Times New Roman" w:hint="default"/>
        </w:rPr>
        <w:t>RMDS Lab</w:t>
      </w:r>
      <w:r>
        <w:rPr>
          <w:rFonts w:ascii="Times New Roman" w:hAnsi="Times New Roman" w:cs="Times New Roman" w:eastAsia="Times New Roman" w:hint="default"/>
          <w:spacing w:val="9"/>
        </w:rPr>
        <w:t> </w:t>
      </w:r>
      <w:r>
        <w:rPr>
          <w:rFonts w:ascii="Times New Roman" w:hAnsi="Times New Roman" w:cs="Times New Roman" w:eastAsia="Times New Roman" w:hint="default"/>
        </w:rPr>
        <w:t>Inc.30%</w:t>
      </w:r>
      <w:r>
        <w:rPr/>
        <w:t>股权完成交割 基于本公司的经营战略及业务发展的需要，本公司的全资子公司宣亚国际有限公司（以下简称</w:t>
      </w:r>
      <w:r>
        <w:rPr>
          <w:rFonts w:ascii="Times New Roman" w:hAnsi="Times New Roman" w:cs="Times New Roman" w:eastAsia="Times New Roman" w:hint="default"/>
        </w:rPr>
        <w:t>“</w:t>
      </w:r>
      <w:r>
        <w:rPr/>
        <w:t>宣亚美国</w:t>
      </w:r>
      <w:r>
        <w:rPr>
          <w:rFonts w:ascii="Times New Roman" w:hAnsi="Times New Roman" w:cs="Times New Roman" w:eastAsia="Times New Roman" w:hint="default"/>
        </w:rPr>
        <w:t>”</w:t>
      </w:r>
      <w:r>
        <w:rPr/>
        <w:t>）与</w:t>
      </w:r>
      <w:r>
        <w:rPr>
          <w:spacing w:val="-25"/>
        </w:rPr>
        <w:t> </w:t>
      </w:r>
      <w:r>
        <w:rPr>
          <w:rFonts w:ascii="Times New Roman" w:hAnsi="Times New Roman" w:cs="Times New Roman" w:eastAsia="Times New Roman" w:hint="default"/>
        </w:rPr>
        <w:t>RMDS</w:t>
      </w:r>
    </w:p>
    <w:p>
      <w:pPr>
        <w:pStyle w:val="BodyText"/>
        <w:spacing w:line="300" w:lineRule="auto" w:before="13"/>
        <w:ind w:left="267" w:right="1121"/>
        <w:jc w:val="left"/>
      </w:pPr>
      <w:r>
        <w:rPr>
          <w:rFonts w:ascii="Times New Roman" w:hAnsi="Times New Roman" w:cs="Times New Roman" w:eastAsia="Times New Roman" w:hint="default"/>
        </w:rPr>
        <w:t>Lab</w:t>
      </w:r>
      <w:r>
        <w:rPr>
          <w:rFonts w:ascii="Times New Roman" w:hAnsi="Times New Roman" w:cs="Times New Roman" w:eastAsia="Times New Roman" w:hint="default"/>
          <w:spacing w:val="37"/>
        </w:rPr>
        <w:t> </w:t>
      </w:r>
      <w:r>
        <w:rPr>
          <w:rFonts w:ascii="Times New Roman" w:hAnsi="Times New Roman" w:cs="Times New Roman" w:eastAsia="Times New Roman" w:hint="default"/>
        </w:rPr>
        <w:t>Inc.</w:t>
      </w:r>
      <w:r>
        <w:rPr/>
        <w:t>（译为</w:t>
      </w:r>
      <w:r>
        <w:rPr>
          <w:rFonts w:ascii="Times New Roman" w:hAnsi="Times New Roman" w:cs="Times New Roman" w:eastAsia="Times New Roman" w:hint="default"/>
        </w:rPr>
        <w:t>“RMDS</w:t>
      </w:r>
      <w:r>
        <w:rPr>
          <w:rFonts w:ascii="Times New Roman" w:hAnsi="Times New Roman" w:cs="Times New Roman" w:eastAsia="Times New Roman" w:hint="default"/>
          <w:spacing w:val="37"/>
        </w:rPr>
        <w:t> </w:t>
      </w:r>
      <w:r>
        <w:rPr/>
        <w:t>实验室股份有限公司</w:t>
      </w:r>
      <w:r>
        <w:rPr>
          <w:rFonts w:ascii="Times New Roman" w:hAnsi="Times New Roman" w:cs="Times New Roman" w:eastAsia="Times New Roman" w:hint="default"/>
        </w:rPr>
        <w:t>”</w:t>
      </w:r>
      <w:r>
        <w:rPr/>
        <w:t>，以下简称</w:t>
      </w:r>
      <w:r>
        <w:rPr>
          <w:rFonts w:ascii="Times New Roman" w:hAnsi="Times New Roman" w:cs="Times New Roman" w:eastAsia="Times New Roman" w:hint="default"/>
        </w:rPr>
        <w:t>“RMDS”</w:t>
      </w:r>
      <w:r>
        <w:rPr/>
        <w:t>或</w:t>
      </w:r>
      <w:r>
        <w:rPr>
          <w:rFonts w:ascii="Times New Roman" w:hAnsi="Times New Roman" w:cs="Times New Roman" w:eastAsia="Times New Roman" w:hint="default"/>
        </w:rPr>
        <w:t>“</w:t>
      </w:r>
      <w:r>
        <w:rPr/>
        <w:t>标的公司</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日在美国签署了《宣亚国</w:t>
      </w:r>
      <w:r>
        <w:rPr>
          <w:spacing w:val="-88"/>
        </w:rPr>
        <w:t> </w:t>
      </w:r>
      <w:r>
        <w:rPr>
          <w:spacing w:val="-88"/>
        </w:rPr>
      </w:r>
      <w:r>
        <w:rPr/>
        <w:t>际有限公司与</w:t>
      </w:r>
      <w:r>
        <w:rPr>
          <w:spacing w:val="-41"/>
        </w:rPr>
        <w:t> </w:t>
      </w:r>
      <w:r>
        <w:rPr>
          <w:rFonts w:ascii="Times New Roman" w:hAnsi="Times New Roman" w:cs="Times New Roman" w:eastAsia="Times New Roman" w:hint="default"/>
        </w:rPr>
        <w:t>RMDS</w:t>
      </w:r>
      <w:r>
        <w:rPr>
          <w:rFonts w:ascii="Times New Roman" w:hAnsi="Times New Roman" w:cs="Times New Roman" w:eastAsia="Times New Roman" w:hint="default"/>
          <w:spacing w:val="4"/>
        </w:rPr>
        <w:t> </w:t>
      </w:r>
      <w:r>
        <w:rPr/>
        <w:t>实验室股份有限公司的股权认购协议》，经双方友好协商并达成一致意见，宣亚美国拟以</w:t>
      </w:r>
      <w:r>
        <w:rPr>
          <w:rFonts w:ascii="Times New Roman" w:hAnsi="Times New Roman" w:cs="Times New Roman" w:eastAsia="Times New Roman" w:hint="default"/>
        </w:rPr>
        <w:t>300</w:t>
      </w:r>
      <w:r>
        <w:rPr/>
        <w:t>万美元</w:t>
      </w:r>
    </w:p>
    <w:p>
      <w:pPr>
        <w:pStyle w:val="BodyText"/>
        <w:spacing w:line="300" w:lineRule="auto" w:before="13"/>
        <w:ind w:left="267" w:right="1122"/>
        <w:jc w:val="left"/>
      </w:pPr>
      <w:r>
        <w:rPr/>
        <w:t>（约合 </w:t>
      </w:r>
      <w:r>
        <w:rPr>
          <w:rFonts w:ascii="Times New Roman" w:hAnsi="Times New Roman" w:cs="Times New Roman" w:eastAsia="Times New Roman" w:hint="default"/>
        </w:rPr>
        <w:t>2,100 </w:t>
      </w:r>
      <w:r>
        <w:rPr/>
        <w:t>万元人民币）认购 </w:t>
      </w:r>
      <w:r>
        <w:rPr>
          <w:rFonts w:ascii="Times New Roman" w:hAnsi="Times New Roman" w:cs="Times New Roman" w:eastAsia="Times New Roman" w:hint="default"/>
        </w:rPr>
        <w:t>RMDS </w:t>
      </w:r>
      <w:r>
        <w:rPr/>
        <w:t>发行的</w:t>
      </w:r>
      <w:r>
        <w:rPr>
          <w:rFonts w:ascii="Times New Roman" w:hAnsi="Times New Roman" w:cs="Times New Roman" w:eastAsia="Times New Roman" w:hint="default"/>
        </w:rPr>
        <w:t>300</w:t>
      </w:r>
      <w:r>
        <w:rPr/>
        <w:t>万股股份并占</w:t>
      </w:r>
      <w:r>
        <w:rPr>
          <w:rFonts w:ascii="Times New Roman" w:hAnsi="Times New Roman" w:cs="Times New Roman" w:eastAsia="Times New Roman" w:hint="default"/>
        </w:rPr>
        <w:t>RMDS</w:t>
      </w:r>
      <w:r>
        <w:rPr/>
        <w:t>总股份数的</w:t>
      </w:r>
      <w:r>
        <w:rPr>
          <w:spacing w:val="-14"/>
        </w:rPr>
        <w:t> </w:t>
      </w:r>
      <w:r>
        <w:rPr>
          <w:rFonts w:ascii="Times New Roman" w:hAnsi="Times New Roman" w:cs="Times New Roman" w:eastAsia="Times New Roman" w:hint="default"/>
          <w:spacing w:val="-3"/>
        </w:rPr>
        <w:t>30%</w:t>
      </w:r>
      <w:r>
        <w:rPr>
          <w:spacing w:val="-3"/>
        </w:rPr>
        <w:t>（包括相应的股东权益）（以下简</w:t>
      </w:r>
      <w:r>
        <w:rPr/>
        <w:t> 称</w:t>
      </w:r>
      <w:r>
        <w:rPr>
          <w:rFonts w:ascii="Times New Roman" w:hAnsi="Times New Roman" w:cs="Times New Roman" w:eastAsia="Times New Roman" w:hint="default"/>
        </w:rPr>
        <w:t>“</w:t>
      </w:r>
      <w:r>
        <w:rPr/>
        <w:t>本次对外投资</w:t>
      </w:r>
      <w:r>
        <w:rPr>
          <w:rFonts w:ascii="Times New Roman" w:hAnsi="Times New Roman" w:cs="Times New Roman" w:eastAsia="Times New Roman" w:hint="default"/>
        </w:rPr>
        <w:t>”</w:t>
      </w:r>
      <w:r>
        <w:rPr/>
        <w:t>）。本次对外投资在公司董事长决策审批权限范围内，无需提交公司董事会及股东大会审议。</w:t>
      </w:r>
    </w:p>
    <w:p>
      <w:pPr>
        <w:pStyle w:val="BodyText"/>
        <w:spacing w:line="300" w:lineRule="auto" w:before="13"/>
        <w:ind w:left="267" w:right="1131" w:firstLine="397"/>
        <w:jc w:val="both"/>
      </w:pPr>
      <w:r>
        <w:rPr>
          <w:rFonts w:ascii="Times New Roman" w:hAnsi="Times New Roman" w:cs="Times New Roman" w:eastAsia="Times New Roman" w:hint="default"/>
        </w:rPr>
        <w:t>2019</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24</w:t>
      </w:r>
      <w:r>
        <w:rPr/>
        <w:t>日，</w:t>
      </w:r>
      <w:r>
        <w:rPr>
          <w:rFonts w:ascii="Times New Roman" w:hAnsi="Times New Roman" w:cs="Times New Roman" w:eastAsia="Times New Roman" w:hint="default"/>
        </w:rPr>
        <w:t>RMDS </w:t>
      </w:r>
      <w:r>
        <w:rPr/>
        <w:t>已办理完毕宣亚美国登记为 </w:t>
      </w:r>
      <w:r>
        <w:rPr>
          <w:rFonts w:ascii="Times New Roman" w:hAnsi="Times New Roman" w:cs="Times New Roman" w:eastAsia="Times New Roman" w:hint="default"/>
        </w:rPr>
        <w:t>RMDS</w:t>
      </w:r>
      <w:r>
        <w:rPr>
          <w:rFonts w:ascii="Times New Roman" w:hAnsi="Times New Roman" w:cs="Times New Roman" w:eastAsia="Times New Roman" w:hint="default"/>
          <w:spacing w:val="41"/>
        </w:rPr>
        <w:t> </w:t>
      </w:r>
      <w:r>
        <w:rPr/>
        <w:t>股东的证明文件；</w:t>
      </w:r>
      <w:r>
        <w:rPr>
          <w:rFonts w:ascii="Times New Roman" w:hAnsi="Times New Roman" w:cs="Times New Roman" w:eastAsia="Times New Roman" w:hint="default"/>
        </w:rPr>
        <w:t>2019</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w:t>
      </w:r>
      <w:r>
        <w:rPr/>
        <w:t>日（美国当地时间），宣 </w:t>
      </w:r>
      <w:r>
        <w:rPr>
          <w:spacing w:val="-2"/>
        </w:rPr>
        <w:t>亚美国向</w:t>
      </w:r>
      <w:r>
        <w:rPr>
          <w:rFonts w:ascii="Times New Roman" w:hAnsi="Times New Roman" w:cs="Times New Roman" w:eastAsia="Times New Roman" w:hint="default"/>
          <w:spacing w:val="-2"/>
        </w:rPr>
        <w:t>RMDS</w:t>
      </w:r>
      <w:r>
        <w:rPr>
          <w:spacing w:val="-2"/>
        </w:rPr>
        <w:t>支付了</w:t>
      </w:r>
      <w:r>
        <w:rPr>
          <w:rFonts w:ascii="Times New Roman" w:hAnsi="Times New Roman" w:cs="Times New Roman" w:eastAsia="Times New Roman" w:hint="default"/>
          <w:spacing w:val="-2"/>
        </w:rPr>
        <w:t>300</w:t>
      </w:r>
      <w:r>
        <w:rPr>
          <w:spacing w:val="-2"/>
        </w:rPr>
        <w:t>万美元（折合</w:t>
      </w:r>
      <w:r>
        <w:rPr>
          <w:rFonts w:ascii="Times New Roman" w:hAnsi="Times New Roman" w:cs="Times New Roman" w:eastAsia="Times New Roman" w:hint="default"/>
          <w:spacing w:val="-2"/>
        </w:rPr>
        <w:t>2,015.79</w:t>
      </w:r>
      <w:r>
        <w:rPr>
          <w:spacing w:val="-2"/>
        </w:rPr>
        <w:t>万元人民币）的认购价款；根据标的公司章程，标的公司设</w:t>
      </w:r>
      <w:r>
        <w:rPr>
          <w:rFonts w:ascii="Times New Roman" w:hAnsi="Times New Roman" w:cs="Times New Roman" w:eastAsia="Times New Roman" w:hint="default"/>
          <w:spacing w:val="-2"/>
        </w:rPr>
        <w:t>3</w:t>
      </w:r>
      <w:r>
        <w:rPr>
          <w:spacing w:val="-2"/>
        </w:rPr>
        <w:t>名董事，宣亚</w:t>
      </w:r>
      <w:r>
        <w:rPr>
          <w:spacing w:val="-51"/>
        </w:rPr>
        <w:t> </w:t>
      </w:r>
      <w:r>
        <w:rPr>
          <w:spacing w:val="-51"/>
        </w:rPr>
      </w:r>
      <w:r>
        <w:rPr/>
        <w:t>美国投资完成后，已向</w:t>
      </w:r>
      <w:r>
        <w:rPr>
          <w:rFonts w:ascii="Times New Roman" w:hAnsi="Times New Roman" w:cs="Times New Roman" w:eastAsia="Times New Roman" w:hint="default"/>
        </w:rPr>
        <w:t>RMDS</w:t>
      </w:r>
      <w:r>
        <w:rPr/>
        <w:t>推荐</w:t>
      </w:r>
      <w:r>
        <w:rPr>
          <w:rFonts w:ascii="Times New Roman" w:hAnsi="Times New Roman" w:cs="Times New Roman" w:eastAsia="Times New Roman" w:hint="default"/>
        </w:rPr>
        <w:t>1</w:t>
      </w:r>
      <w:r>
        <w:rPr/>
        <w:t>名人员担任董事，其余</w:t>
      </w:r>
      <w:r>
        <w:rPr>
          <w:rFonts w:ascii="Times New Roman" w:hAnsi="Times New Roman" w:cs="Times New Roman" w:eastAsia="Times New Roman" w:hint="default"/>
        </w:rPr>
        <w:t>2</w:t>
      </w:r>
      <w:r>
        <w:rPr/>
        <w:t>名董事由</w:t>
      </w:r>
      <w:r>
        <w:rPr>
          <w:rFonts w:ascii="Times New Roman" w:hAnsi="Times New Roman" w:cs="Times New Roman" w:eastAsia="Times New Roman" w:hint="default"/>
        </w:rPr>
        <w:t>Alex</w:t>
      </w:r>
      <w:r>
        <w:rPr>
          <w:rFonts w:ascii="Times New Roman" w:hAnsi="Times New Roman" w:cs="Times New Roman" w:eastAsia="Times New Roman" w:hint="default"/>
          <w:spacing w:val="-5"/>
        </w:rPr>
        <w:t> </w:t>
      </w:r>
      <w:r>
        <w:rPr>
          <w:rFonts w:ascii="Times New Roman" w:hAnsi="Times New Roman" w:cs="Times New Roman" w:eastAsia="Times New Roman" w:hint="default"/>
        </w:rPr>
        <w:t>Liu</w:t>
      </w:r>
      <w:r>
        <w:rPr/>
        <w:t>推荐的人员担任。</w:t>
      </w:r>
    </w:p>
    <w:p>
      <w:pPr>
        <w:pStyle w:val="BodyText"/>
        <w:spacing w:line="300" w:lineRule="auto" w:before="13"/>
        <w:ind w:left="267" w:right="1130" w:firstLine="325"/>
        <w:jc w:val="both"/>
      </w:pPr>
      <w:r>
        <w:rPr/>
        <w:t>宣亚美国本次对外投资主要基于宣亚国际对</w:t>
      </w:r>
      <w:r>
        <w:rPr>
          <w:rFonts w:ascii="Times New Roman" w:hAnsi="Times New Roman" w:cs="Times New Roman" w:eastAsia="Times New Roman" w:hint="default"/>
        </w:rPr>
        <w:t>RDMS</w:t>
      </w:r>
      <w:r>
        <w:rPr/>
        <w:t>及其创始人股东的认可和未来发展的判断。宣亚美国投资于</w:t>
      </w:r>
      <w:r>
        <w:rPr>
          <w:rFonts w:ascii="Times New Roman" w:hAnsi="Times New Roman" w:cs="Times New Roman" w:eastAsia="Times New Roman" w:hint="default"/>
        </w:rPr>
        <w:t>RMDS</w:t>
      </w:r>
      <w:r>
        <w:rPr>
          <w:rFonts w:ascii="Times New Roman" w:hAnsi="Times New Roman" w:cs="Times New Roman" w:eastAsia="Times New Roman" w:hint="default"/>
          <w:w w:val="99"/>
        </w:rPr>
        <w:t> </w:t>
      </w:r>
      <w:r>
        <w:rPr/>
        <w:t>的资金将用于支持</w:t>
      </w:r>
      <w:r>
        <w:rPr>
          <w:rFonts w:ascii="Times New Roman" w:hAnsi="Times New Roman" w:cs="Times New Roman" w:eastAsia="Times New Roman" w:hint="default"/>
        </w:rPr>
        <w:t>RMDS</w:t>
      </w:r>
      <w:r>
        <w:rPr/>
        <w:t>利用人工智能和相关解决方案进一步开发</w:t>
      </w:r>
      <w:r>
        <w:rPr>
          <w:rFonts w:ascii="Times New Roman" w:hAnsi="Times New Roman" w:cs="Times New Roman" w:eastAsia="Times New Roman" w:hint="default"/>
        </w:rPr>
        <w:t>RMDS</w:t>
      </w:r>
      <w:r>
        <w:rPr/>
        <w:t>分析框架的活动，包括但不限于营销和销售分析</w:t>
      </w:r>
      <w:r>
        <w:rPr>
          <w:spacing w:val="-51"/>
        </w:rPr>
        <w:t> </w:t>
      </w:r>
      <w:r>
        <w:rPr>
          <w:spacing w:val="-51"/>
        </w:rPr>
      </w:r>
      <w:r>
        <w:rPr/>
        <w:t>及利用人工智能进行相应的解决方案。</w:t>
      </w:r>
    </w:p>
    <w:p>
      <w:pPr>
        <w:spacing w:line="240" w:lineRule="auto" w:before="3"/>
        <w:rPr>
          <w:rFonts w:ascii="宋体" w:hAnsi="宋体" w:cs="宋体" w:eastAsia="宋体" w:hint="default"/>
          <w:sz w:val="26"/>
          <w:szCs w:val="26"/>
        </w:rPr>
      </w:pPr>
    </w:p>
    <w:p>
      <w:pPr>
        <w:pStyle w:val="BodyText"/>
        <w:spacing w:line="300" w:lineRule="auto"/>
        <w:ind w:left="593" w:right="0" w:firstLine="34"/>
        <w:jc w:val="left"/>
        <w:rPr>
          <w:rFonts w:ascii="Times New Roman" w:hAnsi="Times New Roman" w:cs="Times New Roman" w:eastAsia="Times New Roman" w:hint="default"/>
        </w:rPr>
      </w:pPr>
      <w:r>
        <w:rPr>
          <w:rFonts w:ascii="Times New Roman" w:hAnsi="Times New Roman" w:cs="Times New Roman" w:eastAsia="Times New Roman" w:hint="default"/>
        </w:rPr>
        <w:t>5.</w:t>
      </w:r>
      <w:r>
        <w:rPr/>
        <w:t>增资致维科技 </w:t>
      </w:r>
      <w:r>
        <w:rPr>
          <w:spacing w:val="-3"/>
        </w:rPr>
        <w:t>基于本公司战略规划及业务发展需要，公司与致维科技（北京）有限公司（以下简称</w:t>
      </w:r>
      <w:r>
        <w:rPr>
          <w:rFonts w:ascii="Times New Roman" w:hAnsi="Times New Roman" w:cs="Times New Roman" w:eastAsia="Times New Roman" w:hint="default"/>
          <w:spacing w:val="-3"/>
        </w:rPr>
        <w:t>“</w:t>
      </w:r>
      <w:r>
        <w:rPr>
          <w:spacing w:val="-3"/>
        </w:rPr>
        <w:t>致维科技</w:t>
      </w:r>
      <w:r>
        <w:rPr>
          <w:rFonts w:ascii="Times New Roman" w:hAnsi="Times New Roman" w:cs="Times New Roman" w:eastAsia="Times New Roman" w:hint="default"/>
          <w:spacing w:val="-3"/>
        </w:rPr>
        <w:t>”</w:t>
      </w:r>
      <w:r>
        <w:rPr>
          <w:spacing w:val="-3"/>
        </w:rPr>
        <w:t>）及其现有股东于</w:t>
      </w:r>
      <w:r>
        <w:rPr>
          <w:rFonts w:ascii="Times New Roman" w:hAnsi="Times New Roman" w:cs="Times New Roman" w:eastAsia="Times New Roman" w:hint="default"/>
          <w:spacing w:val="-3"/>
        </w:rPr>
        <w:t>2019</w:t>
      </w:r>
    </w:p>
    <w:p>
      <w:pPr>
        <w:pStyle w:val="BodyText"/>
        <w:spacing w:line="300" w:lineRule="auto" w:before="13"/>
        <w:ind w:left="267" w:right="0"/>
        <w:jc w:val="left"/>
      </w:pP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31</w:t>
      </w:r>
      <w:r>
        <w:rPr/>
        <w:t>日在北京签署了《致维科技（北京）有限公司增资协议》，经双方友好协商，公司拟以自有资金</w:t>
      </w:r>
      <w:r>
        <w:rPr>
          <w:rFonts w:ascii="Times New Roman" w:hAnsi="Times New Roman" w:cs="Times New Roman" w:eastAsia="Times New Roman" w:hint="default"/>
        </w:rPr>
        <w:t>3,000</w:t>
      </w:r>
      <w:r>
        <w:rPr/>
        <w:t>万元通过增</w:t>
      </w:r>
      <w:r>
        <w:rPr>
          <w:spacing w:val="-66"/>
        </w:rPr>
        <w:t> </w:t>
      </w:r>
      <w:r>
        <w:rPr>
          <w:spacing w:val="-66"/>
        </w:rPr>
      </w:r>
      <w:r>
        <w:rPr/>
        <w:t>资方式取得致维科技</w:t>
      </w:r>
      <w:r>
        <w:rPr>
          <w:rFonts w:ascii="Times New Roman" w:hAnsi="Times New Roman" w:cs="Times New Roman" w:eastAsia="Times New Roman" w:hint="default"/>
        </w:rPr>
        <w:t>4.1209%</w:t>
      </w:r>
      <w:r>
        <w:rPr/>
        <w:t>的股权，增资完成后，致维科技成为公司的参股公司。</w:t>
      </w:r>
    </w:p>
    <w:p>
      <w:pPr>
        <w:spacing w:line="240" w:lineRule="auto" w:before="4"/>
        <w:rPr>
          <w:rFonts w:ascii="宋体" w:hAnsi="宋体" w:cs="宋体" w:eastAsia="宋体" w:hint="default"/>
          <w:sz w:val="20"/>
          <w:szCs w:val="20"/>
        </w:rPr>
      </w:pPr>
    </w:p>
    <w:p>
      <w:pPr>
        <w:spacing w:line="506" w:lineRule="auto" w:before="0"/>
        <w:ind w:left="154" w:right="8590" w:firstLine="0"/>
        <w:jc w:val="left"/>
        <w:rPr>
          <w:rFonts w:ascii="宋体" w:hAnsi="宋体" w:cs="宋体" w:eastAsia="宋体" w:hint="default"/>
          <w:sz w:val="18"/>
          <w:szCs w:val="18"/>
        </w:rPr>
      </w:pPr>
      <w:bookmarkStart w:name="十六、其他重要事项" w:id="446"/>
      <w:bookmarkEnd w:id="446"/>
      <w:r>
        <w:rPr/>
      </w:r>
      <w:r>
        <w:rPr>
          <w:rFonts w:ascii="宋体" w:hAnsi="宋体" w:cs="宋体" w:eastAsia="宋体" w:hint="default"/>
          <w:b/>
          <w:bCs/>
          <w:sz w:val="24"/>
          <w:szCs w:val="24"/>
        </w:rPr>
        <w:t>十六、其他重要事项</w:t>
      </w:r>
      <w:r>
        <w:rPr>
          <w:rFonts w:ascii="宋体" w:hAnsi="宋体" w:cs="宋体" w:eastAsia="宋体" w:hint="default"/>
          <w:b/>
          <w:bCs/>
          <w:w w:val="99"/>
          <w:sz w:val="24"/>
          <w:szCs w:val="24"/>
        </w:rPr>
        <w:t> </w:t>
      </w:r>
      <w:bookmarkStart w:name="1、前期会计差错更正" w:id="447"/>
      <w:bookmarkEnd w:id="447"/>
      <w:r>
        <w:rPr>
          <w:rFonts w:ascii="宋体" w:hAnsi="宋体" w:cs="宋体" w:eastAsia="宋体" w:hint="default"/>
          <w:b/>
          <w:bCs/>
          <w:w w:val="99"/>
          <w:sz w:val="24"/>
          <w:szCs w:val="24"/>
        </w:rPr>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、前期会计差错更正</w:t>
      </w:r>
      <w:r>
        <w:rPr>
          <w:rFonts w:ascii="宋体" w:hAnsi="宋体" w:cs="宋体" w:eastAsia="宋体" w:hint="default"/>
          <w:b/>
          <w:bCs/>
          <w:w w:val="99"/>
          <w:sz w:val="21"/>
          <w:szCs w:val="21"/>
        </w:rPr>
        <w:t> </w:t>
      </w:r>
      <w:r>
        <w:rPr>
          <w:rFonts w:ascii="宋体" w:hAnsi="宋体" w:cs="宋体" w:eastAsia="宋体" w:hint="default"/>
          <w:sz w:val="18"/>
          <w:szCs w:val="18"/>
        </w:rPr>
        <w:t>无</w:t>
      </w:r>
    </w:p>
    <w:p>
      <w:pPr>
        <w:pStyle w:val="Heading4"/>
        <w:spacing w:line="240" w:lineRule="auto" w:before="150"/>
        <w:ind w:right="0"/>
        <w:jc w:val="left"/>
        <w:rPr>
          <w:b w:val="0"/>
          <w:bCs w:val="0"/>
        </w:rPr>
      </w:pPr>
      <w:bookmarkStart w:name="2、债务重组" w:id="448"/>
      <w:bookmarkEnd w:id="448"/>
      <w:r>
        <w:rPr>
          <w:b w:val="0"/>
          <w:bCs w:val="0"/>
        </w:rPr>
      </w:r>
      <w:r>
        <w:rPr>
          <w:rFonts w:ascii="Times New Roman" w:hAnsi="Times New Roman" w:cs="Times New Roman" w:eastAsia="Times New Roman" w:hint="default"/>
        </w:rPr>
        <w:t>2</w:t>
      </w:r>
      <w:r>
        <w:rPr/>
        <w:t>、债务重组</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99" w:right="0"/>
        <w:jc w:val="left"/>
      </w:pPr>
      <w:r>
        <w:rPr/>
        <w:t>公司报告期不存在债务重组事项</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bookmarkStart w:name="3、资产置换" w:id="449"/>
      <w:bookmarkEnd w:id="449"/>
      <w:r>
        <w:rPr>
          <w:b w:val="0"/>
          <w:bCs w:val="0"/>
        </w:rPr>
      </w:r>
      <w:r>
        <w:rPr>
          <w:rFonts w:ascii="Times New Roman" w:hAnsi="Times New Roman" w:cs="Times New Roman" w:eastAsia="Times New Roman" w:hint="default"/>
        </w:rPr>
        <w:t>3</w:t>
      </w:r>
      <w:r>
        <w:rPr/>
        <w:t>、资产置换</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非货币性资产交换" w:id="450"/>
      <w:bookmarkEnd w:id="450"/>
      <w:r>
        <w:rPr>
          <w:b w:val="0"/>
          <w:bCs w:val="0"/>
        </w:rPr>
      </w:r>
      <w:r>
        <w:rPr/>
        <w:t>（</w:t>
      </w:r>
      <w:r>
        <w:rPr>
          <w:rFonts w:ascii="Times New Roman" w:hAnsi="Times New Roman" w:cs="Times New Roman" w:eastAsia="Times New Roman" w:hint="default"/>
        </w:rPr>
        <w:t>1</w:t>
      </w:r>
      <w:r>
        <w:rPr/>
        <w:t>）非货币性资产交换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公司报告期不存在非货币性资产交换事项</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2）其他资产置换" w:id="451"/>
      <w:bookmarkEnd w:id="451"/>
      <w:r>
        <w:rPr>
          <w:b w:val="0"/>
          <w:bCs w:val="0"/>
        </w:rPr>
      </w:r>
      <w:r>
        <w:rPr/>
        <w:t>（</w:t>
      </w:r>
      <w:r>
        <w:rPr>
          <w:rFonts w:ascii="Times New Roman" w:hAnsi="Times New Roman" w:cs="Times New Roman" w:eastAsia="Times New Roman" w:hint="default"/>
        </w:rPr>
        <w:t>2</w:t>
      </w:r>
      <w:r>
        <w:rPr/>
        <w:t>）其他资产置换</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公司报告期不存在其他资产置换事项</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4、年金计划" w:id="452"/>
      <w:bookmarkEnd w:id="452"/>
      <w:r>
        <w:rPr>
          <w:b w:val="0"/>
          <w:bCs w:val="0"/>
        </w:rPr>
      </w:r>
      <w:r>
        <w:rPr>
          <w:rFonts w:ascii="Times New Roman" w:hAnsi="Times New Roman" w:cs="Times New Roman" w:eastAsia="Times New Roman" w:hint="default"/>
        </w:rPr>
        <w:t>4</w:t>
      </w:r>
      <w:r>
        <w:rPr/>
        <w:t>、年金计划</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299" w:right="0"/>
        <w:jc w:val="left"/>
      </w:pPr>
      <w:r>
        <w:rPr/>
        <w:t>公司报告期不存在年金计划</w:t>
      </w:r>
    </w:p>
    <w:p>
      <w:pPr>
        <w:spacing w:after="0" w:line="240" w:lineRule="auto"/>
        <w:jc w:val="left"/>
        <w:sectPr>
          <w:pgSz w:w="11910" w:h="16840"/>
          <w:pgMar w:header="0" w:footer="979" w:top="1060" w:bottom="116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bookmarkStart w:name="5、终止经营" w:id="453"/>
      <w:bookmarkEnd w:id="453"/>
      <w:r>
        <w:rPr>
          <w:b w:val="0"/>
          <w:bCs w:val="0"/>
        </w:rPr>
      </w:r>
      <w:r>
        <w:rPr>
          <w:rFonts w:ascii="Times New Roman" w:hAnsi="Times New Roman" w:cs="Times New Roman" w:eastAsia="Times New Roman" w:hint="default"/>
        </w:rPr>
        <w:t>5</w:t>
      </w:r>
      <w:r>
        <w:rPr/>
        <w:t>、终止经营</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6、分部信息" w:id="454"/>
      <w:bookmarkEnd w:id="454"/>
      <w:r>
        <w:rPr>
          <w:b w:val="0"/>
          <w:bCs w:val="0"/>
        </w:rPr>
      </w:r>
      <w:r>
        <w:rPr>
          <w:rFonts w:ascii="Times New Roman" w:hAnsi="Times New Roman" w:cs="Times New Roman" w:eastAsia="Times New Roman" w:hint="default"/>
        </w:rPr>
        <w:t>6</w:t>
      </w:r>
      <w:r>
        <w:rPr/>
        <w:t>、分部信息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spacing w:val="-3"/>
        </w:rPr>
        <w:t>因公司业务综合性高和内部组织结构统一，从技术和市场策略上，公司管理层不存在单独管理经营活动，不存在报告分部。</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7、其他对投资者决策有影响的重要交易和事项" w:id="455"/>
      <w:bookmarkEnd w:id="455"/>
      <w:r>
        <w:rPr>
          <w:b w:val="0"/>
          <w:bCs w:val="0"/>
        </w:rPr>
      </w:r>
      <w:r>
        <w:rPr>
          <w:rFonts w:ascii="Times New Roman" w:hAnsi="Times New Roman" w:cs="Times New Roman" w:eastAsia="Times New Roman"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公司报告期不存在其他对投资者决策有影响的重要交易和事项。</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bookmarkStart w:name="8、其他" w:id="456"/>
      <w:bookmarkEnd w:id="456"/>
      <w:r>
        <w:rPr>
          <w:b w:val="0"/>
          <w:bCs w:val="0"/>
        </w:rPr>
      </w:r>
      <w:r>
        <w:rPr>
          <w:rFonts w:ascii="Times New Roman" w:hAnsi="Times New Roman" w:cs="Times New Roman" w:eastAsia="Times New Roman" w:hint="default"/>
        </w:rPr>
        <w:t>8</w:t>
      </w:r>
      <w:r>
        <w:rPr/>
        <w:t>、其他</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
        <w:rPr>
          <w:rFonts w:ascii="宋体" w:hAnsi="宋体" w:cs="宋体" w:eastAsia="宋体" w:hint="default"/>
          <w:sz w:val="25"/>
          <w:szCs w:val="25"/>
        </w:rPr>
      </w:pPr>
    </w:p>
    <w:p>
      <w:pPr>
        <w:pStyle w:val="Heading2"/>
        <w:spacing w:line="240" w:lineRule="auto"/>
        <w:ind w:right="0"/>
        <w:jc w:val="left"/>
        <w:rPr>
          <w:b w:val="0"/>
          <w:bCs w:val="0"/>
        </w:rPr>
      </w:pPr>
      <w:bookmarkStart w:name="十七、母公司财务报表主要项目注释" w:id="457"/>
      <w:bookmarkEnd w:id="457"/>
      <w:r>
        <w:rPr>
          <w:b w:val="0"/>
          <w:bCs w:val="0"/>
        </w:rPr>
      </w: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应收票据及应收账款" w:id="458"/>
      <w:bookmarkEnd w:id="458"/>
      <w:r>
        <w:rPr>
          <w:b w:val="0"/>
          <w:bCs w:val="0"/>
        </w:rPr>
      </w:r>
      <w:r>
        <w:rPr>
          <w:rFonts w:ascii="Times New Roman" w:hAnsi="Times New Roman" w:cs="Times New Roman" w:eastAsia="Times New Roman" w:hint="default"/>
        </w:rPr>
        <w:t>1</w:t>
      </w:r>
      <w:r>
        <w:rPr/>
        <w:t>、应收票据及应收账款</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15,035,069.94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35,225,088.50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123,041,361.90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220,075,738.59</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138,076,431.84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255,300,827.09</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票据" w:id="459"/>
      <w:bookmarkEnd w:id="459"/>
      <w:r>
        <w:rPr>
          <w:b w:val="0"/>
          <w:bCs w:val="0"/>
        </w:rPr>
      </w:r>
      <w:r>
        <w:rPr/>
        <w:t>（</w:t>
      </w:r>
      <w:r>
        <w:rPr>
          <w:rFonts w:ascii="Times New Roman" w:hAnsi="Times New Roman" w:cs="Times New Roman" w:eastAsia="Times New Roman" w:hint="default"/>
        </w:rPr>
        <w:t>1</w:t>
      </w:r>
      <w:r>
        <w:rPr/>
        <w:t>）应收票据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应收票据分类列示</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15,035,069.94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35,225,088.50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15,035,069.94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35,225,088.50</w:t>
            </w:r>
          </w:p>
        </w:tc>
      </w:tr>
    </w:tbl>
    <w:p>
      <w:pPr>
        <w:pStyle w:val="BodyText"/>
        <w:spacing w:line="338" w:lineRule="auto" w:before="51"/>
        <w:ind w:right="8442"/>
        <w:jc w:val="left"/>
      </w:pPr>
      <w:r>
        <w:rPr>
          <w:rFonts w:ascii="Times New Roman" w:hAnsi="Times New Roman" w:cs="Times New Roman" w:eastAsia="Times New Roman" w:hint="default"/>
        </w:rPr>
        <w:t>2)</w:t>
      </w:r>
      <w:r>
        <w:rPr/>
        <w:t>期末公司已质押的应收票据</w:t>
      </w:r>
      <w:r>
        <w:rPr>
          <w:w w:val="99"/>
        </w:rPr>
        <w:t> </w:t>
      </w:r>
      <w:r>
        <w:rPr/>
        <w:t>无</w:t>
      </w:r>
    </w:p>
    <w:p>
      <w:pPr>
        <w:pStyle w:val="BodyText"/>
        <w:spacing w:line="338" w:lineRule="auto" w:before="4"/>
        <w:ind w:right="5742"/>
        <w:jc w:val="left"/>
      </w:pPr>
      <w:r>
        <w:rPr>
          <w:rFonts w:ascii="Times New Roman" w:hAnsi="Times New Roman" w:cs="Times New Roman" w:eastAsia="Times New Roman" w:hint="default"/>
        </w:rPr>
        <w:t>3)</w:t>
      </w:r>
      <w:r>
        <w:rPr/>
        <w:t>期末公司已背书或贴现且在资产负债表日尚未到期的应收票据</w:t>
      </w:r>
      <w:r>
        <w:rPr>
          <w:w w:val="99"/>
        </w:rPr>
        <w:t> </w:t>
      </w:r>
      <w:r>
        <w:rPr/>
        <w:t>无</w:t>
      </w:r>
    </w:p>
    <w:p>
      <w:pPr>
        <w:pStyle w:val="BodyText"/>
        <w:spacing w:line="338" w:lineRule="auto" w:before="43"/>
        <w:ind w:right="6642"/>
        <w:jc w:val="left"/>
      </w:pPr>
      <w:r>
        <w:rPr>
          <w:rFonts w:ascii="Times New Roman" w:hAnsi="Times New Roman" w:cs="Times New Roman" w:eastAsia="Times New Roman" w:hint="default"/>
        </w:rPr>
        <w:t>4)</w:t>
      </w:r>
      <w:r>
        <w:rPr/>
        <w:t>期末公司因出票人未履约而将其转应收账款的票据</w:t>
      </w:r>
      <w:r>
        <w:rPr>
          <w:w w:val="99"/>
        </w:rPr>
        <w:t> </w:t>
      </w:r>
      <w:r>
        <w:rPr/>
        <w:t>无</w:t>
      </w:r>
    </w:p>
    <w:p>
      <w:pPr>
        <w:spacing w:after="0" w:line="338"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4"/>
        <w:spacing w:line="240" w:lineRule="auto" w:before="35"/>
        <w:ind w:left="1034" w:right="0"/>
        <w:jc w:val="left"/>
        <w:rPr>
          <w:b w:val="0"/>
          <w:bCs w:val="0"/>
        </w:rPr>
      </w:pPr>
      <w:bookmarkStart w:name="（2）应收账款" w:id="460"/>
      <w:bookmarkEnd w:id="460"/>
      <w:r>
        <w:rPr>
          <w:b w:val="0"/>
          <w:bCs w:val="0"/>
        </w:rPr>
      </w:r>
      <w:r>
        <w:rPr/>
        <w:t>（</w:t>
      </w:r>
      <w:r>
        <w:rPr>
          <w:rFonts w:ascii="Times New Roman" w:hAnsi="Times New Roman" w:cs="Times New Roman" w:eastAsia="Times New Roman" w:hint="default"/>
        </w:rPr>
        <w:t>2</w:t>
      </w:r>
      <w:r>
        <w:rPr/>
        <w:t>）应收账款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1034" w:right="0"/>
        <w:jc w:val="left"/>
      </w:pPr>
      <w:r>
        <w:rPr>
          <w:rFonts w:ascii="Times New Roman" w:hAnsi="Times New Roman" w:cs="Times New Roman" w:eastAsia="Times New Roman" w:hint="default"/>
        </w:rPr>
        <w:t>1)</w:t>
      </w:r>
      <w:r>
        <w:rPr/>
        <w:t>应收账款分类披露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06" w:type="dxa"/>
        <w:tblLayout w:type="fixed"/>
        <w:tblCellMar>
          <w:top w:w="0" w:type="dxa"/>
          <w:left w:w="0" w:type="dxa"/>
          <w:bottom w:w="0" w:type="dxa"/>
          <w:right w:w="0" w:type="dxa"/>
        </w:tblCellMar>
        <w:tblLook w:val="01E0"/>
      </w:tblPr>
      <w:tblGrid>
        <w:gridCol w:w="1123"/>
        <w:gridCol w:w="1288"/>
        <w:gridCol w:w="709"/>
        <w:gridCol w:w="1134"/>
        <w:gridCol w:w="850"/>
        <w:gridCol w:w="1277"/>
        <w:gridCol w:w="1276"/>
        <w:gridCol w:w="708"/>
        <w:gridCol w:w="1134"/>
        <w:gridCol w:w="709"/>
        <w:gridCol w:w="1276"/>
      </w:tblGrid>
      <w:tr>
        <w:trPr>
          <w:trHeight w:val="403" w:hRule="exact"/>
        </w:trPr>
        <w:tc>
          <w:tcPr>
            <w:tcW w:w="1123" w:type="dxa"/>
            <w:vMerge w:val="restart"/>
            <w:tcBorders>
              <w:top w:val="single" w:sz="4" w:space="0" w:color="000000"/>
              <w:left w:val="single" w:sz="4" w:space="0" w:color="000000"/>
              <w:right w:val="single" w:sz="4" w:space="0" w:color="000000"/>
            </w:tcBorders>
            <w:shd w:val="clear" w:color="auto" w:fill="D2D2D2"/>
          </w:tcPr>
          <w:p>
            <w:pPr/>
          </w:p>
        </w:tc>
        <w:tc>
          <w:tcPr>
            <w:tcW w:w="525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510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123" w:type="dxa"/>
            <w:vMerge/>
            <w:tcBorders>
              <w:left w:val="single" w:sz="4" w:space="0" w:color="000000"/>
              <w:bottom w:val="nil" w:sz="6" w:space="0" w:color="auto"/>
              <w:right w:val="single" w:sz="4" w:space="0" w:color="000000"/>
            </w:tcBorders>
            <w:shd w:val="clear" w:color="auto" w:fill="D2D2D2"/>
          </w:tcPr>
          <w:p>
            <w:pPr/>
          </w:p>
        </w:tc>
        <w:tc>
          <w:tcPr>
            <w:tcW w:w="19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984"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5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276" w:type="dxa"/>
            <w:vMerge w:val="restart"/>
            <w:tcBorders>
              <w:top w:val="single" w:sz="4" w:space="0" w:color="000000"/>
              <w:left w:val="single" w:sz="4" w:space="0" w:color="000000"/>
              <w:right w:val="single" w:sz="4" w:space="0" w:color="000000"/>
            </w:tcBorders>
            <w:shd w:val="clear" w:color="auto" w:fill="D2D2D2"/>
          </w:tcPr>
          <w:p>
            <w:pPr/>
          </w:p>
        </w:tc>
      </w:tr>
      <w:tr>
        <w:trPr>
          <w:trHeight w:val="241" w:hRule="exact"/>
        </w:trPr>
        <w:tc>
          <w:tcPr>
            <w:tcW w:w="112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97" w:type="dxa"/>
            <w:gridSpan w:val="2"/>
            <w:vMerge/>
            <w:tcBorders>
              <w:left w:val="single" w:sz="4" w:space="0" w:color="000000"/>
              <w:bottom w:val="single" w:sz="4" w:space="0" w:color="000000"/>
              <w:right w:val="single" w:sz="4" w:space="0" w:color="000000"/>
            </w:tcBorders>
            <w:shd w:val="clear" w:color="auto" w:fill="D2D2D2"/>
          </w:tcPr>
          <w:p>
            <w:pPr/>
          </w:p>
        </w:tc>
        <w:tc>
          <w:tcPr>
            <w:tcW w:w="1984" w:type="dxa"/>
            <w:gridSpan w:val="2"/>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984" w:type="dxa"/>
            <w:gridSpan w:val="2"/>
            <w:vMerge/>
            <w:tcBorders>
              <w:left w:val="single" w:sz="4" w:space="0" w:color="000000"/>
              <w:bottom w:val="single" w:sz="4" w:space="0" w:color="000000"/>
              <w:right w:val="single" w:sz="4" w:space="0" w:color="000000"/>
            </w:tcBorders>
            <w:shd w:val="clear" w:color="auto" w:fill="D2D2D2"/>
          </w:tcPr>
          <w:p>
            <w:pPr/>
          </w:p>
        </w:tc>
        <w:tc>
          <w:tcPr>
            <w:tcW w:w="1843" w:type="dxa"/>
            <w:gridSpan w:val="2"/>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123" w:type="dxa"/>
            <w:vMerge/>
            <w:tcBorders>
              <w:left w:val="single" w:sz="4" w:space="0" w:color="000000"/>
              <w:bottom w:val="nil" w:sz="6" w:space="0" w:color="auto"/>
              <w:right w:val="single" w:sz="4" w:space="0" w:color="000000"/>
            </w:tcBorders>
            <w:shd w:val="clear" w:color="auto" w:fill="D2D2D2"/>
          </w:tcPr>
          <w:p>
            <w:pPr/>
          </w:p>
        </w:tc>
        <w:tc>
          <w:tcPr>
            <w:tcW w:w="1288"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276"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2"/>
              <w:ind w:left="259" w:right="78"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1"/>
              <w:ind w:left="272"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1" w:hRule="exact"/>
        </w:trPr>
        <w:tc>
          <w:tcPr>
            <w:tcW w:w="1123" w:type="dxa"/>
            <w:vMerge w:val="restart"/>
            <w:tcBorders>
              <w:top w:val="nil" w:sz="6" w:space="0" w:color="auto"/>
              <w:left w:val="single" w:sz="4" w:space="0" w:color="000000"/>
              <w:right w:val="single" w:sz="4" w:space="0" w:color="000000"/>
            </w:tcBorders>
            <w:shd w:val="clear" w:color="auto" w:fill="D2D2D2"/>
          </w:tcPr>
          <w:p>
            <w:pPr/>
          </w:p>
        </w:tc>
        <w:tc>
          <w:tcPr>
            <w:tcW w:w="12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277" w:type="dxa"/>
            <w:vMerge/>
            <w:tcBorders>
              <w:left w:val="single" w:sz="4" w:space="0" w:color="000000"/>
              <w:bottom w:val="nil" w:sz="6" w:space="0" w:color="auto"/>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168"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09" w:type="dxa"/>
            <w:vMerge/>
            <w:tcBorders>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r>
      <w:tr>
        <w:trPr>
          <w:trHeight w:val="200" w:hRule="exact"/>
        </w:trPr>
        <w:tc>
          <w:tcPr>
            <w:tcW w:w="1123" w:type="dxa"/>
            <w:vMerge/>
            <w:tcBorders>
              <w:left w:val="single" w:sz="4" w:space="0" w:color="000000"/>
              <w:right w:val="single" w:sz="4" w:space="0" w:color="000000"/>
            </w:tcBorders>
            <w:shd w:val="clear" w:color="auto" w:fill="D2D2D2"/>
          </w:tcPr>
          <w:p>
            <w:pPr/>
          </w:p>
        </w:tc>
        <w:tc>
          <w:tcPr>
            <w:tcW w:w="1288"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276"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bottom w:val="nil" w:sz="6" w:space="0" w:color="auto"/>
              <w:right w:val="single" w:sz="4" w:space="0" w:color="000000"/>
            </w:tcBorders>
            <w:shd w:val="clear" w:color="auto" w:fill="D2D2D2"/>
          </w:tcPr>
          <w:p>
            <w:pPr/>
          </w:p>
        </w:tc>
        <w:tc>
          <w:tcPr>
            <w:tcW w:w="1134" w:type="dxa"/>
            <w:vMerge/>
            <w:tcBorders>
              <w:left w:val="single" w:sz="4" w:space="0" w:color="000000"/>
              <w:bottom w:val="nil" w:sz="6" w:space="0" w:color="auto"/>
              <w:right w:val="single" w:sz="4" w:space="0" w:color="000000"/>
            </w:tcBorders>
            <w:shd w:val="clear" w:color="auto" w:fill="D2D2D2"/>
          </w:tcPr>
          <w:p>
            <w:pPr/>
          </w:p>
        </w:tc>
        <w:tc>
          <w:tcPr>
            <w:tcW w:w="709" w:type="dxa"/>
            <w:vMerge/>
            <w:tcBorders>
              <w:left w:val="single" w:sz="4" w:space="0" w:color="000000"/>
              <w:right w:val="single" w:sz="4" w:space="0" w:color="000000"/>
            </w:tcBorders>
            <w:shd w:val="clear" w:color="auto" w:fill="D2D2D2"/>
          </w:tcPr>
          <w:p>
            <w:pPr/>
          </w:p>
        </w:tc>
        <w:tc>
          <w:tcPr>
            <w:tcW w:w="127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123" w:type="dxa"/>
            <w:vMerge/>
            <w:tcBorders>
              <w:left w:val="single" w:sz="4" w:space="0" w:color="000000"/>
              <w:bottom w:val="single" w:sz="4" w:space="0" w:color="000000"/>
              <w:right w:val="single" w:sz="4" w:space="0" w:color="000000"/>
            </w:tcBorders>
            <w:shd w:val="clear" w:color="auto" w:fill="D2D2D2"/>
          </w:tcPr>
          <w:p>
            <w:pPr/>
          </w:p>
        </w:tc>
        <w:tc>
          <w:tcPr>
            <w:tcW w:w="1288"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276"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709" w:type="dxa"/>
            <w:vMerge/>
            <w:tcBorders>
              <w:left w:val="single" w:sz="4" w:space="0" w:color="000000"/>
              <w:bottom w:val="single" w:sz="4" w:space="0" w:color="000000"/>
              <w:right w:val="single" w:sz="4" w:space="0" w:color="000000"/>
            </w:tcBorders>
            <w:shd w:val="clear" w:color="auto" w:fill="D2D2D2"/>
          </w:tcPr>
          <w:p>
            <w:pPr/>
          </w:p>
        </w:tc>
        <w:tc>
          <w:tcPr>
            <w:tcW w:w="1276" w:type="dxa"/>
            <w:vMerge/>
            <w:tcBorders>
              <w:left w:val="single" w:sz="4" w:space="0" w:color="000000"/>
              <w:bottom w:val="single" w:sz="4" w:space="0" w:color="000000"/>
              <w:right w:val="single" w:sz="4" w:space="0" w:color="000000"/>
            </w:tcBorders>
            <w:shd w:val="clear" w:color="auto" w:fill="D2D2D2"/>
          </w:tcPr>
          <w:p>
            <w:pPr/>
          </w:p>
        </w:tc>
      </w:tr>
      <w:tr>
        <w:trPr>
          <w:trHeight w:val="1338"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88"/>
              <w:jc w:val="both"/>
              <w:rPr>
                <w:rFonts w:ascii="宋体" w:hAnsi="宋体" w:cs="宋体" w:eastAsia="宋体" w:hint="default"/>
                <w:sz w:val="18"/>
                <w:szCs w:val="18"/>
              </w:rPr>
            </w:pPr>
            <w:r>
              <w:rPr>
                <w:rFonts w:ascii="宋体" w:hAnsi="宋体" w:cs="宋体" w:eastAsia="宋体" w:hint="default"/>
                <w:sz w:val="18"/>
                <w:szCs w:val="18"/>
              </w:rPr>
              <w:t>单项金额重 大并单独计 提坏账准备 的应收账款</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3,230,762.00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2.49%</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3,230,762.00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3,230,762.00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1.42%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3,230,762.00</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1338"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188"/>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的应收账款</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126,657,642.86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97.51%</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3,616,280.96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123,041,361.90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224,053,921.44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98.58%</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3,978,182.85</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220,075,738.59</w:t>
            </w:r>
          </w:p>
        </w:tc>
      </w:tr>
      <w:tr>
        <w:trPr>
          <w:trHeight w:val="403" w:hRule="exact"/>
        </w:trPr>
        <w:tc>
          <w:tcPr>
            <w:tcW w:w="11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8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129,888,404.86</w:t>
            </w:r>
          </w:p>
        </w:tc>
        <w:tc>
          <w:tcPr>
            <w:tcW w:w="7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6,847,042.96</w:t>
            </w:r>
          </w:p>
        </w:tc>
        <w:tc>
          <w:tcPr>
            <w:tcW w:w="850"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123,041,361.90</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227,284,683.44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100.00%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7,208,944.85</w:t>
            </w:r>
          </w:p>
        </w:tc>
        <w:tc>
          <w:tcPr>
            <w:tcW w:w="709"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220,075,738.59</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100" w:right="0"/>
        </w:sectPr>
      </w:pPr>
    </w:p>
    <w:p>
      <w:pPr>
        <w:pStyle w:val="BodyText"/>
        <w:spacing w:line="240" w:lineRule="auto" w:before="51"/>
        <w:ind w:left="1034" w:right="-20"/>
        <w:jc w:val="left"/>
      </w:pPr>
      <w:r>
        <w:rPr/>
        <w:t>期末单项金额重大并单项计提坏账准备的应收账款：</w:t>
      </w:r>
    </w:p>
    <w:p>
      <w:pPr>
        <w:pStyle w:val="BodyText"/>
        <w:spacing w:line="240" w:lineRule="auto" w:before="116"/>
        <w:ind w:left="10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015" w:right="1111"/>
        <w:jc w:val="center"/>
      </w:pPr>
      <w:r>
        <w:rPr/>
        <w:t>单位： 元</w:t>
      </w:r>
    </w:p>
    <w:p>
      <w:pPr>
        <w:spacing w:after="0" w:line="240" w:lineRule="auto"/>
        <w:jc w:val="center"/>
        <w:sectPr>
          <w:type w:val="continuous"/>
          <w:pgSz w:w="11910" w:h="16840"/>
          <w:pgMar w:top="1060" w:bottom="1160" w:left="100" w:right="0"/>
          <w:cols w:num="2" w:equalWidth="0">
            <w:col w:w="5175" w:space="3655"/>
            <w:col w:w="2980"/>
          </w:cols>
        </w:sectPr>
      </w:pPr>
    </w:p>
    <w:p>
      <w:pPr>
        <w:spacing w:line="240" w:lineRule="auto" w:before="13"/>
        <w:rPr>
          <w:rFonts w:ascii="宋体" w:hAnsi="宋体" w:cs="宋体" w:eastAsia="宋体" w:hint="default"/>
          <w:sz w:val="7"/>
          <w:szCs w:val="7"/>
        </w:rPr>
      </w:pPr>
    </w:p>
    <w:tbl>
      <w:tblPr>
        <w:tblW w:w="0" w:type="auto"/>
        <w:jc w:val="left"/>
        <w:tblInd w:w="1029" w:type="dxa"/>
        <w:tblLayout w:type="fixed"/>
        <w:tblCellMar>
          <w:top w:w="0" w:type="dxa"/>
          <w:left w:w="0" w:type="dxa"/>
          <w:bottom w:w="0" w:type="dxa"/>
          <w:right w:w="0" w:type="dxa"/>
        </w:tblCellMar>
        <w:tblLook w:val="01E0"/>
      </w:tblPr>
      <w:tblGrid>
        <w:gridCol w:w="1994"/>
        <w:gridCol w:w="1838"/>
        <w:gridCol w:w="1913"/>
        <w:gridCol w:w="1913"/>
        <w:gridCol w:w="1913"/>
      </w:tblGrid>
      <w:tr>
        <w:trPr>
          <w:trHeight w:val="402" w:hRule="exact"/>
        </w:trPr>
        <w:tc>
          <w:tcPr>
            <w:tcW w:w="19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1" w:right="0"/>
              <w:jc w:val="left"/>
              <w:rPr>
                <w:rFonts w:ascii="宋体" w:hAnsi="宋体" w:cs="宋体" w:eastAsia="宋体" w:hint="default"/>
                <w:sz w:val="18"/>
                <w:szCs w:val="18"/>
              </w:rPr>
            </w:pPr>
            <w:r>
              <w:rPr>
                <w:rFonts w:ascii="宋体" w:hAnsi="宋体" w:cs="宋体" w:eastAsia="宋体" w:hint="default"/>
                <w:sz w:val="18"/>
                <w:szCs w:val="18"/>
              </w:rPr>
              <w:t>应收账款（按单位）</w:t>
            </w:r>
          </w:p>
        </w:tc>
        <w:tc>
          <w:tcPr>
            <w:tcW w:w="757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94" w:type="dxa"/>
            <w:vMerge/>
            <w:tcBorders>
              <w:left w:val="single" w:sz="4" w:space="0" w:color="000000"/>
              <w:bottom w:val="single" w:sz="4" w:space="0" w:color="000000"/>
              <w:right w:val="single" w:sz="4" w:space="0" w:color="000000"/>
            </w:tcBorders>
            <w:shd w:val="clear" w:color="auto" w:fill="D2D2D2"/>
          </w:tcPr>
          <w:p>
            <w:pPr/>
          </w:p>
        </w:tc>
        <w:tc>
          <w:tcPr>
            <w:tcW w:w="1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53"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24"/>
              <w:jc w:val="left"/>
              <w:rPr>
                <w:rFonts w:ascii="宋体" w:hAnsi="宋体" w:cs="宋体" w:eastAsia="宋体" w:hint="default"/>
                <w:sz w:val="18"/>
                <w:szCs w:val="18"/>
              </w:rPr>
            </w:pPr>
            <w:r>
              <w:rPr>
                <w:rFonts w:ascii="宋体" w:hAnsi="宋体" w:cs="宋体" w:eastAsia="宋体" w:hint="default"/>
                <w:spacing w:val="-4"/>
                <w:sz w:val="18"/>
                <w:szCs w:val="18"/>
              </w:rPr>
              <w:t>乐视控股（北京）有限公</w:t>
            </w:r>
            <w:r>
              <w:rPr>
                <w:rFonts w:ascii="宋体" w:hAnsi="宋体" w:cs="宋体" w:eastAsia="宋体" w:hint="default"/>
                <w:sz w:val="18"/>
                <w:szCs w:val="18"/>
              </w:rPr>
              <w:t> 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1,803,003.00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1,803,003.00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乐视体育文化产业发展</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（北京）有限公司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99,500.00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99,500.00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21"/>
              <w:jc w:val="left"/>
              <w:rPr>
                <w:rFonts w:ascii="宋体" w:hAnsi="宋体" w:cs="宋体" w:eastAsia="宋体" w:hint="default"/>
                <w:sz w:val="18"/>
                <w:szCs w:val="18"/>
              </w:rPr>
            </w:pPr>
            <w:r>
              <w:rPr>
                <w:rFonts w:ascii="宋体" w:hAnsi="宋体" w:cs="宋体" w:eastAsia="宋体" w:hint="default"/>
                <w:spacing w:val="-4"/>
                <w:sz w:val="18"/>
                <w:szCs w:val="18"/>
              </w:rPr>
              <w:t>法乐第（北京）网络科技</w:t>
            </w:r>
            <w:r>
              <w:rPr>
                <w:rFonts w:ascii="宋体" w:hAnsi="宋体" w:cs="宋体" w:eastAsia="宋体" w:hint="default"/>
                <w:sz w:val="18"/>
                <w:szCs w:val="18"/>
              </w:rPr>
              <w:t> 有限公司</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1,328,259.00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1,328,259.00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预计难以收回</w:t>
            </w:r>
          </w:p>
        </w:tc>
      </w:tr>
      <w:tr>
        <w:trPr>
          <w:trHeight w:val="402" w:hRule="exact"/>
        </w:trPr>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3,230,762.00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3,230,762.00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100" w:right="0"/>
        </w:sectPr>
      </w:pPr>
    </w:p>
    <w:p>
      <w:pPr>
        <w:pStyle w:val="BodyText"/>
        <w:spacing w:line="240" w:lineRule="auto" w:before="51"/>
        <w:ind w:left="1034" w:right="-20"/>
        <w:jc w:val="left"/>
      </w:pPr>
      <w:r>
        <w:rPr/>
        <w:t>组合中，按账龄分析法计提坏账准备的应收账款：</w:t>
      </w:r>
    </w:p>
    <w:p>
      <w:pPr>
        <w:pStyle w:val="BodyText"/>
        <w:spacing w:line="240" w:lineRule="auto" w:before="117"/>
        <w:ind w:left="1034"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015" w:right="1111"/>
        <w:jc w:val="center"/>
      </w:pPr>
      <w:r>
        <w:rPr/>
        <w:t>单位： 元</w:t>
      </w:r>
    </w:p>
    <w:p>
      <w:pPr>
        <w:spacing w:after="0" w:line="240" w:lineRule="auto"/>
        <w:jc w:val="center"/>
        <w:sectPr>
          <w:type w:val="continuous"/>
          <w:pgSz w:w="11910" w:h="16840"/>
          <w:pgMar w:top="1060" w:bottom="1160" w:left="100" w:right="0"/>
          <w:cols w:num="2" w:equalWidth="0">
            <w:col w:w="4995" w:space="3835"/>
            <w:col w:w="2980"/>
          </w:cols>
        </w:sectPr>
      </w:pPr>
    </w:p>
    <w:p>
      <w:pPr>
        <w:spacing w:line="240" w:lineRule="auto" w:before="1"/>
        <w:rPr>
          <w:rFonts w:ascii="宋体" w:hAnsi="宋体" w:cs="宋体" w:eastAsia="宋体" w:hint="default"/>
          <w:sz w:val="8"/>
          <w:szCs w:val="8"/>
        </w:rPr>
      </w:pPr>
    </w:p>
    <w:tbl>
      <w:tblPr>
        <w:tblW w:w="0" w:type="auto"/>
        <w:jc w:val="left"/>
        <w:tblInd w:w="1029" w:type="dxa"/>
        <w:tblLayout w:type="fixed"/>
        <w:tblCellMar>
          <w:top w:w="0" w:type="dxa"/>
          <w:left w:w="0" w:type="dxa"/>
          <w:bottom w:w="0" w:type="dxa"/>
          <w:right w:w="0" w:type="dxa"/>
        </w:tblCellMar>
        <w:tblLook w:val="01E0"/>
      </w:tblPr>
      <w:tblGrid>
        <w:gridCol w:w="2494"/>
        <w:gridCol w:w="2295"/>
        <w:gridCol w:w="2391"/>
        <w:gridCol w:w="2389"/>
      </w:tblGrid>
      <w:tr>
        <w:trPr>
          <w:trHeight w:val="402" w:hRule="exact"/>
        </w:trPr>
        <w:tc>
          <w:tcPr>
            <w:tcW w:w="24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494" w:type="dxa"/>
            <w:vMerge/>
            <w:tcBorders>
              <w:left w:val="single" w:sz="4" w:space="0" w:color="000000"/>
              <w:bottom w:val="single" w:sz="4" w:space="0" w:color="000000"/>
              <w:right w:val="single" w:sz="4" w:space="0" w:color="000000"/>
            </w:tcBorders>
            <w:shd w:val="clear" w:color="auto" w:fill="D2D2D2"/>
          </w:tcPr>
          <w:p>
            <w:pPr/>
          </w:p>
        </w:tc>
        <w:tc>
          <w:tcPr>
            <w:tcW w:w="22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个月（含</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个月）</w:t>
            </w:r>
          </w:p>
        </w:tc>
        <w:tc>
          <w:tcPr>
            <w:tcW w:w="2295"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98,854,580.87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个月（含</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p>
        </w:tc>
        <w:tc>
          <w:tcPr>
            <w:tcW w:w="2295"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20,920,187.47</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1,046,009.40</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5.00%</w:t>
            </w:r>
          </w:p>
        </w:tc>
      </w:tr>
      <w:tr>
        <w:trPr>
          <w:trHeight w:val="402" w:hRule="exact"/>
        </w:trPr>
        <w:tc>
          <w:tcPr>
            <w:tcW w:w="24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2,867,356.86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860,207.07</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10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483"/>
        <w:gridCol w:w="2295"/>
        <w:gridCol w:w="2391"/>
        <w:gridCol w:w="2389"/>
      </w:tblGrid>
      <w:tr>
        <w:trPr>
          <w:trHeight w:val="206" w:hRule="exact"/>
        </w:trPr>
        <w:tc>
          <w:tcPr>
            <w:tcW w:w="2483" w:type="dxa"/>
            <w:tcBorders>
              <w:top w:val="single" w:sz="4" w:space="0" w:color="000000"/>
              <w:left w:val="single" w:sz="4" w:space="0" w:color="000000"/>
              <w:bottom w:val="nil" w:sz="6" w:space="0" w:color="auto"/>
              <w:right w:val="single" w:sz="4" w:space="0" w:color="000000"/>
            </w:tcBorders>
            <w:shd w:val="clear" w:color="auto" w:fill="D2D2D2"/>
          </w:tcPr>
          <w:p>
            <w:pPr/>
          </w:p>
        </w:tc>
        <w:tc>
          <w:tcPr>
            <w:tcW w:w="70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1" w:hRule="exact"/>
        </w:trPr>
        <w:tc>
          <w:tcPr>
            <w:tcW w:w="24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账龄</w:t>
            </w:r>
          </w:p>
        </w:tc>
        <w:tc>
          <w:tcPr>
            <w:tcW w:w="7075" w:type="dxa"/>
            <w:gridSpan w:val="3"/>
            <w:vMerge/>
            <w:tcBorders>
              <w:left w:val="single" w:sz="4" w:space="0" w:color="000000"/>
              <w:bottom w:val="single" w:sz="4" w:space="0" w:color="000000"/>
              <w:right w:val="single" w:sz="4" w:space="0" w:color="000000"/>
            </w:tcBorders>
            <w:shd w:val="clear" w:color="auto" w:fill="D2D2D2"/>
          </w:tcPr>
          <w:p>
            <w:pPr/>
          </w:p>
        </w:tc>
      </w:tr>
      <w:tr>
        <w:trPr>
          <w:trHeight w:val="200" w:hRule="exact"/>
        </w:trPr>
        <w:tc>
          <w:tcPr>
            <w:tcW w:w="2483" w:type="dxa"/>
            <w:vMerge/>
            <w:tcBorders>
              <w:left w:val="single" w:sz="4" w:space="0" w:color="000000"/>
              <w:bottom w:val="nil" w:sz="6" w:space="0" w:color="auto"/>
              <w:right w:val="single" w:sz="4" w:space="0" w:color="000000"/>
            </w:tcBorders>
            <w:shd w:val="clear" w:color="auto" w:fill="D2D2D2"/>
          </w:tcPr>
          <w:p>
            <w:pPr/>
          </w:p>
        </w:tc>
        <w:tc>
          <w:tcPr>
            <w:tcW w:w="22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应收账款</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8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206" w:hRule="exact"/>
        </w:trPr>
        <w:tc>
          <w:tcPr>
            <w:tcW w:w="2483" w:type="dxa"/>
            <w:tcBorders>
              <w:top w:val="nil" w:sz="6" w:space="0" w:color="auto"/>
              <w:left w:val="single" w:sz="4" w:space="0" w:color="000000"/>
              <w:bottom w:val="single" w:sz="4" w:space="0" w:color="000000"/>
              <w:right w:val="single" w:sz="4" w:space="0" w:color="000000"/>
            </w:tcBorders>
            <w:shd w:val="clear" w:color="auto" w:fill="D2D2D2"/>
          </w:tcPr>
          <w:p>
            <w:pPr/>
          </w:p>
        </w:tc>
        <w:tc>
          <w:tcPr>
            <w:tcW w:w="2295"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c>
          <w:tcPr>
            <w:tcW w:w="238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1,710,064.49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1,710,064.49</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100.00%</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29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124,352,189.69</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3,616,280.96</w:t>
            </w: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48" w:lineRule="auto" w:before="51"/>
        <w:ind w:right="3392"/>
        <w:jc w:val="left"/>
      </w:pPr>
      <w:r>
        <w:rPr/>
        <w:t>确定该组合依据的说明： 确定该组合依据的说明详见</w:t>
      </w:r>
      <w:r>
        <w:rPr>
          <w:rFonts w:ascii="Times New Roman" w:hAnsi="Times New Roman" w:cs="Times New Roman" w:eastAsia="Times New Roman" w:hint="default"/>
        </w:rPr>
        <w:t>“</w:t>
      </w:r>
      <w:r>
        <w:rPr/>
        <w:t>本附注五、重要会计政策及会计估计（</w:t>
      </w:r>
      <w:r>
        <w:rPr>
          <w:rFonts w:ascii="Times New Roman" w:hAnsi="Times New Roman" w:cs="Times New Roman" w:eastAsia="Times New Roman" w:hint="default"/>
        </w:rPr>
        <w:t>11</w:t>
      </w:r>
      <w:r>
        <w:rPr/>
        <w:t>）应收票据及应收账款</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t>组合中，采用余额百分比法计提坏账准备的应收账款：</w:t>
      </w:r>
    </w:p>
    <w:p>
      <w:pPr>
        <w:pStyle w:val="BodyText"/>
        <w:spacing w:line="338" w:lineRule="auto" w:before="36"/>
        <w:ind w:right="661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组合中，采用个别计价法计提坏账准备的应收账款：</w:t>
      </w:r>
    </w:p>
    <w:p>
      <w:pPr>
        <w:spacing w:line="240" w:lineRule="auto" w:before="9"/>
        <w:rPr>
          <w:rFonts w:ascii="宋体" w:hAnsi="宋体" w:cs="宋体" w:eastAsia="宋体" w:hint="default"/>
          <w:sz w:val="23"/>
          <w:szCs w:val="23"/>
        </w:rPr>
      </w:pPr>
    </w:p>
    <w:tbl>
      <w:tblPr>
        <w:tblW w:w="0" w:type="auto"/>
        <w:jc w:val="left"/>
        <w:tblInd w:w="149" w:type="dxa"/>
        <w:tblLayout w:type="fixed"/>
        <w:tblCellMar>
          <w:top w:w="0" w:type="dxa"/>
          <w:left w:w="0" w:type="dxa"/>
          <w:bottom w:w="0" w:type="dxa"/>
          <w:right w:w="0" w:type="dxa"/>
        </w:tblCellMar>
        <w:tblLook w:val="01E0"/>
      </w:tblPr>
      <w:tblGrid>
        <w:gridCol w:w="3583"/>
        <w:gridCol w:w="1953"/>
        <w:gridCol w:w="1515"/>
        <w:gridCol w:w="2590"/>
      </w:tblGrid>
      <w:tr>
        <w:trPr>
          <w:trHeight w:val="337" w:hRule="exact"/>
        </w:trPr>
        <w:tc>
          <w:tcPr>
            <w:tcW w:w="3583"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余额百分比</w:t>
            </w:r>
          </w:p>
        </w:tc>
        <w:tc>
          <w:tcPr>
            <w:tcW w:w="6058"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6"/>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347" w:hRule="exact"/>
        </w:trPr>
        <w:tc>
          <w:tcPr>
            <w:tcW w:w="3583" w:type="dxa"/>
            <w:vMerge/>
            <w:tcBorders>
              <w:left w:val="single" w:sz="4" w:space="0" w:color="000000"/>
              <w:bottom w:val="single" w:sz="4" w:space="0" w:color="000000"/>
              <w:right w:val="single" w:sz="4" w:space="0" w:color="000000"/>
            </w:tcBorders>
            <w:shd w:val="clear" w:color="auto" w:fill="D0CECE"/>
          </w:tcPr>
          <w:p>
            <w:pPr/>
          </w:p>
        </w:tc>
        <w:tc>
          <w:tcPr>
            <w:tcW w:w="195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6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15"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3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90"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674"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37" w:hRule="exact"/>
        </w:trPr>
        <w:tc>
          <w:tcPr>
            <w:tcW w:w="35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6"/>
              <w:ind w:left="4" w:right="0"/>
              <w:jc w:val="left"/>
              <w:rPr>
                <w:rFonts w:ascii="宋体" w:hAnsi="宋体" w:cs="宋体" w:eastAsia="宋体" w:hint="default"/>
                <w:sz w:val="18"/>
                <w:szCs w:val="18"/>
              </w:rPr>
            </w:pPr>
            <w:r>
              <w:rPr>
                <w:rFonts w:ascii="宋体" w:hAnsi="宋体" w:cs="宋体" w:eastAsia="宋体" w:hint="default"/>
                <w:sz w:val="18"/>
                <w:szCs w:val="18"/>
              </w:rPr>
              <w:t>关联方组合</w:t>
            </w:r>
          </w:p>
        </w:tc>
        <w:tc>
          <w:tcPr>
            <w:tcW w:w="1953"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2,305,453.17</w:t>
            </w:r>
          </w:p>
        </w:tc>
        <w:tc>
          <w:tcPr>
            <w:tcW w:w="1515" w:type="dxa"/>
            <w:tcBorders>
              <w:top w:val="single" w:sz="8" w:space="0" w:color="000000"/>
              <w:left w:val="single" w:sz="4" w:space="0" w:color="000000"/>
              <w:bottom w:val="single" w:sz="4" w:space="0" w:color="000000"/>
              <w:right w:val="single" w:sz="4" w:space="0" w:color="000000"/>
            </w:tcBorders>
          </w:tcPr>
          <w:p>
            <w:pPr/>
          </w:p>
        </w:tc>
        <w:tc>
          <w:tcPr>
            <w:tcW w:w="2590" w:type="dxa"/>
            <w:tcBorders>
              <w:top w:val="single" w:sz="8" w:space="0" w:color="000000"/>
              <w:left w:val="single" w:sz="4" w:space="0" w:color="000000"/>
              <w:bottom w:val="single" w:sz="4" w:space="0" w:color="000000"/>
              <w:right w:val="single" w:sz="4" w:space="0" w:color="000000"/>
            </w:tcBorders>
          </w:tcPr>
          <w:p>
            <w:pPr/>
          </w:p>
        </w:tc>
      </w:tr>
      <w:tr>
        <w:trPr>
          <w:trHeight w:val="342" w:hRule="exact"/>
        </w:trPr>
        <w:tc>
          <w:tcPr>
            <w:tcW w:w="358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Times New Roman" w:hAnsi="Times New Roman" w:cs="Times New Roman" w:eastAsia="Times New Roman" w:hint="default"/>
                <w:sz w:val="18"/>
                <w:szCs w:val="18"/>
              </w:rPr>
            </w:pPr>
            <w:r>
              <w:rPr>
                <w:rFonts w:ascii="Times New Roman"/>
                <w:spacing w:val="-1"/>
                <w:sz w:val="18"/>
              </w:rPr>
              <w:t>2,305,453.17</w:t>
            </w:r>
          </w:p>
        </w:tc>
        <w:tc>
          <w:tcPr>
            <w:tcW w:w="1515" w:type="dxa"/>
            <w:tcBorders>
              <w:top w:val="single" w:sz="4" w:space="0" w:color="000000"/>
              <w:left w:val="single" w:sz="4" w:space="0" w:color="000000"/>
              <w:bottom w:val="single" w:sz="4" w:space="0" w:color="000000"/>
              <w:right w:val="single" w:sz="4" w:space="0" w:color="000000"/>
            </w:tcBorders>
          </w:tcPr>
          <w:p>
            <w:pPr/>
          </w:p>
        </w:tc>
        <w:tc>
          <w:tcPr>
            <w:tcW w:w="25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5"/>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1910" w:h="16840"/>
          <w:pgMar w:header="0" w:footer="979" w:top="1060" w:bottom="1160" w:left="980" w:right="0"/>
        </w:sectPr>
      </w:pPr>
    </w:p>
    <w:p>
      <w:pPr>
        <w:pStyle w:val="BodyText"/>
        <w:spacing w:line="338" w:lineRule="auto" w:before="44"/>
        <w:ind w:right="0"/>
        <w:jc w:val="both"/>
      </w:pPr>
      <w:r>
        <w:rPr>
          <w:rFonts w:ascii="Times New Roman" w:hAnsi="Times New Roman" w:cs="Times New Roman" w:eastAsia="Times New Roman" w:hint="default"/>
        </w:rPr>
        <w:t>2)</w:t>
      </w:r>
      <w:r>
        <w:rPr/>
        <w:t>本期计提、收回或转回的坏账准备情况</w:t>
      </w:r>
      <w:r>
        <w:rPr>
          <w:w w:val="99"/>
        </w:rPr>
        <w:t> </w:t>
      </w:r>
      <w:r>
        <w:rPr/>
        <w:t>本期计提坏账准备金额</w:t>
      </w:r>
      <w:r>
        <w:rPr>
          <w:spacing w:val="-47"/>
        </w:rPr>
        <w:t> </w:t>
      </w:r>
      <w:r>
        <w:rPr>
          <w:rFonts w:ascii="Times New Roman" w:hAnsi="Times New Roman" w:cs="Times New Roman" w:eastAsia="Times New Roman" w:hint="default"/>
        </w:rPr>
        <w:t>1,005,721.55</w:t>
      </w:r>
      <w:r>
        <w:rPr>
          <w:rFonts w:ascii="Times New Roman" w:hAnsi="Times New Roman" w:cs="Times New Roman" w:eastAsia="Times New Roman" w:hint="default"/>
          <w:spacing w:val="-2"/>
        </w:rPr>
        <w:t> </w:t>
      </w:r>
      <w:r>
        <w:rPr/>
        <w:t>元。</w:t>
      </w:r>
      <w:r>
        <w:rPr>
          <w:w w:val="99"/>
        </w:rPr>
        <w:t> </w:t>
      </w:r>
      <w:r>
        <w:rPr>
          <w:rFonts w:ascii="Times New Roman" w:hAnsi="Times New Roman" w:cs="Times New Roman" w:eastAsia="Times New Roman" w:hint="default"/>
        </w:rPr>
        <w:t>3)</w:t>
      </w:r>
      <w:r>
        <w:rPr/>
        <w:t>本期实际核销的应收账款情况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left="153" w:right="0"/>
        <w:jc w:val="left"/>
      </w:pPr>
      <w:r>
        <w:rPr/>
        <w:t>单位： 元</w:t>
      </w:r>
    </w:p>
    <w:p>
      <w:pPr>
        <w:spacing w:after="0" w:line="240" w:lineRule="auto"/>
        <w:jc w:val="left"/>
        <w:sectPr>
          <w:type w:val="continuous"/>
          <w:pgSz w:w="11910" w:h="16840"/>
          <w:pgMar w:top="1060" w:bottom="1160" w:left="980" w:right="0"/>
          <w:cols w:num="2" w:equalWidth="0">
            <w:col w:w="3365" w:space="5465"/>
            <w:col w:w="2100"/>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4"/>
        <w:gridCol w:w="4584"/>
      </w:tblGrid>
      <w:tr>
        <w:trPr>
          <w:trHeight w:val="398" w:hRule="exact"/>
        </w:trPr>
        <w:tc>
          <w:tcPr>
            <w:tcW w:w="49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7" w:hRule="exact"/>
        </w:trPr>
        <w:tc>
          <w:tcPr>
            <w:tcW w:w="49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6"/>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pacing w:val="-1"/>
                <w:sz w:val="18"/>
              </w:rPr>
              <w:t>1,367,623.44</w:t>
            </w:r>
          </w:p>
        </w:tc>
      </w:tr>
    </w:tbl>
    <w:p>
      <w:pPr>
        <w:pStyle w:val="BodyText"/>
        <w:spacing w:line="240" w:lineRule="auto" w:before="51"/>
        <w:ind w:right="0"/>
        <w:jc w:val="left"/>
      </w:pPr>
      <w:r>
        <w:rPr/>
        <w:t>其中重要的应收账款核销情况：</w:t>
      </w:r>
    </w:p>
    <w:p>
      <w:pPr>
        <w:pStyle w:val="BodyText"/>
        <w:spacing w:line="240" w:lineRule="auto" w:before="117"/>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73"/>
        <w:gridCol w:w="1563"/>
        <w:gridCol w:w="1552"/>
        <w:gridCol w:w="1553"/>
        <w:gridCol w:w="1614"/>
        <w:gridCol w:w="1615"/>
      </w:tblGrid>
      <w:tr>
        <w:trPr>
          <w:trHeight w:val="713"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3"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10"/>
              <w:jc w:val="righ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r>
        <w:trPr>
          <w:trHeight w:val="714" w:hRule="exact"/>
        </w:trPr>
        <w:tc>
          <w:tcPr>
            <w:tcW w:w="167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2"/>
              <w:ind w:left="22" w:right="18"/>
              <w:jc w:val="left"/>
              <w:rPr>
                <w:rFonts w:ascii="宋体" w:hAnsi="宋体" w:cs="宋体" w:eastAsia="宋体" w:hint="default"/>
                <w:sz w:val="18"/>
                <w:szCs w:val="18"/>
              </w:rPr>
            </w:pPr>
            <w:r>
              <w:rPr>
                <w:rFonts w:ascii="宋体" w:hAnsi="宋体" w:cs="宋体" w:eastAsia="宋体" w:hint="default"/>
                <w:sz w:val="18"/>
                <w:szCs w:val="18"/>
              </w:rPr>
              <w:t>武汉斗鱼网络科技有 限公司</w:t>
            </w:r>
          </w:p>
        </w:tc>
        <w:tc>
          <w:tcPr>
            <w:tcW w:w="1563"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1,367,623.44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438"/>
              <w:jc w:val="right"/>
              <w:rPr>
                <w:rFonts w:ascii="宋体" w:hAnsi="宋体" w:cs="宋体" w:eastAsia="宋体" w:hint="default"/>
                <w:sz w:val="18"/>
                <w:szCs w:val="18"/>
              </w:rPr>
            </w:pPr>
            <w:r>
              <w:rPr>
                <w:rFonts w:ascii="宋体" w:hAnsi="宋体" w:cs="宋体" w:eastAsia="宋体" w:hint="default"/>
                <w:sz w:val="18"/>
                <w:szCs w:val="18"/>
              </w:rPr>
              <w:t>法院调解和解</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董事会审批</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2"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1,367,623.44</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rFonts w:ascii="Times New Roman" w:hAnsi="Times New Roman" w:cs="Times New Roman" w:eastAsia="Times New Roman" w:hint="default"/>
        </w:rPr>
        <w:t>4)</w:t>
      </w:r>
      <w:r>
        <w:rPr/>
        <w:t>按欠款方归集的期末余额前五名的应收账款情况</w:t>
      </w:r>
    </w:p>
    <w:p>
      <w:pPr>
        <w:spacing w:line="240" w:lineRule="auto" w:before="4"/>
        <w:rPr>
          <w:rFonts w:ascii="宋体" w:hAnsi="宋体" w:cs="宋体" w:eastAsia="宋体" w:hint="default"/>
          <w:sz w:val="7"/>
          <w:szCs w:val="7"/>
        </w:rPr>
      </w:pPr>
    </w:p>
    <w:tbl>
      <w:tblPr>
        <w:tblW w:w="0" w:type="auto"/>
        <w:jc w:val="left"/>
        <w:tblInd w:w="151" w:type="dxa"/>
        <w:tblLayout w:type="fixed"/>
        <w:tblCellMar>
          <w:top w:w="0" w:type="dxa"/>
          <w:left w:w="0" w:type="dxa"/>
          <w:bottom w:w="0" w:type="dxa"/>
          <w:right w:w="0" w:type="dxa"/>
        </w:tblCellMar>
        <w:tblLook w:val="01E0"/>
      </w:tblPr>
      <w:tblGrid>
        <w:gridCol w:w="3431"/>
        <w:gridCol w:w="1662"/>
        <w:gridCol w:w="1444"/>
        <w:gridCol w:w="2961"/>
      </w:tblGrid>
      <w:tr>
        <w:trPr>
          <w:trHeight w:val="331" w:hRule="exact"/>
        </w:trPr>
        <w:tc>
          <w:tcPr>
            <w:tcW w:w="3431" w:type="dxa"/>
            <w:vMerge w:val="restart"/>
            <w:tcBorders>
              <w:top w:val="single" w:sz="4" w:space="0" w:color="000000"/>
              <w:left w:val="single" w:sz="4" w:space="0" w:color="000000"/>
              <w:right w:val="single" w:sz="4" w:space="0" w:color="000000"/>
            </w:tcBorders>
            <w:shd w:val="clear" w:color="auto" w:fill="D0CECE"/>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6066" w:type="dxa"/>
            <w:gridSpan w:val="3"/>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6"/>
              <w:ind w:left="3"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659" w:hRule="exact"/>
        </w:trPr>
        <w:tc>
          <w:tcPr>
            <w:tcW w:w="3431" w:type="dxa"/>
            <w:vMerge/>
            <w:tcBorders>
              <w:left w:val="single" w:sz="4" w:space="0" w:color="000000"/>
              <w:bottom w:val="single" w:sz="4" w:space="0" w:color="000000"/>
              <w:right w:val="single" w:sz="4" w:space="0" w:color="000000"/>
            </w:tcBorders>
            <w:shd w:val="clear" w:color="auto" w:fill="D0CECE"/>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467"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4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26"/>
              <w:ind w:left="221" w:right="85" w:hanging="136"/>
              <w:jc w:val="left"/>
              <w:rPr>
                <w:rFonts w:ascii="宋体" w:hAnsi="宋体" w:cs="宋体" w:eastAsia="宋体" w:hint="default"/>
                <w:sz w:val="18"/>
                <w:szCs w:val="18"/>
              </w:rPr>
            </w:pPr>
            <w:r>
              <w:rPr>
                <w:rFonts w:ascii="宋体" w:hAnsi="宋体" w:cs="宋体" w:eastAsia="宋体" w:hint="default"/>
                <w:sz w:val="18"/>
                <w:szCs w:val="18"/>
              </w:rPr>
              <w:t>占应收账款合计 数的比例</w:t>
            </w:r>
            <w:r>
              <w:rPr>
                <w:rFonts w:ascii="宋体" w:hAnsi="宋体" w:cs="宋体" w:eastAsia="宋体" w:hint="default"/>
                <w:sz w:val="18"/>
                <w:szCs w:val="18"/>
              </w:rPr>
              <w:t>(%)</w:t>
            </w:r>
          </w:p>
        </w:tc>
        <w:tc>
          <w:tcPr>
            <w:tcW w:w="296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3"/>
              <w:ind w:right="0"/>
              <w:jc w:val="left"/>
              <w:rPr>
                <w:rFonts w:ascii="宋体" w:hAnsi="宋体" w:cs="宋体" w:eastAsia="宋体" w:hint="default"/>
                <w:sz w:val="13"/>
                <w:szCs w:val="13"/>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坏账准备</w:t>
            </w:r>
          </w:p>
        </w:tc>
      </w:tr>
      <w:tr>
        <w:trPr>
          <w:trHeight w:val="342" w:hRule="exact"/>
        </w:trPr>
        <w:tc>
          <w:tcPr>
            <w:tcW w:w="343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长安马自达汽车销售分公司</w:t>
            </w:r>
          </w:p>
        </w:tc>
        <w:tc>
          <w:tcPr>
            <w:tcW w:w="16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474" w:right="0"/>
              <w:jc w:val="left"/>
              <w:rPr>
                <w:rFonts w:ascii="宋体" w:hAnsi="宋体" w:cs="宋体" w:eastAsia="宋体" w:hint="default"/>
                <w:sz w:val="18"/>
                <w:szCs w:val="18"/>
              </w:rPr>
            </w:pPr>
            <w:r>
              <w:rPr>
                <w:rFonts w:ascii="宋体"/>
                <w:sz w:val="18"/>
              </w:rPr>
              <w:t>23,167,397.00</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17.84</w:t>
            </w:r>
          </w:p>
        </w:tc>
        <w:tc>
          <w:tcPr>
            <w:tcW w:w="2961"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43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沃尔沃汽车（亚太）投资控股有限公司</w:t>
            </w:r>
          </w:p>
        </w:tc>
        <w:tc>
          <w:tcPr>
            <w:tcW w:w="16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474" w:right="0"/>
              <w:jc w:val="left"/>
              <w:rPr>
                <w:rFonts w:ascii="宋体" w:hAnsi="宋体" w:cs="宋体" w:eastAsia="宋体" w:hint="default"/>
                <w:sz w:val="18"/>
                <w:szCs w:val="18"/>
              </w:rPr>
            </w:pPr>
            <w:r>
              <w:rPr>
                <w:rFonts w:ascii="宋体"/>
                <w:sz w:val="18"/>
              </w:rPr>
              <w:t>14,176,956.10</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10.91</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233,765.49</w:t>
            </w:r>
          </w:p>
        </w:tc>
      </w:tr>
      <w:tr>
        <w:trPr>
          <w:trHeight w:val="342" w:hRule="exact"/>
        </w:trPr>
        <w:tc>
          <w:tcPr>
            <w:tcW w:w="343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比亚迪汽车销售有限公司</w:t>
            </w:r>
          </w:p>
        </w:tc>
        <w:tc>
          <w:tcPr>
            <w:tcW w:w="16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474" w:right="0"/>
              <w:jc w:val="left"/>
              <w:rPr>
                <w:rFonts w:ascii="宋体" w:hAnsi="宋体" w:cs="宋体" w:eastAsia="宋体" w:hint="default"/>
                <w:sz w:val="18"/>
                <w:szCs w:val="18"/>
              </w:rPr>
            </w:pPr>
            <w:r>
              <w:rPr>
                <w:rFonts w:ascii="宋体"/>
                <w:sz w:val="18"/>
              </w:rPr>
              <w:t>12,285,939.00</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9.46</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10,217.70</w:t>
            </w:r>
          </w:p>
        </w:tc>
      </w:tr>
      <w:tr>
        <w:trPr>
          <w:trHeight w:val="342" w:hRule="exact"/>
        </w:trPr>
        <w:tc>
          <w:tcPr>
            <w:tcW w:w="343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长安福特汽车有限公司销售分公司</w:t>
            </w:r>
          </w:p>
        </w:tc>
        <w:tc>
          <w:tcPr>
            <w:tcW w:w="16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474" w:right="0"/>
              <w:jc w:val="left"/>
              <w:rPr>
                <w:rFonts w:ascii="宋体" w:hAnsi="宋体" w:cs="宋体" w:eastAsia="宋体" w:hint="default"/>
                <w:sz w:val="18"/>
                <w:szCs w:val="18"/>
              </w:rPr>
            </w:pPr>
            <w:r>
              <w:rPr>
                <w:rFonts w:ascii="宋体"/>
                <w:sz w:val="18"/>
              </w:rPr>
              <w:t>11,280,692.67</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8.68</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26,832.63</w:t>
            </w:r>
          </w:p>
        </w:tc>
      </w:tr>
      <w:tr>
        <w:trPr>
          <w:trHeight w:val="342" w:hRule="exact"/>
        </w:trPr>
        <w:tc>
          <w:tcPr>
            <w:tcW w:w="343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中维地产海南有限公司</w:t>
            </w:r>
          </w:p>
        </w:tc>
        <w:tc>
          <w:tcPr>
            <w:tcW w:w="16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474" w:right="0"/>
              <w:jc w:val="left"/>
              <w:rPr>
                <w:rFonts w:ascii="宋体" w:hAnsi="宋体" w:cs="宋体" w:eastAsia="宋体" w:hint="default"/>
                <w:sz w:val="18"/>
                <w:szCs w:val="18"/>
              </w:rPr>
            </w:pPr>
            <w:r>
              <w:rPr>
                <w:rFonts w:ascii="宋体"/>
                <w:sz w:val="18"/>
              </w:rPr>
              <w:t>10,000,000.00</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7.70</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500,000.00</w:t>
            </w:r>
          </w:p>
        </w:tc>
      </w:tr>
      <w:tr>
        <w:trPr>
          <w:trHeight w:val="343" w:hRule="exact"/>
        </w:trPr>
        <w:tc>
          <w:tcPr>
            <w:tcW w:w="3431"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662" w:type="dxa"/>
            <w:tcBorders>
              <w:top w:val="single" w:sz="4" w:space="0" w:color="000000"/>
              <w:left w:val="single" w:sz="6" w:space="0" w:color="000000"/>
              <w:bottom w:val="single" w:sz="4" w:space="0" w:color="000000"/>
              <w:right w:val="single" w:sz="4" w:space="0" w:color="000000"/>
            </w:tcBorders>
          </w:tcPr>
          <w:p>
            <w:pPr>
              <w:pStyle w:val="TableParagraph"/>
              <w:spacing w:line="240" w:lineRule="auto" w:before="21"/>
              <w:ind w:left="474" w:right="0"/>
              <w:jc w:val="left"/>
              <w:rPr>
                <w:rFonts w:ascii="宋体" w:hAnsi="宋体" w:cs="宋体" w:eastAsia="宋体" w:hint="default"/>
                <w:sz w:val="18"/>
                <w:szCs w:val="18"/>
              </w:rPr>
            </w:pPr>
            <w:r>
              <w:rPr>
                <w:rFonts w:ascii="宋体"/>
                <w:sz w:val="18"/>
              </w:rPr>
              <w:t>70,910,984.77</w:t>
            </w:r>
          </w:p>
        </w:tc>
        <w:tc>
          <w:tcPr>
            <w:tcW w:w="1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54.59</w:t>
            </w:r>
          </w:p>
        </w:tc>
        <w:tc>
          <w:tcPr>
            <w:tcW w:w="2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2"/>
              <w:jc w:val="right"/>
              <w:rPr>
                <w:rFonts w:ascii="宋体" w:hAnsi="宋体" w:cs="宋体" w:eastAsia="宋体" w:hint="default"/>
                <w:sz w:val="18"/>
                <w:szCs w:val="18"/>
              </w:rPr>
            </w:pPr>
            <w:r>
              <w:rPr>
                <w:rFonts w:ascii="宋体"/>
                <w:sz w:val="18"/>
              </w:rPr>
              <w:t>770,815.82</w:t>
            </w:r>
          </w:p>
        </w:tc>
      </w:tr>
    </w:tbl>
    <w:p>
      <w:pPr>
        <w:spacing w:after="0" w:line="240" w:lineRule="auto"/>
        <w:jc w:val="right"/>
        <w:rPr>
          <w:rFonts w:ascii="宋体" w:hAnsi="宋体" w:cs="宋体" w:eastAsia="宋体" w:hint="default"/>
          <w:sz w:val="18"/>
          <w:szCs w:val="18"/>
        </w:rPr>
        <w:sectPr>
          <w:type w:val="continuous"/>
          <w:pgSz w:w="11910" w:h="16840"/>
          <w:pgMar w:top="1060" w:bottom="1160" w:left="980" w:right="0"/>
        </w:sectPr>
      </w:pPr>
    </w:p>
    <w:p>
      <w:pPr>
        <w:spacing w:line="240" w:lineRule="auto" w:before="13"/>
        <w:rPr>
          <w:rFonts w:ascii="宋体" w:hAnsi="宋体" w:cs="宋体" w:eastAsia="宋体" w:hint="default"/>
          <w:sz w:val="25"/>
          <w:szCs w:val="25"/>
        </w:rPr>
      </w:pPr>
    </w:p>
    <w:p>
      <w:pPr>
        <w:pStyle w:val="BodyText"/>
        <w:spacing w:line="338" w:lineRule="auto" w:before="44"/>
        <w:ind w:left="299" w:right="5567" w:hanging="146"/>
        <w:jc w:val="left"/>
      </w:pPr>
      <w:r>
        <w:rPr>
          <w:rFonts w:ascii="Times New Roman" w:hAnsi="Times New Roman" w:cs="Times New Roman" w:eastAsia="Times New Roman" w:hint="default"/>
        </w:rPr>
        <w:t>5)</w:t>
      </w:r>
      <w:r>
        <w:rPr/>
        <w:t>因金融资产转移而终止确认的应收账款</w:t>
      </w:r>
      <w:r>
        <w:rPr>
          <w:w w:val="99"/>
        </w:rPr>
        <w:t> </w:t>
      </w:r>
      <w:r>
        <w:rPr/>
        <w:t>公司报告期各期末无因金融资产转移而终止确认的应收款项情况</w:t>
      </w:r>
    </w:p>
    <w:p>
      <w:pPr>
        <w:spacing w:line="240" w:lineRule="auto" w:before="0"/>
        <w:rPr>
          <w:rFonts w:ascii="宋体" w:hAnsi="宋体" w:cs="宋体" w:eastAsia="宋体" w:hint="default"/>
          <w:sz w:val="18"/>
          <w:szCs w:val="18"/>
        </w:rPr>
      </w:pPr>
    </w:p>
    <w:p>
      <w:pPr>
        <w:pStyle w:val="BodyText"/>
        <w:spacing w:line="338" w:lineRule="auto" w:before="120"/>
        <w:ind w:right="2652"/>
        <w:jc w:val="left"/>
      </w:pPr>
      <w:r>
        <w:rPr>
          <w:rFonts w:ascii="Times New Roman" w:hAnsi="Times New Roman" w:cs="Times New Roman" w:eastAsia="Times New Roman" w:hint="default"/>
        </w:rPr>
        <w:t>6)</w:t>
      </w:r>
      <w:r>
        <w:rPr/>
        <w:t>转移应收账款且继续涉入形成的资产、负债金额</w:t>
      </w:r>
      <w:r>
        <w:rPr>
          <w:w w:val="99"/>
        </w:rPr>
        <w:t> </w:t>
      </w:r>
      <w:r>
        <w:rPr/>
        <w:t>公司报告期各期末无转移应收账款且继续涉入形成的资产、负债</w:t>
      </w:r>
    </w:p>
    <w:p>
      <w:pPr>
        <w:spacing w:line="240" w:lineRule="auto" w:before="4"/>
        <w:rPr>
          <w:rFonts w:ascii="宋体" w:hAnsi="宋体" w:cs="宋体" w:eastAsia="宋体" w:hint="default"/>
          <w:sz w:val="21"/>
          <w:szCs w:val="21"/>
        </w:rPr>
      </w:pPr>
    </w:p>
    <w:p>
      <w:pPr>
        <w:pStyle w:val="Heading4"/>
        <w:spacing w:line="240" w:lineRule="auto"/>
        <w:ind w:right="0"/>
        <w:jc w:val="left"/>
        <w:rPr>
          <w:b w:val="0"/>
          <w:bCs w:val="0"/>
        </w:rPr>
      </w:pPr>
      <w:bookmarkStart w:name="2、其他应收款" w:id="461"/>
      <w:bookmarkEnd w:id="461"/>
      <w:r>
        <w:rPr>
          <w:b w:val="0"/>
          <w:bCs w:val="0"/>
        </w:rPr>
      </w:r>
      <w:r>
        <w:rPr>
          <w:rFonts w:ascii="Times New Roman" w:hAnsi="Times New Roman" w:cs="Times New Roman" w:eastAsia="Times New Roman" w:hint="default"/>
        </w:rPr>
        <w:t>2</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7"/>
        <w:gridCol w:w="3202"/>
        <w:gridCol w:w="3190"/>
      </w:tblGrid>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4,584,866.11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23,083,199.20</w:t>
            </w:r>
          </w:p>
        </w:tc>
      </w:tr>
      <w:tr>
        <w:trPr>
          <w:trHeight w:val="402"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4,061,201.96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2,162,597.26</w:t>
            </w:r>
          </w:p>
        </w:tc>
      </w:tr>
      <w:tr>
        <w:trPr>
          <w:trHeight w:val="403" w:hRule="exact"/>
        </w:trPr>
        <w:tc>
          <w:tcPr>
            <w:tcW w:w="31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8,646,068.07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25,245,796.46</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应收利息" w:id="462"/>
      <w:bookmarkEnd w:id="462"/>
      <w:r>
        <w:rPr>
          <w:b w:val="0"/>
          <w:bCs w:val="0"/>
        </w:rPr>
      </w:r>
      <w:r>
        <w:rPr/>
        <w:t>（</w:t>
      </w:r>
      <w:r>
        <w:rPr>
          <w:rFonts w:ascii="Times New Roman" w:hAnsi="Times New Roman" w:cs="Times New Roman" w:eastAsia="Times New Roman" w:hint="default"/>
        </w:rPr>
        <w:t>1</w:t>
      </w:r>
      <w:r>
        <w:rPr/>
        <w:t>）应收利息</w:t>
      </w:r>
      <w:r>
        <w:rPr>
          <w:b w:val="0"/>
          <w:bCs w:val="0"/>
        </w:rPr>
      </w:r>
    </w:p>
    <w:p>
      <w:pPr>
        <w:spacing w:line="240" w:lineRule="auto" w:before="8"/>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10"/>
        <w:rPr>
          <w:rFonts w:ascii="宋体" w:hAnsi="宋体" w:cs="宋体" w:eastAsia="宋体" w:hint="default"/>
          <w:sz w:val="26"/>
          <w:szCs w:val="26"/>
        </w:rPr>
      </w:pPr>
    </w:p>
    <w:p>
      <w:pPr>
        <w:pStyle w:val="Heading4"/>
        <w:spacing w:line="240" w:lineRule="auto"/>
        <w:ind w:right="0"/>
        <w:jc w:val="left"/>
        <w:rPr>
          <w:b w:val="0"/>
          <w:bCs w:val="0"/>
        </w:rPr>
      </w:pPr>
      <w:bookmarkStart w:name="（2）应收股利" w:id="463"/>
      <w:bookmarkEnd w:id="463"/>
      <w:r>
        <w:rPr>
          <w:b w:val="0"/>
          <w:bCs w:val="0"/>
        </w:rPr>
      </w:r>
      <w:r>
        <w:rPr/>
        <w:t>（</w:t>
      </w:r>
      <w:r>
        <w:rPr>
          <w:rFonts w:ascii="Times New Roman" w:hAnsi="Times New Roman" w:cs="Times New Roman" w:eastAsia="Times New Roman" w:hint="default"/>
        </w:rPr>
        <w:t>2</w:t>
      </w:r>
      <w:r>
        <w:rPr/>
        <w:t>）应收股利</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1)</w:t>
      </w:r>
      <w:r>
        <w:rPr/>
        <w:t>应收股利</w:t>
      </w:r>
    </w:p>
    <w:p>
      <w:pPr>
        <w:pStyle w:val="BodyText"/>
        <w:spacing w:line="240" w:lineRule="auto" w:before="102"/>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9"/>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1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或被投资单位</w:t>
            </w:r>
            <w:r>
              <w:rPr>
                <w:rFonts w:ascii="Times New Roman" w:hAnsi="Times New Roman" w:cs="Times New Roman" w:eastAsia="Times New Roman"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宣亚国际品牌管理（湖南）有限公司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4,584,866.11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北京品推宝移动科技有限公司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23,083,199.20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4,584,866.11</w:t>
            </w:r>
          </w:p>
        </w:tc>
        <w:tc>
          <w:tcPr>
            <w:tcW w:w="3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23,083,199.20</w:t>
            </w:r>
          </w:p>
        </w:tc>
      </w:tr>
    </w:tbl>
    <w:p>
      <w:pPr>
        <w:pStyle w:val="BodyText"/>
        <w:spacing w:line="340" w:lineRule="auto" w:before="51"/>
        <w:ind w:right="8084"/>
        <w:jc w:val="left"/>
      </w:pPr>
      <w:r>
        <w:rPr>
          <w:rFonts w:ascii="Times New Roman" w:hAnsi="Times New Roman" w:cs="Times New Roman" w:eastAsia="Times New Roman" w:hint="default"/>
        </w:rPr>
        <w:t>2)</w:t>
      </w:r>
      <w:r>
        <w:rPr/>
        <w:t>重要的账龄超过</w:t>
      </w:r>
      <w:r>
        <w:rPr>
          <w:spacing w:val="-46"/>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年的应收股利</w:t>
      </w:r>
      <w:r>
        <w:rPr>
          <w:w w:val="99"/>
        </w:rPr>
        <w:t> </w:t>
      </w:r>
      <w:r>
        <w:rPr/>
        <w:t>无</w:t>
      </w:r>
    </w:p>
    <w:p>
      <w:pPr>
        <w:spacing w:after="0" w:line="3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Heading4"/>
        <w:spacing w:line="240" w:lineRule="auto" w:before="35"/>
        <w:ind w:left="674" w:right="0"/>
        <w:jc w:val="left"/>
        <w:rPr>
          <w:b w:val="0"/>
          <w:bCs w:val="0"/>
        </w:rPr>
      </w:pPr>
      <w:bookmarkStart w:name="（3）其他应收款" w:id="464"/>
      <w:bookmarkEnd w:id="464"/>
      <w:r>
        <w:rPr>
          <w:b w:val="0"/>
          <w:bCs w:val="0"/>
        </w:rPr>
      </w:r>
      <w:r>
        <w:rPr/>
        <w:t>（</w:t>
      </w:r>
      <w:r>
        <w:rPr>
          <w:rFonts w:ascii="Times New Roman" w:hAnsi="Times New Roman" w:cs="Times New Roman" w:eastAsia="Times New Roman" w:hint="default"/>
        </w:rPr>
        <w:t>3</w:t>
      </w:r>
      <w:r>
        <w:rPr/>
        <w:t>）其他应收款</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674" w:right="0"/>
        <w:jc w:val="left"/>
      </w:pPr>
      <w:r>
        <w:rPr>
          <w:rFonts w:ascii="Times New Roman" w:hAnsi="Times New Roman" w:cs="Times New Roman" w:eastAsia="Times New Roman" w:hint="default"/>
        </w:rPr>
        <w:t>1)</w:t>
      </w:r>
      <w:r>
        <w:rPr/>
        <w:t>其他应收款分类披露</w:t>
      </w:r>
    </w:p>
    <w:p>
      <w:pPr>
        <w:pStyle w:val="BodyText"/>
        <w:spacing w:line="240" w:lineRule="auto" w:before="103"/>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13" w:type="dxa"/>
        <w:tblLayout w:type="fixed"/>
        <w:tblCellMar>
          <w:top w:w="0" w:type="dxa"/>
          <w:left w:w="0" w:type="dxa"/>
          <w:bottom w:w="0" w:type="dxa"/>
          <w:right w:w="0" w:type="dxa"/>
        </w:tblCellMar>
        <w:tblLook w:val="01E0"/>
      </w:tblPr>
      <w:tblGrid>
        <w:gridCol w:w="1112"/>
        <w:gridCol w:w="1146"/>
        <w:gridCol w:w="851"/>
        <w:gridCol w:w="708"/>
        <w:gridCol w:w="993"/>
        <w:gridCol w:w="1134"/>
        <w:gridCol w:w="1165"/>
        <w:gridCol w:w="762"/>
        <w:gridCol w:w="814"/>
        <w:gridCol w:w="931"/>
        <w:gridCol w:w="1147"/>
      </w:tblGrid>
      <w:tr>
        <w:trPr>
          <w:trHeight w:val="403" w:hRule="exact"/>
        </w:trPr>
        <w:tc>
          <w:tcPr>
            <w:tcW w:w="1112" w:type="dxa"/>
            <w:tcBorders>
              <w:top w:val="single" w:sz="4" w:space="0" w:color="000000"/>
              <w:left w:val="single" w:sz="4" w:space="0" w:color="000000"/>
              <w:bottom w:val="nil" w:sz="6" w:space="0" w:color="auto"/>
              <w:right w:val="single" w:sz="4" w:space="0" w:color="000000"/>
            </w:tcBorders>
            <w:shd w:val="clear" w:color="auto" w:fill="D2D2D2"/>
          </w:tcPr>
          <w:p>
            <w:pPr/>
          </w:p>
        </w:tc>
        <w:tc>
          <w:tcPr>
            <w:tcW w:w="483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82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206" w:hRule="exact"/>
        </w:trPr>
        <w:tc>
          <w:tcPr>
            <w:tcW w:w="111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6"/>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9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63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0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484"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3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50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4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6" w:hRule="exact"/>
        </w:trPr>
        <w:tc>
          <w:tcPr>
            <w:tcW w:w="1112" w:type="dxa"/>
            <w:vMerge/>
            <w:tcBorders>
              <w:left w:val="single" w:sz="4" w:space="0" w:color="000000"/>
              <w:bottom w:val="nil" w:sz="6" w:space="0" w:color="auto"/>
              <w:right w:val="single" w:sz="4" w:space="0" w:color="000000"/>
            </w:tcBorders>
            <w:shd w:val="clear" w:color="auto" w:fill="D2D2D2"/>
          </w:tcPr>
          <w:p>
            <w:pPr/>
          </w:p>
        </w:tc>
        <w:tc>
          <w:tcPr>
            <w:tcW w:w="1997" w:type="dxa"/>
            <w:gridSpan w:val="2"/>
            <w:vMerge/>
            <w:tcBorders>
              <w:left w:val="single" w:sz="4" w:space="0" w:color="000000"/>
              <w:bottom w:val="single" w:sz="4" w:space="0" w:color="000000"/>
              <w:right w:val="single" w:sz="4" w:space="0" w:color="000000"/>
            </w:tcBorders>
            <w:shd w:val="clear" w:color="auto" w:fill="D2D2D2"/>
          </w:tcPr>
          <w:p>
            <w:pPr/>
          </w:p>
        </w:tc>
        <w:tc>
          <w:tcPr>
            <w:tcW w:w="1701" w:type="dxa"/>
            <w:gridSpan w:val="2"/>
            <w:vMerge/>
            <w:tcBorders>
              <w:left w:val="single" w:sz="4" w:space="0" w:color="000000"/>
              <w:bottom w:val="single" w:sz="4" w:space="0" w:color="000000"/>
              <w:right w:val="single" w:sz="4" w:space="0" w:color="000000"/>
            </w:tcBorders>
            <w:shd w:val="clear" w:color="auto" w:fill="D2D2D2"/>
          </w:tcPr>
          <w:p>
            <w:pPr/>
          </w:p>
        </w:tc>
        <w:tc>
          <w:tcPr>
            <w:tcW w:w="113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928" w:type="dxa"/>
            <w:gridSpan w:val="2"/>
            <w:vMerge/>
            <w:tcBorders>
              <w:left w:val="single" w:sz="4" w:space="0" w:color="000000"/>
              <w:bottom w:val="single" w:sz="4" w:space="0" w:color="000000"/>
              <w:right w:val="single" w:sz="4" w:space="0" w:color="000000"/>
            </w:tcBorders>
            <w:shd w:val="clear" w:color="auto" w:fill="D2D2D2"/>
          </w:tcPr>
          <w:p>
            <w:pPr/>
          </w:p>
        </w:tc>
        <w:tc>
          <w:tcPr>
            <w:tcW w:w="1745" w:type="dxa"/>
            <w:gridSpan w:val="2"/>
            <w:vMerge/>
            <w:tcBorders>
              <w:left w:val="single" w:sz="4" w:space="0" w:color="000000"/>
              <w:bottom w:val="single" w:sz="4" w:space="0" w:color="000000"/>
              <w:right w:val="single" w:sz="4" w:space="0" w:color="000000"/>
            </w:tcBorders>
            <w:shd w:val="clear" w:color="auto" w:fill="D2D2D2"/>
          </w:tcPr>
          <w:p>
            <w:pPr/>
          </w:p>
        </w:tc>
        <w:tc>
          <w:tcPr>
            <w:tcW w:w="11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20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7" w:hRule="exact"/>
        </w:trPr>
        <w:tc>
          <w:tcPr>
            <w:tcW w:w="1112" w:type="dxa"/>
            <w:vMerge w:val="restart"/>
            <w:tcBorders>
              <w:top w:val="nil" w:sz="6" w:space="0" w:color="auto"/>
              <w:left w:val="single" w:sz="4" w:space="0" w:color="000000"/>
              <w:right w:val="single" w:sz="4" w:space="0" w:color="000000"/>
            </w:tcBorders>
            <w:shd w:val="clear" w:color="auto" w:fill="D2D2D2"/>
          </w:tcPr>
          <w:p>
            <w:pPr/>
          </w:p>
        </w:tc>
        <w:tc>
          <w:tcPr>
            <w:tcW w:w="11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39"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6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34" w:type="dxa"/>
            <w:vMerge/>
            <w:tcBorders>
              <w:left w:val="single" w:sz="4" w:space="0" w:color="000000"/>
              <w:bottom w:val="nil" w:sz="6" w:space="0" w:color="auto"/>
              <w:right w:val="single" w:sz="4" w:space="0" w:color="000000"/>
            </w:tcBorders>
            <w:shd w:val="clear" w:color="auto" w:fill="D2D2D2"/>
          </w:tcPr>
          <w:p>
            <w:pPr/>
          </w:p>
        </w:tc>
        <w:tc>
          <w:tcPr>
            <w:tcW w:w="116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9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1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2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0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147" w:type="dxa"/>
            <w:vMerge/>
            <w:tcBorders>
              <w:left w:val="single" w:sz="4" w:space="0" w:color="000000"/>
              <w:bottom w:val="nil" w:sz="6" w:space="0" w:color="auto"/>
              <w:right w:val="single" w:sz="4" w:space="0" w:color="000000"/>
            </w:tcBorders>
            <w:shd w:val="clear" w:color="auto" w:fill="D2D2D2"/>
          </w:tcPr>
          <w:p>
            <w:pPr/>
          </w:p>
        </w:tc>
      </w:tr>
      <w:tr>
        <w:trPr>
          <w:trHeight w:val="205" w:hRule="exact"/>
        </w:trPr>
        <w:tc>
          <w:tcPr>
            <w:tcW w:w="1112" w:type="dxa"/>
            <w:vMerge/>
            <w:tcBorders>
              <w:left w:val="single" w:sz="4" w:space="0" w:color="000000"/>
              <w:bottom w:val="single" w:sz="4" w:space="0" w:color="000000"/>
              <w:right w:val="single" w:sz="4" w:space="0" w:color="000000"/>
            </w:tcBorders>
            <w:shd w:val="clear" w:color="auto" w:fill="D2D2D2"/>
          </w:tcPr>
          <w:p>
            <w:pPr/>
          </w:p>
        </w:tc>
        <w:tc>
          <w:tcPr>
            <w:tcW w:w="1146"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993"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5" w:type="dxa"/>
            <w:vMerge/>
            <w:tcBorders>
              <w:left w:val="single" w:sz="4" w:space="0" w:color="000000"/>
              <w:bottom w:val="single" w:sz="4" w:space="0" w:color="000000"/>
              <w:right w:val="single" w:sz="4" w:space="0" w:color="000000"/>
            </w:tcBorders>
            <w:shd w:val="clear" w:color="auto" w:fill="D2D2D2"/>
          </w:tcPr>
          <w:p>
            <w:pPr/>
          </w:p>
        </w:tc>
        <w:tc>
          <w:tcPr>
            <w:tcW w:w="762" w:type="dxa"/>
            <w:vMerge/>
            <w:tcBorders>
              <w:left w:val="single" w:sz="4" w:space="0" w:color="000000"/>
              <w:bottom w:val="single" w:sz="4" w:space="0" w:color="000000"/>
              <w:right w:val="single" w:sz="4" w:space="0" w:color="000000"/>
            </w:tcBorders>
            <w:shd w:val="clear" w:color="auto" w:fill="D2D2D2"/>
          </w:tcPr>
          <w:p>
            <w:pPr/>
          </w:p>
        </w:tc>
        <w:tc>
          <w:tcPr>
            <w:tcW w:w="814"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14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50"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11" w:right="189"/>
              <w:jc w:val="both"/>
              <w:rPr>
                <w:rFonts w:ascii="宋体" w:hAnsi="宋体" w:cs="宋体" w:eastAsia="宋体" w:hint="default"/>
                <w:sz w:val="18"/>
                <w:szCs w:val="18"/>
              </w:rPr>
            </w:pPr>
            <w:r>
              <w:rPr>
                <w:rFonts w:ascii="宋体" w:hAnsi="宋体" w:cs="宋体" w:eastAsia="宋体" w:hint="default"/>
                <w:sz w:val="18"/>
                <w:szCs w:val="18"/>
              </w:rPr>
              <w:t>按信用风险 特征组合计 提坏账准备 的其他应收 款</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4,061,201.96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4,061,201.96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2,162,597.26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0"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2,162,597.26</w:t>
            </w:r>
          </w:p>
        </w:tc>
      </w:tr>
      <w:tr>
        <w:trPr>
          <w:trHeight w:val="403" w:hRule="exact"/>
        </w:trPr>
        <w:tc>
          <w:tcPr>
            <w:tcW w:w="1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4,061,201.96</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9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4,061,201.96</w:t>
            </w:r>
          </w:p>
        </w:tc>
        <w:tc>
          <w:tcPr>
            <w:tcW w:w="11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2,162,597.26</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0" w:right="0"/>
              <w:jc w:val="center"/>
              <w:rPr>
                <w:rFonts w:ascii="Times New Roman" w:hAnsi="Times New Roman" w:cs="Times New Roman" w:eastAsia="Times New Roman" w:hint="default"/>
                <w:sz w:val="18"/>
                <w:szCs w:val="18"/>
              </w:rPr>
            </w:pPr>
            <w:r>
              <w:rPr>
                <w:rFonts w:ascii="Times New Roman"/>
                <w:sz w:val="18"/>
              </w:rPr>
              <w:t>100.00%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1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2,162,597.26</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460" w:right="0"/>
        </w:sectPr>
      </w:pPr>
    </w:p>
    <w:p>
      <w:pPr>
        <w:pStyle w:val="BodyText"/>
        <w:spacing w:line="240" w:lineRule="auto" w:before="51"/>
        <w:ind w:left="674" w:right="0"/>
        <w:jc w:val="both"/>
      </w:pPr>
      <w:r>
        <w:rPr/>
        <w:t>期末单项金额重大并单项计提坏账准备的其他应收款：</w:t>
      </w:r>
    </w:p>
    <w:p>
      <w:pPr>
        <w:pStyle w:val="BodyText"/>
        <w:spacing w:line="340" w:lineRule="auto" w:before="116"/>
        <w:ind w:left="674" w:right="15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组合中，按账龄分析法计提坏账准备的其他应收款：</w:t>
      </w:r>
    </w:p>
    <w:p>
      <w:pPr>
        <w:pStyle w:val="BodyText"/>
        <w:spacing w:line="338" w:lineRule="auto" w:before="40"/>
        <w:ind w:left="674" w:right="114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组合中，采用余额百分比法计提坏账准备的其他应收款：</w:t>
      </w:r>
    </w:p>
    <w:p>
      <w:pPr>
        <w:pStyle w:val="BodyText"/>
        <w:spacing w:line="338" w:lineRule="auto" w:before="43"/>
        <w:ind w:left="674" w:right="150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 组合中，采用其他方法计提坏账准备的其他应收款：</w:t>
      </w:r>
    </w:p>
    <w:p>
      <w:pPr>
        <w:pStyle w:val="BodyText"/>
        <w:spacing w:line="240" w:lineRule="auto" w:before="42"/>
        <w:ind w:left="674" w:right="0"/>
        <w:jc w:val="both"/>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3"/>
        <w:ind w:left="674" w:right="0"/>
        <w:jc w:val="both"/>
      </w:pPr>
      <w:r>
        <w:rPr>
          <w:rFonts w:ascii="Times New Roman" w:hAnsi="Times New Roman" w:cs="Times New Roman" w:eastAsia="Times New Roman" w:hint="default"/>
        </w:rPr>
        <w:t>2)</w:t>
      </w:r>
      <w:r>
        <w:rPr/>
        <w:t>本期计提、收回或转回的坏账准备情况</w:t>
      </w:r>
    </w:p>
    <w:p>
      <w:pPr>
        <w:pStyle w:val="BodyText"/>
        <w:spacing w:line="240" w:lineRule="auto" w:before="102"/>
        <w:ind w:left="674" w:right="0"/>
        <w:jc w:val="both"/>
      </w:pPr>
      <w:r>
        <w:rPr/>
        <w:t>本期计提坏账准备金额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元；本期收回或转回坏账准备金额</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48" w:lineRule="auto" w:before="102"/>
        <w:ind w:left="674" w:right="2967"/>
        <w:jc w:val="both"/>
      </w:pPr>
      <w:r>
        <w:rPr>
          <w:rFonts w:ascii="Times New Roman" w:hAnsi="Times New Roman" w:cs="Times New Roman" w:eastAsia="Times New Roman" w:hint="default"/>
        </w:rPr>
        <w:t>3)</w:t>
      </w:r>
      <w:r>
        <w:rPr/>
        <w:t>本期实际核销的其他应收款情况</w:t>
      </w:r>
      <w:r>
        <w:rPr>
          <w:w w:val="99"/>
        </w:rPr>
        <w:t> </w:t>
      </w:r>
      <w:r>
        <w:rPr/>
        <w:t>报告期内无实际核销的其他应收款</w:t>
      </w:r>
      <w:r>
        <w:rPr>
          <w:w w:val="99"/>
        </w:rPr>
        <w:t> </w:t>
      </w:r>
      <w:r>
        <w:rPr>
          <w:rFonts w:ascii="Times New Roman" w:hAnsi="Times New Roman" w:cs="Times New Roman" w:eastAsia="Times New Roman" w:hint="default"/>
        </w:rPr>
        <w:t>4)</w:t>
      </w:r>
      <w:r>
        <w:rPr/>
        <w:t>其他应收款按款项性质分类情况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2"/>
        <w:ind w:left="673" w:right="0"/>
        <w:jc w:val="left"/>
      </w:pPr>
      <w:r>
        <w:rPr/>
        <w:t>单位： 元</w:t>
      </w:r>
    </w:p>
    <w:p>
      <w:pPr>
        <w:spacing w:after="0" w:line="240" w:lineRule="auto"/>
        <w:jc w:val="left"/>
        <w:sectPr>
          <w:type w:val="continuous"/>
          <w:pgSz w:w="11910" w:h="16840"/>
          <w:pgMar w:top="1060" w:bottom="1160" w:left="460" w:right="0"/>
          <w:cols w:num="2" w:equalWidth="0">
            <w:col w:w="6344" w:space="2485"/>
            <w:col w:w="2621"/>
          </w:cols>
        </w:sectPr>
      </w:pPr>
    </w:p>
    <w:p>
      <w:pPr>
        <w:spacing w:line="240" w:lineRule="auto" w:before="1"/>
        <w:rPr>
          <w:rFonts w:ascii="宋体" w:hAnsi="宋体" w:cs="宋体" w:eastAsia="宋体" w:hint="default"/>
          <w:sz w:val="8"/>
          <w:szCs w:val="8"/>
        </w:rPr>
      </w:pPr>
    </w:p>
    <w:tbl>
      <w:tblPr>
        <w:tblW w:w="0" w:type="auto"/>
        <w:jc w:val="left"/>
        <w:tblInd w:w="669" w:type="dxa"/>
        <w:tblLayout w:type="fixed"/>
        <w:tblCellMar>
          <w:top w:w="0" w:type="dxa"/>
          <w:left w:w="0" w:type="dxa"/>
          <w:bottom w:w="0" w:type="dxa"/>
          <w:right w:w="0" w:type="dxa"/>
        </w:tblCellMar>
        <w:tblLook w:val="01E0"/>
      </w:tblPr>
      <w:tblGrid>
        <w:gridCol w:w="3369"/>
        <w:gridCol w:w="3100"/>
        <w:gridCol w:w="3100"/>
      </w:tblGrid>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0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保证金及押金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3,981,416.24</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1,437,865.94</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72,455.50</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724,286.10</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代扣代缴款项</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7,330.22</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445.22</w:t>
            </w:r>
          </w:p>
        </w:tc>
      </w:tr>
      <w:tr>
        <w:trPr>
          <w:trHeight w:val="402" w:hRule="exact"/>
        </w:trPr>
        <w:tc>
          <w:tcPr>
            <w:tcW w:w="3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4,061,201.96</w:t>
            </w:r>
          </w:p>
        </w:tc>
        <w:tc>
          <w:tcPr>
            <w:tcW w:w="3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2,162,597.26</w:t>
            </w:r>
          </w:p>
        </w:tc>
      </w:tr>
    </w:tbl>
    <w:p>
      <w:pPr>
        <w:pStyle w:val="BodyText"/>
        <w:spacing w:line="240" w:lineRule="auto" w:before="51"/>
        <w:ind w:left="674" w:right="0"/>
        <w:jc w:val="left"/>
      </w:pPr>
      <w:r>
        <w:rPr>
          <w:rFonts w:ascii="Times New Roman" w:hAnsi="Times New Roman" w:cs="Times New Roman" w:eastAsia="Times New Roman" w:hint="default"/>
        </w:rPr>
        <w:t>5)</w:t>
      </w:r>
      <w:r>
        <w:rPr/>
        <w:t>按欠款方归集的期末余额前五名的其他应收款情况</w:t>
      </w:r>
    </w:p>
    <w:p>
      <w:pPr>
        <w:pStyle w:val="BodyText"/>
        <w:spacing w:line="240" w:lineRule="auto" w:before="103"/>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66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12" w:space="0" w:color="D0CECE"/>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402" w:hRule="exact"/>
        </w:trPr>
        <w:tc>
          <w:tcPr>
            <w:tcW w:w="1684"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1"/>
              <w:ind w:right="6"/>
              <w:jc w:val="center"/>
              <w:rPr>
                <w:rFonts w:ascii="宋体" w:hAnsi="宋体" w:cs="宋体" w:eastAsia="宋体" w:hint="default"/>
                <w:sz w:val="18"/>
                <w:szCs w:val="18"/>
              </w:rPr>
            </w:pPr>
            <w:r>
              <w:rPr>
                <w:rFonts w:ascii="宋体" w:hAnsi="宋体" w:cs="宋体" w:eastAsia="宋体" w:hint="default"/>
                <w:sz w:val="18"/>
                <w:szCs w:val="18"/>
              </w:rPr>
              <w:t>北京斯普汇德文化中</w:t>
            </w:r>
          </w:p>
        </w:tc>
        <w:tc>
          <w:tcPr>
            <w:tcW w:w="1552"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1" w:right="0"/>
              <w:jc w:val="left"/>
              <w:rPr>
                <w:rFonts w:ascii="Times New Roman" w:hAnsi="Times New Roman" w:cs="Times New Roman" w:eastAsia="Times New Roman" w:hint="default"/>
                <w:sz w:val="18"/>
                <w:szCs w:val="18"/>
              </w:rPr>
            </w:pPr>
            <w:r>
              <w:rPr>
                <w:rFonts w:ascii="Times New Roman"/>
                <w:sz w:val="18"/>
              </w:rPr>
              <w:t>2,117,942.52</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27" w:right="0"/>
              <w:jc w:val="left"/>
              <w:rPr>
                <w:rFonts w:ascii="Times New Roman" w:hAnsi="Times New Roman" w:cs="Times New Roman" w:eastAsia="Times New Roman" w:hint="default"/>
                <w:sz w:val="18"/>
                <w:szCs w:val="18"/>
              </w:rPr>
            </w:pPr>
            <w:r>
              <w:rPr>
                <w:rFonts w:ascii="Times New Roman"/>
                <w:sz w:val="18"/>
              </w:rPr>
              <w:t>52.15%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46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73"/>
        <w:gridCol w:w="1563"/>
        <w:gridCol w:w="1552"/>
        <w:gridCol w:w="1553"/>
        <w:gridCol w:w="1614"/>
        <w:gridCol w:w="1615"/>
      </w:tblGrid>
      <w:tr>
        <w:trPr>
          <w:trHeight w:val="714"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81" w:right="8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80"/>
              <w:jc w:val="righ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362" w:hRule="exact"/>
        </w:trPr>
        <w:tc>
          <w:tcPr>
            <w:tcW w:w="167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心（有限合伙）</w:t>
            </w:r>
          </w:p>
        </w:tc>
        <w:tc>
          <w:tcPr>
            <w:tcW w:w="1563" w:type="dxa"/>
            <w:tcBorders>
              <w:top w:val="single" w:sz="4" w:space="0" w:color="000000"/>
              <w:left w:val="single" w:sz="9" w:space="0" w:color="D0CECE"/>
              <w:bottom w:val="single" w:sz="4" w:space="0" w:color="000000"/>
              <w:right w:val="single" w:sz="4" w:space="0" w:color="000000"/>
            </w:tcBorders>
          </w:tcPr>
          <w:p>
            <w:pPr/>
          </w:p>
        </w:tc>
        <w:tc>
          <w:tcPr>
            <w:tcW w:w="1552" w:type="dxa"/>
            <w:tcBorders>
              <w:top w:val="single" w:sz="4" w:space="0" w:color="000000"/>
              <w:left w:val="single" w:sz="4" w:space="0" w:color="000000"/>
              <w:bottom w:val="single" w:sz="4" w:space="0" w:color="000000"/>
              <w:right w:val="single" w:sz="4" w:space="0" w:color="000000"/>
            </w:tcBorders>
          </w:tcPr>
          <w:p>
            <w:pPr/>
          </w:p>
        </w:tc>
        <w:tc>
          <w:tcPr>
            <w:tcW w:w="1553" w:type="dxa"/>
            <w:tcBorders>
              <w:top w:val="single" w:sz="4" w:space="0" w:color="000000"/>
              <w:left w:val="single" w:sz="4" w:space="0" w:color="000000"/>
              <w:bottom w:val="single" w:sz="4" w:space="0" w:color="000000"/>
              <w:right w:val="single" w:sz="4" w:space="0" w:color="000000"/>
            </w:tcBorders>
          </w:tcPr>
          <w:p>
            <w:pPr/>
          </w:p>
        </w:tc>
        <w:tc>
          <w:tcPr>
            <w:tcW w:w="1614" w:type="dxa"/>
            <w:tcBorders>
              <w:top w:val="single" w:sz="4" w:space="0" w:color="000000"/>
              <w:left w:val="single" w:sz="4" w:space="0" w:color="000000"/>
              <w:bottom w:val="single" w:sz="4" w:space="0" w:color="000000"/>
              <w:right w:val="single" w:sz="4" w:space="0" w:color="000000"/>
            </w:tcBorders>
          </w:tcPr>
          <w:p>
            <w:pP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7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上海长峰房地产开发 有限公司</w:t>
            </w:r>
          </w:p>
        </w:tc>
        <w:tc>
          <w:tcPr>
            <w:tcW w:w="1563"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782,010.00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19.26%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7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北京国棉文化创意发 展有限公司</w:t>
            </w:r>
          </w:p>
        </w:tc>
        <w:tc>
          <w:tcPr>
            <w:tcW w:w="1563"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495,438.78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12.20%</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7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广州汇美发展有限公 司</w:t>
            </w:r>
          </w:p>
        </w:tc>
        <w:tc>
          <w:tcPr>
            <w:tcW w:w="1563"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房租押金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233,800.00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年以上</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5.76%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673"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1"/>
              <w:ind w:left="22" w:right="18"/>
              <w:jc w:val="left"/>
              <w:rPr>
                <w:rFonts w:ascii="宋体" w:hAnsi="宋体" w:cs="宋体" w:eastAsia="宋体" w:hint="default"/>
                <w:sz w:val="18"/>
                <w:szCs w:val="18"/>
              </w:rPr>
            </w:pPr>
            <w:r>
              <w:rPr>
                <w:rFonts w:ascii="宋体" w:hAnsi="宋体" w:cs="宋体" w:eastAsia="宋体" w:hint="default"/>
                <w:sz w:val="18"/>
                <w:szCs w:val="18"/>
              </w:rPr>
              <w:t>南京前途汽车销售有 限公司</w:t>
            </w:r>
          </w:p>
        </w:tc>
        <w:tc>
          <w:tcPr>
            <w:tcW w:w="1563" w:type="dxa"/>
            <w:tcBorders>
              <w:top w:val="single" w:sz="4" w:space="0" w:color="000000"/>
              <w:left w:val="single" w:sz="9" w:space="0" w:color="D0CECE"/>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投标保证金</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100,000.00</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2.46%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3,729,191.30</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91.83%</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r>
    </w:tbl>
    <w:p>
      <w:pPr>
        <w:pStyle w:val="BodyText"/>
        <w:spacing w:line="340" w:lineRule="auto" w:before="51"/>
        <w:ind w:left="299" w:right="6827" w:hanging="146"/>
        <w:jc w:val="left"/>
      </w:pPr>
      <w:r>
        <w:rPr>
          <w:rFonts w:ascii="Times New Roman" w:hAnsi="Times New Roman" w:cs="Times New Roman" w:eastAsia="Times New Roman" w:hint="default"/>
        </w:rPr>
        <w:t>6)</w:t>
      </w:r>
      <w:r>
        <w:rPr/>
        <w:t>涉及政府补助的应收款项</w:t>
      </w:r>
      <w:r>
        <w:rPr>
          <w:w w:val="99"/>
        </w:rPr>
        <w:t> </w:t>
      </w:r>
      <w:r>
        <w:rPr/>
        <w:t>公司报告期各期末无涉及政府补助的其他应收项</w:t>
      </w:r>
    </w:p>
    <w:p>
      <w:pPr>
        <w:pStyle w:val="BodyText"/>
        <w:spacing w:line="340" w:lineRule="auto" w:before="39"/>
        <w:ind w:left="299" w:right="5747" w:hanging="146"/>
        <w:jc w:val="left"/>
      </w:pPr>
      <w:r>
        <w:rPr>
          <w:rFonts w:ascii="Times New Roman" w:hAnsi="Times New Roman" w:cs="Times New Roman" w:eastAsia="Times New Roman" w:hint="default"/>
        </w:rPr>
        <w:t>7)</w:t>
      </w:r>
      <w:r>
        <w:rPr/>
        <w:t>因金融资产转移而终止确认的其他应收款</w:t>
      </w:r>
      <w:r>
        <w:rPr>
          <w:w w:val="99"/>
        </w:rPr>
        <w:t> </w:t>
      </w:r>
      <w:r>
        <w:rPr/>
        <w:t>公司报告期各期末无因金融资产转移而终止确认的其他应收款</w:t>
      </w:r>
    </w:p>
    <w:p>
      <w:pPr>
        <w:pStyle w:val="BodyText"/>
        <w:spacing w:line="338" w:lineRule="auto" w:before="41"/>
        <w:ind w:right="2652"/>
        <w:jc w:val="left"/>
      </w:pPr>
      <w:r>
        <w:rPr>
          <w:rFonts w:ascii="Times New Roman" w:hAnsi="Times New Roman" w:cs="Times New Roman" w:eastAsia="Times New Roman" w:hint="default"/>
        </w:rPr>
        <w:t>8)</w:t>
      </w:r>
      <w:r>
        <w:rPr/>
        <w:t>转移其他应收款且继续涉入形成的资产、负债金额</w:t>
      </w:r>
      <w:r>
        <w:rPr>
          <w:w w:val="99"/>
        </w:rPr>
        <w:t> </w:t>
      </w:r>
      <w:r>
        <w:rPr/>
        <w:t>公司报告期各期末无转移其他应收款且继续涉入形成的资产、负债</w:t>
      </w:r>
    </w:p>
    <w:p>
      <w:pPr>
        <w:spacing w:line="240" w:lineRule="auto" w:before="2"/>
        <w:rPr>
          <w:rFonts w:ascii="宋体" w:hAnsi="宋体" w:cs="宋体" w:eastAsia="宋体" w:hint="default"/>
          <w:sz w:val="21"/>
          <w:szCs w:val="21"/>
        </w:rPr>
      </w:pPr>
    </w:p>
    <w:p>
      <w:pPr>
        <w:pStyle w:val="Heading4"/>
        <w:spacing w:line="240" w:lineRule="auto"/>
        <w:ind w:right="0"/>
        <w:jc w:val="left"/>
        <w:rPr>
          <w:b w:val="0"/>
          <w:bCs w:val="0"/>
        </w:rPr>
      </w:pPr>
      <w:bookmarkStart w:name="3、长期股权投资" w:id="465"/>
      <w:bookmarkEnd w:id="465"/>
      <w:r>
        <w:rPr>
          <w:b w:val="0"/>
          <w:bCs w:val="0"/>
        </w:rPr>
      </w:r>
      <w:r>
        <w:rPr>
          <w:rFonts w:ascii="Times New Roman" w:hAnsi="Times New Roman" w:cs="Times New Roman" w:eastAsia="Times New Roman" w:hint="default"/>
        </w:rPr>
        <w:t>3</w:t>
      </w:r>
      <w:r>
        <w:rPr/>
        <w:t>、长期股权投资</w:t>
      </w:r>
      <w:r>
        <w:rPr>
          <w:b w:val="0"/>
          <w:bCs w:val="0"/>
        </w:rPr>
      </w:r>
    </w:p>
    <w:p>
      <w:pPr>
        <w:spacing w:line="240" w:lineRule="auto" w:before="4"/>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57"/>
        <w:gridCol w:w="1379"/>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1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9"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2D2D2"/>
          </w:tcPr>
          <w:p>
            <w:pPr/>
          </w:p>
        </w:tc>
        <w:tc>
          <w:tcPr>
            <w:tcW w:w="4102" w:type="dxa"/>
            <w:gridSpan w:val="3"/>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357" w:type="dxa"/>
            <w:vMerge/>
            <w:tcBorders>
              <w:left w:val="single" w:sz="4" w:space="0" w:color="000000"/>
              <w:bottom w:val="nil" w:sz="6" w:space="0" w:color="auto"/>
              <w:right w:val="single" w:sz="4" w:space="0" w:color="000000"/>
            </w:tcBorders>
            <w:shd w:val="clear" w:color="auto" w:fill="D2D2D2"/>
          </w:tcPr>
          <w:p>
            <w:pPr/>
          </w:p>
        </w:tc>
        <w:tc>
          <w:tcPr>
            <w:tcW w:w="137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79"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c>
          <w:tcPr>
            <w:tcW w:w="136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201,318,121.85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201,318,121.85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155,026,851.85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155,026,851.85</w:t>
            </w:r>
          </w:p>
        </w:tc>
      </w:tr>
      <w:tr>
        <w:trPr>
          <w:trHeight w:val="714"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22"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36,590,096.82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36,590,096.82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7,483,551.02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7,483,551.02</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237,908,218.67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237,908,218.67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162,510,402.87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162,510,402.87</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1）对子公司投资" w:id="466"/>
      <w:bookmarkEnd w:id="466"/>
      <w:r>
        <w:rPr>
          <w:b w:val="0"/>
          <w:bCs w:val="0"/>
        </w:rPr>
      </w:r>
      <w:r>
        <w:rPr/>
        <w:t>（</w:t>
      </w:r>
      <w:r>
        <w:rPr>
          <w:rFonts w:ascii="Times New Roman" w:hAnsi="Times New Roman" w:cs="Times New Roman" w:eastAsia="Times New Roman"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36"/>
        <w:gridCol w:w="1348"/>
        <w:gridCol w:w="1336"/>
        <w:gridCol w:w="1334"/>
        <w:gridCol w:w="1336"/>
        <w:gridCol w:w="1389"/>
        <w:gridCol w:w="1390"/>
      </w:tblGrid>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北京宣亚品牌管 理咨询有限公司</w:t>
            </w:r>
          </w:p>
        </w:tc>
        <w:tc>
          <w:tcPr>
            <w:tcW w:w="1348" w:type="dxa"/>
            <w:tcBorders>
              <w:top w:val="single" w:sz="4" w:space="0" w:color="000000"/>
              <w:left w:val="single" w:sz="10" w:space="0" w:color="D0CECE"/>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5,022,181.97</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5,022,181.97</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北京品推宝移动 科技有限公司</w:t>
            </w:r>
          </w:p>
        </w:tc>
        <w:tc>
          <w:tcPr>
            <w:tcW w:w="1348" w:type="dxa"/>
            <w:tcBorders>
              <w:top w:val="single" w:sz="4" w:space="0" w:color="000000"/>
              <w:left w:val="single" w:sz="10" w:space="0" w:color="D0CECE"/>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123,056,907.81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123,056,907.81</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秦皇岛宣亚公共</w:t>
            </w:r>
          </w:p>
        </w:tc>
        <w:tc>
          <w:tcPr>
            <w:tcW w:w="1348" w:type="dxa"/>
            <w:tcBorders>
              <w:top w:val="single" w:sz="4" w:space="0" w:color="000000"/>
              <w:left w:val="single" w:sz="10" w:space="0" w:color="D0CECE"/>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8,585,634.41</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8,585,634.41</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749" w:type="dxa"/>
        <w:tblLayout w:type="fixed"/>
        <w:tblCellMar>
          <w:top w:w="0" w:type="dxa"/>
          <w:left w:w="0" w:type="dxa"/>
          <w:bottom w:w="0" w:type="dxa"/>
          <w:right w:w="0" w:type="dxa"/>
        </w:tblCellMar>
        <w:tblLook w:val="01E0"/>
      </w:tblPr>
      <w:tblGrid>
        <w:gridCol w:w="1436"/>
        <w:gridCol w:w="1348"/>
        <w:gridCol w:w="1336"/>
        <w:gridCol w:w="1334"/>
        <w:gridCol w:w="1336"/>
        <w:gridCol w:w="1389"/>
        <w:gridCol w:w="1390"/>
      </w:tblGrid>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1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0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9" w:right="58" w:hanging="541"/>
              <w:jc w:val="left"/>
              <w:rPr>
                <w:rFonts w:ascii="宋体" w:hAnsi="宋体" w:cs="宋体" w:eastAsia="宋体" w:hint="default"/>
                <w:sz w:val="18"/>
                <w:szCs w:val="18"/>
              </w:rPr>
            </w:pPr>
            <w:r>
              <w:rPr>
                <w:rFonts w:ascii="宋体" w:hAnsi="宋体" w:cs="宋体" w:eastAsia="宋体" w:hint="default"/>
                <w:sz w:val="18"/>
                <w:szCs w:val="18"/>
              </w:rPr>
              <w:t>本期计提减值准 备</w:t>
            </w:r>
          </w:p>
        </w:tc>
        <w:tc>
          <w:tcPr>
            <w:tcW w:w="13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598" w:right="59" w:hanging="540"/>
              <w:jc w:val="left"/>
              <w:rPr>
                <w:rFonts w:ascii="宋体" w:hAnsi="宋体" w:cs="宋体" w:eastAsia="宋体" w:hint="default"/>
                <w:sz w:val="18"/>
                <w:szCs w:val="18"/>
              </w:rPr>
            </w:pPr>
            <w:r>
              <w:rPr>
                <w:rFonts w:ascii="宋体" w:hAnsi="宋体" w:cs="宋体" w:eastAsia="宋体" w:hint="default"/>
                <w:sz w:val="18"/>
                <w:szCs w:val="18"/>
              </w:rPr>
              <w:t>减值准备期末余 额</w:t>
            </w:r>
          </w:p>
        </w:tc>
      </w:tr>
      <w:tr>
        <w:trPr>
          <w:trHeight w:val="675" w:hRule="exact"/>
        </w:trPr>
        <w:tc>
          <w:tcPr>
            <w:tcW w:w="14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9" w:lineRule="auto" w:before="10"/>
              <w:ind w:left="22" w:right="141"/>
              <w:jc w:val="left"/>
              <w:rPr>
                <w:rFonts w:ascii="宋体" w:hAnsi="宋体" w:cs="宋体" w:eastAsia="宋体" w:hint="default"/>
                <w:sz w:val="18"/>
                <w:szCs w:val="18"/>
              </w:rPr>
            </w:pPr>
            <w:r>
              <w:rPr>
                <w:rFonts w:ascii="宋体" w:hAnsi="宋体" w:cs="宋体" w:eastAsia="宋体" w:hint="default"/>
                <w:sz w:val="18"/>
                <w:szCs w:val="18"/>
              </w:rPr>
              <w:t>关系顾问有限公 司</w:t>
            </w:r>
          </w:p>
        </w:tc>
        <w:tc>
          <w:tcPr>
            <w:tcW w:w="1348" w:type="dxa"/>
            <w:tcBorders>
              <w:top w:val="single" w:sz="4" w:space="0" w:color="000000"/>
              <w:left w:val="single" w:sz="10" w:space="0" w:color="D0CECE"/>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34" w:type="dxa"/>
            <w:tcBorders>
              <w:top w:val="single" w:sz="4" w:space="0" w:color="000000"/>
              <w:left w:val="single" w:sz="4" w:space="0" w:color="000000"/>
              <w:bottom w:val="single" w:sz="4" w:space="0" w:color="000000"/>
              <w:right w:val="single" w:sz="4" w:space="0" w:color="000000"/>
            </w:tcBorders>
          </w:tcPr>
          <w:p>
            <w:pPr/>
          </w:p>
        </w:tc>
        <w:tc>
          <w:tcPr>
            <w:tcW w:w="1336" w:type="dxa"/>
            <w:tcBorders>
              <w:top w:val="single" w:sz="4" w:space="0" w:color="000000"/>
              <w:left w:val="single" w:sz="4" w:space="0" w:color="000000"/>
              <w:bottom w:val="single" w:sz="4" w:space="0" w:color="000000"/>
              <w:right w:val="single" w:sz="4" w:space="0" w:color="000000"/>
            </w:tcBorders>
          </w:tcPr>
          <w:p>
            <w:pPr/>
          </w:p>
        </w:tc>
        <w:tc>
          <w:tcPr>
            <w:tcW w:w="1389" w:type="dxa"/>
            <w:tcBorders>
              <w:top w:val="single" w:sz="4" w:space="0" w:color="000000"/>
              <w:left w:val="single" w:sz="4" w:space="0" w:color="000000"/>
              <w:bottom w:val="single" w:sz="4" w:space="0" w:color="000000"/>
              <w:right w:val="single" w:sz="4" w:space="0" w:color="000000"/>
            </w:tcBorders>
          </w:tcPr>
          <w:p>
            <w:pPr/>
          </w:p>
        </w:tc>
        <w:tc>
          <w:tcPr>
            <w:tcW w:w="139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北京宣亚国际数 字技术有限公司</w:t>
            </w:r>
          </w:p>
        </w:tc>
        <w:tc>
          <w:tcPr>
            <w:tcW w:w="1348" w:type="dxa"/>
            <w:tcBorders>
              <w:top w:val="single" w:sz="4" w:space="0" w:color="000000"/>
              <w:left w:val="single" w:sz="10" w:space="0" w:color="D0CECE"/>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14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1"/>
              <w:ind w:left="22" w:right="10"/>
              <w:jc w:val="left"/>
              <w:rPr>
                <w:rFonts w:ascii="宋体" w:hAnsi="宋体" w:cs="宋体" w:eastAsia="宋体" w:hint="default"/>
                <w:sz w:val="18"/>
                <w:szCs w:val="18"/>
              </w:rPr>
            </w:pPr>
            <w:r>
              <w:rPr>
                <w:rFonts w:ascii="宋体" w:hAnsi="宋体" w:cs="宋体" w:eastAsia="宋体" w:hint="default"/>
                <w:sz w:val="18"/>
                <w:szCs w:val="18"/>
              </w:rPr>
              <w:t>宣亚国际品牌管 </w:t>
            </w:r>
            <w:r>
              <w:rPr>
                <w:rFonts w:ascii="宋体" w:hAnsi="宋体" w:cs="宋体" w:eastAsia="宋体" w:hint="default"/>
                <w:spacing w:val="-7"/>
                <w:sz w:val="18"/>
                <w:szCs w:val="18"/>
              </w:rPr>
              <w:t>理（湖南）有限公</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司</w:t>
            </w:r>
          </w:p>
        </w:tc>
        <w:tc>
          <w:tcPr>
            <w:tcW w:w="1348" w:type="dxa"/>
            <w:tcBorders>
              <w:top w:val="single" w:sz="4" w:space="0" w:color="000000"/>
              <w:left w:val="single" w:sz="10" w:space="0" w:color="D0CECE"/>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广州宣亚品牌管 理有限公司</w:t>
            </w:r>
          </w:p>
        </w:tc>
        <w:tc>
          <w:tcPr>
            <w:tcW w:w="1348" w:type="dxa"/>
            <w:tcBorders>
              <w:top w:val="single" w:sz="4" w:space="0" w:color="000000"/>
              <w:left w:val="single" w:sz="10" w:space="0" w:color="D0CECE"/>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珠海宣亚互动数 字营销有限公司</w:t>
            </w:r>
          </w:p>
        </w:tc>
        <w:tc>
          <w:tcPr>
            <w:tcW w:w="1348" w:type="dxa"/>
            <w:tcBorders>
              <w:top w:val="single" w:sz="4" w:space="0" w:color="000000"/>
              <w:left w:val="single" w:sz="10" w:space="0" w:color="D0CECE"/>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510,000.00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北京金色区块网 络科技有限公司</w:t>
            </w:r>
          </w:p>
        </w:tc>
        <w:tc>
          <w:tcPr>
            <w:tcW w:w="1348" w:type="dxa"/>
            <w:tcBorders>
              <w:top w:val="single" w:sz="4" w:space="0" w:color="000000"/>
              <w:left w:val="single" w:sz="10" w:space="0" w:color="D0CECE"/>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7,140,000.00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7,140,000.00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Shunya</w:t>
            </w:r>
            <w:r>
              <w:rPr>
                <w:rFonts w:ascii="Times New Roman"/>
                <w:spacing w:val="-2"/>
                <w:sz w:val="18"/>
              </w:rPr>
              <w:t> </w:t>
            </w:r>
            <w:r>
              <w:rPr>
                <w:rFonts w:ascii="Times New Roman"/>
                <w:sz w:val="18"/>
              </w:rPr>
              <w:t>Intl.Inc.</w:t>
            </w:r>
          </w:p>
        </w:tc>
        <w:tc>
          <w:tcPr>
            <w:tcW w:w="1348" w:type="dxa"/>
            <w:tcBorders>
              <w:top w:val="single" w:sz="4" w:space="0" w:color="000000"/>
              <w:left w:val="single" w:sz="10" w:space="0" w:color="D0CECE"/>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6,476,900.00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39,051,270.00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45,528,170.00</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r>
        <w:trPr>
          <w:trHeight w:val="714" w:hRule="exact"/>
        </w:trPr>
        <w:tc>
          <w:tcPr>
            <w:tcW w:w="1436"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1"/>
              <w:ind w:left="22" w:right="141"/>
              <w:jc w:val="left"/>
              <w:rPr>
                <w:rFonts w:ascii="宋体" w:hAnsi="宋体" w:cs="宋体" w:eastAsia="宋体" w:hint="default"/>
                <w:sz w:val="18"/>
                <w:szCs w:val="18"/>
              </w:rPr>
            </w:pPr>
            <w:r>
              <w:rPr>
                <w:rFonts w:ascii="宋体" w:hAnsi="宋体" w:cs="宋体" w:eastAsia="宋体" w:hint="default"/>
                <w:sz w:val="18"/>
                <w:szCs w:val="18"/>
              </w:rPr>
              <w:t>北京新兵连文化 传媒有限公司</w:t>
            </w:r>
          </w:p>
        </w:tc>
        <w:tc>
          <w:tcPr>
            <w:tcW w:w="1348" w:type="dxa"/>
            <w:tcBorders>
              <w:top w:val="single" w:sz="4" w:space="0" w:color="000000"/>
              <w:left w:val="single" w:sz="10" w:space="0" w:color="D0CECE"/>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4,865,227.66</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4,865,227.66</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1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155,026,851.85</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46,291,270.00</w:t>
            </w:r>
          </w:p>
        </w:tc>
        <w:tc>
          <w:tcPr>
            <w:tcW w:w="13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201,318,121.85</w:t>
            </w:r>
          </w:p>
        </w:tc>
        <w:tc>
          <w:tcPr>
            <w:tcW w:w="1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0.00</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r>
    </w:tbl>
    <w:p>
      <w:pPr>
        <w:spacing w:line="240" w:lineRule="auto" w:before="3"/>
        <w:rPr>
          <w:rFonts w:ascii="宋体" w:hAnsi="宋体" w:cs="宋体" w:eastAsia="宋体" w:hint="default"/>
          <w:sz w:val="19"/>
          <w:szCs w:val="19"/>
        </w:rPr>
      </w:pPr>
    </w:p>
    <w:p>
      <w:pPr>
        <w:pStyle w:val="Heading4"/>
        <w:spacing w:line="240" w:lineRule="auto" w:before="35"/>
        <w:ind w:left="754" w:right="0"/>
        <w:jc w:val="left"/>
        <w:rPr>
          <w:b w:val="0"/>
          <w:bCs w:val="0"/>
        </w:rPr>
      </w:pPr>
      <w:bookmarkStart w:name="（2）对联营、合营企业投资" w:id="467"/>
      <w:bookmarkEnd w:id="467"/>
      <w:r>
        <w:rPr>
          <w:b w:val="0"/>
          <w:bCs w:val="0"/>
        </w:rPr>
      </w:r>
      <w:r>
        <w:rPr/>
        <w:t>（</w:t>
      </w:r>
      <w:r>
        <w:rPr>
          <w:rFonts w:ascii="Times New Roman" w:hAnsi="Times New Roman" w:cs="Times New Roman" w:eastAsia="Times New Roman"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988"/>
        <w:gridCol w:w="1140"/>
        <w:gridCol w:w="1134"/>
        <w:gridCol w:w="568"/>
        <w:gridCol w:w="1151"/>
        <w:gridCol w:w="691"/>
        <w:gridCol w:w="905"/>
        <w:gridCol w:w="798"/>
        <w:gridCol w:w="798"/>
        <w:gridCol w:w="798"/>
        <w:gridCol w:w="1096"/>
        <w:gridCol w:w="851"/>
      </w:tblGrid>
      <w:tr>
        <w:trPr>
          <w:trHeight w:val="402" w:hRule="exact"/>
        </w:trPr>
        <w:tc>
          <w:tcPr>
            <w:tcW w:w="98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31"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114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684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0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60" w:right="59"/>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988" w:type="dxa"/>
            <w:vMerge/>
            <w:tcBorders>
              <w:left w:val="single" w:sz="4" w:space="0" w:color="000000"/>
              <w:bottom w:val="single" w:sz="4" w:space="0" w:color="000000"/>
              <w:right w:val="single" w:sz="4" w:space="0" w:color="000000"/>
            </w:tcBorders>
            <w:shd w:val="clear" w:color="auto" w:fill="D2D2D2"/>
          </w:tcPr>
          <w:p>
            <w:pPr/>
          </w:p>
        </w:tc>
        <w:tc>
          <w:tcPr>
            <w:tcW w:w="1140" w:type="dxa"/>
            <w:vMerge/>
            <w:tcBorders>
              <w:left w:val="single" w:sz="4" w:space="0" w:color="000000"/>
              <w:bottom w:val="single" w:sz="4" w:space="0" w:color="000000"/>
              <w:right w:val="single" w:sz="4" w:space="0" w:color="000000"/>
            </w:tcBorders>
            <w:shd w:val="clear" w:color="auto" w:fill="D2D2D2"/>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01"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8" w:right="97"/>
              <w:jc w:val="left"/>
              <w:rPr>
                <w:rFonts w:ascii="宋体" w:hAnsi="宋体" w:cs="宋体" w:eastAsia="宋体" w:hint="default"/>
                <w:sz w:val="18"/>
                <w:szCs w:val="18"/>
              </w:rPr>
            </w:pPr>
            <w:r>
              <w:rPr>
                <w:rFonts w:ascii="宋体" w:hAnsi="宋体" w:cs="宋体" w:eastAsia="宋体" w:hint="default"/>
                <w:sz w:val="18"/>
                <w:szCs w:val="18"/>
              </w:rPr>
              <w:t>减少 投资</w:t>
            </w:r>
          </w:p>
        </w:tc>
        <w:tc>
          <w:tcPr>
            <w:tcW w:w="11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19" w:right="29" w:hanging="90"/>
              <w:jc w:val="left"/>
              <w:rPr>
                <w:rFonts w:ascii="宋体" w:hAnsi="宋体" w:cs="宋体" w:eastAsia="宋体" w:hint="default"/>
                <w:sz w:val="18"/>
                <w:szCs w:val="18"/>
              </w:rPr>
            </w:pPr>
            <w:r>
              <w:rPr>
                <w:rFonts w:ascii="宋体" w:hAnsi="宋体" w:cs="宋体" w:eastAsia="宋体" w:hint="default"/>
                <w:sz w:val="18"/>
                <w:szCs w:val="18"/>
              </w:rPr>
              <w:t>权益法下确认 的投资损益</w:t>
            </w:r>
          </w:p>
        </w:tc>
        <w:tc>
          <w:tcPr>
            <w:tcW w:w="6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70" w:right="68"/>
              <w:jc w:val="both"/>
              <w:rPr>
                <w:rFonts w:ascii="宋体" w:hAnsi="宋体" w:cs="宋体" w:eastAsia="宋体" w:hint="default"/>
                <w:sz w:val="18"/>
                <w:szCs w:val="18"/>
              </w:rPr>
            </w:pPr>
            <w:r>
              <w:rPr>
                <w:rFonts w:ascii="宋体" w:hAnsi="宋体" w:cs="宋体" w:eastAsia="宋体" w:hint="default"/>
                <w:sz w:val="18"/>
                <w:szCs w:val="18"/>
              </w:rPr>
              <w:t>其他综 合收益 调整</w:t>
            </w:r>
          </w:p>
        </w:tc>
        <w:tc>
          <w:tcPr>
            <w:tcW w:w="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67" w:right="85"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2"/>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13" w:right="33"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096" w:type="dxa"/>
            <w:vMerge/>
            <w:tcBorders>
              <w:left w:val="single" w:sz="4" w:space="0" w:color="000000"/>
              <w:bottom w:val="single" w:sz="4" w:space="0" w:color="000000"/>
              <w:right w:val="single" w:sz="4" w:space="0" w:color="000000"/>
            </w:tcBorders>
            <w:shd w:val="clear" w:color="auto" w:fill="D2D2D2"/>
          </w:tcPr>
          <w:p>
            <w:pPr/>
          </w:p>
        </w:tc>
        <w:tc>
          <w:tcPr>
            <w:tcW w:w="85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091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10918" w:type="dxa"/>
            <w:gridSpan w:val="1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9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2"/>
              <w:ind w:left="23" w:right="52"/>
              <w:jc w:val="both"/>
              <w:rPr>
                <w:rFonts w:ascii="宋体" w:hAnsi="宋体" w:cs="宋体" w:eastAsia="宋体" w:hint="default"/>
                <w:sz w:val="18"/>
                <w:szCs w:val="18"/>
              </w:rPr>
            </w:pPr>
            <w:r>
              <w:rPr>
                <w:rFonts w:ascii="宋体" w:hAnsi="宋体" w:cs="宋体" w:eastAsia="宋体" w:hint="default"/>
                <w:sz w:val="18"/>
                <w:szCs w:val="18"/>
              </w:rPr>
              <w:t>链极智能科 技（上海） 有限公司</w:t>
            </w:r>
          </w:p>
        </w:tc>
        <w:tc>
          <w:tcPr>
            <w:tcW w:w="1140"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-1,794,847.40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28,205,152.60</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1026" w:hRule="exact"/>
        </w:trPr>
        <w:tc>
          <w:tcPr>
            <w:tcW w:w="988" w:type="dxa"/>
            <w:tcBorders>
              <w:top w:val="single" w:sz="4" w:space="0" w:color="000000"/>
              <w:left w:val="single" w:sz="4" w:space="0" w:color="000000"/>
              <w:bottom w:val="single" w:sz="4" w:space="0" w:color="000000"/>
              <w:right w:val="single" w:sz="4" w:space="0" w:color="000000"/>
            </w:tcBorders>
            <w:shd w:val="clear" w:color="auto" w:fill="D0CECE"/>
          </w:tcPr>
          <w:p>
            <w:pPr>
              <w:pStyle w:val="TableParagraph"/>
              <w:spacing w:line="316" w:lineRule="auto" w:before="52"/>
              <w:ind w:left="23" w:right="52"/>
              <w:jc w:val="both"/>
              <w:rPr>
                <w:rFonts w:ascii="宋体" w:hAnsi="宋体" w:cs="宋体" w:eastAsia="宋体" w:hint="default"/>
                <w:sz w:val="18"/>
                <w:szCs w:val="18"/>
              </w:rPr>
            </w:pPr>
            <w:r>
              <w:rPr>
                <w:rFonts w:ascii="宋体" w:hAnsi="宋体" w:cs="宋体" w:eastAsia="宋体" w:hint="default"/>
                <w:sz w:val="18"/>
                <w:szCs w:val="18"/>
              </w:rPr>
              <w:t>北京威维体 育文化有限 公司</w:t>
            </w:r>
          </w:p>
        </w:tc>
        <w:tc>
          <w:tcPr>
            <w:tcW w:w="1140" w:type="dxa"/>
            <w:tcBorders>
              <w:top w:val="single" w:sz="4" w:space="0" w:color="000000"/>
              <w:left w:val="single" w:sz="13" w:space="0" w:color="D0CECE"/>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7,483,551.02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901,393.20</w:t>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8,384,944.22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0.00</w:t>
            </w:r>
          </w:p>
        </w:tc>
      </w:tr>
      <w:tr>
        <w:trPr>
          <w:trHeight w:val="402" w:hRule="exact"/>
        </w:trPr>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23"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1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7,483,551.02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-893,454.20</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36,590,096.82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4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7,483,551.02</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5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1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w w:val="95"/>
                <w:sz w:val="18"/>
              </w:rPr>
              <w:t>-893,454.20</w:t>
            </w:r>
            <w:r>
              <w:rPr>
                <w:rFonts w:ascii="Times New Roman"/>
                <w:sz w:val="18"/>
              </w:rPr>
            </w:r>
          </w:p>
        </w:tc>
        <w:tc>
          <w:tcPr>
            <w:tcW w:w="6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9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0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36,590,096.82</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0" w:footer="979" w:top="1060" w:bottom="1160" w:left="380" w:right="0"/>
        </w:sectPr>
      </w:pPr>
    </w:p>
    <w:p>
      <w:pPr>
        <w:spacing w:line="240" w:lineRule="auto" w:before="10"/>
        <w:rPr>
          <w:rFonts w:ascii="宋体" w:hAnsi="宋体" w:cs="宋体" w:eastAsia="宋体" w:hint="default"/>
          <w:sz w:val="24"/>
          <w:szCs w:val="24"/>
        </w:rPr>
      </w:pPr>
    </w:p>
    <w:p>
      <w:pPr>
        <w:pStyle w:val="Heading4"/>
        <w:spacing w:line="240" w:lineRule="auto" w:before="35"/>
        <w:ind w:right="0"/>
        <w:jc w:val="left"/>
        <w:rPr>
          <w:b w:val="0"/>
          <w:bCs w:val="0"/>
        </w:rPr>
      </w:pPr>
      <w:bookmarkStart w:name="（3）其他说明" w:id="468"/>
      <w:bookmarkEnd w:id="468"/>
      <w:r>
        <w:rPr>
          <w:b w:val="0"/>
          <w:bCs w:val="0"/>
        </w:rPr>
      </w:r>
      <w:r>
        <w:rPr/>
        <w:t>（</w:t>
      </w:r>
      <w:r>
        <w:rPr>
          <w:rFonts w:ascii="Times New Roman" w:hAnsi="Times New Roman" w:cs="Times New Roman" w:eastAsia="Times New Roman" w:hint="default"/>
        </w:rPr>
        <w:t>3</w:t>
      </w:r>
      <w:r>
        <w:rPr/>
        <w:t>）其他说明</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营业收入和营业成本" w:id="469"/>
      <w:bookmarkEnd w:id="469"/>
      <w:r>
        <w:rPr>
          <w:b w:val="0"/>
          <w:bCs w:val="0"/>
        </w:rPr>
      </w:r>
      <w:r>
        <w:rPr>
          <w:rFonts w:ascii="Times New Roman" w:hAnsi="Times New Roman" w:cs="Times New Roman" w:eastAsia="Times New Roman"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3"/>
        <w:gridCol w:w="1838"/>
        <w:gridCol w:w="1913"/>
        <w:gridCol w:w="1913"/>
        <w:gridCol w:w="1913"/>
      </w:tblGrid>
      <w:tr>
        <w:trPr>
          <w:trHeight w:val="206" w:hRule="exact"/>
        </w:trPr>
        <w:tc>
          <w:tcPr>
            <w:tcW w:w="198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2D2D2"/>
          </w:tcPr>
          <w:p>
            <w:pP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196" w:hRule="exact"/>
        </w:trPr>
        <w:tc>
          <w:tcPr>
            <w:tcW w:w="1983" w:type="dxa"/>
            <w:vMerge/>
            <w:tcBorders>
              <w:left w:val="single" w:sz="4" w:space="0" w:color="000000"/>
              <w:bottom w:val="nil" w:sz="6" w:space="0" w:color="auto"/>
              <w:right w:val="single" w:sz="4" w:space="0" w:color="000000"/>
            </w:tcBorders>
            <w:shd w:val="clear" w:color="auto" w:fill="D2D2D2"/>
          </w:tcPr>
          <w:p>
            <w:pPr/>
          </w:p>
        </w:tc>
        <w:tc>
          <w:tcPr>
            <w:tcW w:w="183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3" w:type="dxa"/>
            <w:tcBorders>
              <w:top w:val="nil" w:sz="6" w:space="0" w:color="auto"/>
              <w:left w:val="single" w:sz="4" w:space="0" w:color="000000"/>
              <w:bottom w:val="single" w:sz="4" w:space="0" w:color="000000"/>
              <w:right w:val="single" w:sz="4" w:space="0" w:color="000000"/>
            </w:tcBorders>
            <w:shd w:val="clear" w:color="auto" w:fill="D2D2D2"/>
          </w:tcPr>
          <w:p>
            <w:pPr/>
          </w:p>
        </w:tc>
        <w:tc>
          <w:tcPr>
            <w:tcW w:w="1838"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308,198,944.72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194,692,442.54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431,227,325.22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260,060,738.03</w:t>
            </w:r>
          </w:p>
        </w:tc>
      </w:tr>
      <w:tr>
        <w:trPr>
          <w:trHeight w:val="402"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其他业务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0.00</w:t>
            </w:r>
          </w:p>
        </w:tc>
      </w:tr>
      <w:tr>
        <w:trPr>
          <w:trHeight w:val="403" w:hRule="exact"/>
        </w:trPr>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308,198,944.72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194,692,442.54</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431,227,325.22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260,060,738.03</w:t>
            </w:r>
          </w:p>
        </w:tc>
      </w:tr>
    </w:tbl>
    <w:p>
      <w:pPr>
        <w:spacing w:line="240" w:lineRule="auto" w:before="2"/>
        <w:rPr>
          <w:rFonts w:ascii="宋体" w:hAnsi="宋体" w:cs="宋体" w:eastAsia="宋体" w:hint="default"/>
          <w:sz w:val="19"/>
          <w:szCs w:val="19"/>
        </w:rPr>
      </w:pPr>
    </w:p>
    <w:p>
      <w:pPr>
        <w:pStyle w:val="Heading4"/>
        <w:spacing w:line="240" w:lineRule="auto" w:before="35"/>
        <w:ind w:right="0"/>
        <w:jc w:val="left"/>
        <w:rPr>
          <w:b w:val="0"/>
          <w:bCs w:val="0"/>
        </w:rPr>
      </w:pPr>
      <w:bookmarkStart w:name="5、投资收益" w:id="470"/>
      <w:bookmarkEnd w:id="470"/>
      <w:r>
        <w:rPr>
          <w:b w:val="0"/>
          <w:bCs w:val="0"/>
        </w:rPr>
      </w:r>
      <w:r>
        <w:rPr>
          <w:rFonts w:ascii="Times New Roman" w:hAnsi="Times New Roman" w:cs="Times New Roman" w:eastAsia="Times New Roman" w:hint="default"/>
        </w:rPr>
        <w:t>5</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2"/>
        <w:gridCol w:w="3071"/>
        <w:gridCol w:w="3186"/>
      </w:tblGrid>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9,169,732.22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z w:val="18"/>
              </w:rPr>
              <w:t>218,066.24</w:t>
            </w:r>
          </w:p>
        </w:tc>
      </w:tr>
      <w:tr>
        <w:trPr>
          <w:trHeight w:val="402"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w w:val="95"/>
                <w:sz w:val="18"/>
              </w:rPr>
              <w:t>-893,454.20</w:t>
            </w:r>
            <w:r>
              <w:rPr>
                <w:rFonts w:ascii="Times New Roman"/>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2,262,959.47</w:t>
            </w:r>
          </w:p>
        </w:tc>
      </w:tr>
      <w:tr>
        <w:trPr>
          <w:trHeight w:val="403" w:hRule="exact"/>
        </w:trPr>
        <w:tc>
          <w:tcPr>
            <w:tcW w:w="33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8,276,278.02</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2,481,025.71</w:t>
            </w:r>
          </w:p>
        </w:tc>
      </w:tr>
    </w:tbl>
    <w:p>
      <w:pPr>
        <w:spacing w:line="240" w:lineRule="auto" w:before="3"/>
        <w:rPr>
          <w:rFonts w:ascii="宋体" w:hAnsi="宋体" w:cs="宋体" w:eastAsia="宋体" w:hint="default"/>
          <w:sz w:val="19"/>
          <w:szCs w:val="19"/>
        </w:rPr>
      </w:pPr>
    </w:p>
    <w:p>
      <w:pPr>
        <w:pStyle w:val="Heading4"/>
        <w:spacing w:line="240" w:lineRule="auto" w:before="35"/>
        <w:ind w:right="0"/>
        <w:jc w:val="left"/>
        <w:rPr>
          <w:b w:val="0"/>
          <w:bCs w:val="0"/>
        </w:rPr>
      </w:pPr>
      <w:bookmarkStart w:name="6、其他" w:id="471"/>
      <w:bookmarkEnd w:id="471"/>
      <w:r>
        <w:rPr>
          <w:b w:val="0"/>
          <w:bCs w:val="0"/>
        </w:rPr>
      </w:r>
      <w:r>
        <w:rPr>
          <w:rFonts w:ascii="Times New Roman" w:hAnsi="Times New Roman" w:cs="Times New Roman" w:eastAsia="Times New Roman" w:hint="default"/>
        </w:rPr>
        <w:t>6</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无</w:t>
      </w:r>
    </w:p>
    <w:p>
      <w:pPr>
        <w:spacing w:line="240" w:lineRule="auto" w:before="2"/>
        <w:rPr>
          <w:rFonts w:ascii="宋体" w:hAnsi="宋体" w:cs="宋体" w:eastAsia="宋体" w:hint="default"/>
          <w:sz w:val="25"/>
          <w:szCs w:val="25"/>
        </w:rPr>
      </w:pPr>
    </w:p>
    <w:p>
      <w:pPr>
        <w:pStyle w:val="Heading2"/>
        <w:spacing w:line="240" w:lineRule="auto"/>
        <w:ind w:right="0"/>
        <w:jc w:val="left"/>
        <w:rPr>
          <w:b w:val="0"/>
          <w:bCs w:val="0"/>
        </w:rPr>
      </w:pPr>
      <w:bookmarkStart w:name="十八、补充资料" w:id="472"/>
      <w:bookmarkEnd w:id="472"/>
      <w:r>
        <w:rPr>
          <w:b w:val="0"/>
          <w:bCs w:val="0"/>
        </w:rPr>
      </w:r>
      <w:r>
        <w:rPr/>
        <w:t>十八、补充资料</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当期非经常性损益明细表" w:id="473"/>
      <w:bookmarkEnd w:id="473"/>
      <w:r>
        <w:rPr>
          <w:b w:val="0"/>
          <w:bCs w:val="0"/>
        </w:rPr>
      </w:r>
      <w:r>
        <w:rPr>
          <w:rFonts w:ascii="Times New Roman" w:hAnsi="Times New Roman" w:cs="Times New Roman" w:eastAsia="Times New Roman"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pStyle w:val="BodyText"/>
        <w:spacing w:line="240" w:lineRule="auto" w:before="102"/>
        <w:ind w:left="0" w:right="1130"/>
        <w:jc w:val="right"/>
      </w:pPr>
      <w:r>
        <w:rPr/>
        <w:t>单位： 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4"/>
          <w:szCs w:val="14"/>
        </w:rPr>
      </w:pPr>
    </w:p>
    <w:p>
      <w:pPr>
        <w:pStyle w:val="BodyText"/>
        <w:spacing w:line="240" w:lineRule="auto" w:before="44"/>
        <w:ind w:left="0" w:right="1139"/>
        <w:jc w:val="right"/>
      </w:pPr>
      <w:r>
        <w:rPr/>
        <w:pict>
          <v:shape style="position:absolute;margin-left:57.029999pt;margin-top:-56.648319pt;width:478.65pt;height:189.65pt;mso-position-horizontal-relative:page;mso-position-vertical-relative:paragraph;z-index:20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541"/>
                    <w:gridCol w:w="1701"/>
                    <w:gridCol w:w="5316"/>
                  </w:tblGrid>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7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5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17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left="935" w:right="0"/>
                          <w:jc w:val="left"/>
                          <w:rPr>
                            <w:rFonts w:ascii="Times New Roman" w:hAnsi="Times New Roman" w:cs="Times New Roman" w:eastAsia="Times New Roman" w:hint="default"/>
                            <w:sz w:val="18"/>
                            <w:szCs w:val="18"/>
                          </w:rPr>
                        </w:pPr>
                        <w:r>
                          <w:rPr>
                            <w:rFonts w:ascii="Times New Roman"/>
                            <w:sz w:val="18"/>
                          </w:rPr>
                          <w:t>78,260.19</w:t>
                        </w:r>
                      </w:p>
                    </w:tc>
                    <w:tc>
                      <w:tcPr>
                        <w:tcW w:w="5316" w:type="dxa"/>
                        <w:tcBorders>
                          <w:top w:val="single" w:sz="4" w:space="0" w:color="000000"/>
                          <w:left w:val="single" w:sz="4" w:space="0" w:color="000000"/>
                          <w:bottom w:val="single" w:sz="4" w:space="0" w:color="000000"/>
                          <w:right w:val="single" w:sz="4" w:space="0" w:color="000000"/>
                        </w:tcBorders>
                      </w:tcPr>
                      <w:p>
                        <w:pPr/>
                      </w:p>
                    </w:tc>
                  </w:tr>
                  <w:tr>
                    <w:trPr>
                      <w:trHeight w:val="826" w:hRule="exact"/>
                    </w:trPr>
                    <w:tc>
                      <w:tcPr>
                        <w:tcW w:w="2541" w:type="dxa"/>
                        <w:tcBorders>
                          <w:top w:val="single" w:sz="4" w:space="0" w:color="000000"/>
                          <w:left w:val="single" w:sz="4" w:space="0" w:color="000000"/>
                          <w:bottom w:val="nil" w:sz="6" w:space="0" w:color="auto"/>
                          <w:right w:val="single" w:sz="4" w:space="0" w:color="000000"/>
                        </w:tcBorders>
                        <w:shd w:val="clear" w:color="auto" w:fill="D2D2D2"/>
                      </w:tcPr>
                      <w:p>
                        <w:pPr/>
                      </w:p>
                    </w:tc>
                    <w:tc>
                      <w:tcPr>
                        <w:tcW w:w="1701" w:type="dxa"/>
                        <w:vMerge w:val="restart"/>
                        <w:tcBorders>
                          <w:top w:val="single" w:sz="4" w:space="0" w:color="000000"/>
                          <w:left w:val="single" w:sz="10"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716" w:right="0"/>
                          <w:jc w:val="left"/>
                          <w:rPr>
                            <w:rFonts w:ascii="Times New Roman" w:hAnsi="Times New Roman" w:cs="Times New Roman" w:eastAsia="Times New Roman" w:hint="default"/>
                            <w:sz w:val="18"/>
                            <w:szCs w:val="18"/>
                          </w:rPr>
                        </w:pPr>
                        <w:r>
                          <w:rPr>
                            <w:rFonts w:ascii="Times New Roman"/>
                            <w:sz w:val="18"/>
                          </w:rPr>
                          <w:t>5,408,383.44</w:t>
                        </w:r>
                      </w:p>
                    </w:tc>
                    <w:tc>
                      <w:tcPr>
                        <w:tcW w:w="5316" w:type="dxa"/>
                        <w:vMerge w:val="restart"/>
                        <w:tcBorders>
                          <w:top w:val="single" w:sz="4" w:space="0" w:color="000000"/>
                          <w:left w:val="single" w:sz="4" w:space="0" w:color="000000"/>
                          <w:right w:val="single" w:sz="4" w:space="0" w:color="000000"/>
                        </w:tcBorders>
                      </w:tcPr>
                      <w:p>
                        <w:pPr>
                          <w:pStyle w:val="TableParagraph"/>
                          <w:spacing w:line="319" w:lineRule="auto" w:before="52"/>
                          <w:ind w:left="22" w:right="61"/>
                          <w:jc w:val="left"/>
                          <w:rPr>
                            <w:rFonts w:ascii="Times New Roman" w:hAnsi="Times New Roman" w:cs="Times New Roman" w:eastAsia="Times New Roman" w:hint="default"/>
                            <w:sz w:val="18"/>
                            <w:szCs w:val="18"/>
                          </w:rPr>
                        </w:pPr>
                        <w:r>
                          <w:rPr>
                            <w:rFonts w:ascii="宋体" w:hAnsi="宋体" w:cs="宋体" w:eastAsia="宋体" w:hint="default"/>
                            <w:sz w:val="18"/>
                            <w:szCs w:val="18"/>
                          </w:rPr>
                          <w:t>推动企业上市资金：根据《北京市人民政府办公厅关于进一步推动 </w:t>
                        </w:r>
                        <w:r>
                          <w:rPr>
                            <w:rFonts w:ascii="宋体" w:hAnsi="宋体" w:cs="宋体" w:eastAsia="宋体" w:hint="default"/>
                            <w:spacing w:val="-5"/>
                            <w:sz w:val="18"/>
                            <w:szCs w:val="18"/>
                          </w:rPr>
                          <w:t>企业上市工作的意见》（京政办发〔</w:t>
                        </w:r>
                        <w:r>
                          <w:rPr>
                            <w:rFonts w:ascii="Times New Roman" w:hAnsi="Times New Roman" w:cs="Times New Roman" w:eastAsia="Times New Roman" w:hint="default"/>
                            <w:spacing w:val="-5"/>
                            <w:sz w:val="18"/>
                            <w:szCs w:val="18"/>
                          </w:rPr>
                          <w:t>2010</w:t>
                        </w:r>
                        <w:r>
                          <w:rPr>
                            <w:rFonts w:ascii="宋体" w:hAnsi="宋体" w:cs="宋体" w:eastAsia="宋体" w:hint="default"/>
                            <w:spacing w:val="-5"/>
                            <w:sz w:val="18"/>
                            <w:szCs w:val="18"/>
                          </w:rPr>
                          <w:t>〕</w:t>
                        </w:r>
                        <w:r>
                          <w:rPr>
                            <w:rFonts w:ascii="Times New Roman" w:hAnsi="Times New Roman" w:cs="Times New Roman" w:eastAsia="Times New Roman" w:hint="default"/>
                            <w:spacing w:val="-5"/>
                            <w:sz w:val="18"/>
                            <w:szCs w:val="18"/>
                          </w:rPr>
                          <w:t>35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号给予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万元奖励</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月收到该款项； 公共服务平台类支持：根据《朝阳区促进国家文化产业创新实验区 </w:t>
                        </w:r>
                        <w:r>
                          <w:rPr>
                            <w:rFonts w:ascii="宋体" w:hAnsi="宋体" w:cs="宋体" w:eastAsia="宋体" w:hint="default"/>
                            <w:spacing w:val="-5"/>
                            <w:sz w:val="18"/>
                            <w:szCs w:val="18"/>
                          </w:rPr>
                          <w:t>建设发展引导资金管理办法（试行）》给予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100 </w:t>
                        </w:r>
                        <w:r>
                          <w:rPr>
                            <w:rFonts w:ascii="宋体" w:hAnsi="宋体" w:cs="宋体" w:eastAsia="宋体" w:hint="default"/>
                            <w:sz w:val="18"/>
                            <w:szCs w:val="18"/>
                          </w:rPr>
                          <w:t>万元支持，于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2018</w:t>
                        </w:r>
                      </w:p>
                      <w:p>
                        <w:pPr>
                          <w:pStyle w:val="TableParagraph"/>
                          <w:spacing w:line="319" w:lineRule="auto"/>
                          <w:ind w:left="22"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月收到该款项； 货款贴息：根据《北京市实施文化创意产业</w:t>
                        </w:r>
                        <w:r>
                          <w:rPr>
                            <w:rFonts w:ascii="Times New Roman" w:hAnsi="Times New Roman" w:cs="Times New Roman" w:eastAsia="Times New Roman" w:hint="default"/>
                            <w:sz w:val="18"/>
                            <w:szCs w:val="18"/>
                          </w:rPr>
                          <w:t>“</w:t>
                        </w:r>
                        <w:r>
                          <w:rPr>
                            <w:rFonts w:ascii="宋体" w:hAnsi="宋体" w:cs="宋体" w:eastAsia="宋体" w:hint="default"/>
                            <w:sz w:val="18"/>
                            <w:szCs w:val="18"/>
                          </w:rPr>
                          <w:t>投贷奖</w:t>
                        </w:r>
                        <w:r>
                          <w:rPr>
                            <w:rFonts w:ascii="Times New Roman" w:hAnsi="Times New Roman" w:cs="Times New Roman" w:eastAsia="Times New Roman" w:hint="default"/>
                            <w:sz w:val="18"/>
                            <w:szCs w:val="18"/>
                          </w:rPr>
                          <w:t>”</w:t>
                        </w:r>
                        <w:r>
                          <w:rPr>
                            <w:rFonts w:ascii="宋体" w:hAnsi="宋体" w:cs="宋体" w:eastAsia="宋体" w:hint="default"/>
                            <w:sz w:val="18"/>
                            <w:szCs w:val="18"/>
                          </w:rPr>
                          <w:t>联动</w:t>
                        </w:r>
                        <w:r>
                          <w:rPr>
                            <w:rFonts w:ascii="宋体" w:hAnsi="宋体" w:cs="宋体" w:eastAsia="宋体" w:hint="default"/>
                            <w:spacing w:val="-27"/>
                            <w:sz w:val="18"/>
                            <w:szCs w:val="18"/>
                          </w:rPr>
                          <w:t> </w:t>
                        </w:r>
                        <w:r>
                          <w:rPr>
                            <w:rFonts w:ascii="宋体" w:hAnsi="宋体" w:cs="宋体" w:eastAsia="宋体" w:hint="default"/>
                            <w:sz w:val="18"/>
                            <w:szCs w:val="18"/>
                          </w:rPr>
                          <w:t>推动文化 </w:t>
                        </w:r>
                        <w:r>
                          <w:rPr>
                            <w:rFonts w:ascii="宋体" w:hAnsi="宋体" w:cs="宋体" w:eastAsia="宋体" w:hint="default"/>
                            <w:spacing w:val="-10"/>
                            <w:sz w:val="18"/>
                            <w:szCs w:val="18"/>
                          </w:rPr>
                          <w:t>金融融合发展管理办法（试行）》（京文领办文</w:t>
                        </w:r>
                        <w:r>
                          <w:rPr>
                            <w:rFonts w:ascii="Times New Roman" w:hAnsi="Times New Roman" w:cs="Times New Roman" w:eastAsia="Times New Roman" w:hint="default"/>
                            <w:spacing w:val="-10"/>
                            <w:sz w:val="18"/>
                            <w:szCs w:val="18"/>
                          </w:rPr>
                          <w:t>[2017]3</w:t>
                        </w:r>
                        <w:r>
                          <w:rPr>
                            <w:rFonts w:ascii="Times New Roman" w:hAnsi="Times New Roman" w:cs="Times New Roman" w:eastAsia="Times New Roman" w:hint="default"/>
                            <w:sz w:val="18"/>
                            <w:szCs w:val="18"/>
                          </w:rPr>
                          <w:t> </w:t>
                        </w:r>
                        <w:r>
                          <w:rPr>
                            <w:rFonts w:ascii="宋体" w:hAnsi="宋体" w:cs="宋体" w:eastAsia="宋体" w:hint="default"/>
                            <w:spacing w:val="-10"/>
                            <w:sz w:val="18"/>
                            <w:szCs w:val="18"/>
                          </w:rPr>
                          <w:t>号）给予</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21.17</w:t>
                        </w:r>
                      </w:p>
                      <w:p>
                        <w:pPr>
                          <w:pStyle w:val="TableParagraph"/>
                          <w:spacing w:line="247" w:lineRule="exact"/>
                          <w:ind w:left="22" w:right="0"/>
                          <w:jc w:val="left"/>
                          <w:rPr>
                            <w:rFonts w:ascii="宋体" w:hAnsi="宋体" w:cs="宋体" w:eastAsia="宋体" w:hint="default"/>
                            <w:sz w:val="18"/>
                            <w:szCs w:val="18"/>
                          </w:rPr>
                        </w:pPr>
                        <w:r>
                          <w:rPr>
                            <w:rFonts w:ascii="宋体" w:hAnsi="宋体" w:cs="宋体" w:eastAsia="宋体" w:hint="default"/>
                            <w:sz w:val="18"/>
                            <w:szCs w:val="18"/>
                          </w:rPr>
                          <w:t>万元支持，于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月收到该款项；</w:t>
                        </w:r>
                      </w:p>
                    </w:tc>
                  </w:tr>
                  <w:tr>
                    <w:trPr>
                      <w:trHeight w:val="1329" w:hRule="exact"/>
                    </w:trPr>
                    <w:tc>
                      <w:tcPr>
                        <w:tcW w:w="254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2"/>
                            <w:sz w:val="18"/>
                            <w:szCs w:val="18"/>
                          </w:rPr>
                          <w:t>计入当期损益的政府补助（与企</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业业务密切相关，按照国家统一</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标准定额或定量享受的政府补 助除外）</w:t>
                        </w:r>
                      </w:p>
                    </w:tc>
                    <w:tc>
                      <w:tcPr>
                        <w:tcW w:w="1701" w:type="dxa"/>
                        <w:vMerge/>
                        <w:tcBorders>
                          <w:left w:val="single" w:sz="10" w:space="0" w:color="D2D2D2"/>
                          <w:right w:val="single" w:sz="4" w:space="0" w:color="000000"/>
                        </w:tcBorders>
                      </w:tcPr>
                      <w:p>
                        <w:pPr/>
                      </w:p>
                    </w:tc>
                    <w:tc>
                      <w:tcPr>
                        <w:tcW w:w="5316" w:type="dxa"/>
                        <w:vMerge/>
                        <w:tcBorders>
                          <w:left w:val="single" w:sz="4" w:space="0" w:color="000000"/>
                          <w:right w:val="single" w:sz="4" w:space="0" w:color="000000"/>
                        </w:tcBorders>
                      </w:tcPr>
                      <w:p>
                        <w:pPr/>
                      </w:p>
                    </w:tc>
                  </w:tr>
                  <w:tr>
                    <w:trPr>
                      <w:trHeight w:val="824" w:hRule="exact"/>
                    </w:trPr>
                    <w:tc>
                      <w:tcPr>
                        <w:tcW w:w="2541" w:type="dxa"/>
                        <w:tcBorders>
                          <w:top w:val="nil" w:sz="6" w:space="0" w:color="auto"/>
                          <w:left w:val="single" w:sz="4" w:space="0" w:color="000000"/>
                          <w:bottom w:val="single" w:sz="4" w:space="0" w:color="000000"/>
                          <w:right w:val="single" w:sz="4" w:space="0" w:color="000000"/>
                        </w:tcBorders>
                        <w:shd w:val="clear" w:color="auto" w:fill="D2D2D2"/>
                      </w:tcPr>
                      <w:p>
                        <w:pPr/>
                      </w:p>
                    </w:tc>
                    <w:tc>
                      <w:tcPr>
                        <w:tcW w:w="1701" w:type="dxa"/>
                        <w:vMerge/>
                        <w:tcBorders>
                          <w:left w:val="single" w:sz="10" w:space="0" w:color="D2D2D2"/>
                          <w:bottom w:val="single" w:sz="4" w:space="0" w:color="000000"/>
                          <w:right w:val="single" w:sz="4" w:space="0" w:color="000000"/>
                        </w:tcBorders>
                      </w:tcPr>
                      <w:p>
                        <w:pPr/>
                      </w:p>
                    </w:tc>
                    <w:tc>
                      <w:tcPr>
                        <w:tcW w:w="5316" w:type="dxa"/>
                        <w:vMerge/>
                        <w:tcBorders>
                          <w:left w:val="single" w:sz="4" w:space="0" w:color="000000"/>
                          <w:bottom w:val="single" w:sz="4" w:space="0" w:color="000000"/>
                          <w:right w:val="single" w:sz="4" w:space="0" w:color="000000"/>
                        </w:tcBorders>
                      </w:tcPr>
                      <w:p>
                        <w:pPr/>
                      </w:p>
                    </w:tc>
                  </w:tr>
                </w:tbl>
                <w:p>
                  <w:pPr/>
                </w:p>
              </w:txbxContent>
            </v:textbox>
            <w10:wrap type="none"/>
          </v:shape>
        </w:pict>
      </w:r>
      <w:r>
        <w:rPr/>
        <w:t>，</w:t>
      </w:r>
    </w:p>
    <w:p>
      <w:pPr>
        <w:spacing w:after="0" w:line="240" w:lineRule="auto"/>
        <w:jc w:val="right"/>
        <w:sectPr>
          <w:pgSz w:w="11910" w:h="16840"/>
          <w:pgMar w:header="0" w:footer="979" w:top="1060" w:bottom="116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41"/>
        <w:gridCol w:w="1713"/>
        <w:gridCol w:w="5316"/>
      </w:tblGrid>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2274"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713" w:type="dxa"/>
            <w:tcBorders>
              <w:top w:val="single" w:sz="4" w:space="0" w:color="000000"/>
              <w:left w:val="single" w:sz="4" w:space="0" w:color="000000"/>
              <w:bottom w:val="single" w:sz="4" w:space="0" w:color="000000"/>
              <w:right w:val="single" w:sz="4" w:space="0" w:color="000000"/>
            </w:tcBorders>
          </w:tcPr>
          <w:p>
            <w:pPr/>
          </w:p>
        </w:tc>
        <w:tc>
          <w:tcPr>
            <w:tcW w:w="53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10"/>
              <w:ind w:left="22" w:right="63"/>
              <w:jc w:val="left"/>
              <w:rPr>
                <w:rFonts w:ascii="宋体" w:hAnsi="宋体" w:cs="宋体" w:eastAsia="宋体" w:hint="default"/>
                <w:sz w:val="18"/>
                <w:szCs w:val="18"/>
              </w:rPr>
            </w:pPr>
            <w:r>
              <w:rPr>
                <w:rFonts w:ascii="宋体" w:hAnsi="宋体" w:cs="宋体" w:eastAsia="宋体" w:hint="default"/>
                <w:sz w:val="18"/>
                <w:szCs w:val="18"/>
              </w:rPr>
              <w:t>信用体系类支持：根据《朝阳区促进国家文化产业创新实验区建设 </w:t>
            </w:r>
            <w:r>
              <w:rPr>
                <w:rFonts w:ascii="宋体" w:hAnsi="宋体" w:cs="宋体" w:eastAsia="宋体" w:hint="default"/>
                <w:spacing w:val="-6"/>
                <w:sz w:val="18"/>
                <w:szCs w:val="18"/>
              </w:rPr>
              <w:t>发展引导资金管理办法（试行）》给予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18.34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万元支持，于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319" w:lineRule="auto"/>
              <w:ind w:left="22" w:right="21"/>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10 </w:t>
            </w:r>
            <w:r>
              <w:rPr>
                <w:rFonts w:ascii="宋体" w:hAnsi="宋体" w:cs="宋体" w:eastAsia="宋体" w:hint="default"/>
                <w:sz w:val="18"/>
                <w:szCs w:val="18"/>
              </w:rPr>
              <w:t>月收到该款项</w:t>
            </w:r>
            <w:r>
              <w:rPr>
                <w:rFonts w:ascii="宋体" w:hAnsi="宋体" w:cs="宋体" w:eastAsia="宋体" w:hint="default"/>
                <w:spacing w:val="-1"/>
                <w:sz w:val="18"/>
                <w:szCs w:val="18"/>
              </w:rPr>
              <w:t> </w:t>
            </w:r>
            <w:r>
              <w:rPr>
                <w:rFonts w:ascii="宋体" w:hAnsi="宋体" w:cs="宋体" w:eastAsia="宋体" w:hint="default"/>
                <w:sz w:val="18"/>
                <w:szCs w:val="18"/>
              </w:rPr>
              <w:t>； 贷款贴息：根据《北京市实施文化创意产业</w:t>
            </w:r>
            <w:r>
              <w:rPr>
                <w:rFonts w:ascii="Times New Roman" w:hAnsi="Times New Roman" w:cs="Times New Roman" w:eastAsia="Times New Roman" w:hint="default"/>
                <w:sz w:val="18"/>
                <w:szCs w:val="18"/>
              </w:rPr>
              <w:t>“</w:t>
            </w:r>
            <w:r>
              <w:rPr>
                <w:rFonts w:ascii="宋体" w:hAnsi="宋体" w:cs="宋体" w:eastAsia="宋体" w:hint="default"/>
                <w:sz w:val="18"/>
                <w:szCs w:val="18"/>
              </w:rPr>
              <w:t>投贷奖</w:t>
            </w:r>
            <w:r>
              <w:rPr>
                <w:rFonts w:ascii="Times New Roman" w:hAnsi="Times New Roman" w:cs="Times New Roman" w:eastAsia="Times New Roman" w:hint="default"/>
                <w:sz w:val="18"/>
                <w:szCs w:val="18"/>
              </w:rPr>
              <w:t>”</w:t>
            </w:r>
            <w:r>
              <w:rPr>
                <w:rFonts w:ascii="宋体" w:hAnsi="宋体" w:cs="宋体" w:eastAsia="宋体" w:hint="default"/>
                <w:sz w:val="18"/>
                <w:szCs w:val="18"/>
              </w:rPr>
              <w:t>联动推动文化 </w:t>
            </w:r>
            <w:r>
              <w:rPr>
                <w:rFonts w:ascii="宋体" w:hAnsi="宋体" w:cs="宋体" w:eastAsia="宋体" w:hint="default"/>
                <w:spacing w:val="-13"/>
                <w:sz w:val="18"/>
                <w:szCs w:val="18"/>
              </w:rPr>
              <w:t>金融融合发展管理办法（试行）》（京文领办文</w:t>
            </w:r>
            <w:r>
              <w:rPr>
                <w:rFonts w:ascii="Times New Roman" w:hAnsi="Times New Roman" w:cs="Times New Roman" w:eastAsia="Times New Roman" w:hint="default"/>
                <w:spacing w:val="-13"/>
                <w:sz w:val="18"/>
                <w:szCs w:val="18"/>
              </w:rPr>
              <w:t>[2017]3</w:t>
            </w:r>
            <w:r>
              <w:rPr>
                <w:rFonts w:ascii="Times New Roman" w:hAnsi="Times New Roman" w:cs="Times New Roman" w:eastAsia="Times New Roman" w:hint="default"/>
                <w:sz w:val="18"/>
                <w:szCs w:val="18"/>
              </w:rPr>
              <w:t> </w:t>
            </w:r>
            <w:r>
              <w:rPr>
                <w:rFonts w:ascii="宋体" w:hAnsi="宋体" w:cs="宋体" w:eastAsia="宋体" w:hint="default"/>
                <w:spacing w:val="-23"/>
                <w:sz w:val="18"/>
                <w:szCs w:val="18"/>
              </w:rPr>
              <w:t>号）给予</w:t>
            </w:r>
            <w:r>
              <w:rPr>
                <w:rFonts w:ascii="宋体" w:hAnsi="宋体" w:cs="宋体" w:eastAsia="宋体" w:hint="default"/>
                <w:spacing w:val="-76"/>
                <w:sz w:val="18"/>
                <w:szCs w:val="18"/>
              </w:rPr>
              <w:t> </w:t>
            </w:r>
            <w:r>
              <w:rPr>
                <w:rFonts w:ascii="Times New Roman" w:hAnsi="Times New Roman" w:cs="Times New Roman" w:eastAsia="Times New Roman" w:hint="default"/>
                <w:sz w:val="18"/>
                <w:szCs w:val="18"/>
              </w:rPr>
              <w:t>20.6528</w:t>
            </w:r>
          </w:p>
          <w:p>
            <w:pPr>
              <w:pStyle w:val="TableParagraph"/>
              <w:spacing w:line="302" w:lineRule="auto"/>
              <w:ind w:left="22" w:right="23"/>
              <w:jc w:val="left"/>
              <w:rPr>
                <w:rFonts w:ascii="宋体" w:hAnsi="宋体" w:cs="宋体" w:eastAsia="宋体" w:hint="default"/>
                <w:sz w:val="18"/>
                <w:szCs w:val="18"/>
              </w:rPr>
            </w:pPr>
            <w:r>
              <w:rPr>
                <w:rFonts w:ascii="宋体" w:hAnsi="宋体" w:cs="宋体" w:eastAsia="宋体" w:hint="default"/>
                <w:sz w:val="18"/>
                <w:szCs w:val="18"/>
              </w:rPr>
              <w:t>万元支持，于</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2018</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月收到该款项</w:t>
            </w:r>
            <w:r>
              <w:rPr>
                <w:rFonts w:ascii="Times New Roman" w:hAnsi="Times New Roman" w:cs="Times New Roman" w:eastAsia="Times New Roman" w:hint="default"/>
                <w:sz w:val="18"/>
                <w:szCs w:val="18"/>
              </w:rPr>
              <w:t>;</w:t>
            </w:r>
            <w:r>
              <w:rPr>
                <w:rFonts w:ascii="宋体" w:hAnsi="宋体" w:cs="宋体" w:eastAsia="宋体" w:hint="default"/>
                <w:sz w:val="18"/>
                <w:szCs w:val="18"/>
              </w:rPr>
              <w:t>代扣代缴个税、所得税、残 保金手续费返还 。</w:t>
            </w:r>
          </w:p>
        </w:tc>
      </w:tr>
      <w:tr>
        <w:trPr>
          <w:trHeight w:val="714"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22" w:right="166"/>
              <w:jc w:val="left"/>
              <w:rPr>
                <w:rFonts w:ascii="宋体" w:hAnsi="宋体" w:cs="宋体" w:eastAsia="宋体" w:hint="default"/>
                <w:sz w:val="18"/>
                <w:szCs w:val="18"/>
              </w:rPr>
            </w:pPr>
            <w:r>
              <w:rPr>
                <w:rFonts w:ascii="宋体" w:hAnsi="宋体" w:cs="宋体" w:eastAsia="宋体" w:hint="default"/>
                <w:sz w:val="18"/>
                <w:szCs w:val="18"/>
              </w:rPr>
              <w:t>除上述各项之外的其他营业外 收入和支出</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w w:val="95"/>
                <w:sz w:val="18"/>
              </w:rPr>
              <w:t>-70,138.00</w:t>
            </w:r>
            <w:r>
              <w:rPr>
                <w:rFonts w:ascii="Times New Roman"/>
                <w:sz w:val="18"/>
              </w:rPr>
            </w:r>
          </w:p>
        </w:tc>
        <w:tc>
          <w:tcPr>
            <w:tcW w:w="5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1,353,729.96</w:t>
            </w:r>
          </w:p>
        </w:tc>
        <w:tc>
          <w:tcPr>
            <w:tcW w:w="5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171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3,581.32</w:t>
            </w:r>
          </w:p>
        </w:tc>
        <w:tc>
          <w:tcPr>
            <w:tcW w:w="531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3" w:type="dxa"/>
            <w:tcBorders>
              <w:top w:val="single" w:sz="4" w:space="0" w:color="000000"/>
              <w:left w:val="single" w:sz="13" w:space="0" w:color="D2D2D2"/>
              <w:bottom w:val="single" w:sz="4" w:space="0" w:color="000000"/>
              <w:right w:val="single" w:sz="9"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4,059,194.35</w:t>
            </w:r>
          </w:p>
        </w:tc>
        <w:tc>
          <w:tcPr>
            <w:tcW w:w="5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0"/>
        <w:jc w:val="left"/>
      </w:pPr>
      <w:r>
        <w:rPr>
          <w:spacing w:val="-3"/>
        </w:rPr>
        <w:t>对公司根据《公开发行证券的公司信息披露解释性公告第</w:t>
      </w:r>
      <w:r>
        <w:rPr>
          <w:spacing w:val="-39"/>
        </w:rPr>
        <w:t>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2" w:lineRule="auto" w:before="63"/>
        <w:ind w:right="1118"/>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6"/>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6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净资产收益率及每股收益" w:id="474"/>
      <w:bookmarkEnd w:id="474"/>
      <w:r>
        <w:rPr>
          <w:b w:val="0"/>
          <w:bCs w:val="0"/>
        </w:rPr>
      </w:r>
      <w:r>
        <w:rPr>
          <w:rFonts w:ascii="Times New Roman" w:hAnsi="Times New Roman" w:cs="Times New Roman" w:eastAsia="Times New Roman"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1"/>
        <w:gridCol w:w="3081"/>
        <w:gridCol w:w="1913"/>
        <w:gridCol w:w="1913"/>
      </w:tblGrid>
      <w:tr>
        <w:trPr>
          <w:trHeight w:val="207" w:hRule="exact"/>
        </w:trPr>
        <w:tc>
          <w:tcPr>
            <w:tcW w:w="2651" w:type="dxa"/>
            <w:tcBorders>
              <w:top w:val="single" w:sz="4" w:space="0" w:color="000000"/>
              <w:left w:val="single" w:sz="4" w:space="0" w:color="000000"/>
              <w:bottom w:val="nil" w:sz="6" w:space="0" w:color="auto"/>
              <w:right w:val="single" w:sz="4" w:space="0" w:color="000000"/>
            </w:tcBorders>
            <w:shd w:val="clear" w:color="auto" w:fill="D2D2D2"/>
          </w:tcPr>
          <w:p>
            <w:pPr/>
          </w:p>
        </w:tc>
        <w:tc>
          <w:tcPr>
            <w:tcW w:w="3081"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1" w:hRule="exact"/>
        </w:trPr>
        <w:tc>
          <w:tcPr>
            <w:tcW w:w="265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865"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651" w:type="dxa"/>
            <w:vMerge/>
            <w:tcBorders>
              <w:left w:val="single" w:sz="4" w:space="0" w:color="000000"/>
              <w:bottom w:val="nil" w:sz="6" w:space="0" w:color="auto"/>
              <w:right w:val="single" w:sz="4" w:space="0" w:color="000000"/>
            </w:tcBorders>
            <w:shd w:val="clear" w:color="auto" w:fill="D2D2D2"/>
          </w:tcPr>
          <w:p>
            <w:pPr/>
          </w:p>
        </w:tc>
        <w:tc>
          <w:tcPr>
            <w:tcW w:w="3081" w:type="dxa"/>
            <w:vMerge/>
            <w:tcBorders>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6"/>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r>
      <w:tr>
        <w:trPr>
          <w:trHeight w:val="205" w:hRule="exact"/>
        </w:trPr>
        <w:tc>
          <w:tcPr>
            <w:tcW w:w="2651" w:type="dxa"/>
            <w:tcBorders>
              <w:top w:val="nil" w:sz="6" w:space="0" w:color="auto"/>
              <w:left w:val="single" w:sz="4" w:space="0" w:color="000000"/>
              <w:bottom w:val="single" w:sz="4" w:space="0" w:color="000000"/>
              <w:right w:val="single" w:sz="4" w:space="0" w:color="000000"/>
            </w:tcBorders>
            <w:shd w:val="clear" w:color="auto" w:fill="D2D2D2"/>
          </w:tcPr>
          <w:p>
            <w:pPr/>
          </w:p>
        </w:tc>
        <w:tc>
          <w:tcPr>
            <w:tcW w:w="308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0.13</w:t>
            </w:r>
          </w:p>
        </w:tc>
      </w:tr>
      <w:tr>
        <w:trPr>
          <w:trHeight w:val="714" w:hRule="exact"/>
        </w:trPr>
        <w:tc>
          <w:tcPr>
            <w:tcW w:w="2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3.76%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w w:val="95"/>
                <w:sz w:val="18"/>
              </w:rPr>
              <w:t>0.11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w w:val="95"/>
                <w:sz w:val="18"/>
              </w:rPr>
              <w:t>0.11</w:t>
            </w:r>
          </w:p>
        </w:tc>
      </w:tr>
    </w:tbl>
    <w:p>
      <w:pPr>
        <w:spacing w:line="240" w:lineRule="auto" w:before="2"/>
        <w:rPr>
          <w:rFonts w:ascii="宋体" w:hAnsi="宋体" w:cs="宋体" w:eastAsia="宋体" w:hint="default"/>
          <w:b/>
          <w:bCs/>
          <w:sz w:val="19"/>
          <w:szCs w:val="19"/>
        </w:rPr>
      </w:pPr>
    </w:p>
    <w:p>
      <w:pPr>
        <w:pStyle w:val="Heading4"/>
        <w:spacing w:line="240" w:lineRule="auto" w:before="35"/>
        <w:ind w:right="0"/>
        <w:jc w:val="left"/>
        <w:rPr>
          <w:b w:val="0"/>
          <w:bCs w:val="0"/>
        </w:rPr>
      </w:pPr>
      <w:bookmarkStart w:name="3、境内外会计准则下会计数据差异" w:id="475"/>
      <w:bookmarkEnd w:id="475"/>
      <w:r>
        <w:rPr>
          <w:b w:val="0"/>
          <w:bCs w:val="0"/>
        </w:rPr>
      </w:r>
      <w:r>
        <w:rPr>
          <w:rFonts w:ascii="Times New Roman" w:hAnsi="Times New Roman" w:cs="Times New Roman" w:eastAsia="Times New Roman" w:hint="default"/>
        </w:rPr>
        <w:t>3</w:t>
      </w:r>
      <w:r>
        <w:rPr/>
        <w:t>、境内外会计准则下会计数据差异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1）同时按照国际会计准则与按中国会计准则披露的财务报告中净利润和净资产差异情况" w:id="476"/>
      <w:bookmarkEnd w:id="476"/>
      <w:r>
        <w:rPr>
          <w:b w:val="0"/>
          <w:bCs w:val="0"/>
        </w:rPr>
      </w:r>
      <w:r>
        <w:rPr/>
        <w:t>（</w:t>
      </w: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40" w:lineRule="auto"/>
        <w:ind w:right="0"/>
        <w:jc w:val="left"/>
        <w:rPr>
          <w:b w:val="0"/>
          <w:bCs w:val="0"/>
        </w:rPr>
      </w:pPr>
      <w:bookmarkStart w:name="（2）同时按照境外会计准则与按中国会计准则披露的财务报告中净利润和净资产差异情况" w:id="477"/>
      <w:bookmarkEnd w:id="477"/>
      <w:r>
        <w:rPr>
          <w:b w:val="0"/>
          <w:bCs w:val="0"/>
        </w:rPr>
      </w:r>
      <w:r>
        <w:rPr/>
        <w:t>（</w:t>
      </w: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9"/>
        <w:rPr>
          <w:rFonts w:ascii="宋体" w:hAnsi="宋体" w:cs="宋体" w:eastAsia="宋体" w:hint="default"/>
          <w:sz w:val="25"/>
          <w:szCs w:val="25"/>
        </w:rPr>
      </w:pPr>
    </w:p>
    <w:p>
      <w:pPr>
        <w:pStyle w:val="Heading4"/>
        <w:spacing w:line="259" w:lineRule="auto"/>
        <w:ind w:right="0"/>
        <w:jc w:val="left"/>
        <w:rPr>
          <w:b w:val="0"/>
          <w:bCs w:val="0"/>
        </w:rPr>
      </w:pPr>
      <w:bookmarkStart w:name="（3）境内外会计准则下会计数据差异原因说明，对已经境外审计机构审计的数据进行差异" w:id="478"/>
      <w:bookmarkEnd w:id="478"/>
      <w:r>
        <w:rPr>
          <w:b w:val="0"/>
          <w:bCs w:val="0"/>
        </w:rPr>
      </w:r>
      <w:r>
        <w:rPr/>
        <w:t>（</w:t>
      </w:r>
      <w:r>
        <w:rPr>
          <w:rFonts w:ascii="Times New Roman" w:hAnsi="Times New Roman" w:cs="Times New Roman" w:eastAsia="Times New Roman" w:hint="default"/>
        </w:rPr>
        <w:t>3</w:t>
      </w:r>
      <w:r>
        <w:rPr/>
        <w:t>）境内外会计准则下会计数据差异原因说明，对已经境外审计机构审计的数据进行差异调节的，应注</w:t>
      </w:r>
      <w:r>
        <w:rPr>
          <w:spacing w:val="-74"/>
        </w:rPr>
        <w:t> </w:t>
      </w:r>
      <w:r>
        <w:rPr>
          <w:spacing w:val="-74"/>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0"/>
        <w:jc w:val="left"/>
        <w:rPr>
          <w:b w:val="0"/>
          <w:bCs w:val="0"/>
        </w:rPr>
      </w:pPr>
      <w:bookmarkStart w:name="4、其他" w:id="479"/>
      <w:bookmarkEnd w:id="479"/>
      <w:r>
        <w:rPr>
          <w:b w:val="0"/>
          <w:bCs w:val="0"/>
        </w:rPr>
      </w:r>
      <w:r>
        <w:rPr>
          <w:rFonts w:ascii="Times New Roman" w:hAnsi="Times New Roman" w:cs="Times New Roman" w:eastAsia="Times New Roman" w:hint="default"/>
        </w:rPr>
        <w:t>4</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299" w:right="0"/>
        <w:jc w:val="left"/>
      </w:pPr>
      <w:r>
        <w:rPr/>
        <w:t>无其他需要说明项目</w:t>
      </w:r>
    </w:p>
    <w:p>
      <w:pPr>
        <w:spacing w:after="0" w:line="240" w:lineRule="auto"/>
        <w:jc w:val="left"/>
        <w:sectPr>
          <w:pgSz w:w="11910" w:h="16840"/>
          <w:pgMar w:header="0" w:footer="979" w:top="1060" w:bottom="116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86" w:right="0"/>
        <w:jc w:val="left"/>
        <w:rPr>
          <w:b w:val="0"/>
          <w:bCs w:val="0"/>
        </w:rPr>
      </w:pPr>
      <w:bookmarkStart w:name="第十二节 备查文件目录" w:id="480"/>
      <w:bookmarkEnd w:id="480"/>
      <w:r>
        <w:rPr>
          <w:b w:val="0"/>
          <w:bCs w:val="0"/>
        </w:rPr>
      </w:r>
      <w:bookmarkStart w:name="_bookmark11" w:id="481"/>
      <w:bookmarkEnd w:id="481"/>
      <w:r>
        <w:rPr>
          <w:b w:val="0"/>
          <w:bCs w:val="0"/>
        </w:rPr>
      </w:r>
      <w:r>
        <w:rPr/>
        <w:t>第十二节</w:t>
      </w:r>
      <w:r>
        <w:rPr>
          <w:spacing w:val="-8"/>
        </w:rPr>
        <w:t> </w:t>
      </w:r>
      <w:r>
        <w:rPr/>
        <w:t>备查文件目录</w:t>
      </w:r>
      <w:r>
        <w:rPr>
          <w:b w:val="0"/>
          <w:bCs w:val="0"/>
        </w:rPr>
      </w:r>
    </w:p>
    <w:p>
      <w:pPr>
        <w:spacing w:line="240" w:lineRule="auto" w:before="8"/>
        <w:rPr>
          <w:rFonts w:ascii="宋体" w:hAnsi="宋体" w:cs="宋体" w:eastAsia="宋体" w:hint="default"/>
          <w:b/>
          <w:bCs/>
          <w:sz w:val="42"/>
          <w:szCs w:val="42"/>
        </w:rPr>
      </w:pPr>
    </w:p>
    <w:p>
      <w:pPr>
        <w:pStyle w:val="BodyText"/>
        <w:spacing w:line="240" w:lineRule="auto"/>
        <w:ind w:right="0"/>
        <w:jc w:val="left"/>
      </w:pPr>
      <w:r>
        <w:rPr/>
        <w:t>（一）载有公司负责人、主管会计工作负责人、会计机构负责人（会计主管人员）签名并盖章的财务报表；</w:t>
      </w:r>
    </w:p>
    <w:p>
      <w:pPr>
        <w:pStyle w:val="BodyText"/>
        <w:spacing w:line="240" w:lineRule="auto" w:before="117"/>
        <w:ind w:right="0"/>
        <w:jc w:val="left"/>
      </w:pPr>
      <w:r>
        <w:rPr/>
        <w:t>（二）载有会计师事务所盖章、注册会计师签名并盖章的审计报告原件；</w:t>
      </w:r>
    </w:p>
    <w:p>
      <w:pPr>
        <w:pStyle w:val="BodyText"/>
        <w:spacing w:line="240" w:lineRule="auto" w:before="116"/>
        <w:ind w:right="0"/>
        <w:jc w:val="left"/>
      </w:pPr>
      <w:r>
        <w:rPr/>
        <w:t>（三）报告期内在中国证监会指定网站上公开披露过的所有公司文件的正本及公告的原稿；</w:t>
      </w:r>
    </w:p>
    <w:p>
      <w:pPr>
        <w:pStyle w:val="BodyText"/>
        <w:spacing w:line="240" w:lineRule="auto" w:before="116"/>
        <w:ind w:right="0"/>
        <w:jc w:val="left"/>
      </w:pPr>
      <w:r>
        <w:rPr/>
        <w:t>（四）在其他证券市场公布的年度报告。</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7"/>
          <w:szCs w:val="17"/>
        </w:rPr>
      </w:pPr>
    </w:p>
    <w:p>
      <w:pPr>
        <w:pStyle w:val="BodyText"/>
        <w:tabs>
          <w:tab w:pos="9726" w:val="left" w:leader="none"/>
        </w:tabs>
        <w:spacing w:line="357" w:lineRule="auto"/>
        <w:ind w:left="6733" w:right="1180" w:hanging="720"/>
        <w:jc w:val="left"/>
      </w:pPr>
      <w:r>
        <w:rPr/>
        <w:t>董事长：张秀兵（签字）</w:t>
      </w:r>
      <w:r>
        <w:rPr>
          <w:rFonts w:ascii="Times New Roman" w:hAnsi="Times New Roman" w:cs="Times New Roman" w:eastAsia="Times New Roman" w:hint="default"/>
        </w:rPr>
      </w:r>
      <w:r>
        <w:rPr>
          <w:rFonts w:ascii="Times New Roman" w:hAnsi="Times New Roman" w:cs="Times New Roman" w:eastAsia="Times New Roman" w:hint="default"/>
          <w:u w:val="single" w:color="000000"/>
        </w:rPr>
        <w:t> </w:t>
        <w:tab/>
      </w:r>
      <w:r>
        <w:rPr>
          <w:rFonts w:ascii="Times New Roman" w:hAnsi="Times New Roman" w:cs="Times New Roman" w:eastAsia="Times New Roman" w:hint="default"/>
          <w:w w:val="37"/>
          <w:u w:val="single" w:color="000000"/>
        </w:rPr>
        <w:t> </w:t>
      </w:r>
      <w:r>
        <w:rPr>
          <w:rFonts w:ascii="Times New Roman" w:hAnsi="Times New Roman" w:cs="Times New Roman" w:eastAsia="Times New Roman" w:hint="default"/>
          <w:u w:val="single" w:color="000000"/>
        </w:rPr>
      </w:r>
      <w:r>
        <w:rPr>
          <w:rFonts w:ascii="Times New Roman" w:hAnsi="Times New Roman" w:cs="Times New Roman" w:eastAsia="Times New Roman" w:hint="default"/>
        </w:rPr>
      </w:r>
      <w:r>
        <w:rPr>
          <w:rFonts w:ascii="Times New Roman" w:hAnsi="Times New Roman" w:cs="Times New Roman" w:eastAsia="Times New Roman" w:hint="default"/>
        </w:rPr>
        <w:t> </w:t>
      </w:r>
      <w:r>
        <w:rPr/>
        <w:t>董事会批准报送日期：</w:t>
      </w:r>
      <w:r>
        <w:rPr>
          <w:rFonts w:ascii="宋体" w:hAnsi="宋体" w:cs="宋体" w:eastAsia="宋体" w:hint="default"/>
        </w:rPr>
        <w:t>2019</w:t>
      </w:r>
      <w:r>
        <w:rPr/>
        <w:t>年</w:t>
      </w:r>
      <w:r>
        <w:rPr>
          <w:rFonts w:ascii="宋体" w:hAnsi="宋体" w:cs="宋体" w:eastAsia="宋体" w:hint="default"/>
        </w:rPr>
        <w:t>4</w:t>
      </w:r>
      <w:r>
        <w:rPr/>
        <w:t>月</w:t>
      </w:r>
      <w:r>
        <w:rPr>
          <w:rFonts w:ascii="宋体" w:hAnsi="宋体" w:cs="宋体" w:eastAsia="宋体" w:hint="default"/>
        </w:rPr>
        <w:t>10</w:t>
      </w:r>
      <w:r>
        <w:rPr/>
        <w:t>日</w:t>
      </w:r>
    </w:p>
    <w:sectPr>
      <w:pgSz w:w="11910" w:h="16840"/>
      <w:pgMar w:header="0" w:footer="979" w:top="1060" w:bottom="116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71632" type="#_x0000_t75" stroked="false">
          <v:imagedata r:id="rId1" o:title=""/>
        </v:shape>
      </w:pict>
    </w:r>
    <w:r>
      <w:rPr/>
      <w:pict>
        <v:shape style="position:absolute;margin-left:533.179993pt;margin-top:795.517944pt;width:6.5pt;height:11pt;mso-position-horizontal-relative:page;mso-position-vertical-relative:page;z-index:-971608"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70984" type="#_x0000_t75" stroked="false">
          <v:imagedata r:id="rId1" o:title=""/>
        </v:shape>
      </w:pict>
    </w:r>
    <w:r>
      <w:rPr/>
      <w:pict>
        <v:shape style="position:absolute;margin-left:523.179993pt;margin-top:781.957947pt;width:17.5pt;height:11pt;mso-position-horizontal-relative:page;mso-position-vertical-relative:page;z-index:-9709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155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71584" type="#_x0000_t75" stroked="false">
          <v:imagedata r:id="rId1" o:title=""/>
        </v:shape>
      </w:pict>
    </w:r>
    <w:r>
      <w:rPr/>
      <w:pict>
        <v:shape style="position:absolute;margin-left:527.679993pt;margin-top:781.957947pt;width:13pt;height:11pt;mso-position-horizontal-relative:page;mso-position-vertical-relative:page;z-index:-9715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971512" type="#_x0000_t75" stroked="false">
          <v:imagedata r:id="rId1" o:title=""/>
        </v:shape>
      </w:pict>
    </w:r>
    <w:r>
      <w:rPr/>
      <w:pict>
        <v:shape style="position:absolute;margin-left:758.97998pt;margin-top:535.357971pt;width:13pt;height:11pt;mso-position-horizontal-relative:page;mso-position-vertical-relative:page;z-index:-9714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71416" type="#_x0000_t75" stroked="false">
          <v:imagedata r:id="rId1" o:title=""/>
        </v:shape>
      </w:pict>
    </w:r>
    <w:r>
      <w:rPr/>
      <w:pict>
        <v:shape style="position:absolute;margin-left:527.679993pt;margin-top:781.957947pt;width:13pt;height:11pt;mso-position-horizontal-relative:page;mso-position-vertical-relative:page;z-index:-9713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22</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971344" type="#_x0000_t75" stroked="false">
          <v:imagedata r:id="rId1" o:title=""/>
        </v:shape>
      </w:pict>
    </w:r>
    <w:r>
      <w:rPr/>
      <w:pict>
        <v:shape style="position:absolute;margin-left:758.97998pt;margin-top:535.357971pt;width:13pt;height:11pt;mso-position-horizontal-relative:page;mso-position-vertical-relative:page;z-index:-971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34</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71248" type="#_x0000_t75" stroked="false">
          <v:imagedata r:id="rId1" o:title=""/>
        </v:shape>
      </w:pict>
    </w:r>
    <w:r>
      <w:rPr/>
      <w:pict>
        <v:shape style="position:absolute;margin-left:527.679993pt;margin-top:781.957947pt;width:13pt;height:11pt;mso-position-horizontal-relative:page;mso-position-vertical-relative:page;z-index:-971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971176" type="#_x0000_t75" stroked="false">
          <v:imagedata r:id="rId1" o:title=""/>
        </v:shape>
      </w:pict>
    </w:r>
    <w:r>
      <w:rPr/>
      <w:pict>
        <v:shape style="position:absolute;margin-left:758.97998pt;margin-top:535.357971pt;width:13pt;height:11pt;mso-position-horizontal-relative:page;mso-position-vertical-relative:page;z-index:-97115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91</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89.234558pt;margin-top:570.43042pt;width:42.067787pt;height:18.946561pt;mso-position-horizontal-relative:page;mso-position-vertical-relative:page;z-index:-971128" type="#_x0000_t75" stroked="false">
          <v:imagedata r:id="rId1" o:title=""/>
        </v:shape>
      </w:pict>
    </w:r>
    <w:r>
      <w:rPr/>
      <w:pict>
        <v:shape style="position:absolute;margin-left:755.47998pt;margin-top:535.357971pt;width:15.5pt;height:11pt;mso-position-horizontal-relative:page;mso-position-vertical-relative:page;z-index:-97110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34705pt;margin-top:806.72052pt;width:59.493346pt;height:26.794713pt;mso-position-horizontal-relative:page;mso-position-vertical-relative:page;z-index:-971032" type="#_x0000_t75" stroked="false">
          <v:imagedata r:id="rId1" o:title=""/>
        </v:shape>
      </w:pict>
    </w:r>
    <w:r>
      <w:rPr/>
      <w:pict>
        <v:shape style="position:absolute;margin-left:523.179993pt;margin-top:781.957947pt;width:17.5pt;height:11pt;mso-position-horizontal-relative:page;mso-position-vertical-relative:page;z-index:-9710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290.220001pt;margin-top:36.325607pt;width:249.5pt;height:11.5pt;mso-position-horizontal-relative:page;mso-position-vertical-relative:page;z-index:-971656" type="#_x0000_t202" filled="false" stroked="false">
          <v:textbox inset="0,0,0,0">
            <w:txbxContent>
              <w:p>
                <w:pPr>
                  <w:pStyle w:val="BodyText"/>
                  <w:spacing w:line="214" w:lineRule="exact"/>
                  <w:ind w:left="20" w:right="0"/>
                  <w:jc w:val="left"/>
                </w:pPr>
                <w:r>
                  <w:rPr/>
                  <w:t>宣亚国际品牌管理（北京）股份有限公司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1.520020pt;margin-top:42.865631pt;width:249.5pt;height:11.5pt;mso-position-horizontal-relative:page;mso-position-vertical-relative:page;z-index:-971536" type="#_x0000_t202" filled="false" stroked="false">
          <v:textbox inset="0,0,0,0">
            <w:txbxContent>
              <w:p>
                <w:pPr>
                  <w:pStyle w:val="BodyText"/>
                  <w:spacing w:line="214" w:lineRule="exact"/>
                  <w:ind w:left="20" w:right="0"/>
                  <w:jc w:val="left"/>
                </w:pPr>
                <w:r>
                  <w:rPr/>
                  <w:t>宣亚国际品牌管理（北京）股份有限公司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971464"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290.220001pt;margin-top:42.865608pt;width:249.5pt;height:11.5pt;mso-position-horizontal-relative:page;mso-position-vertical-relative:page;z-index:-971440" type="#_x0000_t202" filled="false" stroked="false">
          <v:textbox inset="0,0,0,0">
            <w:txbxContent>
              <w:p>
                <w:pPr>
                  <w:pStyle w:val="BodyText"/>
                  <w:spacing w:line="214" w:lineRule="exact"/>
                  <w:ind w:left="20" w:right="0"/>
                  <w:jc w:val="left"/>
                </w:pPr>
                <w:r>
                  <w:rPr/>
                  <w:t>宣亚国际品牌管理（北京）股份有限公司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1.520020pt;margin-top:42.865631pt;width:249.5pt;height:11.5pt;mso-position-horizontal-relative:page;mso-position-vertical-relative:page;z-index:-971368" type="#_x0000_t202" filled="false" stroked="false">
          <v:textbox inset="0,0,0,0">
            <w:txbxContent>
              <w:p>
                <w:pPr>
                  <w:pStyle w:val="BodyText"/>
                  <w:spacing w:line="214" w:lineRule="exact"/>
                  <w:ind w:left="20" w:right="0"/>
                  <w:jc w:val="left"/>
                </w:pPr>
                <w:r>
                  <w:rPr/>
                  <w:t>宣亚国际品牌管理（北京）股份有限公司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55.200001pt;margin-top:55.619984pt;width:485pt;height:.1pt;mso-position-horizontal-relative:page;mso-position-vertical-relative:page;z-index:-971296"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290.220001pt;margin-top:42.865608pt;width:249.5pt;height:11.5pt;mso-position-horizontal-relative:page;mso-position-vertical-relative:page;z-index:-971272" type="#_x0000_t202" filled="false" stroked="false">
          <v:textbox inset="0,0,0,0">
            <w:txbxContent>
              <w:p>
                <w:pPr>
                  <w:pStyle w:val="BodyText"/>
                  <w:spacing w:line="214" w:lineRule="exact"/>
                  <w:ind w:left="20" w:right="0"/>
                  <w:jc w:val="left"/>
                </w:pPr>
                <w:r>
                  <w:rPr/>
                  <w:t>宣亚国际品牌管理（北京）股份有限公司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1.520020pt;margin-top:42.865631pt;width:249.5pt;height:11.5pt;mso-position-horizontal-relative:page;mso-position-vertical-relative:page;z-index:-971200" type="#_x0000_t202" filled="false" stroked="false">
          <v:textbox inset="0,0,0,0">
            <w:txbxContent>
              <w:p>
                <w:pPr>
                  <w:pStyle w:val="BodyText"/>
                  <w:spacing w:line="214" w:lineRule="exact"/>
                  <w:ind w:left="20" w:right="0"/>
                  <w:jc w:val="left"/>
                </w:pPr>
                <w:r>
                  <w:rPr/>
                  <w:t>宣亚国际品牌管理（北京）股份有限公司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619984pt;width:485pt;height:.1pt;mso-position-horizontal-relative:page;mso-position-vertical-relative:page;z-index:-971080" coordorigin="1104,1112" coordsize="9700,2">
          <v:shape style="position:absolute;left:1104;top:1112;width:9700;height:2" coordorigin="1104,1112" coordsize="9700,0" path="m1104,1112l10804,1112e" filled="false" stroked="true" strokeweight=".72pt" strokecolor="#000000">
            <v:path arrowok="t"/>
          </v:shape>
          <w10:wrap type="none"/>
        </v:group>
      </w:pict>
    </w:r>
    <w:r>
      <w:rPr/>
      <w:pict>
        <v:shape style="position:absolute;margin-left:290.220001pt;margin-top:42.865608pt;width:249.5pt;height:11.5pt;mso-position-horizontal-relative:page;mso-position-vertical-relative:page;z-index:-971056" type="#_x0000_t202" filled="false" stroked="false">
          <v:textbox inset="0,0,0,0">
            <w:txbxContent>
              <w:p>
                <w:pPr>
                  <w:pStyle w:val="BodyText"/>
                  <w:spacing w:line="214" w:lineRule="exact"/>
                  <w:ind w:left="20" w:right="0"/>
                  <w:jc w:val="left"/>
                </w:pPr>
                <w:r>
                  <w:rPr/>
                  <w:t>宣亚国际品牌管理（北京）股份有限公司</w:t>
                </w:r>
                <w:r>
                  <w:rPr>
                    <w:spacing w:val="-46"/>
                  </w:rPr>
                  <w:t> </w:t>
                </w:r>
                <w:r>
                  <w:rPr>
                    <w:rFonts w:ascii="Times New Roman" w:hAnsi="Times New Roman" w:cs="Times New Roman" w:eastAsia="Times New Roman" w:hint="default"/>
                  </w:rPr>
                  <w:t>2018</w:t>
                </w:r>
                <w:r>
                  <w:rPr>
                    <w:rFonts w:ascii="Times New Roman" w:hAnsi="Times New Roman" w:cs="Times New Roman" w:eastAsia="Times New Roman" w:hint="default"/>
                    <w:spacing w:val="-1"/>
                  </w:rPr>
                  <w:t> </w:t>
                </w:r>
                <w:r>
                  <w:rPr/>
                  <w:t>年年度报告全文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102"/>
      <w:ind w:left="154"/>
    </w:pPr>
    <w:rPr>
      <w:rFonts w:ascii="宋体" w:hAnsi="宋体" w:eastAsia="宋体"/>
      <w:sz w:val="18"/>
      <w:szCs w:val="1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279"/>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ind w:left="154"/>
      <w:outlineLvl w:val="3"/>
    </w:pPr>
    <w:rPr>
      <w:rFonts w:ascii="宋体" w:hAnsi="宋体" w:eastAsia="宋体"/>
      <w:b/>
      <w:bCs/>
      <w:sz w:val="22"/>
      <w:szCs w:val="22"/>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ind w:left="515"/>
      <w:outlineLvl w:val="5"/>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footer" Target="footer2.xml"/><Relationship Id="rId9" Type="http://schemas.openxmlformats.org/officeDocument/2006/relationships/hyperlink" Target="http://www.shunyagroup.com/" TargetMode="External"/><Relationship Id="rId10" Type="http://schemas.openxmlformats.org/officeDocument/2006/relationships/hyperlink" Target="mailto:stock@shunyagroup.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yperlink" Target="http://www/" TargetMode="External"/><Relationship Id="rId17" Type="http://schemas.openxmlformats.org/officeDocument/2006/relationships/hyperlink" Target="http://www.cninfo.com.cn/new/disclos" TargetMode="External"/><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header" Target="header5.xml"/><Relationship Id="rId21" Type="http://schemas.openxmlformats.org/officeDocument/2006/relationships/footer" Target="footer6.xml"/><Relationship Id="rId22" Type="http://schemas.openxmlformats.org/officeDocument/2006/relationships/image" Target="media/image3.png"/><Relationship Id="rId23" Type="http://schemas.openxmlformats.org/officeDocument/2006/relationships/header" Target="header6.xml"/><Relationship Id="rId24" Type="http://schemas.openxmlformats.org/officeDocument/2006/relationships/footer" Target="footer7.xml"/><Relationship Id="rId25" Type="http://schemas.openxmlformats.org/officeDocument/2006/relationships/footer" Target="footer8.xml"/><Relationship Id="rId26" Type="http://schemas.openxmlformats.org/officeDocument/2006/relationships/header" Target="header7.xml"/><Relationship Id="rId27" Type="http://schemas.openxmlformats.org/officeDocument/2006/relationships/footer" Target="footer9.xml"/><Relationship Id="rId28" Type="http://schemas.openxmlformats.org/officeDocument/2006/relationships/header" Target="header8.xml"/><Relationship Id="rId29" Type="http://schemas.openxmlformats.org/officeDocument/2006/relationships/footer" Target="footer10.xml"/><Relationship Id="rId30" Type="http://schemas.openxmlformats.org/officeDocument/2006/relationships/image" Target="media/image1.jpeg"/><Relationship Id="rId31" Type="http://schemas.openxmlformats.org/officeDocument/2006/relationships/footer" Target="footer1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宣亚国际品牌管理（北京）股份有限公司</dc:creator>
  <dc:title>宣亚国际品牌管理（北京）股份有限公司2018年年度报告全文</dc:title>
  <dcterms:created xsi:type="dcterms:W3CDTF">2020-05-04T22:44:24Z</dcterms:created>
  <dcterms:modified xsi:type="dcterms:W3CDTF">2020-05-04T22:44:24Z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2019-04-10T00:00:00Z</vt:filetime>
  </property>
  <property fmtid="{D5CDD505-2E9C-101B-9397-08002B2CF9AE}" pid="3" name="Creator">
    <vt:lpwstr>Microsoft® Office Word 2007</vt:lpwstr>
  </property>
  <property fmtid="{D5CDD505-2E9C-101B-9397-08002B2CF9AE}" pid="4" name="LastSaved">
    <vt:filetime>2020-05-04T00:00:00Z</vt:filetime>
  </property>
</Properties>
</file>